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黑体" w:cs="黑体"/>
          <w:bCs/>
          <w:sz w:val="32"/>
          <w:szCs w:val="32"/>
          <w:lang w:eastAsia="zh-CN"/>
        </w:rPr>
      </w:pPr>
      <w:r>
        <w:rPr>
          <w:rFonts w:hint="eastAsia" w:eastAsia="黑体" w:cs="黑体"/>
          <w:bCs/>
          <w:sz w:val="32"/>
          <w:szCs w:val="32"/>
        </w:rPr>
        <w:t>附件</w:t>
      </w:r>
      <w:r>
        <w:rPr>
          <w:rFonts w:hint="eastAsia" w:eastAsia="黑体" w:cs="黑体"/>
          <w:bCs/>
          <w:sz w:val="32"/>
          <w:szCs w:val="32"/>
          <w:lang w:val="en-US" w:eastAsia="zh-CN"/>
        </w:rPr>
        <w:t>2</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pacing w:val="-20"/>
          <w:sz w:val="46"/>
          <w:szCs w:val="46"/>
        </w:rPr>
      </w:pPr>
      <w:r>
        <w:rPr>
          <w:rFonts w:hint="eastAsia" w:eastAsia="方正小标宋简体"/>
          <w:bCs/>
          <w:spacing w:val="-20"/>
          <w:sz w:val="46"/>
          <w:szCs w:val="46"/>
          <w:lang w:val="en-US" w:eastAsia="zh-CN"/>
        </w:rPr>
        <w:t>临湘市</w:t>
      </w:r>
      <w:r>
        <w:rPr>
          <w:rFonts w:hint="eastAsia" w:eastAsia="方正小标宋简体"/>
          <w:bCs/>
          <w:spacing w:val="-20"/>
          <w:sz w:val="46"/>
          <w:szCs w:val="46"/>
        </w:rPr>
        <w:t>20</w:t>
      </w:r>
      <w:r>
        <w:rPr>
          <w:rFonts w:hint="eastAsia" w:eastAsia="方正小标宋简体"/>
          <w:bCs/>
          <w:spacing w:val="-20"/>
          <w:sz w:val="46"/>
          <w:szCs w:val="46"/>
          <w:u w:val="single"/>
        </w:rPr>
        <w:t xml:space="preserve"> </w:t>
      </w:r>
      <w:r>
        <w:rPr>
          <w:rFonts w:hint="eastAsia" w:eastAsia="方正小标宋简体"/>
          <w:bCs/>
          <w:spacing w:val="-20"/>
          <w:sz w:val="46"/>
          <w:szCs w:val="46"/>
          <w:u w:val="single"/>
          <w:lang w:val="en-US" w:eastAsia="zh-CN"/>
        </w:rPr>
        <w:t>21</w:t>
      </w:r>
      <w:r>
        <w:rPr>
          <w:rFonts w:hint="eastAsia" w:eastAsia="方正小标宋简体"/>
          <w:bCs/>
          <w:spacing w:val="-20"/>
          <w:sz w:val="46"/>
          <w:szCs w:val="46"/>
          <w:u w:val="single"/>
        </w:rPr>
        <w:t xml:space="preserve">   </w:t>
      </w:r>
      <w:r>
        <w:rPr>
          <w:rFonts w:hint="eastAsia" w:eastAsia="方正小标宋简体"/>
          <w:bCs/>
          <w:spacing w:val="-20"/>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u w:val="single"/>
        </w:rPr>
      </w:pPr>
      <w:r>
        <w:rPr>
          <w:rFonts w:hint="eastAsia" w:eastAsia="仿宋_GB2312"/>
          <w:sz w:val="32"/>
        </w:rPr>
        <w:t>部门(单位)名称</w:t>
      </w:r>
      <w:r>
        <w:rPr>
          <w:rFonts w:hint="eastAsia" w:eastAsia="仿宋_GB2312"/>
          <w:sz w:val="32"/>
          <w:u w:val="single"/>
        </w:rPr>
        <w:t xml:space="preserve">  </w:t>
      </w:r>
      <w:r>
        <w:rPr>
          <w:rFonts w:hint="eastAsia" w:eastAsia="仿宋_GB2312"/>
          <w:sz w:val="32"/>
          <w:u w:val="single"/>
          <w:lang w:val="en-US" w:eastAsia="zh-CN"/>
        </w:rPr>
        <w:t>临湘市文化馆</w:t>
      </w:r>
      <w:r>
        <w:rPr>
          <w:rFonts w:hint="eastAsia" w:eastAsia="仿宋_GB2312"/>
          <w:sz w:val="32"/>
          <w:u w:val="single"/>
        </w:rPr>
        <w:t xml:space="preserve">                                 </w:t>
      </w:r>
    </w:p>
    <w:p>
      <w:pPr>
        <w:spacing w:before="301" w:beforeLines="50" w:line="348" w:lineRule="auto"/>
        <w:ind w:firstLine="476"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6" w:firstLineChars="150"/>
        <w:rPr>
          <w:rFonts w:hint="eastAsia" w:eastAsia="仿宋_GB2312"/>
          <w:sz w:val="32"/>
        </w:rPr>
      </w:pPr>
      <w:r>
        <w:rPr>
          <w:rFonts w:hint="eastAsia" w:eastAsia="仿宋_GB2312"/>
          <w:sz w:val="32"/>
          <w:szCs w:val="32"/>
        </w:rPr>
        <w:t>评价机构：</w:t>
      </w:r>
      <w:r>
        <w:rPr>
          <w:rFonts w:hint="eastAsia" w:eastAsia="仿宋_GB2312"/>
          <w:sz w:val="28"/>
          <w:szCs w:val="28"/>
        </w:rPr>
        <w:t xml:space="preserve">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8</w:t>
      </w:r>
      <w:r>
        <w:rPr>
          <w:rFonts w:hint="eastAsia" w:eastAsia="仿宋_GB2312"/>
          <w:sz w:val="32"/>
        </w:rPr>
        <w:t xml:space="preserve"> 月 </w:t>
      </w:r>
      <w:r>
        <w:rPr>
          <w:rFonts w:hint="eastAsia" w:eastAsia="仿宋_GB2312"/>
          <w:sz w:val="32"/>
          <w:lang w:val="en-US" w:eastAsia="zh-CN"/>
        </w:rPr>
        <w:t>24</w:t>
      </w:r>
      <w:r>
        <w:rPr>
          <w:rFonts w:hint="eastAsia" w:eastAsia="仿宋_GB2312"/>
          <w:sz w:val="32"/>
        </w:rPr>
        <w:t xml:space="preserve">  日</w:t>
      </w:r>
    </w:p>
    <w:p>
      <w:pPr>
        <w:autoSpaceDN w:val="0"/>
        <w:jc w:val="center"/>
        <w:textAlignment w:val="center"/>
        <w:rPr>
          <w:rFonts w:hint="eastAsia" w:eastAsia="仿宋_GB2312"/>
          <w:sz w:val="32"/>
          <w:szCs w:val="32"/>
        </w:rPr>
      </w:pPr>
      <w:r>
        <w:rPr>
          <w:rFonts w:hint="eastAsia" w:eastAsia="仿宋_GB2312"/>
          <w:sz w:val="32"/>
          <w:lang w:val="en-US" w:eastAsia="zh-CN"/>
        </w:rPr>
        <w:t>临湘市</w:t>
      </w:r>
      <w:r>
        <w:rPr>
          <w:rFonts w:hint="eastAsia" w:eastAsia="仿宋_GB2312"/>
          <w:sz w:val="32"/>
        </w:rPr>
        <w:t>财政</w:t>
      </w:r>
      <w:r>
        <w:rPr>
          <w:rFonts w:hint="eastAsia" w:eastAsia="仿宋_GB2312"/>
          <w:sz w:val="32"/>
          <w:szCs w:val="32"/>
        </w:rPr>
        <w:t>局（制）</w:t>
      </w:r>
    </w:p>
    <w:p>
      <w:pPr>
        <w:autoSpaceDN w:val="0"/>
        <w:jc w:val="center"/>
        <w:textAlignment w:val="center"/>
        <w:rPr>
          <w:rFonts w:hint="eastAsia" w:eastAsia="仿宋_GB2312"/>
          <w:sz w:val="32"/>
          <w:szCs w:val="32"/>
        </w:rPr>
        <w:sectPr>
          <w:footerReference r:id="rId3" w:type="even"/>
          <w:pgSz w:w="11906" w:h="16838"/>
          <w:pgMar w:top="1701" w:right="1417" w:bottom="1701" w:left="1417" w:header="851" w:footer="992" w:gutter="0"/>
          <w:pgNumType w:fmt="numberInDash" w:start="8"/>
          <w:cols w:space="720" w:num="1"/>
          <w:docGrid w:type="linesAndChars" w:linePitch="602" w:charSpace="-782"/>
        </w:sectPr>
      </w:pPr>
    </w:p>
    <w:tbl>
      <w:tblPr>
        <w:tblStyle w:val="6"/>
        <w:tblW w:w="10422"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93"/>
        <w:gridCol w:w="1366"/>
        <w:gridCol w:w="49"/>
        <w:gridCol w:w="469"/>
        <w:gridCol w:w="724"/>
        <w:gridCol w:w="328"/>
        <w:gridCol w:w="981"/>
        <w:gridCol w:w="412"/>
        <w:gridCol w:w="1012"/>
        <w:gridCol w:w="276"/>
        <w:gridCol w:w="20"/>
        <w:gridCol w:w="1292"/>
        <w:gridCol w:w="61"/>
        <w:gridCol w:w="416"/>
        <w:gridCol w:w="960"/>
        <w:gridCol w:w="336"/>
        <w:gridCol w:w="240"/>
        <w:gridCol w:w="447"/>
        <w:gridCol w:w="671"/>
        <w:gridCol w:w="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0060" w:type="dxa"/>
            <w:gridSpan w:val="18"/>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88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33" w:type="dxa"/>
            <w:gridSpan w:val="6"/>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王健</w:t>
            </w:r>
          </w:p>
        </w:tc>
        <w:tc>
          <w:tcPr>
            <w:tcW w:w="274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1694"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19894388719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88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33" w:type="dxa"/>
            <w:gridSpan w:val="6"/>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c>
          <w:tcPr>
            <w:tcW w:w="274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1694"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1242" w:hRule="atLeast"/>
        </w:trPr>
        <w:tc>
          <w:tcPr>
            <w:tcW w:w="188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76" w:type="dxa"/>
            <w:gridSpan w:val="15"/>
            <w:noWrap w:val="0"/>
            <w:vAlign w:val="center"/>
          </w:tcPr>
          <w:p>
            <w:pPr>
              <w:autoSpaceDN w:val="0"/>
              <w:spacing w:line="400" w:lineRule="exact"/>
              <w:ind w:firstLine="470" w:firstLineChars="20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lang w:val="en-US" w:eastAsia="zh-CN"/>
              </w:rPr>
              <w:t>组织群众文化活动，繁荣群众文化事业。负责开展文化宣传、文艺活动组织、相关培训、指导群众业余文艺创作及全民美育教育。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90" w:hRule="atLeast"/>
        </w:trPr>
        <w:tc>
          <w:tcPr>
            <w:tcW w:w="1884" w:type="dxa"/>
            <w:gridSpan w:val="3"/>
            <w:noWrap w:val="0"/>
            <w:vAlign w:val="center"/>
          </w:tcPr>
          <w:p>
            <w:pPr>
              <w:numPr>
                <w:ilvl w:val="0"/>
                <w:numId w:val="0"/>
              </w:numPr>
              <w:autoSpaceDN w:val="0"/>
              <w:spacing w:line="400" w:lineRule="exact"/>
              <w:ind w:leftChars="0"/>
              <w:jc w:val="left"/>
              <w:textAlignment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年度主要工作内容</w:t>
            </w:r>
          </w:p>
        </w:tc>
        <w:tc>
          <w:tcPr>
            <w:tcW w:w="8176" w:type="dxa"/>
            <w:gridSpan w:val="15"/>
            <w:noWrap w:val="0"/>
            <w:vAlign w:val="center"/>
          </w:tcPr>
          <w:p>
            <w:pPr>
              <w:numPr>
                <w:ilvl w:val="0"/>
                <w:numId w:val="0"/>
              </w:numPr>
              <w:autoSpaceDN w:val="0"/>
              <w:spacing w:line="400" w:lineRule="exact"/>
              <w:ind w:leftChars="0" w:firstLine="235" w:firstLineChars="10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一、强化思想政治教育</w:t>
            </w:r>
          </w:p>
          <w:p>
            <w:pPr>
              <w:numPr>
                <w:ilvl w:val="0"/>
                <w:numId w:val="0"/>
              </w:numPr>
              <w:autoSpaceDN w:val="0"/>
              <w:spacing w:line="400" w:lineRule="exact"/>
              <w:ind w:leftChars="0" w:firstLine="470" w:firstLineChars="20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全年共组织开展主题学习36次、小组学习12次、支部书记讲党课4次，切实增强了全体党员树牢“四个意识”，坚定“四个自信”，做到“两个维护”的思想自觉和行动自觉。</w:t>
            </w:r>
          </w:p>
          <w:p>
            <w:pPr>
              <w:numPr>
                <w:ilvl w:val="0"/>
                <w:numId w:val="0"/>
              </w:numPr>
              <w:autoSpaceDN w:val="0"/>
              <w:spacing w:line="400" w:lineRule="exact"/>
              <w:ind w:leftChars="0" w:firstLine="235" w:firstLineChars="10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二、守牢群文活动“主阵地”</w:t>
            </w:r>
          </w:p>
          <w:p>
            <w:pPr>
              <w:numPr>
                <w:ilvl w:val="0"/>
                <w:numId w:val="0"/>
              </w:numPr>
              <w:autoSpaceDN w:val="0"/>
              <w:spacing w:line="400" w:lineRule="exact"/>
              <w:ind w:leftChars="0" w:firstLine="470" w:firstLineChars="20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今年先后举办临湘市第八届草根文化旅游艺术节、“欢乐潇湘·颂歌向党”群众歌会，有40多个社会文艺团体共10万多人次参加；举办了丰富多彩的“建党100周年主题系列群文活动”，五尖山烈士公园百人唱红歌，“唱支山歌给党听”大型音乐歌会，群众美术书法展览，广场舞大赛，为建党一百周年营造了热烈浓厚的社会氛围；先后开展“我们的中国梦·湖湘文化进万家”等6场文化旅游志愿服务活动，志愿服务逐步走进了百姓生活。</w:t>
            </w:r>
          </w:p>
          <w:p>
            <w:pPr>
              <w:numPr>
                <w:ilvl w:val="0"/>
                <w:numId w:val="0"/>
              </w:numPr>
              <w:autoSpaceDN w:val="0"/>
              <w:spacing w:line="400" w:lineRule="exact"/>
              <w:ind w:leftChars="0" w:firstLine="470" w:firstLineChars="20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三、种好了文化传承“责任田”</w:t>
            </w:r>
          </w:p>
          <w:p>
            <w:pPr>
              <w:numPr>
                <w:ilvl w:val="0"/>
                <w:numId w:val="0"/>
              </w:numPr>
              <w:autoSpaceDN w:val="0"/>
              <w:spacing w:line="400" w:lineRule="exact"/>
              <w:ind w:leftChars="0" w:firstLine="470" w:firstLineChars="20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白羊田中学为阵地，常态化举办天狮舞师带徒传承培训班，今年培训天狮舞传承者22名。开展“人民的非遗·人民共享”非遗日主题活动和进校园活动“临湘绿豆皮制作技艺”“元记打铁技艺”“桃林封（丰）锅”等9个项目列入临湘市级第二批非物质文化遗产代表性项目名录，组织出版《临湘花鼓戏音乐汇编》</w:t>
            </w:r>
          </w:p>
          <w:p>
            <w:pPr>
              <w:numPr>
                <w:ilvl w:val="0"/>
                <w:numId w:val="0"/>
              </w:numPr>
              <w:autoSpaceDN w:val="0"/>
              <w:spacing w:line="400" w:lineRule="exact"/>
              <w:ind w:leftChars="0" w:firstLine="470" w:firstLineChars="20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四、开创了文艺创作“新局面”</w:t>
            </w:r>
          </w:p>
          <w:p>
            <w:pPr>
              <w:numPr>
                <w:ilvl w:val="0"/>
                <w:numId w:val="0"/>
              </w:numPr>
              <w:autoSpaceDN w:val="0"/>
              <w:spacing w:line="400" w:lineRule="exact"/>
              <w:ind w:leftChars="0" w:firstLine="470" w:firstLineChars="20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选调我市中老年文艺爱好者及志愿者120人组成京音合唱团，参加岳阳市“千万职工颂歌献给敬爱的党”群众性歌咏活动，我馆创作的音乐作品《伟大的中国共产党》，获得专家和观众的一致好评。拓展了文艺培训“新航道”。结合我市人民群众对文艺技能日益增长的实际需要，根据不同人群，不同文艺爱好需求，举办了各类公益性文艺培训班10期，丰富了我市群众的文艺生活。中老年辅导种类丰富。今年继续联合临湘市老年大学举办了“中老年文艺培训班”，开设旗袍秀、舞蹈、书法、戏曲等门类40课时 ，培训1100多人次。文化专干、文艺骨干技能提升显著。就如何做好新时期公共文化、群众文化、非遗保护传承和免费开放等工作，组织业务培训4次，文化专干、文艺骨干的职业素质和服务水平明显提升。</w:t>
            </w:r>
          </w:p>
          <w:p>
            <w:pPr>
              <w:numPr>
                <w:ilvl w:val="0"/>
                <w:numId w:val="0"/>
              </w:numPr>
              <w:autoSpaceDN w:val="0"/>
              <w:spacing w:line="400" w:lineRule="exact"/>
              <w:ind w:leftChars="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构建了云端互动“连心桥”</w:t>
            </w:r>
          </w:p>
          <w:p>
            <w:pPr>
              <w:numPr>
                <w:ilvl w:val="0"/>
                <w:numId w:val="0"/>
              </w:numPr>
              <w:autoSpaceDN w:val="0"/>
              <w:spacing w:line="400" w:lineRule="exact"/>
              <w:ind w:leftChars="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数字化技术为核心,数字服务平台为载体,建起了一个上连国家公共文化云和湖南省公共文旅云、下连镇村站点的综合服务云平台，实现了线上线下互通和资源共享。通过“湖南公共文旅云”平台的审核在其平台上发布资讯、活动、视频等相关讯息共计50条，针对本馆工作进度及时在临湘文化云平台上发布通知公告、活动资讯、文化动态、群文资讯、景区资讯等相关动态，共计发布讯息156条。截止目前为止线上浏览点击量达到了117万余人次，比去年得到大幅提升。</w:t>
            </w:r>
          </w:p>
          <w:p>
            <w:pPr>
              <w:numPr>
                <w:ilvl w:val="0"/>
                <w:numId w:val="0"/>
              </w:numPr>
              <w:autoSpaceDN w:val="0"/>
              <w:spacing w:line="400" w:lineRule="exact"/>
              <w:ind w:leftChars="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六、细化日常管理，守牢了底线</w:t>
            </w:r>
          </w:p>
          <w:p>
            <w:pPr>
              <w:numPr>
                <w:ilvl w:val="0"/>
                <w:numId w:val="0"/>
              </w:numPr>
              <w:autoSpaceDN w:val="0"/>
              <w:spacing w:line="400" w:lineRule="exact"/>
              <w:ind w:leftChars="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坚持全面系统、精准精细、较真碰硬强化日常管理，牢牢守住了安全、稳定、有序的底线。</w:t>
            </w:r>
          </w:p>
          <w:p>
            <w:pPr>
              <w:numPr>
                <w:ilvl w:val="0"/>
                <w:numId w:val="0"/>
              </w:numPr>
              <w:autoSpaceDN w:val="0"/>
              <w:spacing w:line="400" w:lineRule="exact"/>
              <w:ind w:leftChars="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是常态落实疫情防控。通过微信公众号、数字云平台、微信、微博等平台向群众宣传普及防疫知识，坚决执行公共场馆疫情防控管理条例，落实进馆人员体温检测、查健康码、行程码等安全措施，公共活动区域坚持消毒通风并配备口罩、消毒液等防护用品。</w:t>
            </w:r>
          </w:p>
          <w:p>
            <w:pPr>
              <w:numPr>
                <w:ilvl w:val="0"/>
                <w:numId w:val="0"/>
              </w:numPr>
              <w:autoSpaceDN w:val="0"/>
              <w:spacing w:line="400" w:lineRule="exact"/>
              <w:ind w:leftChars="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二是精细进行安全管理。严格落实岗位责任，加强节假日期间安全值班工作，确保了全年没有发生任何安全责任事故。</w:t>
            </w:r>
          </w:p>
          <w:p>
            <w:pPr>
              <w:numPr>
                <w:ilvl w:val="0"/>
                <w:numId w:val="0"/>
              </w:numPr>
              <w:autoSpaceDN w:val="0"/>
              <w:spacing w:line="400" w:lineRule="exact"/>
              <w:ind w:leftChars="0"/>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三是认真做好经常性事务。积极配合乡村振兴工作，开展综治民调大走访、社区综治巡逻、文明交通劝导、周末大扫除等日常工作。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3551" w:hRule="atLeast"/>
        </w:trPr>
        <w:tc>
          <w:tcPr>
            <w:tcW w:w="188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176" w:type="dxa"/>
            <w:gridSpan w:val="15"/>
            <w:noWrap w:val="0"/>
            <w:vAlign w:val="center"/>
          </w:tcPr>
          <w:p>
            <w:pPr>
              <w:autoSpaceDN w:val="0"/>
              <w:spacing w:line="400" w:lineRule="exact"/>
              <w:jc w:val="left"/>
              <w:textAlignment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 w:val="0"/>
                <w:bCs w:val="0"/>
                <w:color w:val="auto"/>
                <w:sz w:val="28"/>
                <w:szCs w:val="28"/>
                <w:lang w:val="en-US" w:eastAsia="zh-CN"/>
              </w:rPr>
              <w:t>1</w:t>
            </w:r>
            <w:r>
              <w:rPr>
                <w:rFonts w:hint="eastAsia" w:ascii="仿宋_GB2312" w:hAnsi="仿宋_GB2312" w:eastAsia="仿宋_GB2312" w:cs="仿宋_GB2312"/>
                <w:b w:val="0"/>
                <w:bCs w:val="0"/>
                <w:color w:val="auto"/>
                <w:sz w:val="24"/>
                <w:szCs w:val="24"/>
                <w:lang w:val="en-US" w:eastAsia="zh-CN"/>
              </w:rPr>
              <w:t>、连续第三次获评</w:t>
            </w:r>
            <w:r>
              <w:rPr>
                <w:rFonts w:hint="eastAsia" w:ascii="仿宋_GB2312" w:hAnsi="仿宋_GB2312" w:eastAsia="仿宋_GB2312" w:cs="仿宋_GB2312"/>
                <w:bCs/>
                <w:color w:val="auto"/>
                <w:sz w:val="24"/>
                <w:szCs w:val="24"/>
              </w:rPr>
              <w:t>“国家一级文化馆”</w:t>
            </w:r>
            <w:r>
              <w:rPr>
                <w:rFonts w:hint="eastAsia" w:ascii="仿宋_GB2312" w:hAnsi="仿宋_GB2312" w:eastAsia="仿宋_GB2312" w:cs="仿宋_GB2312"/>
                <w:bCs/>
                <w:color w:val="auto"/>
                <w:sz w:val="24"/>
                <w:szCs w:val="24"/>
                <w:lang w:val="en-US" w:eastAsia="zh-CN"/>
              </w:rPr>
              <w:t>称号；</w:t>
            </w:r>
          </w:p>
          <w:p>
            <w:pPr>
              <w:autoSpaceDN w:val="0"/>
              <w:spacing w:line="400" w:lineRule="exact"/>
              <w:jc w:val="left"/>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2、“临湘市草根文化旅游艺术节项目”获评第七届湖南艺术节“三项群星奖”；</w:t>
            </w:r>
          </w:p>
          <w:p>
            <w:pPr>
              <w:autoSpaceDN w:val="0"/>
              <w:spacing w:line="400" w:lineRule="exact"/>
              <w:jc w:val="left"/>
              <w:textAlignment w:val="cente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3、白羊田镇（天狮舞）和聂市镇（十样锦）获2021年—2023年度“中国民间文化艺术之乡”称号；</w:t>
            </w:r>
          </w:p>
          <w:p>
            <w:p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auto"/>
                <w:sz w:val="24"/>
                <w:szCs w:val="24"/>
                <w:lang w:val="en-US" w:eastAsia="zh-CN"/>
              </w:rPr>
              <w:t>“临湘浮标制作技艺”和“临湘青砖茶制作技艺”成功入选第五批省级非物质文化遗产代表性项目名录；</w:t>
            </w:r>
          </w:p>
          <w:p>
            <w:p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auto"/>
                <w:sz w:val="24"/>
                <w:szCs w:val="24"/>
                <w:lang w:val="en-US" w:eastAsia="zh-CN"/>
              </w:rPr>
              <w:t>5、“临湘绿豆皮制作技艺”“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元记打铁技艺”“桃林封（丰）锅”等9个项目列入临湘市级第二批非物质文化遗产代表性项目名录；</w:t>
            </w:r>
          </w:p>
          <w:p>
            <w:pPr>
              <w:autoSpaceDN w:val="0"/>
              <w:spacing w:line="400" w:lineRule="exact"/>
              <w:jc w:val="left"/>
              <w:textAlignment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sz w:val="24"/>
                <w:szCs w:val="24"/>
                <w:lang w:val="en-US" w:eastAsia="zh-CN"/>
              </w:rPr>
              <w:t>少儿舞蹈《蛙鼓声声》获评第十一届“小荷风采”全国少儿舞蹈湖南选拔赛“小荷奖”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0060" w:type="dxa"/>
            <w:gridSpan w:val="18"/>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0060" w:type="dxa"/>
            <w:gridSpan w:val="1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366" w:type="dxa"/>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42"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452" w:type="dxa"/>
            <w:gridSpan w:val="1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718" w:hRule="atLeast"/>
        </w:trPr>
        <w:tc>
          <w:tcPr>
            <w:tcW w:w="1366" w:type="dxa"/>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42"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9"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2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公共财政拨款</w:t>
            </w:r>
          </w:p>
        </w:tc>
        <w:tc>
          <w:tcPr>
            <w:tcW w:w="158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013"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1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718" w:hRule="atLeast"/>
        </w:trPr>
        <w:tc>
          <w:tcPr>
            <w:tcW w:w="1366"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部</w:t>
            </w:r>
            <w:r>
              <w:rPr>
                <w:rFonts w:hint="eastAsia" w:ascii="仿宋_GB2312" w:hAnsi="仿宋_GB2312" w:eastAsia="仿宋_GB2312" w:cs="仿宋_GB2312"/>
                <w:color w:val="000000"/>
                <w:sz w:val="24"/>
              </w:rPr>
              <w:t>机关及二级机构汇总</w:t>
            </w:r>
          </w:p>
        </w:tc>
        <w:tc>
          <w:tcPr>
            <w:tcW w:w="1242" w:type="dxa"/>
            <w:gridSpan w:val="3"/>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309" w:type="dxa"/>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424"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588"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13"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18"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366"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部</w:t>
            </w:r>
            <w:r>
              <w:rPr>
                <w:rFonts w:hint="eastAsia" w:ascii="仿宋_GB2312" w:hAnsi="仿宋_GB2312" w:eastAsia="仿宋_GB2312" w:cs="仿宋_GB2312"/>
                <w:sz w:val="24"/>
              </w:rPr>
              <w:t>机关</w:t>
            </w:r>
          </w:p>
        </w:tc>
        <w:tc>
          <w:tcPr>
            <w:tcW w:w="1242" w:type="dxa"/>
            <w:gridSpan w:val="3"/>
            <w:tcBorders>
              <w:right w:val="single" w:color="auto" w:sz="4" w:space="0"/>
            </w:tcBorders>
            <w:noWrap w:val="0"/>
            <w:vAlign w:val="center"/>
          </w:tcPr>
          <w:p>
            <w:pPr>
              <w:autoSpaceDN w:val="0"/>
              <w:spacing w:line="400" w:lineRule="exact"/>
              <w:ind w:firstLine="235" w:firstLineChars="100"/>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332.42</w:t>
            </w:r>
          </w:p>
        </w:tc>
        <w:tc>
          <w:tcPr>
            <w:tcW w:w="1309" w:type="dxa"/>
            <w:gridSpan w:val="2"/>
            <w:tcBorders>
              <w:left w:val="single" w:color="auto" w:sz="4" w:space="0"/>
            </w:tcBorders>
            <w:noWrap w:val="0"/>
            <w:vAlign w:val="center"/>
          </w:tcPr>
          <w:p>
            <w:pPr>
              <w:autoSpaceDN w:val="0"/>
              <w:spacing w:line="400" w:lineRule="exact"/>
              <w:ind w:firstLine="235" w:firstLineChars="100"/>
              <w:jc w:val="left"/>
              <w:textAlignment w:val="center"/>
              <w:rPr>
                <w:rFonts w:hint="default" w:ascii="仿宋_GB2312" w:hAnsi="仿宋_GB2312" w:eastAsia="仿宋_GB2312" w:cs="仿宋_GB2312"/>
                <w:color w:val="000000"/>
                <w:sz w:val="24"/>
                <w:lang w:val="en-US" w:eastAsia="zh-CN"/>
              </w:rPr>
            </w:pPr>
          </w:p>
        </w:tc>
        <w:tc>
          <w:tcPr>
            <w:tcW w:w="1424" w:type="dxa"/>
            <w:gridSpan w:val="2"/>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332.42</w:t>
            </w:r>
          </w:p>
        </w:tc>
        <w:tc>
          <w:tcPr>
            <w:tcW w:w="1588"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13"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18"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366"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42" w:type="dxa"/>
            <w:gridSpan w:val="3"/>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309" w:type="dxa"/>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424"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588"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13"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18"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366" w:type="dxa"/>
            <w:noWrap w:val="0"/>
            <w:vAlign w:val="center"/>
          </w:tcPr>
          <w:p>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42" w:type="dxa"/>
            <w:gridSpan w:val="3"/>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309" w:type="dxa"/>
            <w:gridSpan w:val="2"/>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424"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1588"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c>
          <w:tcPr>
            <w:tcW w:w="2013"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118"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0060" w:type="dxa"/>
            <w:gridSpan w:val="1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vMerge w:val="restart"/>
            <w:noWrap w:val="0"/>
            <w:vAlign w:val="center"/>
          </w:tcPr>
          <w:p>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42"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6094" w:type="dxa"/>
            <w:gridSpan w:val="11"/>
            <w:tcBorders>
              <w:left w:val="single" w:color="auto" w:sz="4" w:space="0"/>
              <w:bottom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58" w:type="dxa"/>
            <w:gridSpan w:val="3"/>
            <w:tcBorders>
              <w:left w:val="single" w:color="auto" w:sz="4" w:space="0"/>
              <w:bottom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42"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9" w:type="dxa"/>
            <w:gridSpan w:val="2"/>
            <w:vMerge w:val="restart"/>
            <w:tcBorders>
              <w:top w:val="single" w:color="auto" w:sz="4" w:space="0"/>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489" w:type="dxa"/>
            <w:gridSpan w:val="7"/>
            <w:tcBorders>
              <w:top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96" w:type="dxa"/>
            <w:gridSpan w:val="2"/>
            <w:vMerge w:val="restart"/>
            <w:tcBorders>
              <w:top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87" w:type="dxa"/>
            <w:gridSpan w:val="2"/>
            <w:vMerge w:val="restart"/>
            <w:tcBorders>
              <w:top w:val="single" w:color="auto" w:sz="4" w:space="0"/>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71" w:type="dxa"/>
            <w:vMerge w:val="restart"/>
            <w:tcBorders>
              <w:top w:val="single" w:color="auto" w:sz="4" w:space="0"/>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42"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9" w:type="dxa"/>
            <w:gridSpan w:val="2"/>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2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6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96"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87" w:type="dxa"/>
            <w:gridSpan w:val="2"/>
            <w:vMerge w:val="continue"/>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1" w:type="dxa"/>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718" w:hRule="atLeast"/>
        </w:trPr>
        <w:tc>
          <w:tcPr>
            <w:tcW w:w="1366"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部</w:t>
            </w:r>
            <w:r>
              <w:rPr>
                <w:rFonts w:hint="eastAsia" w:ascii="仿宋_GB2312" w:hAnsi="仿宋_GB2312" w:eastAsia="仿宋_GB2312" w:cs="仿宋_GB2312"/>
                <w:color w:val="000000"/>
                <w:sz w:val="24"/>
              </w:rPr>
              <w:t>机关及二级机构汇总</w:t>
            </w:r>
          </w:p>
        </w:tc>
        <w:tc>
          <w:tcPr>
            <w:tcW w:w="1242"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9"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2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96"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87"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1"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部</w:t>
            </w:r>
            <w:r>
              <w:rPr>
                <w:rFonts w:hint="eastAsia" w:ascii="仿宋_GB2312" w:hAnsi="仿宋_GB2312" w:eastAsia="仿宋_GB2312" w:cs="仿宋_GB2312"/>
                <w:sz w:val="24"/>
              </w:rPr>
              <w:t>机关</w:t>
            </w:r>
          </w:p>
        </w:tc>
        <w:tc>
          <w:tcPr>
            <w:tcW w:w="1242"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332.42</w:t>
            </w:r>
          </w:p>
        </w:tc>
        <w:tc>
          <w:tcPr>
            <w:tcW w:w="1309" w:type="dxa"/>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237.4</w:t>
            </w:r>
          </w:p>
        </w:tc>
        <w:tc>
          <w:tcPr>
            <w:tcW w:w="1720"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169.68</w:t>
            </w:r>
          </w:p>
        </w:tc>
        <w:tc>
          <w:tcPr>
            <w:tcW w:w="1769" w:type="dxa"/>
            <w:gridSpan w:val="3"/>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67.72</w:t>
            </w:r>
          </w:p>
        </w:tc>
        <w:tc>
          <w:tcPr>
            <w:tcW w:w="1296"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95.02</w:t>
            </w:r>
          </w:p>
        </w:tc>
        <w:tc>
          <w:tcPr>
            <w:tcW w:w="687" w:type="dxa"/>
            <w:gridSpan w:val="2"/>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p>
        </w:tc>
        <w:tc>
          <w:tcPr>
            <w:tcW w:w="671"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42"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9"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2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96"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87"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1"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242"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9"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2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296"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87"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671"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42"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452" w:type="dxa"/>
            <w:gridSpan w:val="14"/>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42"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9"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72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6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54"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718" w:hRule="atLeast"/>
        </w:trPr>
        <w:tc>
          <w:tcPr>
            <w:tcW w:w="1366"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部</w:t>
            </w:r>
            <w:r>
              <w:rPr>
                <w:rFonts w:hint="eastAsia" w:ascii="仿宋_GB2312" w:hAnsi="仿宋_GB2312" w:eastAsia="仿宋_GB2312" w:cs="仿宋_GB2312"/>
                <w:color w:val="000000"/>
                <w:sz w:val="24"/>
              </w:rPr>
              <w:t>机关及二级机构汇总</w:t>
            </w:r>
          </w:p>
        </w:tc>
        <w:tc>
          <w:tcPr>
            <w:tcW w:w="1242"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9"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2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54"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部</w:t>
            </w:r>
            <w:r>
              <w:rPr>
                <w:rFonts w:hint="eastAsia" w:ascii="仿宋_GB2312" w:hAnsi="仿宋_GB2312" w:eastAsia="仿宋_GB2312" w:cs="仿宋_GB2312"/>
                <w:sz w:val="24"/>
              </w:rPr>
              <w:t>机关</w:t>
            </w:r>
          </w:p>
        </w:tc>
        <w:tc>
          <w:tcPr>
            <w:tcW w:w="1242"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1.95</w:t>
            </w:r>
          </w:p>
        </w:tc>
        <w:tc>
          <w:tcPr>
            <w:tcW w:w="1309" w:type="dxa"/>
            <w:gridSpan w:val="2"/>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1.95</w:t>
            </w:r>
          </w:p>
        </w:tc>
        <w:tc>
          <w:tcPr>
            <w:tcW w:w="172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54"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42"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9"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2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54"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42"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09" w:type="dxa"/>
            <w:gridSpan w:val="2"/>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2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69"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54"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42" w:type="dxa"/>
            <w:gridSpan w:val="3"/>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94" w:type="dxa"/>
            <w:gridSpan w:val="11"/>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58" w:type="dxa"/>
            <w:gridSpan w:val="3"/>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vMerge w:val="continue"/>
            <w:noWrap w:val="0"/>
            <w:vAlign w:val="center"/>
          </w:tcPr>
          <w:p>
            <w:pPr>
              <w:spacing w:line="400" w:lineRule="exact"/>
              <w:jc w:val="center"/>
              <w:rPr>
                <w:rFonts w:hint="eastAsia" w:ascii="仿宋_GB2312" w:hAnsi="仿宋_GB2312" w:eastAsia="仿宋_GB2312" w:cs="仿宋_GB2312"/>
                <w:sz w:val="24"/>
              </w:rPr>
            </w:pPr>
          </w:p>
        </w:tc>
        <w:tc>
          <w:tcPr>
            <w:tcW w:w="1242" w:type="dxa"/>
            <w:gridSpan w:val="3"/>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29"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065" w:type="dxa"/>
            <w:gridSpan w:val="5"/>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358" w:type="dxa"/>
            <w:gridSpan w:val="3"/>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718" w:hRule="atLeast"/>
        </w:trPr>
        <w:tc>
          <w:tcPr>
            <w:tcW w:w="1366"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部</w:t>
            </w:r>
            <w:r>
              <w:rPr>
                <w:rFonts w:hint="eastAsia" w:ascii="仿宋_GB2312" w:hAnsi="仿宋_GB2312" w:eastAsia="仿宋_GB2312" w:cs="仿宋_GB2312"/>
                <w:color w:val="000000"/>
                <w:sz w:val="24"/>
              </w:rPr>
              <w:t>机关及二级机构汇总</w:t>
            </w:r>
          </w:p>
        </w:tc>
        <w:tc>
          <w:tcPr>
            <w:tcW w:w="1242" w:type="dxa"/>
            <w:gridSpan w:val="3"/>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4.96</w:t>
            </w:r>
          </w:p>
        </w:tc>
        <w:tc>
          <w:tcPr>
            <w:tcW w:w="3029" w:type="dxa"/>
            <w:gridSpan w:val="6"/>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4.96</w:t>
            </w:r>
          </w:p>
        </w:tc>
        <w:tc>
          <w:tcPr>
            <w:tcW w:w="3065"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5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CN"/>
              </w:rPr>
              <w:t>部</w:t>
            </w:r>
            <w:r>
              <w:rPr>
                <w:rFonts w:hint="eastAsia" w:ascii="仿宋_GB2312" w:hAnsi="仿宋_GB2312" w:eastAsia="仿宋_GB2312" w:cs="仿宋_GB2312"/>
                <w:sz w:val="24"/>
              </w:rPr>
              <w:t>机关</w:t>
            </w:r>
          </w:p>
        </w:tc>
        <w:tc>
          <w:tcPr>
            <w:tcW w:w="1242"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29"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65"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5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42"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29"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65"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5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27" w:hRule="atLeast"/>
        </w:trPr>
        <w:tc>
          <w:tcPr>
            <w:tcW w:w="1366" w:type="dxa"/>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42" w:type="dxa"/>
            <w:gridSpan w:val="3"/>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29" w:type="dxa"/>
            <w:gridSpan w:val="6"/>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65"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58"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0060" w:type="dxa"/>
            <w:gridSpan w:val="18"/>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415"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202"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43"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260"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4202" w:type="dxa"/>
            <w:gridSpan w:val="7"/>
            <w:noWrap w:val="0"/>
            <w:vAlign w:val="center"/>
          </w:tcPr>
          <w:p>
            <w:pPr>
              <w:autoSpaceDN w:val="0"/>
              <w:spacing w:line="400" w:lineRule="exact"/>
              <w:ind w:firstLine="470" w:firstLineChars="200"/>
              <w:jc w:val="left"/>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组织开展并指导群众文化活动、文艺创作和理论研究；加强业余文艺团队建设，辅导培训基层文化专干、群众文艺骨干；全面实施免费开放，加强文化志愿者队伍建设和志愿服务活动；挖掘、整理、研究、传承和发展优秀非物质文化遗产；加强现代公共文化服务体系建设；建立数字化文化馆。</w:t>
            </w:r>
          </w:p>
          <w:p>
            <w:pPr>
              <w:autoSpaceDN w:val="0"/>
              <w:spacing w:line="400" w:lineRule="exact"/>
              <w:jc w:val="left"/>
              <w:textAlignment w:val="center"/>
              <w:rPr>
                <w:rFonts w:hint="eastAsia" w:ascii="仿宋_GB2312" w:hAnsi="仿宋_GB2312" w:eastAsia="仿宋_GB2312" w:cs="仿宋_GB2312"/>
                <w:color w:val="000000"/>
                <w:sz w:val="24"/>
              </w:rPr>
            </w:pPr>
          </w:p>
        </w:tc>
        <w:tc>
          <w:tcPr>
            <w:tcW w:w="4443" w:type="dxa"/>
            <w:gridSpan w:val="9"/>
            <w:noWrap w:val="0"/>
            <w:vAlign w:val="center"/>
          </w:tcPr>
          <w:p>
            <w:pPr>
              <w:autoSpaceDN w:val="0"/>
              <w:spacing w:line="400" w:lineRule="exact"/>
              <w:ind w:firstLine="410" w:firstLineChars="200"/>
              <w:jc w:val="left"/>
              <w:textAlignment w:val="center"/>
              <w:rPr>
                <w:rFonts w:hint="eastAsia"/>
                <w:lang w:val="en-US" w:eastAsia="zh-CN"/>
              </w:rPr>
            </w:pPr>
            <w:r>
              <w:rPr>
                <w:rFonts w:hint="eastAsia"/>
                <w:lang w:val="en-US" w:eastAsia="zh-CN"/>
              </w:rPr>
              <w:t>“临湘市草根文化旅游艺术节项目”获评第七届湖南艺术节“三项群星奖”，今年先后举办临湘市第八届草根文化旅游艺术节、“欢乐潇湘·颂歌向党”群众歌会，有40多个社会文艺团体共10万多人次参加；白羊田镇（天狮舞）和聂市镇（十样锦）获2021年—2023年度“中国民间文化艺术之乡”称号；“临湘浮标制作技艺”和“临湘青砖茶制作技艺”成功入选第五批省级非物质文化遗产代表性项目名录。少儿舞蹈《蛙鼓声声》获评第十一届“小荷风采”全国少儿舞蹈湖南选拔赛“小荷奖”。《雪赋》《归去来兮辞·并序》《韩愈文三篇》等三幅书法作品入选第七届湖南艺术节。</w:t>
            </w:r>
          </w:p>
          <w:p>
            <w:pPr>
              <w:pStyle w:val="2"/>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415"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c>
          <w:tcPr>
            <w:tcW w:w="2914"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661"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070"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388"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21" w:type="dxa"/>
            <w:gridSpan w:val="3"/>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393"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661"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完成年度工作目标</w:t>
            </w:r>
          </w:p>
        </w:tc>
        <w:tc>
          <w:tcPr>
            <w:tcW w:w="3070"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718"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21"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3" w:type="dxa"/>
            <w:gridSpan w:val="2"/>
            <w:vMerge w:val="continue"/>
            <w:noWrap w:val="0"/>
            <w:vAlign w:val="center"/>
          </w:tcPr>
          <w:p>
            <w:pPr>
              <w:spacing w:line="400" w:lineRule="exact"/>
              <w:rPr>
                <w:rFonts w:hint="eastAsia" w:ascii="仿宋_GB2312" w:hAnsi="仿宋_GB2312" w:eastAsia="仿宋_GB2312" w:cs="仿宋_GB2312"/>
                <w:sz w:val="24"/>
              </w:rPr>
            </w:pPr>
          </w:p>
        </w:tc>
        <w:tc>
          <w:tcPr>
            <w:tcW w:w="2661"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积累总结，积极探索创新方法</w:t>
            </w:r>
          </w:p>
        </w:tc>
        <w:tc>
          <w:tcPr>
            <w:tcW w:w="3070"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1426"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21"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3" w:type="dxa"/>
            <w:gridSpan w:val="2"/>
            <w:vMerge w:val="continue"/>
            <w:noWrap w:val="0"/>
            <w:vAlign w:val="center"/>
          </w:tcPr>
          <w:p>
            <w:pPr>
              <w:spacing w:line="400" w:lineRule="exact"/>
              <w:rPr>
                <w:rFonts w:hint="eastAsia" w:ascii="仿宋_GB2312" w:hAnsi="仿宋_GB2312" w:eastAsia="仿宋_GB2312" w:cs="仿宋_GB2312"/>
                <w:sz w:val="24"/>
              </w:rPr>
            </w:pPr>
          </w:p>
        </w:tc>
        <w:tc>
          <w:tcPr>
            <w:tcW w:w="2661"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指标3：建立了工作有计划、实施有方案、日常有监督的管理机制、成效、效能得到了提高</w:t>
            </w:r>
          </w:p>
        </w:tc>
        <w:tc>
          <w:tcPr>
            <w:tcW w:w="3070"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718"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21"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3"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661"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指标1：对预决算数据核算实时了有效监督</w:t>
            </w:r>
          </w:p>
        </w:tc>
        <w:tc>
          <w:tcPr>
            <w:tcW w:w="3070" w:type="dxa"/>
            <w:gridSpan w:val="6"/>
            <w:noWrap w:val="0"/>
            <w:vAlign w:val="center"/>
          </w:tcPr>
          <w:p>
            <w:pPr>
              <w:autoSpaceDN w:val="0"/>
              <w:spacing w:line="40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395"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21"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3"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sz w:val="24"/>
              </w:rPr>
            </w:pPr>
          </w:p>
        </w:tc>
        <w:tc>
          <w:tcPr>
            <w:tcW w:w="2661" w:type="dxa"/>
            <w:gridSpan w:val="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3070"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1426"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21"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3" w:type="dxa"/>
            <w:gridSpan w:val="2"/>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661"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2021.01-2021.12的财务数据进行了认真分析，无截流、挤占、挪用资金的问题</w:t>
            </w:r>
          </w:p>
        </w:tc>
        <w:tc>
          <w:tcPr>
            <w:tcW w:w="3070" w:type="dxa"/>
            <w:gridSpan w:val="6"/>
            <w:noWrap w:val="0"/>
            <w:vAlign w:val="center"/>
          </w:tcPr>
          <w:p>
            <w:pPr>
              <w:autoSpaceDN w:val="0"/>
              <w:spacing w:line="40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1072"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21"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3" w:type="dxa"/>
            <w:gridSpan w:val="2"/>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661"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财务数据核算真实、规范，无违反财务纪律的其他问题</w:t>
            </w:r>
          </w:p>
        </w:tc>
        <w:tc>
          <w:tcPr>
            <w:tcW w:w="3070" w:type="dxa"/>
            <w:gridSpan w:val="6"/>
            <w:noWrap w:val="0"/>
            <w:vAlign w:val="center"/>
          </w:tcPr>
          <w:p>
            <w:pPr>
              <w:autoSpaceDN w:val="0"/>
              <w:spacing w:line="40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388"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21"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3"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661" w:type="dxa"/>
            <w:gridSpan w:val="5"/>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控制在预算内</w:t>
            </w:r>
          </w:p>
        </w:tc>
        <w:tc>
          <w:tcPr>
            <w:tcW w:w="3070" w:type="dxa"/>
            <w:gridSpan w:val="6"/>
            <w:noWrap w:val="0"/>
            <w:vAlign w:val="center"/>
          </w:tcPr>
          <w:p>
            <w:pPr>
              <w:autoSpaceDN w:val="0"/>
              <w:spacing w:line="40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388"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21" w:type="dxa"/>
            <w:gridSpan w:val="3"/>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393"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661" w:type="dxa"/>
            <w:gridSpan w:val="5"/>
            <w:noWrap w:val="0"/>
            <w:vAlign w:val="center"/>
          </w:tcPr>
          <w:p>
            <w:pPr>
              <w:autoSpaceDN w:val="0"/>
              <w:spacing w:line="400" w:lineRule="exact"/>
              <w:jc w:val="left"/>
              <w:textAlignment w:val="center"/>
              <w:rPr>
                <w:rFonts w:hint="eastAsia" w:ascii="宋体" w:hAnsi="宋体" w:eastAsia="宋体" w:cs="宋体"/>
                <w:color w:val="000000"/>
                <w:sz w:val="24"/>
              </w:rPr>
            </w:pPr>
            <w:r>
              <w:rPr>
                <w:rFonts w:hint="eastAsia" w:ascii="仿宋_GB2312" w:hAnsi="仿宋_GB2312" w:eastAsia="仿宋_GB2312" w:cs="仿宋_GB2312"/>
                <w:color w:val="000000"/>
                <w:sz w:val="24"/>
                <w:lang w:val="en-US" w:eastAsia="zh-CN"/>
              </w:rPr>
              <w:t>得到社会各界好评</w:t>
            </w:r>
          </w:p>
        </w:tc>
        <w:tc>
          <w:tcPr>
            <w:tcW w:w="3070" w:type="dxa"/>
            <w:gridSpan w:val="6"/>
            <w:noWrap w:val="0"/>
            <w:vAlign w:val="center"/>
          </w:tcPr>
          <w:p>
            <w:pPr>
              <w:autoSpaceDN w:val="0"/>
              <w:spacing w:line="400" w:lineRule="exact"/>
              <w:jc w:val="center"/>
              <w:textAlignment w:val="center"/>
              <w:rPr>
                <w:rFonts w:hint="eastAsia"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1072"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21"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3"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661" w:type="dxa"/>
            <w:gridSpan w:val="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预算支出严格按照财务制度执行，提高资金使用率</w:t>
            </w:r>
          </w:p>
        </w:tc>
        <w:tc>
          <w:tcPr>
            <w:tcW w:w="3070"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388"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21"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3"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661" w:type="dxa"/>
            <w:gridSpan w:val="5"/>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得到社会各界好评</w:t>
            </w:r>
          </w:p>
        </w:tc>
        <w:tc>
          <w:tcPr>
            <w:tcW w:w="3070"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1072" w:hRule="atLeast"/>
        </w:trPr>
        <w:tc>
          <w:tcPr>
            <w:tcW w:w="1415" w:type="dxa"/>
            <w:gridSpan w:val="2"/>
            <w:vMerge w:val="continue"/>
            <w:noWrap w:val="0"/>
            <w:vAlign w:val="center"/>
          </w:tcPr>
          <w:p>
            <w:pPr>
              <w:spacing w:line="400" w:lineRule="exact"/>
              <w:rPr>
                <w:rFonts w:hint="eastAsia" w:ascii="仿宋_GB2312" w:hAnsi="仿宋_GB2312" w:eastAsia="仿宋_GB2312" w:cs="仿宋_GB2312"/>
                <w:sz w:val="24"/>
              </w:rPr>
            </w:pPr>
          </w:p>
        </w:tc>
        <w:tc>
          <w:tcPr>
            <w:tcW w:w="1521" w:type="dxa"/>
            <w:gridSpan w:val="3"/>
            <w:vMerge w:val="continue"/>
            <w:noWrap w:val="0"/>
            <w:vAlign w:val="center"/>
          </w:tcPr>
          <w:p>
            <w:pPr>
              <w:autoSpaceDN w:val="0"/>
              <w:spacing w:line="400" w:lineRule="exact"/>
              <w:rPr>
                <w:rFonts w:hint="eastAsia" w:ascii="仿宋_GB2312" w:hAnsi="仿宋_GB2312" w:eastAsia="仿宋_GB2312" w:cs="仿宋_GB2312"/>
                <w:sz w:val="24"/>
              </w:rPr>
            </w:pPr>
          </w:p>
        </w:tc>
        <w:tc>
          <w:tcPr>
            <w:tcW w:w="1393"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661" w:type="dxa"/>
            <w:gridSpan w:val="5"/>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与服务对象谈心活动</w:t>
            </w:r>
          </w:p>
        </w:tc>
        <w:tc>
          <w:tcPr>
            <w:tcW w:w="3070" w:type="dxa"/>
            <w:gridSpan w:val="6"/>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293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124" w:type="dxa"/>
            <w:gridSpan w:val="13"/>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2936"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124" w:type="dxa"/>
            <w:gridSpan w:val="13"/>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73" w:hRule="atLeast"/>
        </w:trPr>
        <w:tc>
          <w:tcPr>
            <w:tcW w:w="10060" w:type="dxa"/>
            <w:gridSpan w:val="18"/>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480" w:hRule="atLeast"/>
        </w:trPr>
        <w:tc>
          <w:tcPr>
            <w:tcW w:w="1884"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33"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749"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694"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73" w:hRule="atLeast"/>
        </w:trPr>
        <w:tc>
          <w:tcPr>
            <w:tcW w:w="1884" w:type="dxa"/>
            <w:gridSpan w:val="3"/>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王健</w:t>
            </w:r>
          </w:p>
        </w:tc>
        <w:tc>
          <w:tcPr>
            <w:tcW w:w="3733" w:type="dxa"/>
            <w:gridSpan w:val="6"/>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支部书记、馆长</w:t>
            </w:r>
            <w:bookmarkStart w:id="0" w:name="_GoBack"/>
            <w:bookmarkEnd w:id="0"/>
          </w:p>
        </w:tc>
        <w:tc>
          <w:tcPr>
            <w:tcW w:w="2749" w:type="dxa"/>
            <w:gridSpan w:val="5"/>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临湘市文化馆</w:t>
            </w:r>
          </w:p>
        </w:tc>
        <w:tc>
          <w:tcPr>
            <w:tcW w:w="1694"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73" w:hRule="atLeast"/>
        </w:trPr>
        <w:tc>
          <w:tcPr>
            <w:tcW w:w="1884" w:type="dxa"/>
            <w:gridSpan w:val="3"/>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刘莹</w:t>
            </w:r>
          </w:p>
        </w:tc>
        <w:tc>
          <w:tcPr>
            <w:tcW w:w="3733" w:type="dxa"/>
            <w:gridSpan w:val="6"/>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宣传委员、副馆长</w:t>
            </w:r>
          </w:p>
        </w:tc>
        <w:tc>
          <w:tcPr>
            <w:tcW w:w="2749" w:type="dxa"/>
            <w:gridSpan w:val="5"/>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临湘市文化馆</w:t>
            </w:r>
          </w:p>
        </w:tc>
        <w:tc>
          <w:tcPr>
            <w:tcW w:w="1694"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Before w:val="1"/>
          <w:gridAfter w:val="1"/>
          <w:wBefore w:w="93" w:type="dxa"/>
          <w:wAfter w:w="269" w:type="dxa"/>
          <w:trHeight w:val="587" w:hRule="atLeast"/>
        </w:trPr>
        <w:tc>
          <w:tcPr>
            <w:tcW w:w="1884" w:type="dxa"/>
            <w:gridSpan w:val="3"/>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孙霞</w:t>
            </w:r>
          </w:p>
        </w:tc>
        <w:tc>
          <w:tcPr>
            <w:tcW w:w="3733" w:type="dxa"/>
            <w:gridSpan w:val="6"/>
            <w:noWrap w:val="0"/>
            <w:vAlign w:val="center"/>
          </w:tcPr>
          <w:p>
            <w:pPr>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副书记</w:t>
            </w:r>
          </w:p>
        </w:tc>
        <w:tc>
          <w:tcPr>
            <w:tcW w:w="2749" w:type="dxa"/>
            <w:gridSpan w:val="5"/>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临湘市文化馆</w:t>
            </w:r>
          </w:p>
        </w:tc>
        <w:tc>
          <w:tcPr>
            <w:tcW w:w="1694"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10422" w:type="dxa"/>
            <w:gridSpan w:val="20"/>
            <w:noWrap w:val="0"/>
            <w:vAlign w:val="top"/>
          </w:tcPr>
          <w:p>
            <w:pPr>
              <w:jc w:val="left"/>
              <w:rPr>
                <w:rFonts w:hint="eastAsia" w:ascii="黑体" w:hAnsi="黑体" w:eastAsia="黑体" w:cs="黑体"/>
                <w:b/>
                <w:bCs/>
                <w:sz w:val="28"/>
                <w:szCs w:val="28"/>
              </w:rPr>
            </w:pPr>
            <w:r>
              <w:rPr>
                <w:rFonts w:hint="eastAsia" w:ascii="黑体" w:hAnsi="黑体" w:eastAsia="黑体" w:cs="黑体"/>
                <w:b/>
                <w:bCs/>
                <w:sz w:val="28"/>
                <w:szCs w:val="28"/>
              </w:rPr>
              <w:t>五、评价报告综述（文字部分）</w:t>
            </w:r>
          </w:p>
          <w:p>
            <w:pPr>
              <w:spacing w:line="400" w:lineRule="exact"/>
              <w:ind w:firstLine="550" w:firstLineChars="200"/>
              <w:jc w:val="left"/>
              <w:rPr>
                <w:rFonts w:hint="eastAsia"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8"/>
                <w:szCs w:val="28"/>
                <w:shd w:val="clear" w:color="auto" w:fill="FFFFFF"/>
                <w:lang w:val="en-US" w:eastAsia="zh-CN" w:bidi="ar"/>
              </w:rPr>
            </w:pPr>
            <w:r>
              <w:rPr>
                <w:rFonts w:hint="eastAsia" w:ascii="宋体" w:hAnsi="宋体" w:eastAsia="宋体" w:cs="宋体"/>
                <w:sz w:val="32"/>
                <w:szCs w:val="32"/>
                <w:shd w:val="clear" w:color="auto" w:fill="FFFFFF"/>
                <w:lang w:val="en-US" w:eastAsia="zh-CN" w:bidi="ar"/>
              </w:rPr>
              <w:t xml:space="preserve"> </w:t>
            </w:r>
            <w:r>
              <w:rPr>
                <w:rFonts w:hint="eastAsia" w:ascii="仿宋" w:hAnsi="仿宋" w:eastAsia="仿宋" w:cs="仿宋"/>
                <w:bCs/>
                <w:kern w:val="0"/>
                <w:sz w:val="28"/>
                <w:szCs w:val="28"/>
                <w:lang w:val="en-US" w:eastAsia="zh-CN" w:bidi="ar-SA"/>
              </w:rPr>
              <w:t xml:space="preserve"> </w:t>
            </w:r>
            <w:r>
              <w:rPr>
                <w:rFonts w:hint="eastAsia" w:ascii="仿宋" w:hAnsi="仿宋" w:eastAsia="仿宋" w:cs="仿宋"/>
                <w:bCs/>
                <w:kern w:val="0"/>
                <w:sz w:val="24"/>
                <w:szCs w:val="24"/>
                <w:lang w:val="en-US" w:eastAsia="zh-CN" w:bidi="ar-SA"/>
              </w:rPr>
              <w:t xml:space="preserve">   </w:t>
            </w:r>
            <w:r>
              <w:rPr>
                <w:rFonts w:hint="eastAsia" w:ascii="仿宋" w:hAnsi="仿宋" w:eastAsia="仿宋" w:cs="仿宋"/>
                <w:kern w:val="0"/>
                <w:sz w:val="24"/>
                <w:szCs w:val="24"/>
                <w:shd w:val="clear" w:color="auto" w:fill="FFFFFF"/>
                <w:lang w:val="en-US" w:eastAsia="zh-CN" w:bidi="ar"/>
              </w:rPr>
              <w:t>临湘市文化馆成立于1950年，属于公益事业单位，财政全额拨款，列编17人，设有音乐、舞蹈、戏曲、摄影、美术、书法、文学等专业培训门类，连续三次被评为“国家一级文化馆”。 临湘市文化馆始终坚持以文艺创作为主导，以出人材出精品为方向，创作的作品共获得省级以上大奖30多个，市级奖项80多个。</w:t>
            </w:r>
          </w:p>
          <w:p>
            <w:pPr>
              <w:spacing w:line="400" w:lineRule="exact"/>
              <w:ind w:firstLine="550" w:firstLineChars="200"/>
              <w:jc w:val="left"/>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numPr>
                <w:ilvl w:val="0"/>
                <w:numId w:val="0"/>
              </w:numPr>
              <w:spacing w:line="400" w:lineRule="exact"/>
              <w:ind w:leftChars="200" w:firstLine="470" w:firstLineChars="200"/>
              <w:jc w:val="left"/>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严格按规定要求管理和使用各项资金。所有资金的日常财务管理均按单位相关管理制度行，建立了工作有计划、实施有方案、日常有监督的管理机制，工作取得了好的成效，效能得到了提高。专项资金严格用于申报的专门项目，无截流、挤占、挪用、抽逃资金问题；会计核算真实、规范，无违反财经纪律的其他问题。</w:t>
            </w:r>
          </w:p>
          <w:p>
            <w:pPr>
              <w:pStyle w:val="2"/>
              <w:rPr>
                <w:rFonts w:hint="default"/>
                <w:lang w:val="en-US" w:eastAsia="zh-CN"/>
              </w:rPr>
            </w:pPr>
          </w:p>
          <w:p>
            <w:pPr>
              <w:spacing w:line="400" w:lineRule="exact"/>
              <w:ind w:firstLine="550" w:firstLineChars="200"/>
              <w:jc w:val="left"/>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numPr>
                <w:ilvl w:val="0"/>
                <w:numId w:val="0"/>
              </w:numPr>
              <w:spacing w:line="400" w:lineRule="exact"/>
              <w:ind w:leftChars="200" w:firstLine="470" w:firstLineChars="200"/>
              <w:jc w:val="left"/>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以群众文艺创作为抓手，以品牌活动为载体，以文化惠民为宗旨使群众文化工作达到预期的效果并得到社会各界的一致好评。</w:t>
            </w:r>
          </w:p>
          <w:p>
            <w:pPr>
              <w:pStyle w:val="2"/>
              <w:rPr>
                <w:rFonts w:hint="eastAsia"/>
                <w:lang w:val="en-US" w:eastAsia="zh-CN"/>
              </w:rPr>
            </w:pPr>
          </w:p>
          <w:p>
            <w:pPr>
              <w:numPr>
                <w:ilvl w:val="0"/>
                <w:numId w:val="1"/>
              </w:numPr>
              <w:spacing w:line="400" w:lineRule="exact"/>
              <w:ind w:firstLine="550" w:firstLineChars="200"/>
              <w:jc w:val="left"/>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0"/>
              </w:numPr>
              <w:spacing w:line="400" w:lineRule="exact"/>
              <w:ind w:leftChars="200" w:firstLine="470" w:firstLineChars="200"/>
              <w:jc w:val="left"/>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我单位2021年度绩效目标均已完成，所有专项的日常财务管理均按单位相关管理制度执行，建立了工作有计划、实施有方案、日常有监督的管理机制，工作取得了好的成效，效能得到了提高。</w:t>
            </w:r>
          </w:p>
          <w:p>
            <w:pPr>
              <w:numPr>
                <w:ilvl w:val="0"/>
                <w:numId w:val="0"/>
              </w:numPr>
              <w:spacing w:line="400" w:lineRule="exact"/>
              <w:ind w:leftChars="200" w:firstLine="470" w:firstLineChars="200"/>
              <w:jc w:val="left"/>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通过自查的情况来看，单位领导高度重视，能认真组织实施项目规划设计编制工作，实行专户管理；专项资金严格用于申报的专门项目，无截流、挤占、挪用、抽逃资金问题；会计核算真实、规范，无违反财经纪律的其他问题。</w:t>
            </w:r>
          </w:p>
          <w:p>
            <w:pPr>
              <w:pStyle w:val="2"/>
              <w:rPr>
                <w:rFonts w:hint="default"/>
                <w:lang w:val="en-US" w:eastAsia="zh-CN"/>
              </w:rPr>
            </w:pPr>
          </w:p>
          <w:p>
            <w:pPr>
              <w:numPr>
                <w:ilvl w:val="0"/>
                <w:numId w:val="1"/>
              </w:numPr>
              <w:spacing w:line="400" w:lineRule="exact"/>
              <w:ind w:left="0" w:leftChars="0" w:firstLine="550" w:firstLineChars="200"/>
              <w:jc w:val="left"/>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400" w:lineRule="exact"/>
              <w:ind w:leftChars="200"/>
              <w:jc w:val="left"/>
              <w:rPr>
                <w:rFonts w:hint="default" w:ascii="仿宋" w:hAnsi="仿宋" w:eastAsia="仿宋" w:cs="仿宋"/>
                <w:kern w:val="0"/>
                <w:sz w:val="24"/>
                <w:szCs w:val="24"/>
                <w:shd w:val="clear" w:color="auto" w:fill="FFFFFF"/>
                <w:lang w:val="en-US" w:eastAsia="zh-CN" w:bidi="ar"/>
              </w:rPr>
            </w:pPr>
            <w:r>
              <w:rPr>
                <w:rFonts w:hint="eastAsia" w:ascii="黑体" w:hAnsi="黑体" w:eastAsia="黑体" w:cs="黑体"/>
                <w:bCs/>
                <w:sz w:val="28"/>
                <w:szCs w:val="28"/>
                <w:lang w:val="en-US" w:eastAsia="zh-CN"/>
              </w:rPr>
              <w:t xml:space="preserve">  </w:t>
            </w:r>
            <w:r>
              <w:rPr>
                <w:rFonts w:hint="eastAsia" w:ascii="仿宋" w:hAnsi="仿宋" w:eastAsia="仿宋" w:cs="仿宋"/>
                <w:kern w:val="0"/>
                <w:sz w:val="24"/>
                <w:szCs w:val="24"/>
                <w:shd w:val="clear" w:color="auto" w:fill="FFFFFF"/>
                <w:lang w:val="en-US" w:eastAsia="zh-CN" w:bidi="ar"/>
              </w:rPr>
              <w:t xml:space="preserve"> 无</w:t>
            </w:r>
          </w:p>
          <w:p>
            <w:pPr>
              <w:spacing w:line="400" w:lineRule="exact"/>
              <w:ind w:firstLine="550" w:firstLineChars="200"/>
              <w:jc w:val="left"/>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eastAsia="楷体_GB2312"/>
                <w:bCs/>
                <w:sz w:val="28"/>
                <w:szCs w:val="28"/>
                <w:lang w:val="en-US" w:eastAsia="zh-CN"/>
              </w:rPr>
            </w:pPr>
            <w:r>
              <w:rPr>
                <w:rFonts w:hint="eastAsia" w:eastAsia="楷体_GB2312"/>
                <w:bCs/>
                <w:sz w:val="28"/>
                <w:szCs w:val="28"/>
                <w:lang w:val="en-US" w:eastAsia="zh-CN"/>
              </w:rPr>
              <w:t xml:space="preserve">      </w:t>
            </w:r>
            <w:r>
              <w:rPr>
                <w:rFonts w:hint="eastAsia" w:ascii="仿宋" w:hAnsi="仿宋" w:eastAsia="仿宋" w:cs="仿宋"/>
                <w:kern w:val="0"/>
                <w:sz w:val="24"/>
                <w:szCs w:val="24"/>
                <w:shd w:val="clear" w:color="auto" w:fill="FFFFFF"/>
                <w:lang w:val="en-US" w:eastAsia="zh-CN" w:bidi="ar"/>
              </w:rPr>
              <w:t>进一步加强内部机构的预算管理意识，严格按照预算编制的相关制度和要求，公用经费根据单位的年度工作重点和项目专项工作规划，本着“勤俭节约、保障运转”的原则进行预算的编制；细化预算编制工作，认真做好预算的编制，进一步提高预算编制的合理性、严谨性和可控性。</w:t>
            </w:r>
          </w:p>
        </w:tc>
      </w:tr>
    </w:tbl>
    <w:p/>
    <w:sectPr>
      <w:footerReference r:id="rId4" w:type="default"/>
      <w:pgSz w:w="11906" w:h="16838"/>
      <w:pgMar w:top="1587" w:right="850" w:bottom="1587" w:left="850"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5F0383-1A0A-4139-A8D8-CF67E86CCA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BA4A8C-F503-45ED-A155-775E17E10536}"/>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C4CF921A-991A-495B-BBFB-8CE488F4ADE8}"/>
  </w:font>
  <w:font w:name="方正小标宋简体">
    <w:panose1 w:val="02000000000000000000"/>
    <w:charset w:val="86"/>
    <w:family w:val="auto"/>
    <w:pitch w:val="default"/>
    <w:sig w:usb0="00000001" w:usb1="08000000" w:usb2="00000000" w:usb3="00000000" w:csb0="00040000" w:csb1="00000000"/>
    <w:embedRegular r:id="rId4" w:fontKey="{4B8C17D4-AAB4-47B9-B044-874DA90CAC32}"/>
  </w:font>
  <w:font w:name="仿宋">
    <w:panose1 w:val="02010609060101010101"/>
    <w:charset w:val="86"/>
    <w:family w:val="auto"/>
    <w:pitch w:val="default"/>
    <w:sig w:usb0="800002BF" w:usb1="38CF7CFA" w:usb2="00000016" w:usb3="00000000" w:csb0="00040001" w:csb1="00000000"/>
    <w:embedRegular r:id="rId5" w:fontKey="{69CAF456-3B46-4F3C-BD70-DC4C648C005F}"/>
  </w:font>
  <w:font w:name="楷体_GB2312">
    <w:panose1 w:val="02010609030101010101"/>
    <w:charset w:val="86"/>
    <w:family w:val="modern"/>
    <w:pitch w:val="default"/>
    <w:sig w:usb0="00000001" w:usb1="080E0000" w:usb2="00000000" w:usb3="00000000" w:csb0="00040000" w:csb1="00000000"/>
    <w:embedRegular r:id="rId6" w:fontKey="{56AFC6A8-7149-400B-A069-530B4783C5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- 15 -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EDCA4"/>
    <w:multiLevelType w:val="singleLevel"/>
    <w:tmpl w:val="8F5EDCA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ZTdhZDBlZjAwMzAyOGVkMjJhMzQzM2VkYjUzOTYifQ=="/>
  </w:docVars>
  <w:rsids>
    <w:rsidRoot w:val="15775FAF"/>
    <w:rsid w:val="0177082E"/>
    <w:rsid w:val="01CF7782"/>
    <w:rsid w:val="15775FAF"/>
    <w:rsid w:val="160330F4"/>
    <w:rsid w:val="1FC61D6D"/>
    <w:rsid w:val="2B6E0742"/>
    <w:rsid w:val="2DE47AF1"/>
    <w:rsid w:val="39FF7350"/>
    <w:rsid w:val="456545B0"/>
    <w:rsid w:val="4E592226"/>
    <w:rsid w:val="518127B3"/>
    <w:rsid w:val="54300089"/>
    <w:rsid w:val="578A69EB"/>
    <w:rsid w:val="625438D3"/>
    <w:rsid w:val="67CA04FF"/>
    <w:rsid w:val="69C92ADE"/>
    <w:rsid w:val="6C1A2815"/>
    <w:rsid w:val="6EE86385"/>
    <w:rsid w:val="6FC46E2B"/>
    <w:rsid w:val="748B7508"/>
    <w:rsid w:val="7C8F5A03"/>
    <w:rsid w:val="7EF22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pPr>
      <w:adjustRightInd w:val="0"/>
      <w:snapToGrid w:val="0"/>
      <w:spacing w:line="360" w:lineRule="auto"/>
      <w:ind w:firstLine="200" w:firstLineChars="200"/>
    </w:pPr>
    <w:rPr>
      <w:rFonts w:ascii="Tahoma" w:hAnsi="Tahoma" w:eastAsia="仿宋_GB2312" w:cs="Times New Roman"/>
      <w:sz w:val="32"/>
      <w:szCs w:val="22"/>
      <w:lang w:val="en-US" w:eastAsia="zh-CN" w:bidi="ar-SA"/>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2444</Words>
  <Characters>2561</Characters>
  <Lines>0</Lines>
  <Paragraphs>0</Paragraphs>
  <TotalTime>46</TotalTime>
  <ScaleCrop>false</ScaleCrop>
  <LinksUpToDate>false</LinksUpToDate>
  <CharactersWithSpaces>3620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2021-09-03T01:32:00Z</dcterms:created>
  <dc:creator>Administrator</dc:creator>
  <cp:lastModifiedBy>惜 爱</cp:lastModifiedBy>
  <dcterms:modified xsi:type="dcterms:W3CDTF">2023-07-20T07:10:23Z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3458FEFCB82F412DB384E892F9520657</vt:lpwstr>
  </property>
</Properties>
</file>