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eastAsia="黑体" w:cs="黑体"/>
          <w:bCs/>
          <w:sz w:val="32"/>
          <w:szCs w:val="32"/>
          <w:lang w:eastAsia="zh-CN"/>
        </w:rPr>
      </w:pPr>
      <w:r>
        <w:rPr>
          <w:rFonts w:hint="eastAsia" w:eastAsia="黑体" w:cs="黑体"/>
          <w:bCs/>
          <w:sz w:val="32"/>
          <w:szCs w:val="32"/>
        </w:rPr>
        <w:t>附件</w:t>
      </w:r>
      <w:r>
        <w:rPr>
          <w:rFonts w:hint="eastAsia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pacing w:val="-20"/>
          <w:sz w:val="46"/>
          <w:szCs w:val="46"/>
        </w:rPr>
      </w:pPr>
      <w:r>
        <w:rPr>
          <w:rFonts w:hint="eastAsia" w:eastAsia="方正小标宋简体"/>
          <w:bCs/>
          <w:spacing w:val="-20"/>
          <w:sz w:val="46"/>
          <w:szCs w:val="46"/>
          <w:lang w:val="en-US" w:eastAsia="zh-CN"/>
        </w:rPr>
        <w:t>临湘市</w:t>
      </w:r>
      <w:r>
        <w:rPr>
          <w:rFonts w:hint="eastAsia" w:eastAsia="方正小标宋简体"/>
          <w:bCs/>
          <w:spacing w:val="-20"/>
          <w:sz w:val="46"/>
          <w:szCs w:val="46"/>
        </w:rPr>
        <w:t>20</w:t>
      </w:r>
      <w:r>
        <w:rPr>
          <w:rFonts w:hint="eastAsia" w:eastAsia="方正小标宋简体"/>
          <w:bCs/>
          <w:spacing w:val="-20"/>
          <w:sz w:val="46"/>
          <w:szCs w:val="46"/>
          <w:u w:val="single"/>
        </w:rPr>
        <w:t xml:space="preserve"> </w:t>
      </w:r>
      <w:r>
        <w:rPr>
          <w:rFonts w:hint="eastAsia" w:eastAsia="方正小标宋简体"/>
          <w:bCs/>
          <w:spacing w:val="-20"/>
          <w:sz w:val="46"/>
          <w:szCs w:val="46"/>
          <w:u w:val="single"/>
          <w:lang w:val="en-US" w:eastAsia="zh-CN"/>
        </w:rPr>
        <w:t>21</w:t>
      </w:r>
      <w:r>
        <w:rPr>
          <w:rFonts w:hint="eastAsia" w:eastAsia="方正小标宋简体"/>
          <w:bCs/>
          <w:spacing w:val="-20"/>
          <w:sz w:val="46"/>
          <w:szCs w:val="46"/>
          <w:u w:val="single"/>
        </w:rPr>
        <w:t xml:space="preserve"> </w:t>
      </w:r>
      <w:r>
        <w:rPr>
          <w:rFonts w:hint="eastAsia" w:eastAsia="方正小标宋简体"/>
          <w:bCs/>
          <w:spacing w:val="-20"/>
          <w:sz w:val="46"/>
          <w:szCs w:val="46"/>
        </w:rPr>
        <w:t>年度部门（单位）整体支出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部门(单位)名称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  <w:u w:val="single"/>
          <w:lang w:val="en-US" w:eastAsia="zh-CN"/>
        </w:rPr>
        <w:t>临湘市文化旅游广电局（系统）</w:t>
      </w:r>
      <w:r>
        <w:rPr>
          <w:rFonts w:hint="eastAsia" w:eastAsia="仿宋_GB2312"/>
          <w:sz w:val="32"/>
          <w:u w:val="single"/>
        </w:rPr>
        <w:t xml:space="preserve">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8</w:t>
      </w:r>
      <w:r>
        <w:rPr>
          <w:rFonts w:hint="eastAsia" w:eastAsia="仿宋_GB2312"/>
          <w:sz w:val="32"/>
        </w:rPr>
        <w:t xml:space="preserve">月 </w:t>
      </w:r>
      <w:r>
        <w:rPr>
          <w:rFonts w:hint="eastAsia" w:eastAsia="仿宋_GB2312"/>
          <w:sz w:val="32"/>
          <w:lang w:val="en-US" w:eastAsia="zh-CN"/>
        </w:rPr>
        <w:t>22</w:t>
      </w:r>
      <w:r>
        <w:rPr>
          <w:rFonts w:hint="eastAsia" w:eastAsia="仿宋_GB2312"/>
          <w:sz w:val="32"/>
        </w:rPr>
        <w:t>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lang w:val="en-US" w:eastAsia="zh-CN"/>
        </w:rPr>
        <w:t>临湘市</w:t>
      </w:r>
      <w:r>
        <w:rPr>
          <w:rFonts w:hint="eastAsia" w:eastAsia="仿宋_GB2312"/>
          <w:sz w:val="32"/>
        </w:rPr>
        <w:t>财政</w:t>
      </w:r>
      <w:r>
        <w:rPr>
          <w:rFonts w:hint="eastAsia" w:eastAsia="仿宋_GB2312"/>
          <w:sz w:val="32"/>
          <w:szCs w:val="32"/>
        </w:rPr>
        <w:t>局（制）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even"/>
          <w:pgSz w:w="11906" w:h="16838"/>
          <w:pgMar w:top="1701" w:right="1417" w:bottom="1701" w:left="1417" w:header="851" w:footer="992" w:gutter="0"/>
          <w:pgNumType w:fmt="numberInDash" w:start="8"/>
          <w:cols w:space="720" w:num="1"/>
          <w:docGrid w:type="linesAndChars" w:linePitch="602" w:charSpace="-782"/>
        </w:sectPr>
      </w:pPr>
    </w:p>
    <w:tbl>
      <w:tblPr>
        <w:tblStyle w:val="6"/>
        <w:tblW w:w="102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92"/>
        <w:gridCol w:w="49"/>
        <w:gridCol w:w="477"/>
        <w:gridCol w:w="739"/>
        <w:gridCol w:w="333"/>
        <w:gridCol w:w="1000"/>
        <w:gridCol w:w="417"/>
        <w:gridCol w:w="1033"/>
        <w:gridCol w:w="277"/>
        <w:gridCol w:w="24"/>
        <w:gridCol w:w="1316"/>
        <w:gridCol w:w="59"/>
        <w:gridCol w:w="425"/>
        <w:gridCol w:w="975"/>
        <w:gridCol w:w="343"/>
        <w:gridCol w:w="248"/>
        <w:gridCol w:w="452"/>
        <w:gridCol w:w="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799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卢钰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13974088558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799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129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319" w:type="dxa"/>
            <w:gridSpan w:val="15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贯彻党和政府有关文化、旅游工作路线、方针、政策，研究制定全市文化和旅游工作政策，规章并监督执行;配合有关部门研究，制订全市经济政策，宏观调控，调整文化艺术经营和投资方向、规划;指导全市文化旅游设施建设，文化旅游管理体制改革;综合管理全市文学艺术，社会文化工作;负责管理文化市场、文物事业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年度主要工作内容</w:t>
            </w:r>
          </w:p>
        </w:tc>
        <w:tc>
          <w:tcPr>
            <w:tcW w:w="8319" w:type="dxa"/>
            <w:gridSpan w:val="1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创优质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公共文化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服务体系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创新型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艺术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精品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全面推进文旅融合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年度部门（单位）总体运行情况及取得的成绩</w:t>
            </w:r>
          </w:p>
        </w:tc>
        <w:tc>
          <w:tcPr>
            <w:tcW w:w="8319" w:type="dxa"/>
            <w:gridSpan w:val="1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全年文旅工作获国家级荣誉称号3个，省级荣誉称号13个；市级荣誉8个。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580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公共财政拨款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139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5672.44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66.36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2973.91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2625.04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4161.87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1835.90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2325.97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6202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7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55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1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31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shd w:val="clear" w:fill="FFFFFF"/>
              </w:rPr>
              <w:t>5672.44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shd w:val="clear" w:fill="FFFFFF"/>
              </w:rPr>
              <w:t>1852.24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3820.2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4161.87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518.62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344.99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173.63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3643.25</w:t>
            </w: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580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12.36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12.36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5.78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5.78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202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78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11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1378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904.77</w:t>
            </w: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904.77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51.72</w:t>
            </w: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51.72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4276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20" w:type="dxa"/>
            <w:gridSpan w:val="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73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76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创优质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公共文化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服务体系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创新型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艺术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精品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文旅融合局面全开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20" w:type="dxa"/>
            <w:gridSpan w:val="9"/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白羊田(天狮舞)评为“全国艺术之乡”称号。聂市(十样锦)评成“湖南省民间文化艺术之乡”。临湘市桃林中畈村和羊楼司综合文旅站双双入选省文旅厅的“最美潇湘文化阵地”。临湘市桃林中畈村和羊楼司综合文旅站双双入选省文旅厅的“最美潇湘文化阵地”。</w:t>
            </w:r>
          </w:p>
          <w:p>
            <w:pPr>
              <w:spacing w:line="5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创作大型现代花鼓戏《山乡之恋》;现代小戏《算账》、《家无贤妻》参加了“欢乐潇湘·幸福岳阳”百团百角唱百年文艺院团竞演活动；复排经典传统花鼓戏《孟姜女哭长城》《打猎回书》。创作舞蹈《蛙鼓声声》参演全国小荷风采舞蹈大赛湖南赛区比赛，获得“小荷奖”， 创作选送的书法作品《雪赋》、《归去来兮辞.并序》、《韩愈文三篇》入选第七届湖南艺术节美术、书法、摄影作品展;原创歌曲《百年颂歌献给党》参加“欢乐潇湘”岳阳赛区活动，获得好评。</w:t>
            </w:r>
          </w:p>
          <w:p>
            <w:pPr>
              <w:spacing w:line="5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稳步推进最美长江岸线临湘塔段、6501二期、五尖山欢乐世界、文创园等项目建设。加快龙窖山村乡村旅游、十三村景区、6501景区、浮标小镇景区二期、梅池村省级乡村旅游等基础设施建设。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2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  <w:tc>
          <w:tcPr>
            <w:tcW w:w="296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（部门工作实绩，包含上级部门和区委区政府布置的重点工作、实事任务等，根据部门实际进行调整细化）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服务人次覆盖面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文化惠民惠及全市市民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公共文化服务设施维修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对14个乡镇（街道）的重要公共文化场所进行维护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指标3：旅游服务环境优化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稳步推进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创公共文化活动品牌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举办了3次具有影响力的大型文化活动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基层文化活动开展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开展送戏下乡演艺惠民活动及各类培训讲座300余场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5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指标3：旅游厕所建设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在龙窖山景区新建多功能高标准旅游厕所2个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资金拨付及时性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即时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文化旅游工作经费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4161.87万元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繁荣群众文化生活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提高群众文化水平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群众文化生活逐步繁荣，社会整体文化素养得到提升。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文旅融合，促进文化旅游产业兴旺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旅游市场稳步发展。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文化旅游环境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文化旅游环境不断优化。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群众对文化旅游行业满意度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整体评价良好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7247" w:type="dxa"/>
            <w:gridSpan w:val="1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7247" w:type="dxa"/>
            <w:gridSpan w:val="1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799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廖琼</w:t>
            </w:r>
          </w:p>
        </w:tc>
        <w:tc>
          <w:tcPr>
            <w:tcW w:w="3799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分管财务副局长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文化旅游广电局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周路容</w:t>
            </w:r>
          </w:p>
        </w:tc>
        <w:tc>
          <w:tcPr>
            <w:tcW w:w="3799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财务股长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文化旅游广电局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卢钰</w:t>
            </w:r>
          </w:p>
        </w:tc>
        <w:tc>
          <w:tcPr>
            <w:tcW w:w="3799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会计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文化旅游广电局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99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27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84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66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    年 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     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卢钰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13974088558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1042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（一）部门（单位）基本情况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1、职能职责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贯彻党和政府有关文化、旅游工作路线、方针、政策，研究制定全市文化和旅游工作政策，规章并监督执行;配合有关部门研究，制订全市经济政策，宏观调控，调整文化艺术经营和投资方向、规划;指导全市文化旅游设施建设，文化旅游管理体制改革;综合管理全市文学艺术，社会文化工作;负责管理文化市场、文物事业。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机构设置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内设9个职能股室（办公室、公共文化股、法规股、文化市场管理股、旅游行业管理股、旅游产业和市场开发股、文化产业股、财务股、政工人事股）。下设六个独立核算二级机构：文化馆、博物馆、图书馆、影剧院、花鼓戏剧团、文化市场综合执法大队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部门（单位）整体支出规模、使用方向和主要内容、涉及范围等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2021年度支出总计4161.87万元。其中：行政运行379.36万元，群众文化20万元，机关事业养老保险缴费28.52万元，住房公积金21.38万元，死亡抚恤15.76万元，新闻出版电影26万元，其他文化和旅游支出1195.51万元，其他文化旅游体育与传媒支出2464.84万元，其他统计信息事务10.50万元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（一）基本支出：2021年度基本支出518.62万元，其中人员经费344.99万元，公用经费173.63万元。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（二）专项支出：2021年度专项支出3643.25万元.规上企业调查13.50万元，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三馆免费开放108.41万元，旅游厕所47万元，影剧院改制支出317.75万元，旅游专项70.58万元，万里茶道16.70万元，6501项目36.60万元，公共文化服务体系运行87.48万元，文物保护（龙窖山遗址）38万元，瑞兴电影专项56万元，6501遗留办1084.68万元，临湘塔专项1766.55万元。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1、专项资金安排落实、总投入等情况分析：全年专项资金拨付及时，资金到位率100%，没有扣留、挪用的情况。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2、专项资金实际使用情况分析：专项资金实际使用严格按照上级指标文件要求，按资金性质和用途进行划拨和使用。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3、专项资金管理情况分析：严格落实前期项目申报制，中期专项资金使用监督制、后期绩效评价制，确保了每一笔专项资金用到实处。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（一）专项组织情况分析。项目招投标、调整、竣工验收的过程中全程聘请专业机构进行实施。在资金使用上，我局严格执行项目资金管理制度，实行专款专用，无挪用项目资金问题。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（二）专项管理情况分析。专项工程实施中建立了《项目资金管理制度》、《日常检查监督管理制度》等一系列控制制度。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四、部门（单位）整体支出绩效情况</w:t>
            </w:r>
          </w:p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我局高度重视行政效能建设工作，深入贯彻落实科学发展观、制定工作方案，明确工作职责，推进政务公开透明，方便群众。明确相关股室职责，财务审核过程中，规范审批程序，加强经费及资金管理。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480"/>
              <w:jc w:val="both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存在的主要问题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48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1.文化工作经费所占比例太少，导致单位业务工作处于被动状态。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right="0" w:firstLine="480"/>
              <w:jc w:val="both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2.制度执行力有待加强。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0" w:leftChars="0" w:right="0" w:firstLine="480" w:firstLineChars="0"/>
              <w:jc w:val="both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改进措施和有关建议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48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1.将财务制度落实到位，规范财经纪律，严格控制非生产性开支。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48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2.力争来年多争取行政运行经费，多争取项目，扩大影响力。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left="48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3.加强对二级机构的财务监管力度，多组织财务业务培训学习。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r>
        <w:rPr>
          <w:rFonts w:eastAsia="楷体_GB2312"/>
          <w:bCs/>
          <w:sz w:val="28"/>
          <w:szCs w:val="28"/>
        </w:rPr>
        <w:br w:type="page"/>
      </w:r>
    </w:p>
    <w:sectPr>
      <w:pgSz w:w="11906" w:h="16838"/>
      <w:pgMar w:top="1440" w:right="1800" w:bottom="1440" w:left="61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- 15 -</w:t>
    </w:r>
    <w: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0E11FC"/>
    <w:multiLevelType w:val="singleLevel"/>
    <w:tmpl w:val="DF0E11F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ZDA2NWZmZmMyMDZkMTcxN2NmM2NlYjMzZWQ1MTYifQ=="/>
  </w:docVars>
  <w:rsids>
    <w:rsidRoot w:val="25711242"/>
    <w:rsid w:val="25711242"/>
    <w:rsid w:val="349B490F"/>
    <w:rsid w:val="5B51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spacing w:before="117" w:after="100" w:afterAutospacing="1"/>
      <w:ind w:left="118"/>
      <w:textAlignment w:val="baseline"/>
    </w:pPr>
    <w:rPr>
      <w:rFonts w:ascii="宋体" w:hAnsi="Calibri" w:eastAsia="宋体"/>
      <w:sz w:val="32"/>
      <w:szCs w:val="32"/>
    </w:rPr>
  </w:style>
  <w:style w:type="paragraph" w:customStyle="1" w:styleId="3">
    <w:name w:val="TOC5"/>
    <w:basedOn w:val="1"/>
    <w:next w:val="1"/>
    <w:qFormat/>
    <w:uiPriority w:val="0"/>
    <w:pPr>
      <w:ind w:left="800" w:leftChars="800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3036</Words>
  <Characters>3333</Characters>
  <Lines>0</Lines>
  <Paragraphs>0</Paragraphs>
  <TotalTime>15</TotalTime>
  <ScaleCrop>false</ScaleCrop>
  <LinksUpToDate>false</LinksUpToDate>
  <CharactersWithSpaces>3682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2023-07-25T07:48:00Z</dcterms:created>
  <dc:creator>寒江雪</dc:creator>
  <cp:lastModifiedBy>寒江雪</cp:lastModifiedBy>
  <dcterms:modified xsi:type="dcterms:W3CDTF">2023-07-25T08:22:27Z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AF78A145D877401BB156037AFE96FE49_11</vt:lpwstr>
  </property>
</Properties>
</file>