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eastAsia="黑体" w:cs="黑体"/>
          <w:bCs/>
          <w:sz w:val="32"/>
          <w:szCs w:val="32"/>
          <w:lang w:eastAsia="zh-CN"/>
        </w:rPr>
      </w:pPr>
      <w:r>
        <w:rPr>
          <w:rFonts w:hint="eastAsia" w:eastAsia="黑体" w:cs="黑体"/>
          <w:bCs/>
          <w:sz w:val="32"/>
          <w:szCs w:val="32"/>
        </w:rPr>
        <w:t>附件</w:t>
      </w:r>
      <w:r>
        <w:rPr>
          <w:rFonts w:hint="eastAsia" w:eastAsia="黑体" w:cs="黑体"/>
          <w:bCs/>
          <w:sz w:val="32"/>
          <w:szCs w:val="32"/>
          <w:lang w:val="en-US" w:eastAsia="zh-CN"/>
        </w:rPr>
        <w:t>2</w:t>
      </w:r>
    </w:p>
    <w:p>
      <w:pPr>
        <w:spacing w:line="348" w:lineRule="auto"/>
        <w:jc w:val="center"/>
        <w:rPr>
          <w:rFonts w:hint="eastAsia" w:eastAsia="方正小标宋简体"/>
          <w:bCs/>
          <w:sz w:val="42"/>
          <w:szCs w:val="42"/>
        </w:rPr>
      </w:pPr>
    </w:p>
    <w:p>
      <w:pPr>
        <w:spacing w:line="800" w:lineRule="exact"/>
        <w:jc w:val="center"/>
        <w:rPr>
          <w:rFonts w:hint="eastAsia" w:eastAsia="方正小标宋简体"/>
          <w:bCs/>
          <w:spacing w:val="-20"/>
          <w:sz w:val="46"/>
          <w:szCs w:val="46"/>
        </w:rPr>
      </w:pPr>
      <w:r>
        <w:rPr>
          <w:rFonts w:hint="eastAsia" w:eastAsia="方正小标宋简体"/>
          <w:bCs/>
          <w:spacing w:val="-20"/>
          <w:sz w:val="46"/>
          <w:szCs w:val="46"/>
          <w:lang w:val="en-US" w:eastAsia="zh-CN"/>
        </w:rPr>
        <w:t>临湘市</w:t>
      </w:r>
      <w:r>
        <w:rPr>
          <w:rFonts w:hint="eastAsia" w:eastAsia="方正小标宋简体"/>
          <w:bCs/>
          <w:spacing w:val="-20"/>
          <w:sz w:val="46"/>
          <w:szCs w:val="46"/>
        </w:rPr>
        <w:t>20</w:t>
      </w:r>
      <w:r>
        <w:rPr>
          <w:rFonts w:hint="eastAsia" w:eastAsia="方正小标宋简体"/>
          <w:bCs/>
          <w:spacing w:val="-20"/>
          <w:sz w:val="46"/>
          <w:szCs w:val="46"/>
          <w:u w:val="single"/>
        </w:rPr>
        <w:t xml:space="preserve"> </w:t>
      </w:r>
      <w:r>
        <w:rPr>
          <w:rFonts w:hint="eastAsia" w:eastAsia="方正小标宋简体"/>
          <w:bCs/>
          <w:spacing w:val="-20"/>
          <w:sz w:val="46"/>
          <w:szCs w:val="46"/>
          <w:u w:val="single"/>
          <w:lang w:val="en-US" w:eastAsia="zh-CN"/>
        </w:rPr>
        <w:t>22</w:t>
      </w:r>
      <w:r>
        <w:rPr>
          <w:rFonts w:hint="eastAsia" w:eastAsia="方正小标宋简体"/>
          <w:bCs/>
          <w:spacing w:val="-20"/>
          <w:sz w:val="46"/>
          <w:szCs w:val="46"/>
          <w:u w:val="single"/>
        </w:rPr>
        <w:t xml:space="preserve"> </w:t>
      </w:r>
      <w:r>
        <w:rPr>
          <w:rFonts w:hint="eastAsia" w:eastAsia="方正小标宋简体"/>
          <w:bCs/>
          <w:spacing w:val="-20"/>
          <w:sz w:val="46"/>
          <w:szCs w:val="46"/>
        </w:rPr>
        <w:t>年度部门（单位）整体支出</w:t>
      </w: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部门(单位)名称</w:t>
      </w:r>
      <w:r>
        <w:rPr>
          <w:rFonts w:hint="eastAsia" w:eastAsia="仿宋_GB2312"/>
          <w:sz w:val="32"/>
          <w:u w:val="single"/>
        </w:rPr>
        <w:t xml:space="preserve">  </w:t>
      </w:r>
      <w:r>
        <w:rPr>
          <w:rFonts w:hint="eastAsia" w:eastAsia="仿宋_GB2312"/>
          <w:sz w:val="32"/>
          <w:u w:val="single"/>
          <w:lang w:val="en-US" w:eastAsia="zh-CN"/>
        </w:rPr>
        <w:t>临湘市文化旅游广电局（系统）</w:t>
      </w:r>
      <w:r>
        <w:rPr>
          <w:rFonts w:hint="eastAsia" w:eastAsia="仿宋_GB2312"/>
          <w:sz w:val="32"/>
          <w:u w:val="single"/>
        </w:rPr>
        <w:t xml:space="preserve">   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line="348" w:lineRule="auto"/>
        <w:ind w:firstLine="2188" w:firstLineChars="690"/>
        <w:rPr>
          <w:rFonts w:hint="eastAsia" w:eastAsia="仿宋_GB2312"/>
          <w:sz w:val="32"/>
        </w:rPr>
      </w:pPr>
    </w:p>
    <w:p>
      <w:pPr>
        <w:spacing w:line="348" w:lineRule="auto"/>
        <w:ind w:firstLine="2188" w:firstLineChars="690"/>
        <w:rPr>
          <w:rFonts w:hint="eastAsia" w:eastAsia="仿宋_GB2312"/>
          <w:sz w:val="32"/>
        </w:rPr>
      </w:pPr>
    </w:p>
    <w:p>
      <w:pPr>
        <w:spacing w:line="348" w:lineRule="auto"/>
        <w:ind w:firstLine="2188" w:firstLineChars="69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>2023</w:t>
      </w:r>
      <w:r>
        <w:rPr>
          <w:rFonts w:hint="eastAsia" w:eastAsia="仿宋_GB2312"/>
          <w:sz w:val="32"/>
        </w:rPr>
        <w:t>年</w:t>
      </w:r>
      <w:r>
        <w:rPr>
          <w:rFonts w:hint="eastAsia" w:eastAsia="仿宋_GB2312"/>
          <w:sz w:val="32"/>
          <w:lang w:val="en-US" w:eastAsia="zh-CN"/>
        </w:rPr>
        <w:t>3</w:t>
      </w:r>
      <w:r>
        <w:rPr>
          <w:rFonts w:hint="eastAsia" w:eastAsia="仿宋_GB2312"/>
          <w:sz w:val="32"/>
        </w:rPr>
        <w:t xml:space="preserve">月 </w:t>
      </w:r>
      <w:r>
        <w:rPr>
          <w:rFonts w:hint="eastAsia" w:eastAsia="仿宋_GB2312"/>
          <w:sz w:val="32"/>
          <w:lang w:val="en-US" w:eastAsia="zh-CN"/>
        </w:rPr>
        <w:t>5</w:t>
      </w:r>
      <w:r>
        <w:rPr>
          <w:rFonts w:hint="eastAsia" w:eastAsia="仿宋_GB2312"/>
          <w:sz w:val="32"/>
        </w:rPr>
        <w:t>日</w:t>
      </w:r>
    </w:p>
    <w:p>
      <w:pPr>
        <w:autoSpaceDN w:val="0"/>
        <w:jc w:val="center"/>
        <w:textAlignment w:val="center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lang w:val="en-US" w:eastAsia="zh-CN"/>
        </w:rPr>
        <w:t>临湘市</w:t>
      </w:r>
      <w:r>
        <w:rPr>
          <w:rFonts w:hint="eastAsia" w:eastAsia="仿宋_GB2312"/>
          <w:sz w:val="32"/>
        </w:rPr>
        <w:t>财政</w:t>
      </w:r>
      <w:r>
        <w:rPr>
          <w:rFonts w:hint="eastAsia" w:eastAsia="仿宋_GB2312"/>
          <w:sz w:val="32"/>
          <w:szCs w:val="32"/>
        </w:rPr>
        <w:t>局（制）</w:t>
      </w:r>
    </w:p>
    <w:p>
      <w:pPr>
        <w:autoSpaceDN w:val="0"/>
        <w:jc w:val="center"/>
        <w:textAlignment w:val="center"/>
        <w:rPr>
          <w:rFonts w:hint="eastAsia" w:eastAsia="仿宋_GB2312"/>
          <w:sz w:val="32"/>
          <w:szCs w:val="32"/>
        </w:rPr>
        <w:sectPr>
          <w:footerReference r:id="rId3" w:type="even"/>
          <w:pgSz w:w="11906" w:h="16838"/>
          <w:pgMar w:top="1701" w:right="1417" w:bottom="1701" w:left="1417" w:header="851" w:footer="992" w:gutter="0"/>
          <w:pgNumType w:fmt="numberInDash" w:start="8"/>
          <w:cols w:space="720" w:num="1"/>
          <w:docGrid w:type="linesAndChars" w:linePitch="602" w:charSpace="-782"/>
        </w:sectPr>
      </w:pPr>
    </w:p>
    <w:tbl>
      <w:tblPr>
        <w:tblStyle w:val="6"/>
        <w:tblW w:w="102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92"/>
        <w:gridCol w:w="49"/>
        <w:gridCol w:w="477"/>
        <w:gridCol w:w="739"/>
        <w:gridCol w:w="333"/>
        <w:gridCol w:w="1000"/>
        <w:gridCol w:w="417"/>
        <w:gridCol w:w="1033"/>
        <w:gridCol w:w="277"/>
        <w:gridCol w:w="24"/>
        <w:gridCol w:w="1316"/>
        <w:gridCol w:w="59"/>
        <w:gridCol w:w="425"/>
        <w:gridCol w:w="975"/>
        <w:gridCol w:w="343"/>
        <w:gridCol w:w="248"/>
        <w:gridCol w:w="452"/>
        <w:gridCol w:w="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237" w:type="dxa"/>
            <w:gridSpan w:val="18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3799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卢钰</w:t>
            </w:r>
          </w:p>
        </w:tc>
        <w:tc>
          <w:tcPr>
            <w:tcW w:w="279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联络电话</w:t>
            </w:r>
          </w:p>
        </w:tc>
        <w:tc>
          <w:tcPr>
            <w:tcW w:w="172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13974088558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人员编制</w:t>
            </w:r>
          </w:p>
        </w:tc>
        <w:tc>
          <w:tcPr>
            <w:tcW w:w="3799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125</w:t>
            </w:r>
          </w:p>
        </w:tc>
        <w:tc>
          <w:tcPr>
            <w:tcW w:w="279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实有人数</w:t>
            </w:r>
          </w:p>
        </w:tc>
        <w:tc>
          <w:tcPr>
            <w:tcW w:w="172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0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职能职责概述</w:t>
            </w:r>
          </w:p>
        </w:tc>
        <w:tc>
          <w:tcPr>
            <w:tcW w:w="8319" w:type="dxa"/>
            <w:gridSpan w:val="15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right="0" w:firstLine="42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贯彻党和政府有关文化、旅游工作路线、方针、政策，研究制定全市文化和旅游工作政策，规章并监督执行;配合有关部门研究，制订全市经济政策，宏观调控，调整文化艺术经营和投资方向、规划;指导全市文化旅游设施建设，文化旅游管理体制改革;综合管理全市文学艺术，社会文化工作;负责管理文化市场、文物事业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64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年度主要工作内容</w:t>
            </w:r>
          </w:p>
        </w:tc>
        <w:tc>
          <w:tcPr>
            <w:tcW w:w="8319" w:type="dxa"/>
            <w:gridSpan w:val="1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创优质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公共文化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服务体系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创新型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艺术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精品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任务3：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全面推进文旅融合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6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年度部门（单位）总体运行情况及取得的成绩</w:t>
            </w:r>
          </w:p>
        </w:tc>
        <w:tc>
          <w:tcPr>
            <w:tcW w:w="8319" w:type="dxa"/>
            <w:gridSpan w:val="1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全年文旅工作获国家级荣誉称号3个，省级荣誉称号13个；市级荣誉8个。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237" w:type="dxa"/>
            <w:gridSpan w:val="18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237" w:type="dxa"/>
            <w:gridSpan w:val="18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机构名称</w:t>
            </w:r>
          </w:p>
        </w:tc>
        <w:tc>
          <w:tcPr>
            <w:tcW w:w="1265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收入合计</w:t>
            </w:r>
          </w:p>
        </w:tc>
        <w:tc>
          <w:tcPr>
            <w:tcW w:w="7580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上年结转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公共财政拨款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政府基金拨款</w:t>
            </w:r>
          </w:p>
        </w:tc>
        <w:tc>
          <w:tcPr>
            <w:tcW w:w="205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2" w:hRule="atLeast"/>
        </w:trPr>
        <w:tc>
          <w:tcPr>
            <w:tcW w:w="1392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局机关及二级机构汇总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2627.44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1902.51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19.45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705.48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1、局机关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1116.17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650.84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5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465.33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5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5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0237" w:type="dxa"/>
            <w:gridSpan w:val="18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265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支出合计</w:t>
            </w:r>
          </w:p>
        </w:tc>
        <w:tc>
          <w:tcPr>
            <w:tcW w:w="6202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78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基本支出</w:t>
            </w:r>
          </w:p>
        </w:tc>
        <w:tc>
          <w:tcPr>
            <w:tcW w:w="355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18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项目支出</w:t>
            </w:r>
          </w:p>
        </w:tc>
        <w:tc>
          <w:tcPr>
            <w:tcW w:w="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当年结余</w:t>
            </w: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人员支出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公用支出</w:t>
            </w:r>
          </w:p>
        </w:tc>
        <w:tc>
          <w:tcPr>
            <w:tcW w:w="1318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局机关及二级机构汇总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shd w:val="clear" w:fill="FFFFFF"/>
                <w:lang w:val="en-US" w:eastAsia="zh-CN"/>
              </w:rPr>
              <w:t>2627.44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1342.44</w:t>
            </w: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1051.53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290.91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1285</w:t>
            </w:r>
          </w:p>
        </w:tc>
        <w:tc>
          <w:tcPr>
            <w:tcW w:w="7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1、局机关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1116.17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485.22</w:t>
            </w: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311.87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173.34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630.95</w:t>
            </w:r>
          </w:p>
        </w:tc>
        <w:tc>
          <w:tcPr>
            <w:tcW w:w="7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265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7580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公务接待费</w:t>
            </w: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公务用车运维费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公务用车购置费</w:t>
            </w: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6.78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6.78</w:t>
            </w: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2.23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2.23</w:t>
            </w: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265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6202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78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在用固定资产</w:t>
            </w:r>
          </w:p>
        </w:tc>
        <w:tc>
          <w:tcPr>
            <w:tcW w:w="311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出租固定资产</w:t>
            </w:r>
          </w:p>
        </w:tc>
        <w:tc>
          <w:tcPr>
            <w:tcW w:w="1378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1085.15</w:t>
            </w:r>
          </w:p>
        </w:tc>
        <w:tc>
          <w:tcPr>
            <w:tcW w:w="308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1085.15</w:t>
            </w: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52.67</w:t>
            </w:r>
          </w:p>
        </w:tc>
        <w:tc>
          <w:tcPr>
            <w:tcW w:w="308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52.67</w:t>
            </w: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237" w:type="dxa"/>
            <w:gridSpan w:val="18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41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4276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预期目标</w:t>
            </w:r>
          </w:p>
        </w:tc>
        <w:tc>
          <w:tcPr>
            <w:tcW w:w="4520" w:type="dxa"/>
            <w:gridSpan w:val="9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73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76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创优质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公共文化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服务体系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创新型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艺术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精品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目标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文旅融合局面全开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520" w:type="dxa"/>
            <w:gridSpan w:val="9"/>
            <w:noWrap w:val="0"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白羊田(天狮舞)评为“全国艺术之乡”称号。聂市(十样锦)评成“湖南省民间文化艺术之乡”。临湘市桃林中畈村和羊楼司综合文旅站双双入选省文旅厅的“最美潇湘文化阵地”。临湘市桃林中畈村和羊楼司综合文旅站双双入选省文旅厅的“最美潇湘文化阵地”。</w:t>
            </w:r>
          </w:p>
          <w:p>
            <w:pPr>
              <w:spacing w:line="52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创作大型现代花鼓戏《山乡之恋》;现代小戏《算账》、《家无贤妻》参加了“欢乐潇湘·幸福岳阳”百团百角唱百年文艺院团竞演活动；复排经典传统花鼓戏《孟姜女哭长城》《打猎回书》。创作舞蹈《蛙鼓声声》参演全国小荷风采舞蹈大赛湖南赛区比赛，获得“小荷奖”， 创作选送的书法作品《雪赋》、《归去来兮辞.并序》、《韩愈文三篇》入选第七届湖南艺术节美术、书法、摄影作品展;原创歌曲《百年颂歌献给党》参加“欢乐潇湘”岳阳赛区活动，获得好评。</w:t>
            </w:r>
          </w:p>
          <w:p>
            <w:pPr>
              <w:spacing w:line="52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稳步推进最美长江岸线临湘塔段、6501二期、五尖山欢乐世界、文创园等项目建设。加快龙窖山村乡村旅游、十三村景区、6501景区、浮标小镇景区二期、梅池村省级乡村旅游等基础设施建设。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2" w:hRule="atLeast"/>
        </w:trPr>
        <w:tc>
          <w:tcPr>
            <w:tcW w:w="1441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绩效定量目标及实施计划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  <w:tc>
          <w:tcPr>
            <w:tcW w:w="296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评价内容</w:t>
            </w: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绩效目标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产出目标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（部门工作实绩，包含上级部门和区委区政府布置的重点工作、实事任务等，根据部门实际进行调整细化）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质量指标</w:t>
            </w: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服务人次覆盖面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文化惠民惠及全市市民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公共文化服务设施维修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对14个乡镇（街道）的重要公共文化场所进行维护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指标3：旅游服务环境优化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稳步推进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数量指标</w:t>
            </w: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创公共文化活动品牌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举办了3次具有影响力的大型文化活动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基层文化活动开展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开展送戏下乡演艺惠民活动及各类培训讲座300余场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05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指标3：旅游厕所建设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在龙窖山景区新建多功能高标准旅游厕所2个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时效指标</w:t>
            </w: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资金拨付及时性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即时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成本指标</w:t>
            </w: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文化旅游工作经费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4161.87万元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效益目标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社会效益</w:t>
            </w: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  <w:t>繁荣群众文化生活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  <w:t>指标2：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  <w:t>提高群众文化水平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  <w:t>群众文化生活逐步繁荣，社会整体文化素养得到提升。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经济效益</w:t>
            </w: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文旅融合，促进文化旅游产业兴旺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旅游市场稳步发展。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生态效益</w:t>
            </w: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文化旅游环境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文化旅游环境不断优化。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社会公众或服务对象满意度</w:t>
            </w: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群众对文化旅游行业满意度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整体评价良好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299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绩效自评综合得分</w:t>
            </w:r>
          </w:p>
        </w:tc>
        <w:tc>
          <w:tcPr>
            <w:tcW w:w="7247" w:type="dxa"/>
            <w:gridSpan w:val="1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299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评价等次</w:t>
            </w:r>
          </w:p>
        </w:tc>
        <w:tc>
          <w:tcPr>
            <w:tcW w:w="7247" w:type="dxa"/>
            <w:gridSpan w:val="1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0237" w:type="dxa"/>
            <w:gridSpan w:val="18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3799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职务/职称</w:t>
            </w:r>
          </w:p>
        </w:tc>
        <w:tc>
          <w:tcPr>
            <w:tcW w:w="279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  位</w:t>
            </w:r>
          </w:p>
        </w:tc>
        <w:tc>
          <w:tcPr>
            <w:tcW w:w="172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廖琼</w:t>
            </w:r>
          </w:p>
        </w:tc>
        <w:tc>
          <w:tcPr>
            <w:tcW w:w="3799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分管财务副局长</w:t>
            </w:r>
          </w:p>
        </w:tc>
        <w:tc>
          <w:tcPr>
            <w:tcW w:w="279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文化旅游广电局</w:t>
            </w:r>
          </w:p>
        </w:tc>
        <w:tc>
          <w:tcPr>
            <w:tcW w:w="172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周路容</w:t>
            </w:r>
          </w:p>
        </w:tc>
        <w:tc>
          <w:tcPr>
            <w:tcW w:w="3799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财务股长</w:t>
            </w:r>
          </w:p>
        </w:tc>
        <w:tc>
          <w:tcPr>
            <w:tcW w:w="279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文化旅游广电局</w:t>
            </w:r>
          </w:p>
        </w:tc>
        <w:tc>
          <w:tcPr>
            <w:tcW w:w="172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卢钰</w:t>
            </w:r>
          </w:p>
        </w:tc>
        <w:tc>
          <w:tcPr>
            <w:tcW w:w="3799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会计</w:t>
            </w:r>
          </w:p>
        </w:tc>
        <w:tc>
          <w:tcPr>
            <w:tcW w:w="279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文化旅游广电局</w:t>
            </w:r>
          </w:p>
        </w:tc>
        <w:tc>
          <w:tcPr>
            <w:tcW w:w="172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99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9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2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27" w:hRule="atLeast"/>
        </w:trPr>
        <w:tc>
          <w:tcPr>
            <w:tcW w:w="10237" w:type="dxa"/>
            <w:gridSpan w:val="18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评价组组长（签字）：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84" w:hRule="atLeast"/>
        </w:trPr>
        <w:tc>
          <w:tcPr>
            <w:tcW w:w="10237" w:type="dxa"/>
            <w:gridSpan w:val="18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部门（单位）意见：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部门（单位）负责人（签章）：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66" w:hRule="atLeast"/>
        </w:trPr>
        <w:tc>
          <w:tcPr>
            <w:tcW w:w="10237" w:type="dxa"/>
            <w:gridSpan w:val="18"/>
            <w:noWrap w:val="0"/>
            <w:vAlign w:val="center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财政部门归口业务科室负责人（签章）：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       年    月   日</w:t>
            </w:r>
          </w:p>
        </w:tc>
      </w:tr>
    </w:tbl>
    <w:p>
      <w:pPr>
        <w:rPr>
          <w:rFonts w:hint="default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Cs/>
          <w:sz w:val="28"/>
          <w:szCs w:val="28"/>
        </w:rPr>
        <w:t xml:space="preserve">填报人（签名）：      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卢钰</w:t>
      </w:r>
      <w:r>
        <w:rPr>
          <w:rFonts w:hint="eastAsia" w:eastAsia="仿宋_GB2312" w:cs="仿宋_GB2312"/>
          <w:bCs/>
          <w:sz w:val="28"/>
          <w:szCs w:val="28"/>
        </w:rPr>
        <w:t xml:space="preserve">                    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13974088558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</w:trPr>
        <w:tc>
          <w:tcPr>
            <w:tcW w:w="1042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一、部门（单位）概况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（一）部门（单位）基本情况</w:t>
            </w:r>
          </w:p>
          <w:p>
            <w:pPr>
              <w:autoSpaceDN w:val="0"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1、职能职责</w:t>
            </w:r>
          </w:p>
          <w:p>
            <w:pPr>
              <w:autoSpaceDN w:val="0"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贯彻党和政府有关文化、旅游工作路线、方针、政策，研究制定全市文化和旅游工作政策，规章并监督执行;配合有关部门研究，制订全市经济政策，宏观调控，调整文化艺术经营和投资方向、规划;指导全市文化旅游设施建设，文化旅游管理体制改革;综合管理全市文学艺术，社会文化工作;负责管理文化市场、文物事业。</w:t>
            </w:r>
          </w:p>
          <w:p>
            <w:pPr>
              <w:autoSpaceDN w:val="0"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机构设置</w:t>
            </w:r>
          </w:p>
          <w:p>
            <w:pPr>
              <w:autoSpaceDN w:val="0"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内设9个职能股室（办公室、公共文化股、法规股、文化市场管理股、旅游行业管理股、旅游产业和市场开发股、文化产业股、财务股、政工人事股）。下设六个独立核算二级机构：文化馆、博物馆、图书馆、影剧院、花鼓戏剧团、文化市场综合执法大队。</w:t>
            </w:r>
          </w:p>
          <w:p>
            <w:pPr>
              <w:autoSpaceDN w:val="0"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部门（单位）整体支出规模、使用方向和主要内容、涉及范围等</w:t>
            </w:r>
          </w:p>
          <w:p>
            <w:pPr>
              <w:autoSpaceDN w:val="0"/>
              <w:spacing w:line="400" w:lineRule="exact"/>
              <w:ind w:firstLine="480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2022年度支出总计2627.44万元。其中：其他统计信息事务12万元，一般行政管理事务1万元，小学教育5.18万元，行政运行1037.23万元，机关服务46.70万元，图书馆119.87万元，群众文化40.20万元，文化创作与保护30万元，文化和旅游市场管理93.49万元，旅游宣传40万元，其他文化和旅游支出441.56万元，博物馆229.04万元，其他文化旅游体育与传媒支出387.05万元，机关事业养老保险缴费81.89万元，死亡抚恤4.04万元，住房公积金56.18万元，其他巩固脱贫衔接乡村振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2万元。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二、部门（单位）整体支出管理及使用情况</w:t>
            </w:r>
          </w:p>
          <w:p>
            <w:pPr>
              <w:autoSpaceDN w:val="0"/>
              <w:spacing w:line="400" w:lineRule="exact"/>
              <w:ind w:firstLine="480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（一）基本支出：2022年度基本支出1342.44万元，其中人员经费1051.53万元，公用经费290.91万元。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（二）专项支出：2022年度专项支出1285万元，其他统计信息事务12万元，行政运行194.87万元，机关服务18.04万元，图书馆36.84万元，群众文化40.20万元，文化创作与保护30万元，旅游宣传40万元，其他文化和旅游支出385.81万元，博物馆142.13万元，其他文化旅游体育与传媒支出379.05万元，死亡抚恤4.04万元，其他巩固脱贫衔接乡村振兴2万元。</w:t>
            </w:r>
          </w:p>
          <w:p>
            <w:pPr>
              <w:autoSpaceDN w:val="0"/>
              <w:spacing w:line="400" w:lineRule="exact"/>
              <w:ind w:firstLine="480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1、专项资金安排落实、总投入等情况分析：全年专项资金拨付及时，资金到位率100%，没有扣留、挪用的情况。</w:t>
            </w:r>
          </w:p>
          <w:p>
            <w:pPr>
              <w:autoSpaceDN w:val="0"/>
              <w:spacing w:line="400" w:lineRule="exact"/>
              <w:ind w:firstLine="480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2、专项资金实际使用情况分析：专项资金实际使用严格按照上级指标文件要求，按资金性质和用途进行划拨和使用。</w:t>
            </w:r>
          </w:p>
          <w:p>
            <w:pPr>
              <w:autoSpaceDN w:val="0"/>
              <w:spacing w:line="400" w:lineRule="exact"/>
              <w:ind w:firstLine="480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3、专项资金管理情况分析：严格落实前期项目申报制，中期专项资金使用监督制、后期绩效评价制，确保了每一笔专项资金用到实处。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三、部门（单位）专项组织实施情况</w:t>
            </w:r>
          </w:p>
          <w:p>
            <w:pPr>
              <w:autoSpaceDN w:val="0"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（一）专项组织情况分析。项目招投标、调整、竣工验收的过程中全程聘请专业机构进行实施。在资金使用上，我局严格执行项目资金管理制度，实行专款专用，无挪用项目资金问题。</w:t>
            </w:r>
          </w:p>
          <w:p>
            <w:pPr>
              <w:autoSpaceDN w:val="0"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（二）专项管理情况分析。专项工程实施中建立了《项目资金管理制度》、《日常检查监督管理制度》等一系列控制制度。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四、部门（单位）整体支出绩效情况</w:t>
            </w:r>
          </w:p>
          <w:p>
            <w:pPr>
              <w:autoSpaceDN w:val="0"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我局高度重视行政效能建设工作，深入贯彻落实科学发展观、制定工作方案，明确工作职责，推进政务公开透明，方便群众。明确相关股室职责，财务审核过程中，规范审批程序，加强经费及资金管理。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0" w:right="0" w:firstLine="480"/>
              <w:jc w:val="both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存在的主要问题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48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1.文化工作经费所占比例太少，导致单位业务工作处于被动状态。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0" w:right="0" w:firstLine="480"/>
              <w:jc w:val="both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2.制度执行力有待加强。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0" w:leftChars="0" w:right="0" w:firstLine="480" w:firstLineChars="0"/>
              <w:jc w:val="both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改进措施和有关建议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48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1.将财务制度落实到位，规范财经纪律，严格控制非生产性开支。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48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2.力争来年多争取行政运行经费，多争取项目，扩大影响力。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48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3.加强对二级机构的财务监管力度，多组织财务业务培训学习。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>
      <w:r>
        <w:rPr>
          <w:rFonts w:eastAsia="楷体_GB2312"/>
          <w:bCs/>
          <w:sz w:val="28"/>
          <w:szCs w:val="28"/>
        </w:rPr>
        <w:br w:type="page"/>
      </w:r>
    </w:p>
    <w:sectPr>
      <w:pgSz w:w="11906" w:h="16838"/>
      <w:pgMar w:top="1440" w:right="1800" w:bottom="1440" w:left="612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- 15 -</w:t>
    </w:r>
    <w:r>
      <w:fldChar w:fldCharType="end"/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0E11FC"/>
    <w:multiLevelType w:val="singleLevel"/>
    <w:tmpl w:val="DF0E11FC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hZDA2NWZmZmMyMDZkMTcxN2NmM2NlYjMzZWQ1MTYifQ=="/>
  </w:docVars>
  <w:rsids>
    <w:rsidRoot w:val="25711242"/>
    <w:rsid w:val="078D1C71"/>
    <w:rsid w:val="25711242"/>
    <w:rsid w:val="349B490F"/>
    <w:rsid w:val="5B51146A"/>
    <w:rsid w:val="7EF3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3"/>
    <w:qFormat/>
    <w:uiPriority w:val="0"/>
    <w:pPr>
      <w:spacing w:before="117" w:after="100" w:afterAutospacing="1"/>
      <w:ind w:left="118"/>
      <w:textAlignment w:val="baseline"/>
    </w:pPr>
    <w:rPr>
      <w:rFonts w:ascii="宋体" w:hAnsi="Calibri" w:eastAsia="宋体"/>
      <w:sz w:val="32"/>
      <w:szCs w:val="32"/>
    </w:rPr>
  </w:style>
  <w:style w:type="paragraph" w:customStyle="1" w:styleId="3">
    <w:name w:val="TOC5"/>
    <w:basedOn w:val="1"/>
    <w:next w:val="1"/>
    <w:qFormat/>
    <w:uiPriority w:val="0"/>
    <w:pPr>
      <w:ind w:left="800" w:leftChars="800"/>
      <w:textAlignment w:val="baseline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3036</Words>
  <Characters>3333</Characters>
  <Lines>0</Lines>
  <Paragraphs>0</Paragraphs>
  <TotalTime>3</TotalTime>
  <ScaleCrop>false</ScaleCrop>
  <LinksUpToDate>false</LinksUpToDate>
  <CharactersWithSpaces>3682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2023-07-25T07:48:00Z</dcterms:created>
  <dc:creator>寒江雪</dc:creator>
  <cp:lastModifiedBy>寒江雪</cp:lastModifiedBy>
  <dcterms:modified xsi:type="dcterms:W3CDTF">2023-09-05T08:11:16Z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099142670B8E45F49742ECD2BA1046B8_13</vt:lpwstr>
  </property>
</Properties>
</file>