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rPr>
      </w:pPr>
      <w:bookmarkStart w:id="0" w:name="_Toc65690455"/>
      <w:bookmarkStart w:id="1" w:name="_Toc54516671"/>
      <w:bookmarkStart w:id="2" w:name="_Toc56066035"/>
      <w:bookmarkStart w:id="865" w:name="_GoBack"/>
      <w:bookmarkEnd w:id="865"/>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480" w:lineRule="auto"/>
        <w:jc w:val="center"/>
        <w:rPr>
          <w:rFonts w:ascii="Times New Roman" w:hAnsi="Times New Roman" w:cs="Times New Roman"/>
          <w:b/>
          <w:sz w:val="52"/>
          <w:szCs w:val="52"/>
        </w:rPr>
      </w:pPr>
      <w:r>
        <w:rPr>
          <w:rFonts w:ascii="Times New Roman" w:hAnsi="Times New Roman" w:cs="Times New Roman"/>
          <w:b/>
          <w:sz w:val="52"/>
          <w:szCs w:val="52"/>
        </w:rPr>
        <w:t>临湘高新技术产业开发区调区扩区</w:t>
      </w:r>
    </w:p>
    <w:p>
      <w:pPr>
        <w:spacing w:line="480" w:lineRule="auto"/>
        <w:jc w:val="center"/>
        <w:rPr>
          <w:rFonts w:ascii="Times New Roman" w:hAnsi="Times New Roman" w:cs="Times New Roman"/>
          <w:b/>
          <w:sz w:val="52"/>
          <w:szCs w:val="52"/>
        </w:rPr>
      </w:pPr>
      <w:r>
        <w:rPr>
          <w:rFonts w:ascii="Times New Roman" w:hAnsi="Times New Roman" w:cs="Times New Roman"/>
          <w:b/>
          <w:sz w:val="52"/>
          <w:szCs w:val="52"/>
        </w:rPr>
        <w:t>规划环境影响报告书</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480" w:lineRule="auto"/>
        <w:jc w:val="center"/>
        <w:rPr>
          <w:rFonts w:ascii="Times New Roman" w:hAnsi="Times New Roman" w:cs="Times New Roman"/>
          <w:b/>
          <w:sz w:val="52"/>
          <w:szCs w:val="52"/>
        </w:rPr>
      </w:pPr>
      <w:r>
        <w:rPr>
          <w:rFonts w:ascii="Times New Roman" w:hAnsi="Times New Roman" w:cs="Times New Roman"/>
          <w:b/>
          <w:sz w:val="52"/>
          <w:szCs w:val="52"/>
        </w:rPr>
        <w:t>（</w:t>
      </w:r>
      <w:r>
        <w:rPr>
          <w:rFonts w:hint="eastAsia" w:ascii="Times New Roman" w:hAnsi="Times New Roman" w:cs="Times New Roman"/>
          <w:b/>
          <w:sz w:val="52"/>
          <w:szCs w:val="52"/>
        </w:rPr>
        <w:t>公示</w:t>
      </w:r>
      <w:r>
        <w:rPr>
          <w:rFonts w:ascii="Times New Roman" w:hAnsi="Times New Roman" w:cs="Times New Roman"/>
          <w:b/>
          <w:sz w:val="52"/>
          <w:szCs w:val="52"/>
        </w:rPr>
        <w:t>稿）</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临湘市高新技术产业开发区管委会</w:t>
      </w: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湖南葆华环保有限公司</w:t>
      </w:r>
    </w:p>
    <w:p>
      <w:pPr>
        <w:spacing w:line="360" w:lineRule="auto"/>
        <w:jc w:val="center"/>
        <w:rPr>
          <w:rFonts w:ascii="Times New Roman" w:hAnsi="Times New Roman" w:cs="Times New Roman"/>
          <w:b/>
          <w:sz w:val="40"/>
        </w:rPr>
        <w:sectPr>
          <w:pgSz w:w="11906" w:h="16838"/>
          <w:pgMar w:top="1418" w:right="1418" w:bottom="1418" w:left="1701" w:header="851" w:footer="992" w:gutter="0"/>
          <w:paperSrc w:first="7" w:other="7"/>
          <w:cols w:space="425" w:num="1"/>
          <w:docGrid w:linePitch="326" w:charSpace="915"/>
        </w:sectPr>
      </w:pPr>
      <w:bookmarkStart w:id="3" w:name="_Toc152927622"/>
      <w:bookmarkStart w:id="4" w:name="_Toc152928062"/>
      <w:bookmarkStart w:id="5" w:name="_Toc149535280"/>
      <w:bookmarkStart w:id="6" w:name="_Toc152924721"/>
      <w:bookmarkStart w:id="7" w:name="_Toc152927818"/>
      <w:r>
        <w:rPr>
          <w:rFonts w:ascii="Times New Roman" w:hAnsi="Times New Roman" w:cs="Times New Roman"/>
          <w:b/>
          <w:sz w:val="32"/>
          <w:szCs w:val="32"/>
        </w:rPr>
        <w:t>二O</w:t>
      </w:r>
      <w:bookmarkEnd w:id="3"/>
      <w:bookmarkEnd w:id="4"/>
      <w:bookmarkEnd w:id="5"/>
      <w:bookmarkEnd w:id="6"/>
      <w:bookmarkEnd w:id="7"/>
      <w:r>
        <w:rPr>
          <w:rFonts w:ascii="Times New Roman" w:hAnsi="Times New Roman" w:cs="Times New Roman"/>
          <w:b/>
          <w:sz w:val="32"/>
          <w:szCs w:val="32"/>
        </w:rPr>
        <w:t>二三年四月</w:t>
      </w:r>
    </w:p>
    <w:p>
      <w:pPr>
        <w:spacing w:line="360" w:lineRule="auto"/>
        <w:jc w:val="center"/>
        <w:rPr>
          <w:rFonts w:ascii="Times New Roman" w:hAnsi="Times New Roman" w:cs="Times New Roman"/>
          <w:b/>
          <w:sz w:val="52"/>
          <w:szCs w:val="52"/>
        </w:rPr>
      </w:pPr>
      <w:r>
        <w:rPr>
          <w:rFonts w:ascii="Times New Roman" w:hAnsi="Times New Roman" w:cs="Times New Roman"/>
          <w:b/>
          <w:sz w:val="52"/>
          <w:szCs w:val="52"/>
        </w:rPr>
        <w:t>目 录</w:t>
      </w:r>
    </w:p>
    <w:p>
      <w:pPr>
        <w:pStyle w:val="26"/>
        <w:tabs>
          <w:tab w:val="right" w:leader="dot" w:pos="8777"/>
        </w:tabs>
        <w:spacing w:line="360" w:lineRule="auto"/>
        <w:rPr>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r>
        <w:fldChar w:fldCharType="begin"/>
      </w:r>
      <w:r>
        <w:instrText xml:space="preserve"> HYPERLINK \l "_Toc146091853" </w:instrText>
      </w:r>
      <w:r>
        <w:fldChar w:fldCharType="separate"/>
      </w:r>
      <w:r>
        <w:rPr>
          <w:rStyle w:val="39"/>
          <w:rFonts w:hint="eastAsia" w:ascii="Times New Roman" w:hAnsi="Times New Roman" w:cs="Times New Roman"/>
          <w:szCs w:val="24"/>
        </w:rPr>
        <w:t>第</w:t>
      </w:r>
      <w:r>
        <w:rPr>
          <w:rStyle w:val="39"/>
          <w:rFonts w:ascii="Times New Roman" w:hAnsi="Times New Roman" w:cs="Times New Roman"/>
          <w:szCs w:val="24"/>
        </w:rPr>
        <w:t>1</w:t>
      </w:r>
      <w:r>
        <w:rPr>
          <w:rStyle w:val="39"/>
          <w:rFonts w:hint="eastAsia" w:ascii="Times New Roman" w:hAnsi="Times New Roman" w:cs="Times New Roman"/>
          <w:szCs w:val="24"/>
        </w:rPr>
        <w:t>章</w:t>
      </w:r>
      <w:r>
        <w:rPr>
          <w:rStyle w:val="39"/>
          <w:rFonts w:ascii="Times New Roman" w:hAnsi="Times New Roman" w:cs="Times New Roman"/>
          <w:szCs w:val="24"/>
        </w:rPr>
        <w:t xml:space="preserve"> </w:t>
      </w:r>
      <w:r>
        <w:rPr>
          <w:rStyle w:val="39"/>
          <w:rFonts w:hint="eastAsia" w:ascii="Times New Roman" w:hAnsi="Times New Roman" w:cs="Times New Roman"/>
          <w:szCs w:val="24"/>
        </w:rPr>
        <w:t>总论</w:t>
      </w:r>
      <w:r>
        <w:rPr>
          <w:szCs w:val="24"/>
        </w:rPr>
        <w:tab/>
      </w:r>
      <w:r>
        <w:rPr>
          <w:szCs w:val="24"/>
        </w:rPr>
        <w:fldChar w:fldCharType="begin"/>
      </w:r>
      <w:r>
        <w:rPr>
          <w:szCs w:val="24"/>
        </w:rPr>
        <w:instrText xml:space="preserve"> PAGEREF _Toc146091853 \h </w:instrText>
      </w:r>
      <w:r>
        <w:rPr>
          <w:szCs w:val="24"/>
        </w:rPr>
        <w:fldChar w:fldCharType="separate"/>
      </w:r>
      <w:r>
        <w:rPr>
          <w:szCs w:val="24"/>
        </w:rPr>
        <w:t>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"_Toc146091854" </w:instrText>
      </w:r>
      <w:r>
        <w:fldChar w:fldCharType="separate"/>
      </w:r>
      <w:r>
        <w:rPr>
          <w:rStyle w:val="39"/>
          <w:rFonts w:ascii="Times New Roman" w:hAnsi="Times New Roman" w:cs="Times New Roman"/>
          <w:szCs w:val="24"/>
        </w:rPr>
        <w:t xml:space="preserve">1.1 </w:t>
      </w:r>
      <w:r>
        <w:rPr>
          <w:rStyle w:val="39"/>
          <w:rFonts w:hint="eastAsia" w:ascii="Times New Roman" w:hAnsi="Times New Roman" w:cs="Times New Roman"/>
          <w:szCs w:val="24"/>
        </w:rPr>
        <w:t>任务由来</w:t>
      </w:r>
      <w:r>
        <w:rPr>
          <w:szCs w:val="24"/>
        </w:rPr>
        <w:tab/>
      </w:r>
      <w:r>
        <w:rPr>
          <w:szCs w:val="24"/>
        </w:rPr>
        <w:fldChar w:fldCharType="begin"/>
      </w:r>
      <w:r>
        <w:rPr>
          <w:szCs w:val="24"/>
        </w:rPr>
        <w:instrText xml:space="preserve"> PAGEREF _Toc146091854 \h </w:instrText>
      </w:r>
      <w:r>
        <w:rPr>
          <w:szCs w:val="24"/>
        </w:rPr>
        <w:fldChar w:fldCharType="separate"/>
      </w:r>
      <w:r>
        <w:rPr>
          <w:szCs w:val="24"/>
        </w:rPr>
        <w:t>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"_Toc146091855" </w:instrText>
      </w:r>
      <w:r>
        <w:fldChar w:fldCharType="separate"/>
      </w:r>
      <w:r>
        <w:rPr>
          <w:rStyle w:val="39"/>
          <w:rFonts w:ascii="Times New Roman" w:hAnsi="Times New Roman" w:cs="Times New Roman"/>
          <w:szCs w:val="24"/>
        </w:rPr>
        <w:t xml:space="preserve">1.2 </w:t>
      </w:r>
      <w:r>
        <w:rPr>
          <w:rStyle w:val="39"/>
          <w:rFonts w:hint="eastAsia" w:ascii="Times New Roman" w:hAnsi="Times New Roman" w:cs="Times New Roman"/>
          <w:szCs w:val="24"/>
        </w:rPr>
        <w:t>编制依据</w:t>
      </w:r>
      <w:r>
        <w:rPr>
          <w:szCs w:val="24"/>
        </w:rPr>
        <w:tab/>
      </w:r>
      <w:r>
        <w:rPr>
          <w:szCs w:val="24"/>
        </w:rPr>
        <w:fldChar w:fldCharType="begin"/>
      </w:r>
      <w:r>
        <w:rPr>
          <w:szCs w:val="24"/>
        </w:rPr>
        <w:instrText xml:space="preserve"> PAGEREF _Toc146091855 \h </w:instrText>
      </w:r>
      <w:r>
        <w:rPr>
          <w:szCs w:val="24"/>
        </w:rPr>
        <w:fldChar w:fldCharType="separate"/>
      </w:r>
      <w:r>
        <w:rPr>
          <w:szCs w:val="24"/>
        </w:rPr>
        <w:t>10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"_Toc146091856" </w:instrText>
      </w:r>
      <w:r>
        <w:fldChar w:fldCharType="separate"/>
      </w:r>
      <w:r>
        <w:rPr>
          <w:rStyle w:val="39"/>
          <w:rFonts w:ascii="Times New Roman" w:hAnsi="Times New Roman" w:cs="Times New Roman"/>
          <w:szCs w:val="24"/>
        </w:rPr>
        <w:t xml:space="preserve">1.2.1 </w:t>
      </w:r>
      <w:r>
        <w:rPr>
          <w:rStyle w:val="39"/>
          <w:rFonts w:hint="eastAsia" w:ascii="Times New Roman" w:hAnsi="Times New Roman" w:cs="Times New Roman"/>
          <w:szCs w:val="24"/>
        </w:rPr>
        <w:t>国家法律法规</w:t>
      </w:r>
      <w:r>
        <w:rPr>
          <w:szCs w:val="24"/>
        </w:rPr>
        <w:tab/>
      </w:r>
      <w:r>
        <w:rPr>
          <w:szCs w:val="24"/>
        </w:rPr>
        <w:fldChar w:fldCharType="begin"/>
      </w:r>
      <w:r>
        <w:rPr>
          <w:szCs w:val="24"/>
        </w:rPr>
        <w:instrText xml:space="preserve"> PAGEREF _Toc146091856 \h </w:instrText>
      </w:r>
      <w:r>
        <w:rPr>
          <w:szCs w:val="24"/>
        </w:rPr>
        <w:fldChar w:fldCharType="separate"/>
      </w:r>
      <w:r>
        <w:rPr>
          <w:szCs w:val="24"/>
        </w:rPr>
        <w:t>10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"_Toc146091857" </w:instrText>
      </w:r>
      <w:r>
        <w:fldChar w:fldCharType="separate"/>
      </w:r>
      <w:r>
        <w:rPr>
          <w:rStyle w:val="39"/>
          <w:rFonts w:ascii="Times New Roman" w:hAnsi="Times New Roman" w:cs="Times New Roman"/>
          <w:szCs w:val="24"/>
        </w:rPr>
        <w:t xml:space="preserve">1.2.2 </w:t>
      </w:r>
      <w:r>
        <w:rPr>
          <w:rStyle w:val="39"/>
          <w:rFonts w:hint="eastAsia" w:ascii="Times New Roman" w:hAnsi="Times New Roman" w:cs="Times New Roman"/>
          <w:szCs w:val="24"/>
        </w:rPr>
        <w:t>地方法规政策、规划</w:t>
      </w:r>
      <w:r>
        <w:rPr>
          <w:szCs w:val="24"/>
        </w:rPr>
        <w:tab/>
      </w:r>
      <w:r>
        <w:rPr>
          <w:szCs w:val="24"/>
        </w:rPr>
        <w:fldChar w:fldCharType="begin"/>
      </w:r>
      <w:r>
        <w:rPr>
          <w:szCs w:val="24"/>
        </w:rPr>
        <w:instrText xml:space="preserve"> PAGEREF _Toc146091857 \h </w:instrText>
      </w:r>
      <w:r>
        <w:rPr>
          <w:szCs w:val="24"/>
        </w:rPr>
        <w:fldChar w:fldCharType="separate"/>
      </w:r>
      <w:r>
        <w:rPr>
          <w:szCs w:val="24"/>
        </w:rPr>
        <w:t>13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"_Toc146091858" </w:instrText>
      </w:r>
      <w:r>
        <w:fldChar w:fldCharType="separate"/>
      </w:r>
      <w:r>
        <w:rPr>
          <w:rStyle w:val="39"/>
          <w:rFonts w:ascii="Times New Roman" w:hAnsi="Times New Roman" w:cs="Times New Roman"/>
          <w:szCs w:val="24"/>
        </w:rPr>
        <w:t xml:space="preserve">1.2.3 </w:t>
      </w:r>
      <w:r>
        <w:rPr>
          <w:rStyle w:val="39"/>
          <w:rFonts w:hint="eastAsia" w:ascii="Times New Roman" w:hAnsi="Times New Roman" w:cs="Times New Roman"/>
          <w:szCs w:val="24"/>
        </w:rPr>
        <w:t>技术导则与规范</w:t>
      </w:r>
      <w:r>
        <w:rPr>
          <w:szCs w:val="24"/>
        </w:rPr>
        <w:tab/>
      </w:r>
      <w:r>
        <w:rPr>
          <w:szCs w:val="24"/>
        </w:rPr>
        <w:fldChar w:fldCharType="begin"/>
      </w:r>
      <w:r>
        <w:rPr>
          <w:szCs w:val="24"/>
        </w:rPr>
        <w:instrText xml:space="preserve"> PAGEREF _Toc146091858 \h </w:instrText>
      </w:r>
      <w:r>
        <w:rPr>
          <w:szCs w:val="24"/>
        </w:rPr>
        <w:fldChar w:fldCharType="separate"/>
      </w:r>
      <w:r>
        <w:rPr>
          <w:szCs w:val="24"/>
        </w:rPr>
        <w:t>15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"_Toc146091859" </w:instrText>
      </w:r>
      <w:r>
        <w:fldChar w:fldCharType="separate"/>
      </w:r>
      <w:r>
        <w:rPr>
          <w:rStyle w:val="39"/>
          <w:rFonts w:ascii="Times New Roman" w:hAnsi="Times New Roman" w:cs="Times New Roman"/>
          <w:szCs w:val="24"/>
        </w:rPr>
        <w:t xml:space="preserve">1.2.4 </w:t>
      </w:r>
      <w:r>
        <w:rPr>
          <w:rStyle w:val="39"/>
          <w:rFonts w:hint="eastAsia" w:ascii="Times New Roman" w:hAnsi="Times New Roman" w:cs="Times New Roman"/>
          <w:szCs w:val="24"/>
        </w:rPr>
        <w:t>项目相关文件</w:t>
      </w:r>
      <w:r>
        <w:rPr>
          <w:szCs w:val="24"/>
        </w:rPr>
        <w:tab/>
      </w:r>
      <w:r>
        <w:rPr>
          <w:szCs w:val="24"/>
        </w:rPr>
        <w:fldChar w:fldCharType="begin"/>
      </w:r>
      <w:r>
        <w:rPr>
          <w:szCs w:val="24"/>
        </w:rPr>
        <w:instrText xml:space="preserve"> PAGEREF _Toc146091859 \h </w:instrText>
      </w:r>
      <w:r>
        <w:rPr>
          <w:szCs w:val="24"/>
        </w:rPr>
        <w:fldChar w:fldCharType="separate"/>
      </w:r>
      <w:r>
        <w:rPr>
          <w:szCs w:val="24"/>
        </w:rPr>
        <w:t>16</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"_Toc146091860" </w:instrText>
      </w:r>
      <w:r>
        <w:fldChar w:fldCharType="separate"/>
      </w:r>
      <w:r>
        <w:rPr>
          <w:rStyle w:val="39"/>
          <w:rFonts w:ascii="Times New Roman" w:hAnsi="Times New Roman" w:cs="Times New Roman"/>
          <w:szCs w:val="24"/>
        </w:rPr>
        <w:t xml:space="preserve">1.3 </w:t>
      </w:r>
      <w:r>
        <w:rPr>
          <w:rStyle w:val="39"/>
          <w:rFonts w:hint="eastAsia" w:ascii="Times New Roman" w:hAnsi="Times New Roman" w:cs="Times New Roman"/>
          <w:szCs w:val="24"/>
        </w:rPr>
        <w:t>评价内容与重点</w:t>
      </w:r>
      <w:r>
        <w:rPr>
          <w:szCs w:val="24"/>
        </w:rPr>
        <w:tab/>
      </w:r>
      <w:r>
        <w:rPr>
          <w:szCs w:val="24"/>
        </w:rPr>
        <w:fldChar w:fldCharType="begin"/>
      </w:r>
      <w:r>
        <w:rPr>
          <w:szCs w:val="24"/>
        </w:rPr>
        <w:instrText xml:space="preserve"> PAGEREF _Toc146091860 \h </w:instrText>
      </w:r>
      <w:r>
        <w:rPr>
          <w:szCs w:val="24"/>
        </w:rPr>
        <w:fldChar w:fldCharType="separate"/>
      </w:r>
      <w:r>
        <w:rPr>
          <w:szCs w:val="24"/>
        </w:rPr>
        <w:t>16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"_Toc146091861" </w:instrText>
      </w:r>
      <w:r>
        <w:fldChar w:fldCharType="separate"/>
      </w:r>
      <w:r>
        <w:rPr>
          <w:rStyle w:val="39"/>
          <w:rFonts w:ascii="Times New Roman" w:hAnsi="Times New Roman" w:cs="Times New Roman"/>
          <w:szCs w:val="24"/>
        </w:rPr>
        <w:t xml:space="preserve">1.3.1 </w:t>
      </w:r>
      <w:r>
        <w:rPr>
          <w:rStyle w:val="39"/>
          <w:rFonts w:hint="eastAsia" w:ascii="Times New Roman" w:hAnsi="Times New Roman" w:cs="Times New Roman"/>
          <w:szCs w:val="24"/>
        </w:rPr>
        <w:t>评价内容</w:t>
      </w:r>
      <w:r>
        <w:rPr>
          <w:szCs w:val="24"/>
        </w:rPr>
        <w:tab/>
      </w:r>
      <w:r>
        <w:rPr>
          <w:szCs w:val="24"/>
        </w:rPr>
        <w:fldChar w:fldCharType="begin"/>
      </w:r>
      <w:r>
        <w:rPr>
          <w:szCs w:val="24"/>
        </w:rPr>
        <w:instrText xml:space="preserve"> PAGEREF _Toc146091861 \h </w:instrText>
      </w:r>
      <w:r>
        <w:rPr>
          <w:szCs w:val="24"/>
        </w:rPr>
        <w:fldChar w:fldCharType="separate"/>
      </w:r>
      <w:r>
        <w:rPr>
          <w:szCs w:val="24"/>
        </w:rPr>
        <w:t>16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"_Toc146091862" </w:instrText>
      </w:r>
      <w:r>
        <w:fldChar w:fldCharType="separate"/>
      </w:r>
      <w:r>
        <w:rPr>
          <w:rStyle w:val="39"/>
          <w:rFonts w:ascii="Times New Roman" w:hAnsi="Times New Roman" w:cs="Times New Roman"/>
          <w:szCs w:val="24"/>
        </w:rPr>
        <w:t xml:space="preserve">1.3.2 </w:t>
      </w:r>
      <w:r>
        <w:rPr>
          <w:rStyle w:val="39"/>
          <w:rFonts w:hint="eastAsia" w:ascii="Times New Roman" w:hAnsi="Times New Roman" w:cs="Times New Roman"/>
          <w:szCs w:val="24"/>
        </w:rPr>
        <w:t>评价重点</w:t>
      </w:r>
      <w:r>
        <w:rPr>
          <w:szCs w:val="24"/>
        </w:rPr>
        <w:tab/>
      </w:r>
      <w:r>
        <w:rPr>
          <w:szCs w:val="24"/>
        </w:rPr>
        <w:fldChar w:fldCharType="begin"/>
      </w:r>
      <w:r>
        <w:rPr>
          <w:szCs w:val="24"/>
        </w:rPr>
        <w:instrText xml:space="preserve"> PAGEREF _Toc146091862 \h </w:instrText>
      </w:r>
      <w:r>
        <w:rPr>
          <w:szCs w:val="24"/>
        </w:rPr>
        <w:fldChar w:fldCharType="separate"/>
      </w:r>
      <w:r>
        <w:rPr>
          <w:szCs w:val="24"/>
        </w:rPr>
        <w:t>17</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"_Toc146091863" </w:instrText>
      </w:r>
      <w:r>
        <w:fldChar w:fldCharType="separate"/>
      </w:r>
      <w:r>
        <w:rPr>
          <w:rStyle w:val="39"/>
          <w:rFonts w:ascii="Times New Roman" w:hAnsi="Times New Roman" w:cs="Times New Roman"/>
          <w:szCs w:val="24"/>
        </w:rPr>
        <w:t xml:space="preserve">1.4 </w:t>
      </w:r>
      <w:r>
        <w:rPr>
          <w:rStyle w:val="39"/>
          <w:rFonts w:hint="eastAsia" w:ascii="Times New Roman" w:hAnsi="Times New Roman" w:cs="Times New Roman"/>
          <w:szCs w:val="24"/>
        </w:rPr>
        <w:t>评价目的与原则</w:t>
      </w:r>
      <w:r>
        <w:rPr>
          <w:szCs w:val="24"/>
        </w:rPr>
        <w:tab/>
      </w:r>
      <w:r>
        <w:rPr>
          <w:szCs w:val="24"/>
        </w:rPr>
        <w:fldChar w:fldCharType="begin"/>
      </w:r>
      <w:r>
        <w:rPr>
          <w:szCs w:val="24"/>
        </w:rPr>
        <w:instrText xml:space="preserve"> PAGEREF _Toc146091863 \h </w:instrText>
      </w:r>
      <w:r>
        <w:rPr>
          <w:szCs w:val="24"/>
        </w:rPr>
        <w:fldChar w:fldCharType="separate"/>
      </w:r>
      <w:r>
        <w:rPr>
          <w:szCs w:val="24"/>
        </w:rPr>
        <w:t>18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"_Toc146091864" </w:instrText>
      </w:r>
      <w:r>
        <w:fldChar w:fldCharType="separate"/>
      </w:r>
      <w:r>
        <w:rPr>
          <w:rStyle w:val="39"/>
          <w:rFonts w:ascii="Times New Roman" w:hAnsi="Times New Roman" w:cs="Times New Roman"/>
          <w:szCs w:val="24"/>
        </w:rPr>
        <w:t xml:space="preserve">1.4.1 </w:t>
      </w:r>
      <w:r>
        <w:rPr>
          <w:rStyle w:val="39"/>
          <w:rFonts w:hint="eastAsia" w:ascii="Times New Roman" w:hAnsi="Times New Roman" w:cs="Times New Roman"/>
          <w:szCs w:val="24"/>
        </w:rPr>
        <w:t>评价目的</w:t>
      </w:r>
      <w:r>
        <w:rPr>
          <w:szCs w:val="24"/>
        </w:rPr>
        <w:tab/>
      </w:r>
      <w:r>
        <w:rPr>
          <w:szCs w:val="24"/>
        </w:rPr>
        <w:fldChar w:fldCharType="begin"/>
      </w:r>
      <w:r>
        <w:rPr>
          <w:szCs w:val="24"/>
        </w:rPr>
        <w:instrText xml:space="preserve"> PAGEREF _Toc146091864 \h </w:instrText>
      </w:r>
      <w:r>
        <w:rPr>
          <w:szCs w:val="24"/>
        </w:rPr>
        <w:fldChar w:fldCharType="separate"/>
      </w:r>
      <w:r>
        <w:rPr>
          <w:szCs w:val="24"/>
        </w:rPr>
        <w:t>18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"_Toc146091865" </w:instrText>
      </w:r>
      <w:r>
        <w:fldChar w:fldCharType="separate"/>
      </w:r>
      <w:r>
        <w:rPr>
          <w:rStyle w:val="39"/>
          <w:rFonts w:ascii="Times New Roman" w:hAnsi="Times New Roman" w:cs="Times New Roman"/>
          <w:szCs w:val="24"/>
        </w:rPr>
        <w:t xml:space="preserve">1.4.2 </w:t>
      </w:r>
      <w:r>
        <w:rPr>
          <w:rStyle w:val="39"/>
          <w:rFonts w:hint="eastAsia" w:ascii="Times New Roman" w:hAnsi="Times New Roman" w:cs="Times New Roman"/>
          <w:szCs w:val="24"/>
        </w:rPr>
        <w:t>评价原则</w:t>
      </w:r>
      <w:r>
        <w:rPr>
          <w:szCs w:val="24"/>
        </w:rPr>
        <w:tab/>
      </w:r>
      <w:r>
        <w:rPr>
          <w:szCs w:val="24"/>
        </w:rPr>
        <w:fldChar w:fldCharType="begin"/>
      </w:r>
      <w:r>
        <w:rPr>
          <w:szCs w:val="24"/>
        </w:rPr>
        <w:instrText xml:space="preserve"> PAGEREF _Toc146091865 \h </w:instrText>
      </w:r>
      <w:r>
        <w:rPr>
          <w:szCs w:val="24"/>
        </w:rPr>
        <w:fldChar w:fldCharType="separate"/>
      </w:r>
      <w:r>
        <w:rPr>
          <w:szCs w:val="24"/>
        </w:rPr>
        <w:t>18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"_Toc146091866" </w:instrText>
      </w:r>
      <w:r>
        <w:fldChar w:fldCharType="separate"/>
      </w:r>
      <w:r>
        <w:rPr>
          <w:rStyle w:val="39"/>
          <w:rFonts w:ascii="Times New Roman" w:hAnsi="Times New Roman" w:cs="Times New Roman"/>
          <w:szCs w:val="24"/>
        </w:rPr>
        <w:t xml:space="preserve">1.5 </w:t>
      </w:r>
      <w:r>
        <w:rPr>
          <w:rStyle w:val="39"/>
          <w:rFonts w:hint="eastAsia" w:ascii="Times New Roman" w:hAnsi="Times New Roman" w:cs="Times New Roman"/>
          <w:szCs w:val="24"/>
        </w:rPr>
        <w:t>评价基本任务</w:t>
      </w:r>
      <w:r>
        <w:rPr>
          <w:szCs w:val="24"/>
        </w:rPr>
        <w:tab/>
      </w:r>
      <w:r>
        <w:rPr>
          <w:szCs w:val="24"/>
        </w:rPr>
        <w:fldChar w:fldCharType="begin"/>
      </w:r>
      <w:r>
        <w:rPr>
          <w:szCs w:val="24"/>
        </w:rPr>
        <w:instrText xml:space="preserve"> PAGEREF _Toc146091866 \h </w:instrText>
      </w:r>
      <w:r>
        <w:rPr>
          <w:szCs w:val="24"/>
        </w:rPr>
        <w:fldChar w:fldCharType="separate"/>
      </w:r>
      <w:r>
        <w:rPr>
          <w:szCs w:val="24"/>
        </w:rPr>
        <w:t>19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"_Toc146091867" </w:instrText>
      </w:r>
      <w:r>
        <w:fldChar w:fldCharType="separate"/>
      </w:r>
      <w:r>
        <w:rPr>
          <w:rStyle w:val="39"/>
          <w:rFonts w:ascii="Times New Roman" w:hAnsi="Times New Roman" w:cs="Times New Roman"/>
          <w:szCs w:val="24"/>
        </w:rPr>
        <w:t xml:space="preserve">1.6 </w:t>
      </w:r>
      <w:r>
        <w:rPr>
          <w:rStyle w:val="39"/>
          <w:rFonts w:hint="eastAsia" w:ascii="Times New Roman" w:hAnsi="Times New Roman" w:cs="Times New Roman"/>
          <w:szCs w:val="24"/>
        </w:rPr>
        <w:t>环境保护目标</w:t>
      </w:r>
      <w:r>
        <w:rPr>
          <w:szCs w:val="24"/>
        </w:rPr>
        <w:tab/>
      </w:r>
      <w:r>
        <w:rPr>
          <w:szCs w:val="24"/>
        </w:rPr>
        <w:fldChar w:fldCharType="begin"/>
      </w:r>
      <w:r>
        <w:rPr>
          <w:szCs w:val="24"/>
        </w:rPr>
        <w:instrText xml:space="preserve"> PAGEREF _Toc146091867 \h </w:instrText>
      </w:r>
      <w:r>
        <w:rPr>
          <w:szCs w:val="24"/>
        </w:rPr>
        <w:fldChar w:fldCharType="separate"/>
      </w:r>
      <w:r>
        <w:rPr>
          <w:szCs w:val="24"/>
        </w:rPr>
        <w:t>19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"_Toc146091868" </w:instrText>
      </w:r>
      <w:r>
        <w:fldChar w:fldCharType="separate"/>
      </w:r>
      <w:r>
        <w:rPr>
          <w:rStyle w:val="39"/>
          <w:rFonts w:ascii="Times New Roman" w:hAnsi="Times New Roman" w:cs="Times New Roman"/>
          <w:szCs w:val="24"/>
        </w:rPr>
        <w:t xml:space="preserve">1.7 </w:t>
      </w:r>
      <w:r>
        <w:rPr>
          <w:rStyle w:val="39"/>
          <w:rFonts w:hint="eastAsia" w:ascii="Times New Roman" w:hAnsi="Times New Roman" w:cs="Times New Roman"/>
          <w:szCs w:val="24"/>
        </w:rPr>
        <w:t>评价标准</w:t>
      </w:r>
      <w:r>
        <w:rPr>
          <w:szCs w:val="24"/>
        </w:rPr>
        <w:tab/>
      </w:r>
      <w:r>
        <w:rPr>
          <w:szCs w:val="24"/>
        </w:rPr>
        <w:fldChar w:fldCharType="begin"/>
      </w:r>
      <w:r>
        <w:rPr>
          <w:szCs w:val="24"/>
        </w:rPr>
        <w:instrText xml:space="preserve"> PAGEREF _Toc146091868 \h </w:instrText>
      </w:r>
      <w:r>
        <w:rPr>
          <w:szCs w:val="24"/>
        </w:rPr>
        <w:fldChar w:fldCharType="separate"/>
      </w:r>
      <w:r>
        <w:rPr>
          <w:szCs w:val="24"/>
        </w:rPr>
        <w:t>29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"_Toc146091869" </w:instrText>
      </w:r>
      <w:r>
        <w:fldChar w:fldCharType="separate"/>
      </w:r>
      <w:r>
        <w:rPr>
          <w:rStyle w:val="39"/>
          <w:rFonts w:ascii="Times New Roman" w:hAnsi="Times New Roman" w:cs="Times New Roman"/>
          <w:szCs w:val="24"/>
        </w:rPr>
        <w:t xml:space="preserve">1.7.1 </w:t>
      </w:r>
      <w:r>
        <w:rPr>
          <w:rStyle w:val="39"/>
          <w:rFonts w:hint="eastAsia" w:ascii="Times New Roman" w:hAnsi="Times New Roman" w:cs="Times New Roman"/>
          <w:szCs w:val="24"/>
        </w:rPr>
        <w:t>环境质量标准</w:t>
      </w:r>
      <w:r>
        <w:rPr>
          <w:szCs w:val="24"/>
        </w:rPr>
        <w:tab/>
      </w:r>
      <w:r>
        <w:rPr>
          <w:szCs w:val="24"/>
        </w:rPr>
        <w:fldChar w:fldCharType="begin"/>
      </w:r>
      <w:r>
        <w:rPr>
          <w:szCs w:val="24"/>
        </w:rPr>
        <w:instrText xml:space="preserve"> PAGEREF _Toc146091869 \h </w:instrText>
      </w:r>
      <w:r>
        <w:rPr>
          <w:szCs w:val="24"/>
        </w:rPr>
        <w:fldChar w:fldCharType="separate"/>
      </w:r>
      <w:r>
        <w:rPr>
          <w:szCs w:val="24"/>
        </w:rPr>
        <w:t>29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"_Toc146091870" </w:instrText>
      </w:r>
      <w:r>
        <w:fldChar w:fldCharType="separate"/>
      </w:r>
      <w:r>
        <w:rPr>
          <w:rStyle w:val="39"/>
          <w:rFonts w:ascii="Times New Roman" w:hAnsi="Times New Roman" w:cs="Times New Roman"/>
          <w:szCs w:val="24"/>
        </w:rPr>
        <w:t xml:space="preserve">1.7.2 </w:t>
      </w:r>
      <w:r>
        <w:rPr>
          <w:rStyle w:val="39"/>
          <w:rFonts w:hint="eastAsia" w:ascii="Times New Roman" w:hAnsi="Times New Roman" w:cs="Times New Roman"/>
          <w:szCs w:val="24"/>
        </w:rPr>
        <w:t>污染物排放标准</w:t>
      </w:r>
      <w:r>
        <w:rPr>
          <w:szCs w:val="24"/>
        </w:rPr>
        <w:tab/>
      </w:r>
      <w:r>
        <w:rPr>
          <w:szCs w:val="24"/>
        </w:rPr>
        <w:fldChar w:fldCharType="begin"/>
      </w:r>
      <w:r>
        <w:rPr>
          <w:szCs w:val="24"/>
        </w:rPr>
        <w:instrText xml:space="preserve"> PAGEREF _Toc146091870 \h </w:instrText>
      </w:r>
      <w:r>
        <w:rPr>
          <w:szCs w:val="24"/>
        </w:rPr>
        <w:fldChar w:fldCharType="separate"/>
      </w:r>
      <w:r>
        <w:rPr>
          <w:szCs w:val="24"/>
        </w:rPr>
        <w:t>33</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"_Toc146091871" </w:instrText>
      </w:r>
      <w:r>
        <w:fldChar w:fldCharType="separate"/>
      </w:r>
      <w:r>
        <w:rPr>
          <w:rStyle w:val="39"/>
          <w:rFonts w:ascii="Times New Roman" w:hAnsi="Times New Roman" w:cs="Times New Roman"/>
          <w:szCs w:val="24"/>
        </w:rPr>
        <w:t xml:space="preserve">1.8 </w:t>
      </w:r>
      <w:r>
        <w:rPr>
          <w:rStyle w:val="39"/>
          <w:rFonts w:hint="eastAsia" w:ascii="Times New Roman" w:hAnsi="Times New Roman" w:cs="Times New Roman"/>
          <w:szCs w:val="24"/>
        </w:rPr>
        <w:t>评价范围</w:t>
      </w:r>
      <w:r>
        <w:rPr>
          <w:szCs w:val="24"/>
        </w:rPr>
        <w:tab/>
      </w:r>
      <w:r>
        <w:rPr>
          <w:szCs w:val="24"/>
        </w:rPr>
        <w:fldChar w:fldCharType="begin"/>
      </w:r>
      <w:r>
        <w:rPr>
          <w:szCs w:val="24"/>
        </w:rPr>
        <w:instrText xml:space="preserve"> PAGEREF _Toc146091871 \h </w:instrText>
      </w:r>
      <w:r>
        <w:rPr>
          <w:szCs w:val="24"/>
        </w:rPr>
        <w:fldChar w:fldCharType="separate"/>
      </w:r>
      <w:r>
        <w:rPr>
          <w:szCs w:val="24"/>
        </w:rPr>
        <w:t>38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"_Toc146091872" </w:instrText>
      </w:r>
      <w:r>
        <w:fldChar w:fldCharType="separate"/>
      </w:r>
      <w:r>
        <w:rPr>
          <w:rStyle w:val="39"/>
          <w:rFonts w:ascii="Times New Roman" w:hAnsi="Times New Roman" w:cs="Times New Roman"/>
          <w:szCs w:val="24"/>
        </w:rPr>
        <w:t xml:space="preserve">1.9 </w:t>
      </w:r>
      <w:r>
        <w:rPr>
          <w:rStyle w:val="39"/>
          <w:rFonts w:hint="eastAsia" w:ascii="Times New Roman" w:hAnsi="Times New Roman" w:cs="Times New Roman"/>
          <w:szCs w:val="24"/>
        </w:rPr>
        <w:t>评价因子</w:t>
      </w:r>
      <w:r>
        <w:rPr>
          <w:szCs w:val="24"/>
        </w:rPr>
        <w:tab/>
      </w:r>
      <w:r>
        <w:rPr>
          <w:szCs w:val="24"/>
        </w:rPr>
        <w:fldChar w:fldCharType="begin"/>
      </w:r>
      <w:r>
        <w:rPr>
          <w:szCs w:val="24"/>
        </w:rPr>
        <w:instrText xml:space="preserve"> PAGEREF _Toc146091872 \h </w:instrText>
      </w:r>
      <w:r>
        <w:rPr>
          <w:szCs w:val="24"/>
        </w:rPr>
        <w:fldChar w:fldCharType="separate"/>
      </w:r>
      <w:r>
        <w:rPr>
          <w:szCs w:val="24"/>
        </w:rPr>
        <w:t>39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"_Toc146091873" </w:instrText>
      </w:r>
      <w:r>
        <w:fldChar w:fldCharType="separate"/>
      </w:r>
      <w:r>
        <w:rPr>
          <w:rStyle w:val="39"/>
          <w:rFonts w:ascii="Times New Roman" w:hAnsi="Times New Roman" w:cs="Times New Roman"/>
          <w:szCs w:val="24"/>
        </w:rPr>
        <w:t xml:space="preserve">1.10 </w:t>
      </w:r>
      <w:r>
        <w:rPr>
          <w:rStyle w:val="39"/>
          <w:rFonts w:hint="eastAsia" w:ascii="Times New Roman" w:hAnsi="Times New Roman" w:cs="Times New Roman"/>
          <w:szCs w:val="24"/>
        </w:rPr>
        <w:t>评价工作程序</w:t>
      </w:r>
      <w:r>
        <w:rPr>
          <w:szCs w:val="24"/>
        </w:rPr>
        <w:tab/>
      </w:r>
      <w:r>
        <w:rPr>
          <w:szCs w:val="24"/>
        </w:rPr>
        <w:fldChar w:fldCharType="begin"/>
      </w:r>
      <w:r>
        <w:rPr>
          <w:szCs w:val="24"/>
        </w:rPr>
        <w:instrText xml:space="preserve"> PAGEREF _Toc146091873 \h </w:instrText>
      </w:r>
      <w:r>
        <w:rPr>
          <w:szCs w:val="24"/>
        </w:rPr>
        <w:fldChar w:fldCharType="separate"/>
      </w:r>
      <w:r>
        <w:rPr>
          <w:szCs w:val="24"/>
        </w:rPr>
        <w:t>40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"_Toc146091874" </w:instrText>
      </w:r>
      <w:r>
        <w:fldChar w:fldCharType="separate"/>
      </w:r>
      <w:r>
        <w:rPr>
          <w:rStyle w:val="39"/>
          <w:rFonts w:ascii="Times New Roman" w:hAnsi="Times New Roman" w:cs="Times New Roman"/>
          <w:szCs w:val="24"/>
        </w:rPr>
        <w:t xml:space="preserve">1.11 </w:t>
      </w:r>
      <w:r>
        <w:rPr>
          <w:rStyle w:val="39"/>
          <w:rFonts w:hint="eastAsia" w:ascii="Times New Roman" w:hAnsi="Times New Roman" w:cs="Times New Roman"/>
          <w:szCs w:val="24"/>
        </w:rPr>
        <w:t>评价方法</w:t>
      </w:r>
      <w:r>
        <w:rPr>
          <w:szCs w:val="24"/>
        </w:rPr>
        <w:tab/>
      </w:r>
      <w:r>
        <w:rPr>
          <w:szCs w:val="24"/>
        </w:rPr>
        <w:fldChar w:fldCharType="begin"/>
      </w:r>
      <w:r>
        <w:rPr>
          <w:szCs w:val="24"/>
        </w:rPr>
        <w:instrText xml:space="preserve"> PAGEREF _Toc146091874 \h </w:instrText>
      </w:r>
      <w:r>
        <w:rPr>
          <w:szCs w:val="24"/>
        </w:rPr>
        <w:fldChar w:fldCharType="separate"/>
      </w:r>
      <w:r>
        <w:rPr>
          <w:szCs w:val="24"/>
        </w:rPr>
        <w:t>41</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"_Toc146091875" </w:instrText>
      </w:r>
      <w:r>
        <w:fldChar w:fldCharType="separate"/>
      </w:r>
      <w:r>
        <w:rPr>
          <w:rStyle w:val="39"/>
          <w:rFonts w:hint="eastAsia" w:ascii="Times New Roman" w:hAnsi="Times New Roman" w:cs="Times New Roman"/>
          <w:szCs w:val="24"/>
        </w:rPr>
        <w:t>第</w:t>
      </w:r>
      <w:r>
        <w:rPr>
          <w:rStyle w:val="39"/>
          <w:rFonts w:ascii="Times New Roman" w:hAnsi="Times New Roman" w:cs="Times New Roman"/>
          <w:szCs w:val="24"/>
        </w:rPr>
        <w:t>2</w:t>
      </w:r>
      <w:r>
        <w:rPr>
          <w:rStyle w:val="39"/>
          <w:rFonts w:hint="eastAsia" w:ascii="Times New Roman" w:hAnsi="Times New Roman" w:cs="Times New Roman"/>
          <w:szCs w:val="24"/>
        </w:rPr>
        <w:t>章</w:t>
      </w:r>
      <w:r>
        <w:rPr>
          <w:rStyle w:val="39"/>
          <w:rFonts w:ascii="Times New Roman" w:hAnsi="Times New Roman" w:cs="Times New Roman"/>
          <w:szCs w:val="24"/>
        </w:rPr>
        <w:t xml:space="preserve"> </w:t>
      </w:r>
      <w:r>
        <w:rPr>
          <w:rStyle w:val="39"/>
          <w:rFonts w:hint="eastAsia" w:ascii="Times New Roman" w:hAnsi="Times New Roman" w:cs="Times New Roman"/>
          <w:szCs w:val="24"/>
        </w:rPr>
        <w:t>园区回顾性评价与开发现状</w:t>
      </w:r>
      <w:r>
        <w:rPr>
          <w:szCs w:val="24"/>
        </w:rPr>
        <w:tab/>
      </w:r>
      <w:r>
        <w:rPr>
          <w:szCs w:val="24"/>
        </w:rPr>
        <w:fldChar w:fldCharType="begin"/>
      </w:r>
      <w:r>
        <w:rPr>
          <w:szCs w:val="24"/>
        </w:rPr>
        <w:instrText xml:space="preserve"> PAGEREF _Toc146091875 \h </w:instrText>
      </w:r>
      <w:r>
        <w:rPr>
          <w:szCs w:val="24"/>
        </w:rPr>
        <w:fldChar w:fldCharType="separate"/>
      </w:r>
      <w:r>
        <w:rPr>
          <w:szCs w:val="24"/>
        </w:rPr>
        <w:t>42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"_Toc146091876" </w:instrText>
      </w:r>
      <w:r>
        <w:fldChar w:fldCharType="separate"/>
      </w:r>
      <w:r>
        <w:rPr>
          <w:rStyle w:val="39"/>
          <w:rFonts w:ascii="Times New Roman" w:hAnsi="Times New Roman" w:cs="Times New Roman"/>
          <w:szCs w:val="24"/>
        </w:rPr>
        <w:t xml:space="preserve">2.1 </w:t>
      </w:r>
      <w:r>
        <w:rPr>
          <w:rStyle w:val="39"/>
          <w:rFonts w:hint="eastAsia" w:ascii="Times New Roman" w:hAnsi="Times New Roman" w:cs="Times New Roman"/>
          <w:szCs w:val="24"/>
        </w:rPr>
        <w:t>园区发展历程</w:t>
      </w:r>
      <w:r>
        <w:rPr>
          <w:szCs w:val="24"/>
        </w:rPr>
        <w:tab/>
      </w:r>
      <w:r>
        <w:rPr>
          <w:szCs w:val="24"/>
        </w:rPr>
        <w:fldChar w:fldCharType="begin"/>
      </w:r>
      <w:r>
        <w:rPr>
          <w:szCs w:val="24"/>
        </w:rPr>
        <w:instrText xml:space="preserve"> PAGEREF _Toc146091876 \h </w:instrText>
      </w:r>
      <w:r>
        <w:rPr>
          <w:szCs w:val="24"/>
        </w:rPr>
        <w:fldChar w:fldCharType="separate"/>
      </w:r>
      <w:r>
        <w:rPr>
          <w:szCs w:val="24"/>
        </w:rPr>
        <w:t>42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"_Toc146091877" </w:instrText>
      </w:r>
      <w:r>
        <w:fldChar w:fldCharType="separate"/>
      </w:r>
      <w:r>
        <w:rPr>
          <w:rStyle w:val="39"/>
          <w:rFonts w:ascii="Times New Roman" w:hAnsi="Times New Roman" w:cs="Times New Roman"/>
          <w:szCs w:val="24"/>
        </w:rPr>
        <w:t xml:space="preserve">2.2 </w:t>
      </w:r>
      <w:r>
        <w:rPr>
          <w:rStyle w:val="39"/>
          <w:rFonts w:hint="eastAsia" w:ascii="Times New Roman" w:hAnsi="Times New Roman" w:cs="Times New Roman"/>
          <w:szCs w:val="24"/>
        </w:rPr>
        <w:t>园区回顾性评价</w:t>
      </w:r>
      <w:r>
        <w:rPr>
          <w:szCs w:val="24"/>
        </w:rPr>
        <w:tab/>
      </w:r>
      <w:r>
        <w:rPr>
          <w:szCs w:val="24"/>
        </w:rPr>
        <w:fldChar w:fldCharType="begin"/>
      </w:r>
      <w:r>
        <w:rPr>
          <w:szCs w:val="24"/>
        </w:rPr>
        <w:instrText xml:space="preserve"> PAGEREF _Toc146091877 \h </w:instrText>
      </w:r>
      <w:r>
        <w:rPr>
          <w:szCs w:val="24"/>
        </w:rPr>
        <w:fldChar w:fldCharType="separate"/>
      </w:r>
      <w:r>
        <w:rPr>
          <w:szCs w:val="24"/>
        </w:rPr>
        <w:t>44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"_Toc146091878" </w:instrText>
      </w:r>
      <w:r>
        <w:fldChar w:fldCharType="separate"/>
      </w:r>
      <w:r>
        <w:rPr>
          <w:rStyle w:val="39"/>
          <w:rFonts w:ascii="Times New Roman" w:hAnsi="Times New Roman" w:cs="Times New Roman"/>
          <w:szCs w:val="24"/>
        </w:rPr>
        <w:t xml:space="preserve">2.2.1 </w:t>
      </w:r>
      <w:r>
        <w:rPr>
          <w:rStyle w:val="39"/>
          <w:rFonts w:hint="eastAsia" w:ascii="Times New Roman" w:hAnsi="Times New Roman" w:cs="Times New Roman"/>
          <w:szCs w:val="24"/>
        </w:rPr>
        <w:t>规划范围</w:t>
      </w:r>
      <w:r>
        <w:rPr>
          <w:szCs w:val="24"/>
        </w:rPr>
        <w:tab/>
      </w:r>
      <w:r>
        <w:rPr>
          <w:szCs w:val="24"/>
        </w:rPr>
        <w:fldChar w:fldCharType="begin"/>
      </w:r>
      <w:r>
        <w:rPr>
          <w:szCs w:val="24"/>
        </w:rPr>
        <w:instrText xml:space="preserve"> PAGEREF _Toc146091878 \h </w:instrText>
      </w:r>
      <w:r>
        <w:rPr>
          <w:szCs w:val="24"/>
        </w:rPr>
        <w:fldChar w:fldCharType="separate"/>
      </w:r>
      <w:r>
        <w:rPr>
          <w:szCs w:val="24"/>
        </w:rPr>
        <w:t>44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"_Toc146091879" </w:instrText>
      </w:r>
      <w:r>
        <w:fldChar w:fldCharType="separate"/>
      </w:r>
      <w:r>
        <w:rPr>
          <w:rStyle w:val="39"/>
          <w:rFonts w:ascii="Times New Roman" w:hAnsi="Times New Roman" w:cs="Times New Roman"/>
          <w:szCs w:val="24"/>
        </w:rPr>
        <w:t xml:space="preserve">2.2.2 </w:t>
      </w:r>
      <w:r>
        <w:rPr>
          <w:rStyle w:val="39"/>
          <w:rFonts w:hint="eastAsia" w:ascii="Times New Roman" w:hAnsi="Times New Roman" w:cs="Times New Roman"/>
          <w:szCs w:val="24"/>
        </w:rPr>
        <w:t>土地开发利用现状</w:t>
      </w:r>
      <w:r>
        <w:rPr>
          <w:szCs w:val="24"/>
        </w:rPr>
        <w:tab/>
      </w:r>
      <w:r>
        <w:rPr>
          <w:szCs w:val="24"/>
        </w:rPr>
        <w:fldChar w:fldCharType="begin"/>
      </w:r>
      <w:r>
        <w:rPr>
          <w:szCs w:val="24"/>
        </w:rPr>
        <w:instrText xml:space="preserve"> PAGEREF _Toc146091879 \h </w:instrText>
      </w:r>
      <w:r>
        <w:rPr>
          <w:szCs w:val="24"/>
        </w:rPr>
        <w:fldChar w:fldCharType="separate"/>
      </w:r>
      <w:r>
        <w:rPr>
          <w:szCs w:val="24"/>
        </w:rPr>
        <w:t>44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"_Toc146091880" </w:instrText>
      </w:r>
      <w:r>
        <w:fldChar w:fldCharType="separate"/>
      </w:r>
      <w:r>
        <w:rPr>
          <w:rStyle w:val="39"/>
          <w:rFonts w:ascii="Times New Roman" w:hAnsi="Times New Roman" w:cs="Times New Roman"/>
          <w:szCs w:val="24"/>
        </w:rPr>
        <w:t xml:space="preserve">2.2.3 </w:t>
      </w:r>
      <w:r>
        <w:rPr>
          <w:rStyle w:val="39"/>
          <w:rFonts w:hint="eastAsia" w:ascii="Times New Roman" w:hAnsi="Times New Roman" w:cs="Times New Roman"/>
          <w:szCs w:val="24"/>
        </w:rPr>
        <w:t>规划目标落实情况</w:t>
      </w:r>
      <w:r>
        <w:rPr>
          <w:szCs w:val="24"/>
        </w:rPr>
        <w:tab/>
      </w:r>
      <w:r>
        <w:rPr>
          <w:szCs w:val="24"/>
        </w:rPr>
        <w:fldChar w:fldCharType="begin"/>
      </w:r>
      <w:r>
        <w:rPr>
          <w:szCs w:val="24"/>
        </w:rPr>
        <w:instrText xml:space="preserve"> PAGEREF _Toc146091880 \h </w:instrText>
      </w:r>
      <w:r>
        <w:rPr>
          <w:szCs w:val="24"/>
        </w:rPr>
        <w:fldChar w:fldCharType="separate"/>
      </w:r>
      <w:r>
        <w:rPr>
          <w:szCs w:val="24"/>
        </w:rPr>
        <w:t>47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"_Toc146091881" </w:instrText>
      </w:r>
      <w:r>
        <w:fldChar w:fldCharType="separate"/>
      </w:r>
      <w:r>
        <w:rPr>
          <w:rStyle w:val="39"/>
          <w:rFonts w:ascii="Times New Roman" w:hAnsi="Times New Roman" w:cs="Times New Roman"/>
          <w:szCs w:val="24"/>
        </w:rPr>
        <w:t xml:space="preserve">2.2.4 </w:t>
      </w:r>
      <w:r>
        <w:rPr>
          <w:rStyle w:val="39"/>
          <w:rFonts w:hint="eastAsia" w:ascii="Times New Roman" w:hAnsi="Times New Roman" w:cs="Times New Roman"/>
          <w:szCs w:val="24"/>
        </w:rPr>
        <w:t>产业规划落实情况</w:t>
      </w:r>
      <w:r>
        <w:rPr>
          <w:szCs w:val="24"/>
        </w:rPr>
        <w:tab/>
      </w:r>
      <w:r>
        <w:rPr>
          <w:szCs w:val="24"/>
        </w:rPr>
        <w:fldChar w:fldCharType="begin"/>
      </w:r>
      <w:r>
        <w:rPr>
          <w:szCs w:val="24"/>
        </w:rPr>
        <w:instrText xml:space="preserve"> PAGEREF _Toc146091881 \h </w:instrText>
      </w:r>
      <w:r>
        <w:rPr>
          <w:szCs w:val="24"/>
        </w:rPr>
        <w:fldChar w:fldCharType="separate"/>
      </w:r>
      <w:r>
        <w:rPr>
          <w:szCs w:val="24"/>
        </w:rPr>
        <w:t>47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"_Toc146091882" </w:instrText>
      </w:r>
      <w:r>
        <w:fldChar w:fldCharType="separate"/>
      </w:r>
      <w:r>
        <w:rPr>
          <w:rStyle w:val="39"/>
          <w:rFonts w:ascii="Times New Roman" w:hAnsi="Times New Roman" w:cs="Times New Roman"/>
          <w:szCs w:val="24"/>
        </w:rPr>
        <w:t xml:space="preserve">2.2.5 </w:t>
      </w:r>
      <w:r>
        <w:rPr>
          <w:rStyle w:val="39"/>
          <w:rFonts w:hint="eastAsia" w:ascii="Times New Roman" w:hAnsi="Times New Roman" w:cs="Times New Roman"/>
          <w:szCs w:val="24"/>
        </w:rPr>
        <w:t>专项规划实施情况</w:t>
      </w:r>
      <w:r>
        <w:rPr>
          <w:szCs w:val="24"/>
        </w:rPr>
        <w:tab/>
      </w:r>
      <w:r>
        <w:rPr>
          <w:szCs w:val="24"/>
        </w:rPr>
        <w:fldChar w:fldCharType="begin"/>
      </w:r>
      <w:r>
        <w:rPr>
          <w:szCs w:val="24"/>
        </w:rPr>
        <w:instrText xml:space="preserve"> PAGEREF _Toc146091882 \h </w:instrText>
      </w:r>
      <w:r>
        <w:rPr>
          <w:szCs w:val="24"/>
        </w:rPr>
        <w:fldChar w:fldCharType="separate"/>
      </w:r>
      <w:r>
        <w:rPr>
          <w:szCs w:val="24"/>
        </w:rPr>
        <w:t>48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"_Toc146091883" </w:instrText>
      </w:r>
      <w:r>
        <w:fldChar w:fldCharType="separate"/>
      </w:r>
      <w:r>
        <w:rPr>
          <w:rStyle w:val="39"/>
          <w:rFonts w:ascii="Times New Roman" w:hAnsi="Times New Roman" w:cs="Times New Roman"/>
          <w:szCs w:val="24"/>
        </w:rPr>
        <w:t xml:space="preserve">2.2.6 </w:t>
      </w:r>
      <w:r>
        <w:rPr>
          <w:rStyle w:val="39"/>
          <w:rFonts w:hint="eastAsia" w:ascii="Times New Roman" w:hAnsi="Times New Roman" w:cs="Times New Roman"/>
          <w:szCs w:val="24"/>
        </w:rPr>
        <w:t>企业概况</w:t>
      </w:r>
      <w:r>
        <w:rPr>
          <w:szCs w:val="24"/>
        </w:rPr>
        <w:tab/>
      </w:r>
      <w:r>
        <w:rPr>
          <w:szCs w:val="24"/>
        </w:rPr>
        <w:fldChar w:fldCharType="begin"/>
      </w:r>
      <w:r>
        <w:rPr>
          <w:szCs w:val="24"/>
        </w:rPr>
        <w:instrText xml:space="preserve"> PAGEREF _Toc146091883 \h </w:instrText>
      </w:r>
      <w:r>
        <w:rPr>
          <w:szCs w:val="24"/>
        </w:rPr>
        <w:fldChar w:fldCharType="separate"/>
      </w:r>
      <w:r>
        <w:rPr>
          <w:szCs w:val="24"/>
        </w:rPr>
        <w:t>58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"_Toc146091884" </w:instrText>
      </w:r>
      <w:r>
        <w:fldChar w:fldCharType="separate"/>
      </w:r>
      <w:r>
        <w:rPr>
          <w:rStyle w:val="39"/>
          <w:rFonts w:ascii="Times New Roman" w:hAnsi="Times New Roman" w:cs="Times New Roman"/>
          <w:szCs w:val="24"/>
        </w:rPr>
        <w:t xml:space="preserve">2.2.7 </w:t>
      </w:r>
      <w:r>
        <w:rPr>
          <w:rStyle w:val="39"/>
          <w:rFonts w:hint="eastAsia" w:ascii="Times New Roman" w:hAnsi="Times New Roman" w:cs="Times New Roman"/>
          <w:szCs w:val="24"/>
        </w:rPr>
        <w:t>园区企业污染源调查</w:t>
      </w:r>
      <w:r>
        <w:rPr>
          <w:szCs w:val="24"/>
        </w:rPr>
        <w:tab/>
      </w:r>
      <w:r>
        <w:rPr>
          <w:szCs w:val="24"/>
        </w:rPr>
        <w:fldChar w:fldCharType="begin"/>
      </w:r>
      <w:r>
        <w:rPr>
          <w:szCs w:val="24"/>
        </w:rPr>
        <w:instrText xml:space="preserve"> PAGEREF _Toc146091884 \h </w:instrText>
      </w:r>
      <w:r>
        <w:rPr>
          <w:szCs w:val="24"/>
        </w:rPr>
        <w:fldChar w:fldCharType="separate"/>
      </w:r>
      <w:r>
        <w:rPr>
          <w:szCs w:val="24"/>
        </w:rPr>
        <w:t>65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"_Toc146091885" </w:instrText>
      </w:r>
      <w:r>
        <w:fldChar w:fldCharType="separate"/>
      </w:r>
      <w:r>
        <w:rPr>
          <w:rStyle w:val="39"/>
          <w:rFonts w:ascii="Times New Roman" w:hAnsi="Times New Roman" w:cs="Times New Roman"/>
          <w:szCs w:val="24"/>
        </w:rPr>
        <w:t xml:space="preserve">2.2.8 </w:t>
      </w:r>
      <w:r>
        <w:rPr>
          <w:rStyle w:val="39"/>
          <w:rFonts w:hint="eastAsia" w:ascii="Times New Roman" w:hAnsi="Times New Roman" w:cs="Times New Roman"/>
          <w:szCs w:val="24"/>
        </w:rPr>
        <w:t>环境风险现状调查</w:t>
      </w:r>
      <w:r>
        <w:rPr>
          <w:szCs w:val="24"/>
        </w:rPr>
        <w:tab/>
      </w:r>
      <w:r>
        <w:rPr>
          <w:szCs w:val="24"/>
        </w:rPr>
        <w:fldChar w:fldCharType="begin"/>
      </w:r>
      <w:r>
        <w:rPr>
          <w:szCs w:val="24"/>
        </w:rPr>
        <w:instrText xml:space="preserve"> PAGEREF _Toc146091885 \h </w:instrText>
      </w:r>
      <w:r>
        <w:rPr>
          <w:szCs w:val="24"/>
        </w:rPr>
        <w:fldChar w:fldCharType="separate"/>
      </w:r>
      <w:r>
        <w:rPr>
          <w:szCs w:val="24"/>
        </w:rPr>
        <w:t>68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"_Toc146091886" </w:instrText>
      </w:r>
      <w:r>
        <w:fldChar w:fldCharType="separate"/>
      </w:r>
      <w:r>
        <w:rPr>
          <w:rStyle w:val="39"/>
          <w:rFonts w:ascii="Times New Roman" w:hAnsi="Times New Roman" w:cs="Times New Roman"/>
          <w:szCs w:val="24"/>
        </w:rPr>
        <w:t xml:space="preserve">2.2.9 </w:t>
      </w:r>
      <w:r>
        <w:rPr>
          <w:rStyle w:val="39"/>
          <w:rFonts w:hint="eastAsia" w:ascii="Times New Roman" w:hAnsi="Times New Roman" w:cs="Times New Roman"/>
          <w:szCs w:val="24"/>
        </w:rPr>
        <w:t>资源利用现状评价</w:t>
      </w:r>
      <w:r>
        <w:rPr>
          <w:szCs w:val="24"/>
        </w:rPr>
        <w:tab/>
      </w:r>
      <w:r>
        <w:rPr>
          <w:szCs w:val="24"/>
        </w:rPr>
        <w:fldChar w:fldCharType="begin"/>
      </w:r>
      <w:r>
        <w:rPr>
          <w:szCs w:val="24"/>
        </w:rPr>
        <w:instrText xml:space="preserve"> PAGEREF _Toc146091886 \h </w:instrText>
      </w:r>
      <w:r>
        <w:rPr>
          <w:szCs w:val="24"/>
        </w:rPr>
        <w:fldChar w:fldCharType="separate"/>
      </w:r>
      <w:r>
        <w:rPr>
          <w:szCs w:val="24"/>
        </w:rPr>
        <w:t>92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"_Toc146091887" </w:instrText>
      </w:r>
      <w:r>
        <w:fldChar w:fldCharType="separate"/>
      </w:r>
      <w:r>
        <w:rPr>
          <w:rStyle w:val="39"/>
          <w:rFonts w:ascii="Times New Roman" w:hAnsi="Times New Roman" w:cs="Times New Roman"/>
          <w:szCs w:val="24"/>
        </w:rPr>
        <w:t xml:space="preserve">2.3 </w:t>
      </w:r>
      <w:r>
        <w:rPr>
          <w:rStyle w:val="39"/>
          <w:rFonts w:hint="eastAsia" w:ascii="Times New Roman" w:hAnsi="Times New Roman" w:cs="Times New Roman"/>
          <w:szCs w:val="24"/>
        </w:rPr>
        <w:t>规划环评回顾性评价</w:t>
      </w:r>
      <w:r>
        <w:rPr>
          <w:szCs w:val="24"/>
        </w:rPr>
        <w:tab/>
      </w:r>
      <w:r>
        <w:rPr>
          <w:szCs w:val="24"/>
        </w:rPr>
        <w:fldChar w:fldCharType="begin"/>
      </w:r>
      <w:r>
        <w:rPr>
          <w:szCs w:val="24"/>
        </w:rPr>
        <w:instrText xml:space="preserve"> PAGEREF _Toc146091887 \h </w:instrText>
      </w:r>
      <w:r>
        <w:rPr>
          <w:szCs w:val="24"/>
        </w:rPr>
        <w:fldChar w:fldCharType="separate"/>
      </w:r>
      <w:r>
        <w:rPr>
          <w:szCs w:val="24"/>
        </w:rPr>
        <w:t>93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"_Toc146091888" </w:instrText>
      </w:r>
      <w:r>
        <w:fldChar w:fldCharType="separate"/>
      </w:r>
      <w:r>
        <w:rPr>
          <w:rStyle w:val="39"/>
          <w:rFonts w:ascii="Times New Roman" w:hAnsi="Times New Roman" w:cs="Times New Roman"/>
          <w:szCs w:val="24"/>
        </w:rPr>
        <w:t xml:space="preserve">2.3.1 </w:t>
      </w:r>
      <w:r>
        <w:rPr>
          <w:rStyle w:val="39"/>
          <w:rFonts w:hint="eastAsia" w:ascii="Times New Roman" w:hAnsi="Times New Roman" w:cs="Times New Roman"/>
          <w:szCs w:val="24"/>
        </w:rPr>
        <w:t>规划环评审查意见执行情况</w:t>
      </w:r>
      <w:r>
        <w:rPr>
          <w:szCs w:val="24"/>
        </w:rPr>
        <w:tab/>
      </w:r>
      <w:r>
        <w:rPr>
          <w:szCs w:val="24"/>
        </w:rPr>
        <w:fldChar w:fldCharType="begin"/>
      </w:r>
      <w:r>
        <w:rPr>
          <w:szCs w:val="24"/>
        </w:rPr>
        <w:instrText xml:space="preserve"> PAGEREF _Toc146091888 \h </w:instrText>
      </w:r>
      <w:r>
        <w:rPr>
          <w:szCs w:val="24"/>
        </w:rPr>
        <w:fldChar w:fldCharType="separate"/>
      </w:r>
      <w:r>
        <w:rPr>
          <w:szCs w:val="24"/>
        </w:rPr>
        <w:t>93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"_Toc146091889" </w:instrText>
      </w:r>
      <w:r>
        <w:fldChar w:fldCharType="separate"/>
      </w:r>
      <w:r>
        <w:rPr>
          <w:rStyle w:val="39"/>
          <w:rFonts w:ascii="Times New Roman" w:hAnsi="Times New Roman" w:cs="Times New Roman"/>
          <w:szCs w:val="24"/>
        </w:rPr>
        <w:t xml:space="preserve">2.3.2 </w:t>
      </w:r>
      <w:r>
        <w:rPr>
          <w:rStyle w:val="39"/>
          <w:rFonts w:hint="eastAsia" w:ascii="Times New Roman" w:hAnsi="Times New Roman" w:cs="Times New Roman"/>
          <w:szCs w:val="24"/>
        </w:rPr>
        <w:t>规划环评时期制约因素解决情况</w:t>
      </w:r>
      <w:r>
        <w:rPr>
          <w:szCs w:val="24"/>
        </w:rPr>
        <w:tab/>
      </w:r>
      <w:r>
        <w:rPr>
          <w:szCs w:val="24"/>
        </w:rPr>
        <w:fldChar w:fldCharType="begin"/>
      </w:r>
      <w:r>
        <w:rPr>
          <w:szCs w:val="24"/>
        </w:rPr>
        <w:instrText xml:space="preserve"> PAGEREF _Toc146091889 \h </w:instrText>
      </w:r>
      <w:r>
        <w:rPr>
          <w:szCs w:val="24"/>
        </w:rPr>
        <w:fldChar w:fldCharType="separate"/>
      </w:r>
      <w:r>
        <w:rPr>
          <w:szCs w:val="24"/>
        </w:rPr>
        <w:t>95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"_Toc146091890" </w:instrText>
      </w:r>
      <w:r>
        <w:fldChar w:fldCharType="separate"/>
      </w:r>
      <w:r>
        <w:rPr>
          <w:rStyle w:val="39"/>
          <w:rFonts w:ascii="Times New Roman" w:hAnsi="Times New Roman" w:cs="Times New Roman"/>
          <w:szCs w:val="24"/>
        </w:rPr>
        <w:t xml:space="preserve">2.3.3 </w:t>
      </w:r>
      <w:r>
        <w:rPr>
          <w:rStyle w:val="39"/>
          <w:rFonts w:hint="eastAsia" w:ascii="Times New Roman" w:hAnsi="Times New Roman" w:cs="Times New Roman"/>
          <w:szCs w:val="24"/>
        </w:rPr>
        <w:t>园区准入条件执行情况</w:t>
      </w:r>
      <w:r>
        <w:rPr>
          <w:szCs w:val="24"/>
        </w:rPr>
        <w:tab/>
      </w:r>
      <w:r>
        <w:rPr>
          <w:szCs w:val="24"/>
        </w:rPr>
        <w:fldChar w:fldCharType="begin"/>
      </w:r>
      <w:r>
        <w:rPr>
          <w:szCs w:val="24"/>
        </w:rPr>
        <w:instrText xml:space="preserve"> PAGEREF _Toc146091890 \h </w:instrText>
      </w:r>
      <w:r>
        <w:rPr>
          <w:szCs w:val="24"/>
        </w:rPr>
        <w:fldChar w:fldCharType="separate"/>
      </w:r>
      <w:r>
        <w:rPr>
          <w:szCs w:val="24"/>
        </w:rPr>
        <w:t>96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"_Toc146091891" </w:instrText>
      </w:r>
      <w:r>
        <w:fldChar w:fldCharType="separate"/>
      </w:r>
      <w:r>
        <w:rPr>
          <w:rStyle w:val="39"/>
          <w:rFonts w:ascii="Times New Roman" w:hAnsi="Times New Roman" w:cs="Times New Roman"/>
          <w:szCs w:val="24"/>
        </w:rPr>
        <w:t xml:space="preserve">2.3.4 </w:t>
      </w:r>
      <w:r>
        <w:rPr>
          <w:rStyle w:val="39"/>
          <w:rFonts w:hint="eastAsia" w:ascii="Times New Roman" w:hAnsi="Times New Roman" w:cs="Times New Roman"/>
          <w:szCs w:val="24"/>
        </w:rPr>
        <w:t>规划实施期间环保督察问题、环保投诉情况</w:t>
      </w:r>
      <w:r>
        <w:rPr>
          <w:szCs w:val="24"/>
        </w:rPr>
        <w:tab/>
      </w:r>
      <w:r>
        <w:rPr>
          <w:szCs w:val="24"/>
        </w:rPr>
        <w:fldChar w:fldCharType="begin"/>
      </w:r>
      <w:r>
        <w:rPr>
          <w:szCs w:val="24"/>
        </w:rPr>
        <w:instrText xml:space="preserve"> PAGEREF _Toc146091891 \h </w:instrText>
      </w:r>
      <w:r>
        <w:rPr>
          <w:szCs w:val="24"/>
        </w:rPr>
        <w:fldChar w:fldCharType="separate"/>
      </w:r>
      <w:r>
        <w:rPr>
          <w:szCs w:val="24"/>
        </w:rPr>
        <w:t>101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"_Toc146091892" </w:instrText>
      </w:r>
      <w:r>
        <w:fldChar w:fldCharType="separate"/>
      </w:r>
      <w:r>
        <w:rPr>
          <w:rStyle w:val="39"/>
          <w:rFonts w:ascii="Times New Roman" w:hAnsi="Times New Roman" w:cs="Times New Roman"/>
          <w:szCs w:val="24"/>
        </w:rPr>
        <w:t>2.3.6</w:t>
      </w:r>
      <w:r>
        <w:rPr>
          <w:rStyle w:val="39"/>
          <w:rFonts w:hint="eastAsia"/>
          <w:szCs w:val="24"/>
        </w:rPr>
        <w:t>企业规划符合性分析</w:t>
      </w:r>
      <w:r>
        <w:rPr>
          <w:szCs w:val="24"/>
        </w:rPr>
        <w:tab/>
      </w:r>
      <w:r>
        <w:rPr>
          <w:szCs w:val="24"/>
        </w:rPr>
        <w:fldChar w:fldCharType="begin"/>
      </w:r>
      <w:r>
        <w:rPr>
          <w:szCs w:val="24"/>
        </w:rPr>
        <w:instrText xml:space="preserve"> PAGEREF _Toc146091892 \h </w:instrText>
      </w:r>
      <w:r>
        <w:rPr>
          <w:szCs w:val="24"/>
        </w:rPr>
        <w:fldChar w:fldCharType="separate"/>
      </w:r>
      <w:r>
        <w:rPr>
          <w:szCs w:val="24"/>
        </w:rPr>
        <w:t>106</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"_Toc146091893" </w:instrText>
      </w:r>
      <w:r>
        <w:fldChar w:fldCharType="separate"/>
      </w:r>
      <w:r>
        <w:rPr>
          <w:rStyle w:val="39"/>
          <w:rFonts w:ascii="Times New Roman" w:hAnsi="Times New Roman" w:cs="Times New Roman"/>
          <w:szCs w:val="24"/>
        </w:rPr>
        <w:t xml:space="preserve">2.4 </w:t>
      </w:r>
      <w:r>
        <w:rPr>
          <w:rStyle w:val="39"/>
          <w:rFonts w:hint="eastAsia" w:ascii="Times New Roman" w:hAnsi="Times New Roman" w:cs="Times New Roman"/>
          <w:szCs w:val="24"/>
        </w:rPr>
        <w:t>园区存在的主要环境问题与解决方案</w:t>
      </w:r>
      <w:r>
        <w:rPr>
          <w:szCs w:val="24"/>
        </w:rPr>
        <w:tab/>
      </w:r>
      <w:r>
        <w:rPr>
          <w:szCs w:val="24"/>
        </w:rPr>
        <w:fldChar w:fldCharType="begin"/>
      </w:r>
      <w:r>
        <w:rPr>
          <w:szCs w:val="24"/>
        </w:rPr>
        <w:instrText xml:space="preserve"> PAGEREF _Toc146091893 \h </w:instrText>
      </w:r>
      <w:r>
        <w:rPr>
          <w:szCs w:val="24"/>
        </w:rPr>
        <w:fldChar w:fldCharType="separate"/>
      </w:r>
      <w:r>
        <w:rPr>
          <w:szCs w:val="24"/>
        </w:rPr>
        <w:t>111</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"_Toc146091894" </w:instrText>
      </w:r>
      <w:r>
        <w:fldChar w:fldCharType="separate"/>
      </w:r>
      <w:r>
        <w:rPr>
          <w:rStyle w:val="39"/>
          <w:rFonts w:hint="eastAsia" w:ascii="Times New Roman" w:hAnsi="Times New Roman" w:cs="Times New Roman"/>
          <w:szCs w:val="24"/>
        </w:rPr>
        <w:t>第</w:t>
      </w:r>
      <w:r>
        <w:rPr>
          <w:rStyle w:val="39"/>
          <w:rFonts w:ascii="Times New Roman" w:hAnsi="Times New Roman" w:cs="Times New Roman"/>
          <w:szCs w:val="24"/>
        </w:rPr>
        <w:t>3</w:t>
      </w:r>
      <w:r>
        <w:rPr>
          <w:rStyle w:val="39"/>
          <w:rFonts w:hint="eastAsia" w:ascii="Times New Roman" w:hAnsi="Times New Roman" w:cs="Times New Roman"/>
          <w:szCs w:val="24"/>
        </w:rPr>
        <w:t>章</w:t>
      </w:r>
      <w:r>
        <w:rPr>
          <w:rStyle w:val="39"/>
          <w:rFonts w:ascii="Times New Roman" w:hAnsi="Times New Roman" w:cs="Times New Roman"/>
          <w:szCs w:val="24"/>
        </w:rPr>
        <w:t xml:space="preserve"> </w:t>
      </w:r>
      <w:r>
        <w:rPr>
          <w:rStyle w:val="39"/>
          <w:rFonts w:hint="eastAsia" w:ascii="Times New Roman" w:hAnsi="Times New Roman" w:cs="Times New Roman"/>
          <w:szCs w:val="24"/>
        </w:rPr>
        <w:t>规划分析</w:t>
      </w:r>
      <w:r>
        <w:rPr>
          <w:szCs w:val="24"/>
        </w:rPr>
        <w:tab/>
      </w:r>
      <w:r>
        <w:rPr>
          <w:szCs w:val="24"/>
        </w:rPr>
        <w:fldChar w:fldCharType="begin"/>
      </w:r>
      <w:r>
        <w:rPr>
          <w:szCs w:val="24"/>
        </w:rPr>
        <w:instrText xml:space="preserve"> PAGEREF _Toc146091894 \h </w:instrText>
      </w:r>
      <w:r>
        <w:rPr>
          <w:szCs w:val="24"/>
        </w:rPr>
        <w:fldChar w:fldCharType="separate"/>
      </w:r>
      <w:r>
        <w:rPr>
          <w:szCs w:val="24"/>
        </w:rPr>
        <w:t>112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"_Toc146091895" </w:instrText>
      </w:r>
      <w:r>
        <w:fldChar w:fldCharType="separate"/>
      </w:r>
      <w:r>
        <w:rPr>
          <w:rStyle w:val="39"/>
          <w:rFonts w:ascii="Times New Roman" w:hAnsi="Times New Roman" w:cs="Times New Roman"/>
          <w:szCs w:val="24"/>
        </w:rPr>
        <w:t xml:space="preserve">3.1 </w:t>
      </w:r>
      <w:r>
        <w:rPr>
          <w:rStyle w:val="39"/>
          <w:rFonts w:hint="eastAsia" w:ascii="Times New Roman" w:hAnsi="Times New Roman" w:cs="Times New Roman"/>
          <w:szCs w:val="24"/>
        </w:rPr>
        <w:t>扩区的必要性分析</w:t>
      </w:r>
      <w:r>
        <w:rPr>
          <w:szCs w:val="24"/>
        </w:rPr>
        <w:tab/>
      </w:r>
      <w:r>
        <w:rPr>
          <w:szCs w:val="24"/>
        </w:rPr>
        <w:fldChar w:fldCharType="begin"/>
      </w:r>
      <w:r>
        <w:rPr>
          <w:szCs w:val="24"/>
        </w:rPr>
        <w:instrText xml:space="preserve"> PAGEREF _Toc146091895 \h </w:instrText>
      </w:r>
      <w:r>
        <w:rPr>
          <w:szCs w:val="24"/>
        </w:rPr>
        <w:fldChar w:fldCharType="separate"/>
      </w:r>
      <w:r>
        <w:rPr>
          <w:szCs w:val="24"/>
        </w:rPr>
        <w:t>112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"_Toc146091896" </w:instrText>
      </w:r>
      <w:r>
        <w:fldChar w:fldCharType="separate"/>
      </w:r>
      <w:r>
        <w:rPr>
          <w:rStyle w:val="39"/>
          <w:rFonts w:ascii="Times New Roman" w:hAnsi="Times New Roman" w:cs="Times New Roman"/>
          <w:szCs w:val="24"/>
        </w:rPr>
        <w:t xml:space="preserve">3.2 </w:t>
      </w:r>
      <w:r>
        <w:rPr>
          <w:rStyle w:val="39"/>
          <w:rFonts w:hint="eastAsia" w:ascii="Times New Roman" w:hAnsi="Times New Roman" w:cs="Times New Roman"/>
          <w:szCs w:val="24"/>
        </w:rPr>
        <w:t>规划概述</w:t>
      </w:r>
      <w:r>
        <w:rPr>
          <w:szCs w:val="24"/>
        </w:rPr>
        <w:tab/>
      </w:r>
      <w:r>
        <w:rPr>
          <w:szCs w:val="24"/>
        </w:rPr>
        <w:fldChar w:fldCharType="begin"/>
      </w:r>
      <w:r>
        <w:rPr>
          <w:szCs w:val="24"/>
        </w:rPr>
        <w:instrText xml:space="preserve"> PAGEREF _Toc146091896 \h </w:instrText>
      </w:r>
      <w:r>
        <w:rPr>
          <w:szCs w:val="24"/>
        </w:rPr>
        <w:fldChar w:fldCharType="separate"/>
      </w:r>
      <w:r>
        <w:rPr>
          <w:szCs w:val="24"/>
        </w:rPr>
        <w:t>113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"_Toc146091897" </w:instrText>
      </w:r>
      <w:r>
        <w:fldChar w:fldCharType="separate"/>
      </w:r>
      <w:r>
        <w:rPr>
          <w:rStyle w:val="39"/>
          <w:rFonts w:ascii="Times New Roman" w:hAnsi="Times New Roman" w:cs="Times New Roman"/>
          <w:szCs w:val="24"/>
        </w:rPr>
        <w:t xml:space="preserve">3.2.1 </w:t>
      </w:r>
      <w:r>
        <w:rPr>
          <w:rStyle w:val="39"/>
          <w:rFonts w:hint="eastAsia" w:ascii="Times New Roman" w:hAnsi="Times New Roman" w:cs="Times New Roman"/>
          <w:szCs w:val="24"/>
        </w:rPr>
        <w:t>规划基本情况</w:t>
      </w:r>
      <w:r>
        <w:rPr>
          <w:szCs w:val="24"/>
        </w:rPr>
        <w:tab/>
      </w:r>
      <w:r>
        <w:rPr>
          <w:szCs w:val="24"/>
        </w:rPr>
        <w:fldChar w:fldCharType="begin"/>
      </w:r>
      <w:r>
        <w:rPr>
          <w:szCs w:val="24"/>
        </w:rPr>
        <w:instrText xml:space="preserve"> PAGEREF _Toc146091897 \h </w:instrText>
      </w:r>
      <w:r>
        <w:rPr>
          <w:szCs w:val="24"/>
        </w:rPr>
        <w:fldChar w:fldCharType="separate"/>
      </w:r>
      <w:r>
        <w:rPr>
          <w:szCs w:val="24"/>
        </w:rPr>
        <w:t>113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"_Toc146091898" </w:instrText>
      </w:r>
      <w:r>
        <w:fldChar w:fldCharType="separate"/>
      </w:r>
      <w:r>
        <w:rPr>
          <w:rStyle w:val="39"/>
          <w:rFonts w:ascii="Times New Roman" w:hAnsi="Times New Roman" w:cs="Times New Roman"/>
          <w:szCs w:val="24"/>
        </w:rPr>
        <w:t xml:space="preserve">3.2.2 </w:t>
      </w:r>
      <w:r>
        <w:rPr>
          <w:rStyle w:val="39"/>
          <w:rFonts w:hint="eastAsia" w:ascii="Times New Roman" w:hAnsi="Times New Roman" w:cs="Times New Roman"/>
          <w:szCs w:val="24"/>
        </w:rPr>
        <w:t>规划时限</w:t>
      </w:r>
      <w:r>
        <w:rPr>
          <w:szCs w:val="24"/>
        </w:rPr>
        <w:tab/>
      </w:r>
      <w:r>
        <w:rPr>
          <w:szCs w:val="24"/>
        </w:rPr>
        <w:fldChar w:fldCharType="begin"/>
      </w:r>
      <w:r>
        <w:rPr>
          <w:szCs w:val="24"/>
        </w:rPr>
        <w:instrText xml:space="preserve"> PAGEREF _Toc146091898 \h </w:instrText>
      </w:r>
      <w:r>
        <w:rPr>
          <w:szCs w:val="24"/>
        </w:rPr>
        <w:fldChar w:fldCharType="separate"/>
      </w:r>
      <w:r>
        <w:rPr>
          <w:szCs w:val="24"/>
        </w:rPr>
        <w:t>113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"_Toc146091899" </w:instrText>
      </w:r>
      <w:r>
        <w:fldChar w:fldCharType="separate"/>
      </w:r>
      <w:r>
        <w:rPr>
          <w:rStyle w:val="39"/>
          <w:rFonts w:ascii="Times New Roman" w:hAnsi="Times New Roman" w:cs="Times New Roman"/>
          <w:szCs w:val="24"/>
        </w:rPr>
        <w:t xml:space="preserve">3.2.3 </w:t>
      </w:r>
      <w:r>
        <w:rPr>
          <w:rStyle w:val="39"/>
          <w:rFonts w:hint="eastAsia" w:ascii="Times New Roman" w:hAnsi="Times New Roman" w:cs="Times New Roman"/>
          <w:szCs w:val="24"/>
        </w:rPr>
        <w:t>规划范围</w:t>
      </w:r>
      <w:r>
        <w:rPr>
          <w:szCs w:val="24"/>
        </w:rPr>
        <w:tab/>
      </w:r>
      <w:r>
        <w:rPr>
          <w:szCs w:val="24"/>
        </w:rPr>
        <w:fldChar w:fldCharType="begin"/>
      </w:r>
      <w:r>
        <w:rPr>
          <w:szCs w:val="24"/>
        </w:rPr>
        <w:instrText xml:space="preserve"> PAGEREF _Toc146091899 \h </w:instrText>
      </w:r>
      <w:r>
        <w:rPr>
          <w:szCs w:val="24"/>
        </w:rPr>
        <w:fldChar w:fldCharType="separate"/>
      </w:r>
      <w:r>
        <w:rPr>
          <w:szCs w:val="24"/>
        </w:rPr>
        <w:t>113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"_Toc146091900" </w:instrText>
      </w:r>
      <w:r>
        <w:fldChar w:fldCharType="separate"/>
      </w:r>
      <w:r>
        <w:rPr>
          <w:rStyle w:val="39"/>
          <w:rFonts w:ascii="Times New Roman" w:hAnsi="Times New Roman" w:cs="Times New Roman"/>
          <w:szCs w:val="24"/>
        </w:rPr>
        <w:t xml:space="preserve">3.2.4 </w:t>
      </w:r>
      <w:r>
        <w:rPr>
          <w:rStyle w:val="39"/>
          <w:rFonts w:hint="eastAsia" w:ascii="Times New Roman" w:hAnsi="Times New Roman" w:cs="Times New Roman"/>
          <w:szCs w:val="24"/>
        </w:rPr>
        <w:t>规划人口</w:t>
      </w:r>
      <w:r>
        <w:rPr>
          <w:szCs w:val="24"/>
        </w:rPr>
        <w:tab/>
      </w:r>
      <w:r>
        <w:rPr>
          <w:szCs w:val="24"/>
        </w:rPr>
        <w:fldChar w:fldCharType="begin"/>
      </w:r>
      <w:r>
        <w:rPr>
          <w:szCs w:val="24"/>
        </w:rPr>
        <w:instrText xml:space="preserve"> PAGEREF _Toc146091900 \h </w:instrText>
      </w:r>
      <w:r>
        <w:rPr>
          <w:szCs w:val="24"/>
        </w:rPr>
        <w:fldChar w:fldCharType="separate"/>
      </w:r>
      <w:r>
        <w:rPr>
          <w:szCs w:val="24"/>
        </w:rPr>
        <w:t>114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"_Toc146091901" </w:instrText>
      </w:r>
      <w:r>
        <w:fldChar w:fldCharType="separate"/>
      </w:r>
      <w:r>
        <w:rPr>
          <w:rStyle w:val="39"/>
          <w:rFonts w:ascii="Times New Roman" w:hAnsi="Times New Roman" w:cs="Times New Roman"/>
          <w:szCs w:val="24"/>
        </w:rPr>
        <w:t xml:space="preserve">3.2.5 </w:t>
      </w:r>
      <w:r>
        <w:rPr>
          <w:rStyle w:val="39"/>
          <w:rFonts w:hint="eastAsia" w:ascii="Times New Roman" w:hAnsi="Times New Roman" w:cs="Times New Roman"/>
          <w:szCs w:val="24"/>
        </w:rPr>
        <w:t>规划布局</w:t>
      </w:r>
      <w:r>
        <w:rPr>
          <w:szCs w:val="24"/>
        </w:rPr>
        <w:tab/>
      </w:r>
      <w:r>
        <w:rPr>
          <w:szCs w:val="24"/>
        </w:rPr>
        <w:fldChar w:fldCharType="begin"/>
      </w:r>
      <w:r>
        <w:rPr>
          <w:szCs w:val="24"/>
        </w:rPr>
        <w:instrText xml:space="preserve"> PAGEREF _Toc146091901 \h </w:instrText>
      </w:r>
      <w:r>
        <w:rPr>
          <w:szCs w:val="24"/>
        </w:rPr>
        <w:fldChar w:fldCharType="separate"/>
      </w:r>
      <w:r>
        <w:rPr>
          <w:szCs w:val="24"/>
        </w:rPr>
        <w:t>114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"_Toc146091902" </w:instrText>
      </w:r>
      <w:r>
        <w:fldChar w:fldCharType="separate"/>
      </w:r>
      <w:r>
        <w:rPr>
          <w:rStyle w:val="39"/>
          <w:rFonts w:ascii="Times New Roman" w:hAnsi="Times New Roman" w:cs="Times New Roman"/>
          <w:szCs w:val="24"/>
        </w:rPr>
        <w:t xml:space="preserve">3.2.6 </w:t>
      </w:r>
      <w:r>
        <w:rPr>
          <w:rStyle w:val="39"/>
          <w:rFonts w:hint="eastAsia" w:ascii="Times New Roman" w:hAnsi="Times New Roman" w:cs="Times New Roman"/>
          <w:szCs w:val="24"/>
        </w:rPr>
        <w:t>产业定位及产业布局</w:t>
      </w:r>
      <w:r>
        <w:rPr>
          <w:szCs w:val="24"/>
        </w:rPr>
        <w:tab/>
      </w:r>
      <w:r>
        <w:rPr>
          <w:szCs w:val="24"/>
        </w:rPr>
        <w:fldChar w:fldCharType="begin"/>
      </w:r>
      <w:r>
        <w:rPr>
          <w:szCs w:val="24"/>
        </w:rPr>
        <w:instrText xml:space="preserve"> PAGEREF _Toc146091902 \h </w:instrText>
      </w:r>
      <w:r>
        <w:rPr>
          <w:szCs w:val="24"/>
        </w:rPr>
        <w:fldChar w:fldCharType="separate"/>
      </w:r>
      <w:r>
        <w:rPr>
          <w:szCs w:val="24"/>
        </w:rPr>
        <w:t>116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"_Toc146091903" </w:instrText>
      </w:r>
      <w:r>
        <w:fldChar w:fldCharType="separate"/>
      </w:r>
      <w:r>
        <w:rPr>
          <w:rStyle w:val="39"/>
          <w:rFonts w:ascii="Times New Roman" w:hAnsi="Times New Roman" w:cs="Times New Roman"/>
          <w:szCs w:val="24"/>
        </w:rPr>
        <w:t xml:space="preserve">3.2.7 </w:t>
      </w:r>
      <w:r>
        <w:rPr>
          <w:rStyle w:val="39"/>
          <w:rFonts w:hint="eastAsia" w:ascii="Times New Roman" w:hAnsi="Times New Roman" w:cs="Times New Roman"/>
          <w:szCs w:val="24"/>
        </w:rPr>
        <w:t>土地利用规划</w:t>
      </w:r>
      <w:r>
        <w:rPr>
          <w:szCs w:val="24"/>
        </w:rPr>
        <w:tab/>
      </w:r>
      <w:r>
        <w:rPr>
          <w:szCs w:val="24"/>
        </w:rPr>
        <w:fldChar w:fldCharType="begin"/>
      </w:r>
      <w:r>
        <w:rPr>
          <w:szCs w:val="24"/>
        </w:rPr>
        <w:instrText xml:space="preserve"> PAGEREF _Toc146091903 \h </w:instrText>
      </w:r>
      <w:r>
        <w:rPr>
          <w:szCs w:val="24"/>
        </w:rPr>
        <w:fldChar w:fldCharType="separate"/>
      </w:r>
      <w:r>
        <w:rPr>
          <w:szCs w:val="24"/>
        </w:rPr>
        <w:t>117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"_Toc146091904" </w:instrText>
      </w:r>
      <w:r>
        <w:fldChar w:fldCharType="separate"/>
      </w:r>
      <w:r>
        <w:rPr>
          <w:rStyle w:val="39"/>
          <w:rFonts w:ascii="Times New Roman" w:hAnsi="Times New Roman" w:cs="Times New Roman"/>
          <w:szCs w:val="24"/>
        </w:rPr>
        <w:t xml:space="preserve">3.2.9 </w:t>
      </w:r>
      <w:r>
        <w:rPr>
          <w:rStyle w:val="39"/>
          <w:rFonts w:hint="eastAsia" w:ascii="Times New Roman" w:hAnsi="Times New Roman" w:cs="Times New Roman"/>
          <w:szCs w:val="24"/>
        </w:rPr>
        <w:t>道路交通规划</w:t>
      </w:r>
      <w:r>
        <w:rPr>
          <w:szCs w:val="24"/>
        </w:rPr>
        <w:tab/>
      </w:r>
      <w:r>
        <w:rPr>
          <w:szCs w:val="24"/>
        </w:rPr>
        <w:fldChar w:fldCharType="begin"/>
      </w:r>
      <w:r>
        <w:rPr>
          <w:szCs w:val="24"/>
        </w:rPr>
        <w:instrText xml:space="preserve"> PAGEREF _Toc146091904 \h </w:instrText>
      </w:r>
      <w:r>
        <w:rPr>
          <w:szCs w:val="24"/>
        </w:rPr>
        <w:fldChar w:fldCharType="separate"/>
      </w:r>
      <w:r>
        <w:rPr>
          <w:szCs w:val="24"/>
        </w:rPr>
        <w:t>121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"_Toc146091905" </w:instrText>
      </w:r>
      <w:r>
        <w:fldChar w:fldCharType="separate"/>
      </w:r>
      <w:r>
        <w:rPr>
          <w:rStyle w:val="39"/>
          <w:rFonts w:ascii="Times New Roman" w:hAnsi="Times New Roman" w:cs="Times New Roman"/>
          <w:szCs w:val="24"/>
        </w:rPr>
        <w:t xml:space="preserve">3.2.10 </w:t>
      </w:r>
      <w:r>
        <w:rPr>
          <w:rStyle w:val="39"/>
          <w:rFonts w:hint="eastAsia" w:ascii="Times New Roman" w:hAnsi="Times New Roman" w:cs="Times New Roman"/>
          <w:szCs w:val="24"/>
        </w:rPr>
        <w:t>给水工程规划</w:t>
      </w:r>
      <w:r>
        <w:rPr>
          <w:szCs w:val="24"/>
        </w:rPr>
        <w:tab/>
      </w:r>
      <w:r>
        <w:rPr>
          <w:szCs w:val="24"/>
        </w:rPr>
        <w:fldChar w:fldCharType="begin"/>
      </w:r>
      <w:r>
        <w:rPr>
          <w:szCs w:val="24"/>
        </w:rPr>
        <w:instrText xml:space="preserve"> PAGEREF _Toc146091905 \h </w:instrText>
      </w:r>
      <w:r>
        <w:rPr>
          <w:szCs w:val="24"/>
        </w:rPr>
        <w:fldChar w:fldCharType="separate"/>
      </w:r>
      <w:r>
        <w:rPr>
          <w:szCs w:val="24"/>
        </w:rPr>
        <w:t>121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"_Toc146091906" </w:instrText>
      </w:r>
      <w:r>
        <w:fldChar w:fldCharType="separate"/>
      </w:r>
      <w:r>
        <w:rPr>
          <w:rStyle w:val="39"/>
          <w:rFonts w:ascii="Times New Roman" w:hAnsi="Times New Roman" w:cs="Times New Roman"/>
          <w:szCs w:val="24"/>
        </w:rPr>
        <w:t xml:space="preserve">3.2.11 </w:t>
      </w:r>
      <w:r>
        <w:rPr>
          <w:rStyle w:val="39"/>
          <w:rFonts w:hint="eastAsia" w:ascii="Times New Roman" w:hAnsi="Times New Roman" w:cs="Times New Roman"/>
          <w:szCs w:val="24"/>
        </w:rPr>
        <w:t>雨水工程规划</w:t>
      </w:r>
      <w:r>
        <w:rPr>
          <w:szCs w:val="24"/>
        </w:rPr>
        <w:tab/>
      </w:r>
      <w:r>
        <w:rPr>
          <w:szCs w:val="24"/>
        </w:rPr>
        <w:fldChar w:fldCharType="begin"/>
      </w:r>
      <w:r>
        <w:rPr>
          <w:szCs w:val="24"/>
        </w:rPr>
        <w:instrText xml:space="preserve"> PAGEREF _Toc146091906 \h </w:instrText>
      </w:r>
      <w:r>
        <w:rPr>
          <w:szCs w:val="24"/>
        </w:rPr>
        <w:fldChar w:fldCharType="separate"/>
      </w:r>
      <w:r>
        <w:rPr>
          <w:szCs w:val="24"/>
        </w:rPr>
        <w:t>122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"_Toc146091907" </w:instrText>
      </w:r>
      <w:r>
        <w:fldChar w:fldCharType="separate"/>
      </w:r>
      <w:r>
        <w:rPr>
          <w:rStyle w:val="39"/>
          <w:rFonts w:ascii="Times New Roman" w:hAnsi="Times New Roman" w:cs="Times New Roman"/>
          <w:szCs w:val="24"/>
        </w:rPr>
        <w:t xml:space="preserve">3.2.12 </w:t>
      </w:r>
      <w:r>
        <w:rPr>
          <w:rStyle w:val="39"/>
          <w:rFonts w:hint="eastAsia" w:ascii="Times New Roman" w:hAnsi="Times New Roman" w:cs="Times New Roman"/>
          <w:szCs w:val="24"/>
        </w:rPr>
        <w:t>污水工程规划</w:t>
      </w:r>
      <w:r>
        <w:rPr>
          <w:szCs w:val="24"/>
        </w:rPr>
        <w:tab/>
      </w:r>
      <w:r>
        <w:rPr>
          <w:szCs w:val="24"/>
        </w:rPr>
        <w:fldChar w:fldCharType="begin"/>
      </w:r>
      <w:r>
        <w:rPr>
          <w:szCs w:val="24"/>
        </w:rPr>
        <w:instrText xml:space="preserve"> PAGEREF _Toc146091907 \h </w:instrText>
      </w:r>
      <w:r>
        <w:rPr>
          <w:szCs w:val="24"/>
        </w:rPr>
        <w:fldChar w:fldCharType="separate"/>
      </w:r>
      <w:r>
        <w:rPr>
          <w:szCs w:val="24"/>
        </w:rPr>
        <w:t>122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"_Toc146091908" </w:instrText>
      </w:r>
      <w:r>
        <w:fldChar w:fldCharType="separate"/>
      </w:r>
      <w:r>
        <w:rPr>
          <w:rStyle w:val="39"/>
          <w:rFonts w:ascii="Times New Roman" w:hAnsi="Times New Roman" w:cs="Times New Roman"/>
          <w:szCs w:val="24"/>
        </w:rPr>
        <w:t xml:space="preserve">3.2.13 </w:t>
      </w:r>
      <w:r>
        <w:rPr>
          <w:rStyle w:val="39"/>
          <w:rFonts w:hint="eastAsia" w:ascii="Times New Roman" w:hAnsi="Times New Roman" w:cs="Times New Roman"/>
          <w:szCs w:val="24"/>
        </w:rPr>
        <w:t>供电工程</w:t>
      </w:r>
      <w:r>
        <w:rPr>
          <w:szCs w:val="24"/>
        </w:rPr>
        <w:tab/>
      </w:r>
      <w:r>
        <w:rPr>
          <w:szCs w:val="24"/>
        </w:rPr>
        <w:fldChar w:fldCharType="begin"/>
      </w:r>
      <w:r>
        <w:rPr>
          <w:szCs w:val="24"/>
        </w:rPr>
        <w:instrText xml:space="preserve"> PAGEREF _Toc146091908 \h </w:instrText>
      </w:r>
      <w:r>
        <w:rPr>
          <w:szCs w:val="24"/>
        </w:rPr>
        <w:fldChar w:fldCharType="separate"/>
      </w:r>
      <w:r>
        <w:rPr>
          <w:szCs w:val="24"/>
        </w:rPr>
        <w:t>123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"_Toc146091909" </w:instrText>
      </w:r>
      <w:r>
        <w:fldChar w:fldCharType="separate"/>
      </w:r>
      <w:r>
        <w:rPr>
          <w:rStyle w:val="39"/>
          <w:rFonts w:ascii="Times New Roman" w:hAnsi="Times New Roman" w:cs="Times New Roman"/>
          <w:szCs w:val="24"/>
        </w:rPr>
        <w:t xml:space="preserve">3.2.14 </w:t>
      </w:r>
      <w:r>
        <w:rPr>
          <w:rStyle w:val="39"/>
          <w:rFonts w:hint="eastAsia" w:ascii="Times New Roman" w:hAnsi="Times New Roman" w:cs="Times New Roman"/>
          <w:szCs w:val="24"/>
        </w:rPr>
        <w:t>燃气工程规划</w:t>
      </w:r>
      <w:r>
        <w:rPr>
          <w:szCs w:val="24"/>
        </w:rPr>
        <w:tab/>
      </w:r>
      <w:r>
        <w:rPr>
          <w:szCs w:val="24"/>
        </w:rPr>
        <w:fldChar w:fldCharType="begin"/>
      </w:r>
      <w:r>
        <w:rPr>
          <w:szCs w:val="24"/>
        </w:rPr>
        <w:instrText xml:space="preserve"> PAGEREF _Toc146091909 \h </w:instrText>
      </w:r>
      <w:r>
        <w:rPr>
          <w:szCs w:val="24"/>
        </w:rPr>
        <w:fldChar w:fldCharType="separate"/>
      </w:r>
      <w:r>
        <w:rPr>
          <w:szCs w:val="24"/>
        </w:rPr>
        <w:t>123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"_Toc146091910" </w:instrText>
      </w:r>
      <w:r>
        <w:fldChar w:fldCharType="separate"/>
      </w:r>
      <w:r>
        <w:rPr>
          <w:rStyle w:val="39"/>
          <w:rFonts w:ascii="Times New Roman" w:hAnsi="Times New Roman" w:cs="Times New Roman"/>
          <w:szCs w:val="24"/>
        </w:rPr>
        <w:t xml:space="preserve">3.2.15 </w:t>
      </w:r>
      <w:r>
        <w:rPr>
          <w:rStyle w:val="39"/>
          <w:rFonts w:hint="eastAsia" w:ascii="Times New Roman" w:hAnsi="Times New Roman" w:cs="Times New Roman"/>
          <w:szCs w:val="24"/>
        </w:rPr>
        <w:t>环卫设施规划</w:t>
      </w:r>
      <w:r>
        <w:rPr>
          <w:szCs w:val="24"/>
        </w:rPr>
        <w:tab/>
      </w:r>
      <w:r>
        <w:rPr>
          <w:szCs w:val="24"/>
        </w:rPr>
        <w:fldChar w:fldCharType="begin"/>
      </w:r>
      <w:r>
        <w:rPr>
          <w:szCs w:val="24"/>
        </w:rPr>
        <w:instrText xml:space="preserve"> PAGEREF _Toc146091910 \h </w:instrText>
      </w:r>
      <w:r>
        <w:rPr>
          <w:szCs w:val="24"/>
        </w:rPr>
        <w:fldChar w:fldCharType="separate"/>
      </w:r>
      <w:r>
        <w:rPr>
          <w:szCs w:val="24"/>
        </w:rPr>
        <w:t>124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"_Toc146091911" </w:instrText>
      </w:r>
      <w:r>
        <w:fldChar w:fldCharType="separate"/>
      </w:r>
      <w:r>
        <w:rPr>
          <w:rStyle w:val="39"/>
          <w:rFonts w:ascii="Times New Roman" w:hAnsi="Times New Roman" w:cs="Times New Roman"/>
          <w:szCs w:val="24"/>
        </w:rPr>
        <w:t xml:space="preserve">3.2.16 </w:t>
      </w:r>
      <w:r>
        <w:rPr>
          <w:rStyle w:val="39"/>
          <w:rFonts w:hint="eastAsia" w:ascii="Times New Roman" w:hAnsi="Times New Roman" w:cs="Times New Roman"/>
          <w:szCs w:val="24"/>
        </w:rPr>
        <w:t>环境保护规划</w:t>
      </w:r>
      <w:r>
        <w:rPr>
          <w:szCs w:val="24"/>
        </w:rPr>
        <w:tab/>
      </w:r>
      <w:r>
        <w:rPr>
          <w:szCs w:val="24"/>
        </w:rPr>
        <w:fldChar w:fldCharType="begin"/>
      </w:r>
      <w:r>
        <w:rPr>
          <w:szCs w:val="24"/>
        </w:rPr>
        <w:instrText xml:space="preserve"> PAGEREF _Toc146091911 \h </w:instrText>
      </w:r>
      <w:r>
        <w:rPr>
          <w:szCs w:val="24"/>
        </w:rPr>
        <w:fldChar w:fldCharType="separate"/>
      </w:r>
      <w:r>
        <w:rPr>
          <w:szCs w:val="24"/>
        </w:rPr>
        <w:t>124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"_Toc146091912" </w:instrText>
      </w:r>
      <w:r>
        <w:fldChar w:fldCharType="separate"/>
      </w:r>
      <w:r>
        <w:rPr>
          <w:rStyle w:val="39"/>
          <w:rFonts w:ascii="Times New Roman" w:hAnsi="Times New Roman" w:cs="Times New Roman"/>
          <w:szCs w:val="24"/>
        </w:rPr>
        <w:t>3.2.17 “</w:t>
      </w:r>
      <w:r>
        <w:rPr>
          <w:rStyle w:val="39"/>
          <w:rFonts w:hint="eastAsia" w:ascii="Times New Roman" w:hAnsi="Times New Roman" w:cs="Times New Roman"/>
          <w:szCs w:val="24"/>
        </w:rPr>
        <w:t>三线</w:t>
      </w:r>
      <w:r>
        <w:rPr>
          <w:rStyle w:val="39"/>
          <w:rFonts w:ascii="Times New Roman" w:hAnsi="Times New Roman" w:cs="Times New Roman"/>
          <w:szCs w:val="24"/>
        </w:rPr>
        <w:t>”</w:t>
      </w:r>
      <w:r>
        <w:rPr>
          <w:rStyle w:val="39"/>
          <w:rFonts w:hint="eastAsia" w:ascii="Times New Roman" w:hAnsi="Times New Roman" w:cs="Times New Roman"/>
          <w:szCs w:val="24"/>
        </w:rPr>
        <w:t>控制</w:t>
      </w:r>
      <w:r>
        <w:rPr>
          <w:szCs w:val="24"/>
        </w:rPr>
        <w:tab/>
      </w:r>
      <w:r>
        <w:rPr>
          <w:szCs w:val="24"/>
        </w:rPr>
        <w:fldChar w:fldCharType="begin"/>
      </w:r>
      <w:r>
        <w:rPr>
          <w:szCs w:val="24"/>
        </w:rPr>
        <w:instrText xml:space="preserve"> PAGEREF _Toc146091912 \h </w:instrText>
      </w:r>
      <w:r>
        <w:rPr>
          <w:szCs w:val="24"/>
        </w:rPr>
        <w:fldChar w:fldCharType="separate"/>
      </w:r>
      <w:r>
        <w:rPr>
          <w:szCs w:val="24"/>
        </w:rPr>
        <w:t>125</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"_Toc146091913" </w:instrText>
      </w:r>
      <w:r>
        <w:fldChar w:fldCharType="separate"/>
      </w:r>
      <w:r>
        <w:rPr>
          <w:rStyle w:val="39"/>
          <w:rFonts w:ascii="Times New Roman" w:hAnsi="Times New Roman" w:cs="Times New Roman"/>
          <w:szCs w:val="24"/>
        </w:rPr>
        <w:t xml:space="preserve">3.3 </w:t>
      </w:r>
      <w:r>
        <w:rPr>
          <w:rStyle w:val="39"/>
          <w:rFonts w:hint="eastAsia" w:ascii="Times New Roman" w:hAnsi="Times New Roman" w:cs="Times New Roman"/>
          <w:szCs w:val="24"/>
        </w:rPr>
        <w:t>规划协调性分析</w:t>
      </w:r>
      <w:r>
        <w:rPr>
          <w:szCs w:val="24"/>
        </w:rPr>
        <w:tab/>
      </w:r>
      <w:r>
        <w:rPr>
          <w:szCs w:val="24"/>
        </w:rPr>
        <w:fldChar w:fldCharType="begin"/>
      </w:r>
      <w:r>
        <w:rPr>
          <w:szCs w:val="24"/>
        </w:rPr>
        <w:instrText xml:space="preserve"> PAGEREF _Toc146091913 \h </w:instrText>
      </w:r>
      <w:r>
        <w:rPr>
          <w:szCs w:val="24"/>
        </w:rPr>
        <w:fldChar w:fldCharType="separate"/>
      </w:r>
      <w:r>
        <w:rPr>
          <w:szCs w:val="24"/>
        </w:rPr>
        <w:t>127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"_Toc146091914" </w:instrText>
      </w:r>
      <w:r>
        <w:fldChar w:fldCharType="separate"/>
      </w:r>
      <w:r>
        <w:rPr>
          <w:rStyle w:val="39"/>
          <w:rFonts w:ascii="Times New Roman" w:hAnsi="Times New Roman" w:cs="Times New Roman"/>
          <w:szCs w:val="24"/>
        </w:rPr>
        <w:t xml:space="preserve">3.3.1 </w:t>
      </w:r>
      <w:r>
        <w:rPr>
          <w:rStyle w:val="39"/>
          <w:rFonts w:hint="eastAsia" w:ascii="Times New Roman" w:hAnsi="Times New Roman" w:cs="Times New Roman"/>
          <w:szCs w:val="24"/>
        </w:rPr>
        <w:t>概述</w:t>
      </w:r>
      <w:r>
        <w:rPr>
          <w:szCs w:val="24"/>
        </w:rPr>
        <w:tab/>
      </w:r>
      <w:r>
        <w:rPr>
          <w:szCs w:val="24"/>
        </w:rPr>
        <w:fldChar w:fldCharType="begin"/>
      </w:r>
      <w:r>
        <w:rPr>
          <w:szCs w:val="24"/>
        </w:rPr>
        <w:instrText xml:space="preserve"> PAGEREF _Toc146091914 \h </w:instrText>
      </w:r>
      <w:r>
        <w:rPr>
          <w:szCs w:val="24"/>
        </w:rPr>
        <w:fldChar w:fldCharType="separate"/>
      </w:r>
      <w:r>
        <w:rPr>
          <w:szCs w:val="24"/>
        </w:rPr>
        <w:t>127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"_Toc146091915" </w:instrText>
      </w:r>
      <w:r>
        <w:fldChar w:fldCharType="separate"/>
      </w:r>
      <w:r>
        <w:rPr>
          <w:rStyle w:val="39"/>
          <w:rFonts w:ascii="Times New Roman" w:hAnsi="Times New Roman" w:cs="Times New Roman"/>
          <w:szCs w:val="24"/>
        </w:rPr>
        <w:t xml:space="preserve">3.3.2 </w:t>
      </w:r>
      <w:r>
        <w:rPr>
          <w:rStyle w:val="39"/>
          <w:rFonts w:hint="eastAsia" w:ascii="Times New Roman" w:hAnsi="Times New Roman" w:cs="Times New Roman"/>
          <w:szCs w:val="24"/>
        </w:rPr>
        <w:t>与湖南省相关政策的符合性分析</w:t>
      </w:r>
      <w:r>
        <w:rPr>
          <w:szCs w:val="24"/>
        </w:rPr>
        <w:tab/>
      </w:r>
      <w:r>
        <w:rPr>
          <w:szCs w:val="24"/>
        </w:rPr>
        <w:fldChar w:fldCharType="begin"/>
      </w:r>
      <w:r>
        <w:rPr>
          <w:szCs w:val="24"/>
        </w:rPr>
        <w:instrText xml:space="preserve"> PAGEREF _Toc146091915 \h </w:instrText>
      </w:r>
      <w:r>
        <w:rPr>
          <w:szCs w:val="24"/>
        </w:rPr>
        <w:fldChar w:fldCharType="separate"/>
      </w:r>
      <w:r>
        <w:rPr>
          <w:szCs w:val="24"/>
        </w:rPr>
        <w:t>128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"_Toc146091916" </w:instrText>
      </w:r>
      <w:r>
        <w:fldChar w:fldCharType="separate"/>
      </w:r>
      <w:r>
        <w:rPr>
          <w:rStyle w:val="39"/>
          <w:rFonts w:ascii="Times New Roman" w:hAnsi="Times New Roman" w:cs="Times New Roman"/>
          <w:szCs w:val="24"/>
        </w:rPr>
        <w:t xml:space="preserve">3.3.3 </w:t>
      </w:r>
      <w:r>
        <w:rPr>
          <w:rStyle w:val="39"/>
          <w:rFonts w:hint="eastAsia" w:ascii="Times New Roman" w:hAnsi="Times New Roman" w:cs="Times New Roman"/>
          <w:szCs w:val="24"/>
        </w:rPr>
        <w:t>与主体功能区规划的相符性分析</w:t>
      </w:r>
      <w:r>
        <w:rPr>
          <w:szCs w:val="24"/>
        </w:rPr>
        <w:tab/>
      </w:r>
      <w:r>
        <w:rPr>
          <w:szCs w:val="24"/>
        </w:rPr>
        <w:fldChar w:fldCharType="begin"/>
      </w:r>
      <w:r>
        <w:rPr>
          <w:szCs w:val="24"/>
        </w:rPr>
        <w:instrText xml:space="preserve"> PAGEREF _Toc146091916 \h </w:instrText>
      </w:r>
      <w:r>
        <w:rPr>
          <w:szCs w:val="24"/>
        </w:rPr>
        <w:fldChar w:fldCharType="separate"/>
      </w:r>
      <w:r>
        <w:rPr>
          <w:szCs w:val="24"/>
        </w:rPr>
        <w:t>133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"_Toc146091917" </w:instrText>
      </w:r>
      <w:r>
        <w:fldChar w:fldCharType="separate"/>
      </w:r>
      <w:r>
        <w:rPr>
          <w:rStyle w:val="39"/>
          <w:rFonts w:ascii="Times New Roman" w:hAnsi="Times New Roman" w:cs="Times New Roman"/>
          <w:szCs w:val="24"/>
        </w:rPr>
        <w:t xml:space="preserve">3.3.4 </w:t>
      </w:r>
      <w:r>
        <w:rPr>
          <w:rStyle w:val="39"/>
          <w:rFonts w:hint="eastAsia" w:ascii="Times New Roman" w:hAnsi="Times New Roman" w:cs="Times New Roman"/>
          <w:szCs w:val="24"/>
        </w:rPr>
        <w:t>与国民经济发展规划的相符性分析</w:t>
      </w:r>
      <w:r>
        <w:rPr>
          <w:szCs w:val="24"/>
        </w:rPr>
        <w:tab/>
      </w:r>
      <w:r>
        <w:rPr>
          <w:szCs w:val="24"/>
        </w:rPr>
        <w:fldChar w:fldCharType="begin"/>
      </w:r>
      <w:r>
        <w:rPr>
          <w:szCs w:val="24"/>
        </w:rPr>
        <w:instrText xml:space="preserve"> PAGEREF _Toc146091917 \h </w:instrText>
      </w:r>
      <w:r>
        <w:rPr>
          <w:szCs w:val="24"/>
        </w:rPr>
        <w:fldChar w:fldCharType="separate"/>
      </w:r>
      <w:r>
        <w:rPr>
          <w:szCs w:val="24"/>
        </w:rPr>
        <w:t>143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"_Toc146091918" </w:instrText>
      </w:r>
      <w:r>
        <w:fldChar w:fldCharType="separate"/>
      </w:r>
      <w:r>
        <w:rPr>
          <w:rStyle w:val="39"/>
          <w:rFonts w:ascii="Times New Roman" w:hAnsi="Times New Roman" w:cs="Times New Roman"/>
          <w:szCs w:val="24"/>
        </w:rPr>
        <w:t xml:space="preserve">3.3.5 </w:t>
      </w:r>
      <w:r>
        <w:rPr>
          <w:rStyle w:val="39"/>
          <w:rFonts w:hint="eastAsia" w:ascii="Times New Roman" w:hAnsi="Times New Roman" w:cs="Times New Roman"/>
          <w:szCs w:val="24"/>
        </w:rPr>
        <w:t>与《临湘市国土空间总体规划（</w:t>
      </w:r>
      <w:r>
        <w:rPr>
          <w:rStyle w:val="39"/>
          <w:rFonts w:ascii="Times New Roman" w:hAnsi="Times New Roman" w:cs="Times New Roman"/>
          <w:szCs w:val="24"/>
        </w:rPr>
        <w:t xml:space="preserve">2021-2035 </w:t>
      </w:r>
      <w:r>
        <w:rPr>
          <w:rStyle w:val="39"/>
          <w:rFonts w:hint="eastAsia" w:ascii="Times New Roman" w:hAnsi="Times New Roman" w:cs="Times New Roman"/>
          <w:szCs w:val="24"/>
        </w:rPr>
        <w:t>年）》相符性分析</w:t>
      </w:r>
      <w:r>
        <w:rPr>
          <w:szCs w:val="24"/>
        </w:rPr>
        <w:tab/>
      </w:r>
      <w:r>
        <w:rPr>
          <w:szCs w:val="24"/>
        </w:rPr>
        <w:fldChar w:fldCharType="begin"/>
      </w:r>
      <w:r>
        <w:rPr>
          <w:szCs w:val="24"/>
        </w:rPr>
        <w:instrText xml:space="preserve"> PAGEREF _Toc146091918 \h </w:instrText>
      </w:r>
      <w:r>
        <w:rPr>
          <w:szCs w:val="24"/>
        </w:rPr>
        <w:fldChar w:fldCharType="separate"/>
      </w:r>
      <w:r>
        <w:rPr>
          <w:szCs w:val="24"/>
        </w:rPr>
        <w:t>145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"_Toc146091919" </w:instrText>
      </w:r>
      <w:r>
        <w:fldChar w:fldCharType="separate"/>
      </w:r>
      <w:r>
        <w:rPr>
          <w:rStyle w:val="39"/>
          <w:rFonts w:ascii="Times New Roman" w:hAnsi="Times New Roman" w:cs="Times New Roman"/>
          <w:szCs w:val="24"/>
        </w:rPr>
        <w:t xml:space="preserve">3.3.6 </w:t>
      </w:r>
      <w:r>
        <w:rPr>
          <w:rStyle w:val="39"/>
          <w:rFonts w:hint="eastAsia" w:ascii="Times New Roman" w:hAnsi="Times New Roman" w:cs="Times New Roman"/>
          <w:szCs w:val="24"/>
        </w:rPr>
        <w:t>与相关环保规划的相符性分析</w:t>
      </w:r>
      <w:r>
        <w:rPr>
          <w:szCs w:val="24"/>
        </w:rPr>
        <w:tab/>
      </w:r>
      <w:r>
        <w:rPr>
          <w:szCs w:val="24"/>
        </w:rPr>
        <w:fldChar w:fldCharType="begin"/>
      </w:r>
      <w:r>
        <w:rPr>
          <w:szCs w:val="24"/>
        </w:rPr>
        <w:instrText xml:space="preserve"> PAGEREF _Toc146091919 \h </w:instrText>
      </w:r>
      <w:r>
        <w:rPr>
          <w:szCs w:val="24"/>
        </w:rPr>
        <w:fldChar w:fldCharType="separate"/>
      </w:r>
      <w:r>
        <w:rPr>
          <w:szCs w:val="24"/>
        </w:rPr>
        <w:t>148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"_Toc146091920" </w:instrText>
      </w:r>
      <w:r>
        <w:fldChar w:fldCharType="separate"/>
      </w:r>
      <w:r>
        <w:rPr>
          <w:rStyle w:val="39"/>
          <w:szCs w:val="24"/>
        </w:rPr>
        <w:t xml:space="preserve">3.3.7 </w:t>
      </w:r>
      <w:r>
        <w:rPr>
          <w:rStyle w:val="39"/>
          <w:rFonts w:hint="eastAsia"/>
          <w:szCs w:val="24"/>
        </w:rPr>
        <w:t>化工园区相关文件</w:t>
      </w:r>
      <w:r>
        <w:rPr>
          <w:szCs w:val="24"/>
        </w:rPr>
        <w:tab/>
      </w:r>
      <w:r>
        <w:rPr>
          <w:szCs w:val="24"/>
        </w:rPr>
        <w:fldChar w:fldCharType="begin"/>
      </w:r>
      <w:r>
        <w:rPr>
          <w:szCs w:val="24"/>
        </w:rPr>
        <w:instrText xml:space="preserve"> PAGEREF _Toc146091920 \h </w:instrText>
      </w:r>
      <w:r>
        <w:rPr>
          <w:szCs w:val="24"/>
        </w:rPr>
        <w:fldChar w:fldCharType="separate"/>
      </w:r>
      <w:r>
        <w:rPr>
          <w:szCs w:val="24"/>
        </w:rPr>
        <w:t>161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"_Toc146091921" </w:instrText>
      </w:r>
      <w:r>
        <w:fldChar w:fldCharType="separate"/>
      </w:r>
      <w:r>
        <w:rPr>
          <w:rStyle w:val="39"/>
          <w:szCs w:val="24"/>
        </w:rPr>
        <w:t xml:space="preserve">3.3.8 </w:t>
      </w:r>
      <w:r>
        <w:rPr>
          <w:rStyle w:val="39"/>
          <w:rFonts w:hint="eastAsia"/>
          <w:szCs w:val="24"/>
        </w:rPr>
        <w:t>与《洞庭湖生态经济区规划》相符性分析</w:t>
      </w:r>
      <w:r>
        <w:rPr>
          <w:szCs w:val="24"/>
        </w:rPr>
        <w:tab/>
      </w:r>
      <w:r>
        <w:rPr>
          <w:szCs w:val="24"/>
        </w:rPr>
        <w:fldChar w:fldCharType="begin"/>
      </w:r>
      <w:r>
        <w:rPr>
          <w:szCs w:val="24"/>
        </w:rPr>
        <w:instrText xml:space="preserve"> PAGEREF _Toc146091921 \h </w:instrText>
      </w:r>
      <w:r>
        <w:rPr>
          <w:szCs w:val="24"/>
        </w:rPr>
        <w:fldChar w:fldCharType="separate"/>
      </w:r>
      <w:r>
        <w:rPr>
          <w:szCs w:val="24"/>
        </w:rPr>
        <w:t>165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"_Toc146091922" </w:instrText>
      </w:r>
      <w:r>
        <w:fldChar w:fldCharType="separate"/>
      </w:r>
      <w:r>
        <w:rPr>
          <w:rStyle w:val="39"/>
          <w:rFonts w:ascii="Times New Roman" w:hAnsi="Times New Roman" w:cs="Times New Roman"/>
          <w:szCs w:val="24"/>
        </w:rPr>
        <w:t xml:space="preserve">3.3.9 </w:t>
      </w:r>
      <w:r>
        <w:rPr>
          <w:rStyle w:val="39"/>
          <w:rFonts w:hint="eastAsia" w:ascii="Times New Roman" w:hAnsi="Times New Roman" w:cs="Times New Roman"/>
          <w:szCs w:val="24"/>
        </w:rPr>
        <w:t>小结</w:t>
      </w:r>
      <w:r>
        <w:rPr>
          <w:szCs w:val="24"/>
        </w:rPr>
        <w:tab/>
      </w:r>
      <w:r>
        <w:rPr>
          <w:szCs w:val="24"/>
        </w:rPr>
        <w:fldChar w:fldCharType="begin"/>
      </w:r>
      <w:r>
        <w:rPr>
          <w:szCs w:val="24"/>
        </w:rPr>
        <w:instrText xml:space="preserve"> PAGEREF _Toc146091922 \h </w:instrText>
      </w:r>
      <w:r>
        <w:rPr>
          <w:szCs w:val="24"/>
        </w:rPr>
        <w:fldChar w:fldCharType="separate"/>
      </w:r>
      <w:r>
        <w:rPr>
          <w:szCs w:val="24"/>
        </w:rPr>
        <w:t>167</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"_Toc146091923" </w:instrText>
      </w:r>
      <w:r>
        <w:fldChar w:fldCharType="separate"/>
      </w:r>
      <w:r>
        <w:rPr>
          <w:rStyle w:val="39"/>
          <w:rFonts w:hint="eastAsia" w:ascii="Times New Roman" w:hAnsi="Times New Roman"/>
          <w:bCs/>
          <w:kern w:val="44"/>
          <w:szCs w:val="24"/>
        </w:rPr>
        <w:t>第</w:t>
      </w:r>
      <w:r>
        <w:rPr>
          <w:rStyle w:val="39"/>
          <w:rFonts w:ascii="Times New Roman" w:hAnsi="Times New Roman"/>
          <w:bCs/>
          <w:kern w:val="44"/>
          <w:szCs w:val="24"/>
        </w:rPr>
        <w:t>4</w:t>
      </w:r>
      <w:r>
        <w:rPr>
          <w:rStyle w:val="39"/>
          <w:rFonts w:hint="eastAsia" w:ascii="Times New Roman" w:hAnsi="Times New Roman"/>
          <w:bCs/>
          <w:kern w:val="44"/>
          <w:szCs w:val="24"/>
        </w:rPr>
        <w:t>章</w:t>
      </w:r>
      <w:r>
        <w:rPr>
          <w:rStyle w:val="39"/>
          <w:rFonts w:ascii="Times New Roman" w:hAnsi="Times New Roman"/>
          <w:bCs/>
          <w:kern w:val="44"/>
          <w:szCs w:val="24"/>
        </w:rPr>
        <w:t xml:space="preserve"> </w:t>
      </w:r>
      <w:r>
        <w:rPr>
          <w:rStyle w:val="39"/>
          <w:rFonts w:hint="eastAsia" w:ascii="Times New Roman" w:hAnsi="Times New Roman"/>
          <w:bCs/>
          <w:kern w:val="44"/>
          <w:szCs w:val="24"/>
        </w:rPr>
        <w:t>区域概况与环境质量现状</w:t>
      </w:r>
      <w:r>
        <w:rPr>
          <w:szCs w:val="24"/>
        </w:rPr>
        <w:tab/>
      </w:r>
      <w:r>
        <w:rPr>
          <w:szCs w:val="24"/>
        </w:rPr>
        <w:fldChar w:fldCharType="begin"/>
      </w:r>
      <w:r>
        <w:rPr>
          <w:szCs w:val="24"/>
        </w:rPr>
        <w:instrText xml:space="preserve"> PAGEREF _Toc146091923 \h </w:instrText>
      </w:r>
      <w:r>
        <w:rPr>
          <w:szCs w:val="24"/>
        </w:rPr>
        <w:fldChar w:fldCharType="separate"/>
      </w:r>
      <w:r>
        <w:rPr>
          <w:szCs w:val="24"/>
        </w:rPr>
        <w:t>169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"_Toc146091924" </w:instrText>
      </w:r>
      <w:r>
        <w:fldChar w:fldCharType="separate"/>
      </w:r>
      <w:r>
        <w:rPr>
          <w:rStyle w:val="39"/>
          <w:rFonts w:asciiTheme="majorHAnsi" w:hAnsiTheme="majorHAnsi" w:eastAsiaTheme="majorEastAsia" w:cstheme="majorBidi"/>
          <w:bCs/>
          <w:szCs w:val="24"/>
        </w:rPr>
        <w:t xml:space="preserve">4.1 </w:t>
      </w:r>
      <w:r>
        <w:rPr>
          <w:rStyle w:val="39"/>
          <w:rFonts w:hint="eastAsia" w:asciiTheme="majorHAnsi" w:hAnsiTheme="majorHAnsi" w:eastAsiaTheme="majorEastAsia" w:cstheme="majorBidi"/>
          <w:bCs/>
          <w:szCs w:val="24"/>
        </w:rPr>
        <w:t>自然环境概况</w:t>
      </w:r>
      <w:r>
        <w:rPr>
          <w:szCs w:val="24"/>
        </w:rPr>
        <w:tab/>
      </w:r>
      <w:r>
        <w:rPr>
          <w:szCs w:val="24"/>
        </w:rPr>
        <w:fldChar w:fldCharType="begin"/>
      </w:r>
      <w:r>
        <w:rPr>
          <w:szCs w:val="24"/>
        </w:rPr>
        <w:instrText xml:space="preserve"> PAGEREF _Toc146091924 \h </w:instrText>
      </w:r>
      <w:r>
        <w:rPr>
          <w:szCs w:val="24"/>
        </w:rPr>
        <w:fldChar w:fldCharType="separate"/>
      </w:r>
      <w:r>
        <w:rPr>
          <w:szCs w:val="24"/>
        </w:rPr>
        <w:t>169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"_Toc146091925" </w:instrText>
      </w:r>
      <w:r>
        <w:fldChar w:fldCharType="separate"/>
      </w:r>
      <w:r>
        <w:rPr>
          <w:rStyle w:val="39"/>
          <w:rFonts w:ascii="Times New Roman" w:hAnsi="Times New Roman"/>
          <w:bCs/>
          <w:szCs w:val="24"/>
        </w:rPr>
        <w:t xml:space="preserve">4.1.1 </w:t>
      </w:r>
      <w:r>
        <w:rPr>
          <w:rStyle w:val="39"/>
          <w:rFonts w:hint="eastAsia" w:ascii="Times New Roman" w:hAnsi="Times New Roman"/>
          <w:bCs/>
          <w:szCs w:val="24"/>
        </w:rPr>
        <w:t>地理位置</w:t>
      </w:r>
      <w:r>
        <w:rPr>
          <w:szCs w:val="24"/>
        </w:rPr>
        <w:tab/>
      </w:r>
      <w:r>
        <w:rPr>
          <w:szCs w:val="24"/>
        </w:rPr>
        <w:fldChar w:fldCharType="begin"/>
      </w:r>
      <w:r>
        <w:rPr>
          <w:szCs w:val="24"/>
        </w:rPr>
        <w:instrText xml:space="preserve"> PAGEREF _Toc146091925 \h </w:instrText>
      </w:r>
      <w:r>
        <w:rPr>
          <w:szCs w:val="24"/>
        </w:rPr>
        <w:fldChar w:fldCharType="separate"/>
      </w:r>
      <w:r>
        <w:rPr>
          <w:szCs w:val="24"/>
        </w:rPr>
        <w:t>169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"_Toc146091926" </w:instrText>
      </w:r>
      <w:r>
        <w:fldChar w:fldCharType="separate"/>
      </w:r>
      <w:r>
        <w:rPr>
          <w:rStyle w:val="39"/>
          <w:rFonts w:ascii="Times New Roman" w:hAnsi="Times New Roman"/>
          <w:bCs/>
          <w:szCs w:val="24"/>
        </w:rPr>
        <w:t xml:space="preserve">4.1.2 </w:t>
      </w:r>
      <w:r>
        <w:rPr>
          <w:rStyle w:val="39"/>
          <w:rFonts w:hint="eastAsia" w:ascii="Times New Roman" w:hAnsi="Times New Roman"/>
          <w:bCs/>
          <w:szCs w:val="24"/>
        </w:rPr>
        <w:t>地形地貌地质</w:t>
      </w:r>
      <w:r>
        <w:rPr>
          <w:szCs w:val="24"/>
        </w:rPr>
        <w:tab/>
      </w:r>
      <w:r>
        <w:rPr>
          <w:szCs w:val="24"/>
        </w:rPr>
        <w:fldChar w:fldCharType="begin"/>
      </w:r>
      <w:r>
        <w:rPr>
          <w:szCs w:val="24"/>
        </w:rPr>
        <w:instrText xml:space="preserve"> PAGEREF _Toc146091926 \h </w:instrText>
      </w:r>
      <w:r>
        <w:rPr>
          <w:szCs w:val="24"/>
        </w:rPr>
        <w:fldChar w:fldCharType="separate"/>
      </w:r>
      <w:r>
        <w:rPr>
          <w:szCs w:val="24"/>
        </w:rPr>
        <w:t>169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"_Toc146091927" </w:instrText>
      </w:r>
      <w:r>
        <w:fldChar w:fldCharType="separate"/>
      </w:r>
      <w:r>
        <w:rPr>
          <w:rStyle w:val="39"/>
          <w:rFonts w:ascii="Times New Roman" w:hAnsi="Times New Roman"/>
          <w:bCs/>
          <w:szCs w:val="24"/>
        </w:rPr>
        <w:t xml:space="preserve">4.1.3 </w:t>
      </w:r>
      <w:r>
        <w:rPr>
          <w:rStyle w:val="39"/>
          <w:rFonts w:hint="eastAsia" w:ascii="Times New Roman" w:hAnsi="Times New Roman"/>
          <w:bCs/>
          <w:szCs w:val="24"/>
        </w:rPr>
        <w:t>气候气象</w:t>
      </w:r>
      <w:r>
        <w:rPr>
          <w:szCs w:val="24"/>
        </w:rPr>
        <w:tab/>
      </w:r>
      <w:r>
        <w:rPr>
          <w:szCs w:val="24"/>
        </w:rPr>
        <w:fldChar w:fldCharType="begin"/>
      </w:r>
      <w:r>
        <w:rPr>
          <w:szCs w:val="24"/>
        </w:rPr>
        <w:instrText xml:space="preserve"> PAGEREF _Toc146091927 \h </w:instrText>
      </w:r>
      <w:r>
        <w:rPr>
          <w:szCs w:val="24"/>
        </w:rPr>
        <w:fldChar w:fldCharType="separate"/>
      </w:r>
      <w:r>
        <w:rPr>
          <w:szCs w:val="24"/>
        </w:rPr>
        <w:t>169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"_Toc146091928" </w:instrText>
      </w:r>
      <w:r>
        <w:fldChar w:fldCharType="separate"/>
      </w:r>
      <w:r>
        <w:rPr>
          <w:rStyle w:val="39"/>
          <w:rFonts w:ascii="Times New Roman" w:hAnsi="Times New Roman"/>
          <w:bCs/>
          <w:szCs w:val="24"/>
        </w:rPr>
        <w:t xml:space="preserve">4.1.4 </w:t>
      </w:r>
      <w:r>
        <w:rPr>
          <w:rStyle w:val="39"/>
          <w:rFonts w:hint="eastAsia" w:ascii="Times New Roman" w:hAnsi="Times New Roman"/>
          <w:bCs/>
          <w:szCs w:val="24"/>
        </w:rPr>
        <w:t>水文水系</w:t>
      </w:r>
      <w:r>
        <w:rPr>
          <w:szCs w:val="24"/>
        </w:rPr>
        <w:tab/>
      </w:r>
      <w:r>
        <w:rPr>
          <w:szCs w:val="24"/>
        </w:rPr>
        <w:fldChar w:fldCharType="begin"/>
      </w:r>
      <w:r>
        <w:rPr>
          <w:szCs w:val="24"/>
        </w:rPr>
        <w:instrText xml:space="preserve"> PAGEREF _Toc146091928 \h </w:instrText>
      </w:r>
      <w:r>
        <w:rPr>
          <w:szCs w:val="24"/>
        </w:rPr>
        <w:fldChar w:fldCharType="separate"/>
      </w:r>
      <w:r>
        <w:rPr>
          <w:szCs w:val="24"/>
        </w:rPr>
        <w:t>170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"_Toc146091929" </w:instrText>
      </w:r>
      <w:r>
        <w:fldChar w:fldCharType="separate"/>
      </w:r>
      <w:r>
        <w:rPr>
          <w:rStyle w:val="39"/>
          <w:rFonts w:ascii="Times New Roman" w:hAnsi="Times New Roman"/>
          <w:bCs/>
          <w:szCs w:val="24"/>
        </w:rPr>
        <w:t xml:space="preserve">4.1.5 </w:t>
      </w:r>
      <w:r>
        <w:rPr>
          <w:rStyle w:val="39"/>
          <w:rFonts w:hint="eastAsia" w:ascii="Times New Roman" w:hAnsi="Times New Roman"/>
          <w:bCs/>
          <w:szCs w:val="24"/>
        </w:rPr>
        <w:t>生态环境</w:t>
      </w:r>
      <w:r>
        <w:rPr>
          <w:szCs w:val="24"/>
        </w:rPr>
        <w:tab/>
      </w:r>
      <w:r>
        <w:rPr>
          <w:szCs w:val="24"/>
        </w:rPr>
        <w:fldChar w:fldCharType="begin"/>
      </w:r>
      <w:r>
        <w:rPr>
          <w:szCs w:val="24"/>
        </w:rPr>
        <w:instrText xml:space="preserve"> PAGEREF _Toc146091929 \h </w:instrText>
      </w:r>
      <w:r>
        <w:rPr>
          <w:szCs w:val="24"/>
        </w:rPr>
        <w:fldChar w:fldCharType="separate"/>
      </w:r>
      <w:r>
        <w:rPr>
          <w:szCs w:val="24"/>
        </w:rPr>
        <w:t>171</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"_Toc146091930" </w:instrText>
      </w:r>
      <w:r>
        <w:fldChar w:fldCharType="separate"/>
      </w:r>
      <w:r>
        <w:rPr>
          <w:rStyle w:val="39"/>
          <w:rFonts w:asciiTheme="majorHAnsi" w:hAnsiTheme="majorHAnsi" w:eastAsiaTheme="majorEastAsia" w:cstheme="majorBidi"/>
          <w:bCs/>
          <w:szCs w:val="24"/>
        </w:rPr>
        <w:t xml:space="preserve">4.2 </w:t>
      </w:r>
      <w:r>
        <w:rPr>
          <w:rStyle w:val="39"/>
          <w:rFonts w:hint="eastAsia" w:asciiTheme="majorHAnsi" w:hAnsiTheme="majorHAnsi" w:eastAsiaTheme="majorEastAsia" w:cstheme="majorBidi"/>
          <w:bCs/>
          <w:szCs w:val="24"/>
        </w:rPr>
        <w:t>社会经济概况</w:t>
      </w:r>
      <w:r>
        <w:rPr>
          <w:szCs w:val="24"/>
        </w:rPr>
        <w:tab/>
      </w:r>
      <w:r>
        <w:rPr>
          <w:szCs w:val="24"/>
        </w:rPr>
        <w:fldChar w:fldCharType="begin"/>
      </w:r>
      <w:r>
        <w:rPr>
          <w:szCs w:val="24"/>
        </w:rPr>
        <w:instrText xml:space="preserve"> PAGEREF _Toc146091930 \h </w:instrText>
      </w:r>
      <w:r>
        <w:rPr>
          <w:szCs w:val="24"/>
        </w:rPr>
        <w:fldChar w:fldCharType="separate"/>
      </w:r>
      <w:r>
        <w:rPr>
          <w:szCs w:val="24"/>
        </w:rPr>
        <w:t>172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"_Toc146091931" </w:instrText>
      </w:r>
      <w:r>
        <w:fldChar w:fldCharType="separate"/>
      </w:r>
      <w:r>
        <w:rPr>
          <w:rStyle w:val="39"/>
          <w:rFonts w:ascii="Times New Roman" w:hAnsi="Times New Roman"/>
          <w:bCs/>
          <w:szCs w:val="24"/>
        </w:rPr>
        <w:t xml:space="preserve">4.2.1 </w:t>
      </w:r>
      <w:r>
        <w:rPr>
          <w:rStyle w:val="39"/>
          <w:rFonts w:hint="eastAsia" w:ascii="Times New Roman" w:hAnsi="Times New Roman"/>
          <w:bCs/>
          <w:szCs w:val="24"/>
        </w:rPr>
        <w:t>综合</w:t>
      </w:r>
      <w:r>
        <w:rPr>
          <w:szCs w:val="24"/>
        </w:rPr>
        <w:tab/>
      </w:r>
      <w:r>
        <w:rPr>
          <w:szCs w:val="24"/>
        </w:rPr>
        <w:fldChar w:fldCharType="begin"/>
      </w:r>
      <w:r>
        <w:rPr>
          <w:szCs w:val="24"/>
        </w:rPr>
        <w:instrText xml:space="preserve"> PAGEREF _Toc146091931 \h </w:instrText>
      </w:r>
      <w:r>
        <w:rPr>
          <w:szCs w:val="24"/>
        </w:rPr>
        <w:fldChar w:fldCharType="separate"/>
      </w:r>
      <w:r>
        <w:rPr>
          <w:szCs w:val="24"/>
        </w:rPr>
        <w:t>172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"_Toc146091932" </w:instrText>
      </w:r>
      <w:r>
        <w:fldChar w:fldCharType="separate"/>
      </w:r>
      <w:r>
        <w:rPr>
          <w:rStyle w:val="39"/>
          <w:rFonts w:ascii="Times New Roman" w:hAnsi="Times New Roman"/>
          <w:bCs/>
          <w:szCs w:val="24"/>
        </w:rPr>
        <w:t xml:space="preserve">4.2.2 </w:t>
      </w:r>
      <w:r>
        <w:rPr>
          <w:rStyle w:val="39"/>
          <w:rFonts w:hint="eastAsia" w:ascii="Times New Roman" w:hAnsi="Times New Roman"/>
          <w:bCs/>
          <w:szCs w:val="24"/>
        </w:rPr>
        <w:t>农业</w:t>
      </w:r>
      <w:r>
        <w:rPr>
          <w:szCs w:val="24"/>
        </w:rPr>
        <w:tab/>
      </w:r>
      <w:r>
        <w:rPr>
          <w:szCs w:val="24"/>
        </w:rPr>
        <w:fldChar w:fldCharType="begin"/>
      </w:r>
      <w:r>
        <w:rPr>
          <w:szCs w:val="24"/>
        </w:rPr>
        <w:instrText xml:space="preserve"> PAGEREF _Toc146091932 \h </w:instrText>
      </w:r>
      <w:r>
        <w:rPr>
          <w:szCs w:val="24"/>
        </w:rPr>
        <w:fldChar w:fldCharType="separate"/>
      </w:r>
      <w:r>
        <w:rPr>
          <w:szCs w:val="24"/>
        </w:rPr>
        <w:t>172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"_Toc146091933" </w:instrText>
      </w:r>
      <w:r>
        <w:fldChar w:fldCharType="separate"/>
      </w:r>
      <w:r>
        <w:rPr>
          <w:rStyle w:val="39"/>
          <w:rFonts w:ascii="Times New Roman" w:hAnsi="Times New Roman"/>
          <w:bCs/>
          <w:szCs w:val="24"/>
        </w:rPr>
        <w:t xml:space="preserve">4.2.3 </w:t>
      </w:r>
      <w:r>
        <w:rPr>
          <w:rStyle w:val="39"/>
          <w:rFonts w:hint="eastAsia" w:ascii="Times New Roman" w:hAnsi="Times New Roman"/>
          <w:bCs/>
          <w:szCs w:val="24"/>
        </w:rPr>
        <w:t>工业和建筑业</w:t>
      </w:r>
      <w:r>
        <w:rPr>
          <w:szCs w:val="24"/>
        </w:rPr>
        <w:tab/>
      </w:r>
      <w:r>
        <w:rPr>
          <w:szCs w:val="24"/>
        </w:rPr>
        <w:fldChar w:fldCharType="begin"/>
      </w:r>
      <w:r>
        <w:rPr>
          <w:szCs w:val="24"/>
        </w:rPr>
        <w:instrText xml:space="preserve"> PAGEREF _Toc146091933 \h </w:instrText>
      </w:r>
      <w:r>
        <w:rPr>
          <w:szCs w:val="24"/>
        </w:rPr>
        <w:fldChar w:fldCharType="separate"/>
      </w:r>
      <w:r>
        <w:rPr>
          <w:szCs w:val="24"/>
        </w:rPr>
        <w:t>173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"_Toc146091934" </w:instrText>
      </w:r>
      <w:r>
        <w:fldChar w:fldCharType="separate"/>
      </w:r>
      <w:r>
        <w:rPr>
          <w:rStyle w:val="39"/>
          <w:rFonts w:ascii="Times New Roman" w:hAnsi="Times New Roman"/>
          <w:bCs/>
          <w:szCs w:val="24"/>
        </w:rPr>
        <w:t xml:space="preserve">4.2.4 </w:t>
      </w:r>
      <w:r>
        <w:rPr>
          <w:rStyle w:val="39"/>
          <w:rFonts w:hint="eastAsia" w:ascii="Times New Roman" w:hAnsi="Times New Roman"/>
          <w:bCs/>
          <w:szCs w:val="24"/>
        </w:rPr>
        <w:t>固定资产投资</w:t>
      </w:r>
      <w:r>
        <w:rPr>
          <w:szCs w:val="24"/>
        </w:rPr>
        <w:tab/>
      </w:r>
      <w:r>
        <w:rPr>
          <w:szCs w:val="24"/>
        </w:rPr>
        <w:fldChar w:fldCharType="begin"/>
      </w:r>
      <w:r>
        <w:rPr>
          <w:szCs w:val="24"/>
        </w:rPr>
        <w:instrText xml:space="preserve"> PAGEREF _Toc146091934 \h </w:instrText>
      </w:r>
      <w:r>
        <w:rPr>
          <w:szCs w:val="24"/>
        </w:rPr>
        <w:fldChar w:fldCharType="separate"/>
      </w:r>
      <w:r>
        <w:rPr>
          <w:szCs w:val="24"/>
        </w:rPr>
        <w:t>173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"_Toc146091935" </w:instrText>
      </w:r>
      <w:r>
        <w:fldChar w:fldCharType="separate"/>
      </w:r>
      <w:r>
        <w:rPr>
          <w:rStyle w:val="39"/>
          <w:rFonts w:ascii="Times New Roman" w:hAnsi="Times New Roman"/>
          <w:bCs/>
          <w:szCs w:val="24"/>
        </w:rPr>
        <w:t xml:space="preserve">4.2.5 </w:t>
      </w:r>
      <w:r>
        <w:rPr>
          <w:rStyle w:val="39"/>
          <w:rFonts w:hint="eastAsia" w:ascii="Times New Roman" w:hAnsi="Times New Roman"/>
          <w:bCs/>
          <w:szCs w:val="24"/>
        </w:rPr>
        <w:t>国内贸易</w:t>
      </w:r>
      <w:r>
        <w:rPr>
          <w:szCs w:val="24"/>
        </w:rPr>
        <w:tab/>
      </w:r>
      <w:r>
        <w:rPr>
          <w:szCs w:val="24"/>
        </w:rPr>
        <w:fldChar w:fldCharType="begin"/>
      </w:r>
      <w:r>
        <w:rPr>
          <w:szCs w:val="24"/>
        </w:rPr>
        <w:instrText xml:space="preserve"> PAGEREF _Toc146091935 \h </w:instrText>
      </w:r>
      <w:r>
        <w:rPr>
          <w:szCs w:val="24"/>
        </w:rPr>
        <w:fldChar w:fldCharType="separate"/>
      </w:r>
      <w:r>
        <w:rPr>
          <w:szCs w:val="24"/>
        </w:rPr>
        <w:t>173</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"_Toc146091936" </w:instrText>
      </w:r>
      <w:r>
        <w:fldChar w:fldCharType="separate"/>
      </w:r>
      <w:r>
        <w:rPr>
          <w:rStyle w:val="39"/>
          <w:rFonts w:asciiTheme="majorHAnsi" w:hAnsiTheme="majorHAnsi" w:eastAsiaTheme="majorEastAsia" w:cstheme="majorBidi"/>
          <w:bCs/>
          <w:szCs w:val="24"/>
        </w:rPr>
        <w:t xml:space="preserve">4.3 </w:t>
      </w:r>
      <w:r>
        <w:rPr>
          <w:rStyle w:val="39"/>
          <w:rFonts w:hint="eastAsia" w:asciiTheme="majorHAnsi" w:hAnsiTheme="majorHAnsi" w:eastAsiaTheme="majorEastAsia" w:cstheme="majorBidi"/>
          <w:bCs/>
          <w:szCs w:val="24"/>
        </w:rPr>
        <w:t>环境质量现状调查与评价</w:t>
      </w:r>
      <w:r>
        <w:rPr>
          <w:szCs w:val="24"/>
        </w:rPr>
        <w:tab/>
      </w:r>
      <w:r>
        <w:rPr>
          <w:szCs w:val="24"/>
        </w:rPr>
        <w:fldChar w:fldCharType="begin"/>
      </w:r>
      <w:r>
        <w:rPr>
          <w:szCs w:val="24"/>
        </w:rPr>
        <w:instrText xml:space="preserve"> PAGEREF _Toc146091936 \h </w:instrText>
      </w:r>
      <w:r>
        <w:rPr>
          <w:szCs w:val="24"/>
        </w:rPr>
        <w:fldChar w:fldCharType="separate"/>
      </w:r>
      <w:r>
        <w:rPr>
          <w:szCs w:val="24"/>
        </w:rPr>
        <w:t>174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"_Toc146091937" </w:instrText>
      </w:r>
      <w:r>
        <w:fldChar w:fldCharType="separate"/>
      </w:r>
      <w:r>
        <w:rPr>
          <w:rStyle w:val="39"/>
          <w:rFonts w:ascii="Times New Roman" w:hAnsi="Times New Roman"/>
          <w:bCs/>
          <w:szCs w:val="24"/>
        </w:rPr>
        <w:t xml:space="preserve">4.3.1 </w:t>
      </w:r>
      <w:r>
        <w:rPr>
          <w:rStyle w:val="39"/>
          <w:rFonts w:hint="eastAsia" w:ascii="Times New Roman" w:hAnsi="Times New Roman"/>
          <w:bCs/>
          <w:szCs w:val="24"/>
        </w:rPr>
        <w:t>环境空气质量现状调查</w:t>
      </w:r>
      <w:r>
        <w:rPr>
          <w:szCs w:val="24"/>
        </w:rPr>
        <w:tab/>
      </w:r>
      <w:r>
        <w:rPr>
          <w:szCs w:val="24"/>
        </w:rPr>
        <w:fldChar w:fldCharType="begin"/>
      </w:r>
      <w:r>
        <w:rPr>
          <w:szCs w:val="24"/>
        </w:rPr>
        <w:instrText xml:space="preserve"> PAGEREF _Toc146091937 \h </w:instrText>
      </w:r>
      <w:r>
        <w:rPr>
          <w:szCs w:val="24"/>
        </w:rPr>
        <w:fldChar w:fldCharType="separate"/>
      </w:r>
      <w:r>
        <w:rPr>
          <w:szCs w:val="24"/>
        </w:rPr>
        <w:t>174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"_Toc146091938" </w:instrText>
      </w:r>
      <w:r>
        <w:fldChar w:fldCharType="separate"/>
      </w:r>
      <w:r>
        <w:rPr>
          <w:rStyle w:val="39"/>
          <w:rFonts w:ascii="Times New Roman" w:hAnsi="Times New Roman"/>
          <w:bCs/>
          <w:szCs w:val="24"/>
        </w:rPr>
        <w:t xml:space="preserve">4.3.2 </w:t>
      </w:r>
      <w:r>
        <w:rPr>
          <w:rStyle w:val="39"/>
          <w:rFonts w:hint="eastAsia" w:ascii="Times New Roman" w:hAnsi="Times New Roman"/>
          <w:bCs/>
          <w:szCs w:val="24"/>
        </w:rPr>
        <w:t>地表水质量现状调查</w:t>
      </w:r>
      <w:r>
        <w:rPr>
          <w:szCs w:val="24"/>
        </w:rPr>
        <w:tab/>
      </w:r>
      <w:r>
        <w:rPr>
          <w:szCs w:val="24"/>
        </w:rPr>
        <w:fldChar w:fldCharType="begin"/>
      </w:r>
      <w:r>
        <w:rPr>
          <w:szCs w:val="24"/>
        </w:rPr>
        <w:instrText xml:space="preserve"> PAGEREF _Toc146091938 \h </w:instrText>
      </w:r>
      <w:r>
        <w:rPr>
          <w:szCs w:val="24"/>
        </w:rPr>
        <w:fldChar w:fldCharType="separate"/>
      </w:r>
      <w:r>
        <w:rPr>
          <w:szCs w:val="24"/>
        </w:rPr>
        <w:t>181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"_Toc146091939" </w:instrText>
      </w:r>
      <w:r>
        <w:fldChar w:fldCharType="separate"/>
      </w:r>
      <w:r>
        <w:rPr>
          <w:rStyle w:val="39"/>
          <w:rFonts w:ascii="Times New Roman" w:hAnsi="Times New Roman"/>
          <w:bCs/>
          <w:szCs w:val="24"/>
        </w:rPr>
        <w:t xml:space="preserve">4.3.3 </w:t>
      </w:r>
      <w:r>
        <w:rPr>
          <w:rStyle w:val="39"/>
          <w:rFonts w:hint="eastAsia" w:ascii="Times New Roman" w:hAnsi="Times New Roman"/>
          <w:bCs/>
          <w:szCs w:val="24"/>
        </w:rPr>
        <w:t>地下水质量现状调查</w:t>
      </w:r>
      <w:r>
        <w:rPr>
          <w:szCs w:val="24"/>
        </w:rPr>
        <w:tab/>
      </w:r>
      <w:r>
        <w:rPr>
          <w:szCs w:val="24"/>
        </w:rPr>
        <w:fldChar w:fldCharType="begin"/>
      </w:r>
      <w:r>
        <w:rPr>
          <w:szCs w:val="24"/>
        </w:rPr>
        <w:instrText xml:space="preserve"> PAGEREF _Toc146091939 \h </w:instrText>
      </w:r>
      <w:r>
        <w:rPr>
          <w:szCs w:val="24"/>
        </w:rPr>
        <w:fldChar w:fldCharType="separate"/>
      </w:r>
      <w:r>
        <w:rPr>
          <w:szCs w:val="24"/>
        </w:rPr>
        <w:t>189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"_Toc146091940" </w:instrText>
      </w:r>
      <w:r>
        <w:fldChar w:fldCharType="separate"/>
      </w:r>
      <w:r>
        <w:rPr>
          <w:rStyle w:val="39"/>
          <w:rFonts w:ascii="Times New Roman" w:hAnsi="Times New Roman"/>
          <w:bCs/>
          <w:szCs w:val="24"/>
        </w:rPr>
        <w:t xml:space="preserve">4.3.4 </w:t>
      </w:r>
      <w:r>
        <w:rPr>
          <w:rStyle w:val="39"/>
          <w:rFonts w:hint="eastAsia" w:ascii="Times New Roman" w:hAnsi="Times New Roman"/>
          <w:bCs/>
          <w:szCs w:val="24"/>
        </w:rPr>
        <w:t>声环境质量现状调查</w:t>
      </w:r>
      <w:r>
        <w:rPr>
          <w:szCs w:val="24"/>
        </w:rPr>
        <w:tab/>
      </w:r>
      <w:r>
        <w:rPr>
          <w:szCs w:val="24"/>
        </w:rPr>
        <w:fldChar w:fldCharType="begin"/>
      </w:r>
      <w:r>
        <w:rPr>
          <w:szCs w:val="24"/>
        </w:rPr>
        <w:instrText xml:space="preserve"> PAGEREF _Toc146091940 \h </w:instrText>
      </w:r>
      <w:r>
        <w:rPr>
          <w:szCs w:val="24"/>
        </w:rPr>
        <w:fldChar w:fldCharType="separate"/>
      </w:r>
      <w:r>
        <w:rPr>
          <w:szCs w:val="24"/>
        </w:rPr>
        <w:t>199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"_Toc146091941" </w:instrText>
      </w:r>
      <w:r>
        <w:fldChar w:fldCharType="separate"/>
      </w:r>
      <w:r>
        <w:rPr>
          <w:rStyle w:val="39"/>
          <w:rFonts w:ascii="Times New Roman" w:hAnsi="Times New Roman"/>
          <w:bCs/>
          <w:szCs w:val="24"/>
        </w:rPr>
        <w:t xml:space="preserve">4.3.5 </w:t>
      </w:r>
      <w:r>
        <w:rPr>
          <w:rStyle w:val="39"/>
          <w:rFonts w:hint="eastAsia" w:ascii="Times New Roman" w:hAnsi="Times New Roman"/>
          <w:bCs/>
          <w:szCs w:val="24"/>
        </w:rPr>
        <w:t>土壤环境质量现状调查</w:t>
      </w:r>
      <w:r>
        <w:rPr>
          <w:szCs w:val="24"/>
        </w:rPr>
        <w:tab/>
      </w:r>
      <w:r>
        <w:rPr>
          <w:szCs w:val="24"/>
        </w:rPr>
        <w:fldChar w:fldCharType="begin"/>
      </w:r>
      <w:r>
        <w:rPr>
          <w:szCs w:val="24"/>
        </w:rPr>
        <w:instrText xml:space="preserve"> PAGEREF _Toc146091941 \h </w:instrText>
      </w:r>
      <w:r>
        <w:rPr>
          <w:szCs w:val="24"/>
        </w:rPr>
        <w:fldChar w:fldCharType="separate"/>
      </w:r>
      <w:r>
        <w:rPr>
          <w:szCs w:val="24"/>
        </w:rPr>
        <w:t>201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"_Toc146091942" </w:instrText>
      </w:r>
      <w:r>
        <w:fldChar w:fldCharType="separate"/>
      </w:r>
      <w:r>
        <w:rPr>
          <w:rStyle w:val="39"/>
          <w:rFonts w:ascii="Times New Roman" w:hAnsi="Times New Roman"/>
          <w:bCs/>
          <w:szCs w:val="24"/>
        </w:rPr>
        <w:t xml:space="preserve">4.3.6 </w:t>
      </w:r>
      <w:r>
        <w:rPr>
          <w:rStyle w:val="39"/>
          <w:rFonts w:hint="eastAsia" w:ascii="Times New Roman" w:hAnsi="Times New Roman"/>
          <w:bCs/>
          <w:szCs w:val="24"/>
        </w:rPr>
        <w:t>底泥环境质量现状调查</w:t>
      </w:r>
      <w:r>
        <w:rPr>
          <w:szCs w:val="24"/>
        </w:rPr>
        <w:tab/>
      </w:r>
      <w:r>
        <w:rPr>
          <w:szCs w:val="24"/>
        </w:rPr>
        <w:fldChar w:fldCharType="begin"/>
      </w:r>
      <w:r>
        <w:rPr>
          <w:szCs w:val="24"/>
        </w:rPr>
        <w:instrText xml:space="preserve"> PAGEREF _Toc146091942 \h </w:instrText>
      </w:r>
      <w:r>
        <w:rPr>
          <w:szCs w:val="24"/>
        </w:rPr>
        <w:fldChar w:fldCharType="separate"/>
      </w:r>
      <w:r>
        <w:rPr>
          <w:szCs w:val="24"/>
        </w:rPr>
        <w:t>210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"_Toc146091943" </w:instrText>
      </w:r>
      <w:r>
        <w:fldChar w:fldCharType="separate"/>
      </w:r>
      <w:r>
        <w:rPr>
          <w:rStyle w:val="39"/>
          <w:rFonts w:asciiTheme="majorHAnsi" w:hAnsiTheme="majorHAnsi" w:eastAsiaTheme="majorEastAsia" w:cstheme="majorBidi"/>
          <w:bCs/>
          <w:szCs w:val="24"/>
        </w:rPr>
        <w:t>4.4</w:t>
      </w:r>
      <w:r>
        <w:rPr>
          <w:rStyle w:val="39"/>
          <w:rFonts w:hint="eastAsia" w:asciiTheme="majorHAnsi" w:hAnsiTheme="majorHAnsi" w:eastAsiaTheme="majorEastAsia" w:cstheme="majorBidi"/>
          <w:bCs/>
          <w:szCs w:val="24"/>
        </w:rPr>
        <w:t>生态系统结构与功能变化趋势分析</w:t>
      </w:r>
      <w:r>
        <w:rPr>
          <w:szCs w:val="24"/>
        </w:rPr>
        <w:tab/>
      </w:r>
      <w:r>
        <w:rPr>
          <w:szCs w:val="24"/>
        </w:rPr>
        <w:fldChar w:fldCharType="begin"/>
      </w:r>
      <w:r>
        <w:rPr>
          <w:szCs w:val="24"/>
        </w:rPr>
        <w:instrText xml:space="preserve"> PAGEREF _Toc146091943 \h </w:instrText>
      </w:r>
      <w:r>
        <w:rPr>
          <w:szCs w:val="24"/>
        </w:rPr>
        <w:fldChar w:fldCharType="separate"/>
      </w:r>
      <w:r>
        <w:rPr>
          <w:szCs w:val="24"/>
        </w:rPr>
        <w:t>210</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"_Toc146091944" </w:instrText>
      </w:r>
      <w:r>
        <w:fldChar w:fldCharType="separate"/>
      </w:r>
      <w:r>
        <w:rPr>
          <w:rStyle w:val="39"/>
          <w:rFonts w:hint="eastAsia" w:ascii="Times New Roman" w:hAnsi="Times New Roman" w:cs="Times New Roman"/>
          <w:szCs w:val="24"/>
        </w:rPr>
        <w:t>第</w:t>
      </w:r>
      <w:r>
        <w:rPr>
          <w:rStyle w:val="39"/>
          <w:rFonts w:ascii="Times New Roman" w:hAnsi="Times New Roman" w:cs="Times New Roman"/>
          <w:szCs w:val="24"/>
        </w:rPr>
        <w:t>5</w:t>
      </w:r>
      <w:r>
        <w:rPr>
          <w:rStyle w:val="39"/>
          <w:rFonts w:hint="eastAsia" w:ascii="Times New Roman" w:hAnsi="Times New Roman" w:cs="Times New Roman"/>
          <w:szCs w:val="24"/>
        </w:rPr>
        <w:t>章</w:t>
      </w:r>
      <w:r>
        <w:rPr>
          <w:rStyle w:val="39"/>
          <w:rFonts w:ascii="Times New Roman" w:hAnsi="Times New Roman" w:cs="Times New Roman"/>
          <w:szCs w:val="24"/>
        </w:rPr>
        <w:t xml:space="preserve"> </w:t>
      </w:r>
      <w:r>
        <w:rPr>
          <w:rStyle w:val="39"/>
          <w:rFonts w:hint="eastAsia" w:ascii="Times New Roman" w:hAnsi="Times New Roman" w:cs="Times New Roman"/>
          <w:szCs w:val="24"/>
        </w:rPr>
        <w:t>环境影响识别与评价指标体系构建</w:t>
      </w:r>
      <w:r>
        <w:rPr>
          <w:szCs w:val="24"/>
        </w:rPr>
        <w:tab/>
      </w:r>
      <w:r>
        <w:rPr>
          <w:szCs w:val="24"/>
        </w:rPr>
        <w:fldChar w:fldCharType="begin"/>
      </w:r>
      <w:r>
        <w:rPr>
          <w:szCs w:val="24"/>
        </w:rPr>
        <w:instrText xml:space="preserve"> PAGEREF _Toc146091944 \h </w:instrText>
      </w:r>
      <w:r>
        <w:rPr>
          <w:szCs w:val="24"/>
        </w:rPr>
        <w:fldChar w:fldCharType="separate"/>
      </w:r>
      <w:r>
        <w:rPr>
          <w:szCs w:val="24"/>
        </w:rPr>
        <w:t>217</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"_Toc146091945" </w:instrText>
      </w:r>
      <w:r>
        <w:fldChar w:fldCharType="separate"/>
      </w:r>
      <w:r>
        <w:rPr>
          <w:rStyle w:val="39"/>
          <w:rFonts w:ascii="Times New Roman" w:hAnsi="Times New Roman" w:cs="Times New Roman"/>
          <w:szCs w:val="24"/>
        </w:rPr>
        <w:t xml:space="preserve">5.1 </w:t>
      </w:r>
      <w:r>
        <w:rPr>
          <w:rStyle w:val="39"/>
          <w:rFonts w:hint="eastAsia" w:ascii="Times New Roman" w:hAnsi="Times New Roman" w:cs="Times New Roman"/>
          <w:szCs w:val="24"/>
        </w:rPr>
        <w:t>环境影响识别</w:t>
      </w:r>
      <w:r>
        <w:rPr>
          <w:szCs w:val="24"/>
        </w:rPr>
        <w:tab/>
      </w:r>
      <w:r>
        <w:rPr>
          <w:szCs w:val="24"/>
        </w:rPr>
        <w:fldChar w:fldCharType="begin"/>
      </w:r>
      <w:r>
        <w:rPr>
          <w:szCs w:val="24"/>
        </w:rPr>
        <w:instrText xml:space="preserve"> PAGEREF _Toc146091945 \h </w:instrText>
      </w:r>
      <w:r>
        <w:rPr>
          <w:szCs w:val="24"/>
        </w:rPr>
        <w:fldChar w:fldCharType="separate"/>
      </w:r>
      <w:r>
        <w:rPr>
          <w:szCs w:val="24"/>
        </w:rPr>
        <w:t>217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"_Toc146091946" </w:instrText>
      </w:r>
      <w:r>
        <w:fldChar w:fldCharType="separate"/>
      </w:r>
      <w:r>
        <w:rPr>
          <w:rStyle w:val="39"/>
          <w:rFonts w:ascii="Times New Roman" w:hAnsi="Times New Roman" w:cs="Times New Roman"/>
          <w:szCs w:val="24"/>
        </w:rPr>
        <w:t xml:space="preserve">5.1.1 </w:t>
      </w:r>
      <w:r>
        <w:rPr>
          <w:rStyle w:val="39"/>
          <w:rFonts w:hint="eastAsia" w:ascii="Times New Roman" w:hAnsi="Times New Roman" w:cs="Times New Roman"/>
          <w:szCs w:val="24"/>
        </w:rPr>
        <w:t>宏观规划层次的环境影响识别</w:t>
      </w:r>
      <w:r>
        <w:rPr>
          <w:szCs w:val="24"/>
        </w:rPr>
        <w:tab/>
      </w:r>
      <w:r>
        <w:rPr>
          <w:szCs w:val="24"/>
        </w:rPr>
        <w:fldChar w:fldCharType="begin"/>
      </w:r>
      <w:r>
        <w:rPr>
          <w:szCs w:val="24"/>
        </w:rPr>
        <w:instrText xml:space="preserve"> PAGEREF _Toc146091946 \h </w:instrText>
      </w:r>
      <w:r>
        <w:rPr>
          <w:szCs w:val="24"/>
        </w:rPr>
        <w:fldChar w:fldCharType="separate"/>
      </w:r>
      <w:r>
        <w:rPr>
          <w:szCs w:val="24"/>
        </w:rPr>
        <w:t>217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"_Toc146091947" </w:instrText>
      </w:r>
      <w:r>
        <w:fldChar w:fldCharType="separate"/>
      </w:r>
      <w:r>
        <w:rPr>
          <w:rStyle w:val="39"/>
          <w:rFonts w:ascii="Times New Roman" w:hAnsi="Times New Roman" w:cs="Times New Roman"/>
          <w:szCs w:val="24"/>
        </w:rPr>
        <w:t xml:space="preserve">5.1.2 </w:t>
      </w:r>
      <w:r>
        <w:rPr>
          <w:rStyle w:val="39"/>
          <w:rFonts w:hint="eastAsia" w:ascii="Times New Roman" w:hAnsi="Times New Roman" w:cs="Times New Roman"/>
          <w:szCs w:val="24"/>
        </w:rPr>
        <w:t>环境影响因素识别</w:t>
      </w:r>
      <w:r>
        <w:rPr>
          <w:szCs w:val="24"/>
        </w:rPr>
        <w:tab/>
      </w:r>
      <w:r>
        <w:rPr>
          <w:szCs w:val="24"/>
        </w:rPr>
        <w:fldChar w:fldCharType="begin"/>
      </w:r>
      <w:r>
        <w:rPr>
          <w:szCs w:val="24"/>
        </w:rPr>
        <w:instrText xml:space="preserve"> PAGEREF _Toc146091947 \h </w:instrText>
      </w:r>
      <w:r>
        <w:rPr>
          <w:szCs w:val="24"/>
        </w:rPr>
        <w:fldChar w:fldCharType="separate"/>
      </w:r>
      <w:r>
        <w:rPr>
          <w:szCs w:val="24"/>
        </w:rPr>
        <w:t>218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"_Toc146091948" </w:instrText>
      </w:r>
      <w:r>
        <w:fldChar w:fldCharType="separate"/>
      </w:r>
      <w:r>
        <w:rPr>
          <w:rStyle w:val="39"/>
          <w:rFonts w:ascii="Times New Roman" w:hAnsi="Times New Roman" w:cs="Times New Roman"/>
          <w:szCs w:val="24"/>
        </w:rPr>
        <w:t>5.2</w:t>
      </w:r>
      <w:r>
        <w:rPr>
          <w:rStyle w:val="39"/>
          <w:rFonts w:hint="eastAsia" w:ascii="Times New Roman" w:hAnsi="Times New Roman" w:cs="Times New Roman"/>
          <w:szCs w:val="24"/>
        </w:rPr>
        <w:t>规划环境影响评价指标体系</w:t>
      </w:r>
      <w:r>
        <w:rPr>
          <w:szCs w:val="24"/>
        </w:rPr>
        <w:tab/>
      </w:r>
      <w:r>
        <w:rPr>
          <w:szCs w:val="24"/>
        </w:rPr>
        <w:fldChar w:fldCharType="begin"/>
      </w:r>
      <w:r>
        <w:rPr>
          <w:szCs w:val="24"/>
        </w:rPr>
        <w:instrText xml:space="preserve"> PAGEREF _Toc146091948 \h </w:instrText>
      </w:r>
      <w:r>
        <w:rPr>
          <w:szCs w:val="24"/>
        </w:rPr>
        <w:fldChar w:fldCharType="separate"/>
      </w:r>
      <w:r>
        <w:rPr>
          <w:szCs w:val="24"/>
        </w:rPr>
        <w:t>220</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"_Toc146091949" </w:instrText>
      </w:r>
      <w:r>
        <w:fldChar w:fldCharType="separate"/>
      </w:r>
      <w:r>
        <w:rPr>
          <w:rStyle w:val="39"/>
          <w:rFonts w:hint="eastAsia"/>
          <w:szCs w:val="24"/>
        </w:rPr>
        <w:t>第</w:t>
      </w:r>
      <w:r>
        <w:rPr>
          <w:rStyle w:val="39"/>
          <w:szCs w:val="24"/>
        </w:rPr>
        <w:t>6</w:t>
      </w:r>
      <w:r>
        <w:rPr>
          <w:rStyle w:val="39"/>
          <w:rFonts w:hint="eastAsia"/>
          <w:szCs w:val="24"/>
        </w:rPr>
        <w:t>章</w:t>
      </w:r>
      <w:r>
        <w:rPr>
          <w:rStyle w:val="39"/>
          <w:szCs w:val="24"/>
        </w:rPr>
        <w:t xml:space="preserve"> </w:t>
      </w:r>
      <w:r>
        <w:rPr>
          <w:rStyle w:val="39"/>
          <w:rFonts w:hint="eastAsia"/>
          <w:szCs w:val="24"/>
        </w:rPr>
        <w:t>环境影响预测与评价</w:t>
      </w:r>
      <w:r>
        <w:rPr>
          <w:szCs w:val="24"/>
        </w:rPr>
        <w:tab/>
      </w:r>
      <w:r>
        <w:rPr>
          <w:szCs w:val="24"/>
        </w:rPr>
        <w:fldChar w:fldCharType="begin"/>
      </w:r>
      <w:r>
        <w:rPr>
          <w:szCs w:val="24"/>
        </w:rPr>
        <w:instrText xml:space="preserve"> PAGEREF _Toc146091949 \h </w:instrText>
      </w:r>
      <w:r>
        <w:rPr>
          <w:szCs w:val="24"/>
        </w:rPr>
        <w:fldChar w:fldCharType="separate"/>
      </w:r>
      <w:r>
        <w:rPr>
          <w:szCs w:val="24"/>
        </w:rPr>
        <w:t>222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"_Toc146091950" </w:instrText>
      </w:r>
      <w:r>
        <w:fldChar w:fldCharType="separate"/>
      </w:r>
      <w:r>
        <w:rPr>
          <w:rStyle w:val="39"/>
          <w:szCs w:val="24"/>
        </w:rPr>
        <w:t xml:space="preserve">6.1 </w:t>
      </w:r>
      <w:r>
        <w:rPr>
          <w:rStyle w:val="39"/>
          <w:rFonts w:hint="eastAsia"/>
          <w:szCs w:val="24"/>
        </w:rPr>
        <w:t>规划实施生态环境压力分析</w:t>
      </w:r>
      <w:r>
        <w:rPr>
          <w:szCs w:val="24"/>
        </w:rPr>
        <w:tab/>
      </w:r>
      <w:r>
        <w:rPr>
          <w:szCs w:val="24"/>
        </w:rPr>
        <w:fldChar w:fldCharType="begin"/>
      </w:r>
      <w:r>
        <w:rPr>
          <w:szCs w:val="24"/>
        </w:rPr>
        <w:instrText xml:space="preserve"> PAGEREF _Toc146091950 \h </w:instrText>
      </w:r>
      <w:r>
        <w:rPr>
          <w:szCs w:val="24"/>
        </w:rPr>
        <w:fldChar w:fldCharType="separate"/>
      </w:r>
      <w:r>
        <w:rPr>
          <w:szCs w:val="24"/>
        </w:rPr>
        <w:t>222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"_Toc146091951" </w:instrText>
      </w:r>
      <w:r>
        <w:fldChar w:fldCharType="separate"/>
      </w:r>
      <w:r>
        <w:rPr>
          <w:rStyle w:val="39"/>
          <w:szCs w:val="24"/>
        </w:rPr>
        <w:t xml:space="preserve">6.1.1 </w:t>
      </w:r>
      <w:r>
        <w:rPr>
          <w:rStyle w:val="39"/>
          <w:rFonts w:hint="eastAsia"/>
          <w:szCs w:val="24"/>
        </w:rPr>
        <w:t>水污染源预测</w:t>
      </w:r>
      <w:r>
        <w:rPr>
          <w:szCs w:val="24"/>
        </w:rPr>
        <w:tab/>
      </w:r>
      <w:r>
        <w:rPr>
          <w:szCs w:val="24"/>
        </w:rPr>
        <w:fldChar w:fldCharType="begin"/>
      </w:r>
      <w:r>
        <w:rPr>
          <w:szCs w:val="24"/>
        </w:rPr>
        <w:instrText xml:space="preserve"> PAGEREF _Toc146091951 \h </w:instrText>
      </w:r>
      <w:r>
        <w:rPr>
          <w:szCs w:val="24"/>
        </w:rPr>
        <w:fldChar w:fldCharType="separate"/>
      </w:r>
      <w:r>
        <w:rPr>
          <w:szCs w:val="24"/>
        </w:rPr>
        <w:t>222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"_Toc146091952" </w:instrText>
      </w:r>
      <w:r>
        <w:fldChar w:fldCharType="separate"/>
      </w:r>
      <w:r>
        <w:rPr>
          <w:rStyle w:val="39"/>
          <w:szCs w:val="24"/>
        </w:rPr>
        <w:t xml:space="preserve">6.1.2 </w:t>
      </w:r>
      <w:r>
        <w:rPr>
          <w:rStyle w:val="39"/>
          <w:rFonts w:hint="eastAsia"/>
          <w:szCs w:val="24"/>
        </w:rPr>
        <w:t>大气污染源</w:t>
      </w:r>
      <w:r>
        <w:rPr>
          <w:szCs w:val="24"/>
        </w:rPr>
        <w:tab/>
      </w:r>
      <w:r>
        <w:rPr>
          <w:szCs w:val="24"/>
        </w:rPr>
        <w:fldChar w:fldCharType="begin"/>
      </w:r>
      <w:r>
        <w:rPr>
          <w:szCs w:val="24"/>
        </w:rPr>
        <w:instrText xml:space="preserve"> PAGEREF _Toc146091952 \h </w:instrText>
      </w:r>
      <w:r>
        <w:rPr>
          <w:szCs w:val="24"/>
        </w:rPr>
        <w:fldChar w:fldCharType="separate"/>
      </w:r>
      <w:r>
        <w:rPr>
          <w:szCs w:val="24"/>
        </w:rPr>
        <w:t>229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"_Toc146091953" </w:instrText>
      </w:r>
      <w:r>
        <w:fldChar w:fldCharType="separate"/>
      </w:r>
      <w:r>
        <w:rPr>
          <w:rStyle w:val="39"/>
          <w:szCs w:val="24"/>
        </w:rPr>
        <w:t xml:space="preserve">6.1.3 </w:t>
      </w:r>
      <w:r>
        <w:rPr>
          <w:rStyle w:val="39"/>
          <w:rFonts w:hint="eastAsia"/>
          <w:szCs w:val="24"/>
        </w:rPr>
        <w:t>噪声污染源</w:t>
      </w:r>
      <w:r>
        <w:rPr>
          <w:szCs w:val="24"/>
        </w:rPr>
        <w:tab/>
      </w:r>
      <w:r>
        <w:rPr>
          <w:szCs w:val="24"/>
        </w:rPr>
        <w:fldChar w:fldCharType="begin"/>
      </w:r>
      <w:r>
        <w:rPr>
          <w:szCs w:val="24"/>
        </w:rPr>
        <w:instrText xml:space="preserve"> PAGEREF _Toc146091953 \h </w:instrText>
      </w:r>
      <w:r>
        <w:rPr>
          <w:szCs w:val="24"/>
        </w:rPr>
        <w:fldChar w:fldCharType="separate"/>
      </w:r>
      <w:r>
        <w:rPr>
          <w:szCs w:val="24"/>
        </w:rPr>
        <w:t>236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"_Toc146091954" </w:instrText>
      </w:r>
      <w:r>
        <w:fldChar w:fldCharType="separate"/>
      </w:r>
      <w:r>
        <w:rPr>
          <w:rStyle w:val="39"/>
          <w:szCs w:val="24"/>
        </w:rPr>
        <w:t xml:space="preserve">6.1.4 </w:t>
      </w:r>
      <w:r>
        <w:rPr>
          <w:rStyle w:val="39"/>
          <w:rFonts w:hint="eastAsia"/>
          <w:szCs w:val="24"/>
        </w:rPr>
        <w:t>固体废物污染源</w:t>
      </w:r>
      <w:r>
        <w:rPr>
          <w:szCs w:val="24"/>
        </w:rPr>
        <w:tab/>
      </w:r>
      <w:r>
        <w:rPr>
          <w:szCs w:val="24"/>
        </w:rPr>
        <w:fldChar w:fldCharType="begin"/>
      </w:r>
      <w:r>
        <w:rPr>
          <w:szCs w:val="24"/>
        </w:rPr>
        <w:instrText xml:space="preserve"> PAGEREF _Toc146091954 \h </w:instrText>
      </w:r>
      <w:r>
        <w:rPr>
          <w:szCs w:val="24"/>
        </w:rPr>
        <w:fldChar w:fldCharType="separate"/>
      </w:r>
      <w:r>
        <w:rPr>
          <w:szCs w:val="24"/>
        </w:rPr>
        <w:t>238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"_Toc146091955" </w:instrText>
      </w:r>
      <w:r>
        <w:fldChar w:fldCharType="separate"/>
      </w:r>
      <w:r>
        <w:rPr>
          <w:rStyle w:val="39"/>
          <w:szCs w:val="24"/>
        </w:rPr>
        <w:t>6.2</w:t>
      </w:r>
      <w:r>
        <w:rPr>
          <w:rStyle w:val="39"/>
          <w:rFonts w:hint="eastAsia"/>
          <w:szCs w:val="24"/>
        </w:rPr>
        <w:t>地表水环境影响预测与评价</w:t>
      </w:r>
      <w:r>
        <w:rPr>
          <w:szCs w:val="24"/>
        </w:rPr>
        <w:tab/>
      </w:r>
      <w:r>
        <w:rPr>
          <w:szCs w:val="24"/>
        </w:rPr>
        <w:fldChar w:fldCharType="begin"/>
      </w:r>
      <w:r>
        <w:rPr>
          <w:szCs w:val="24"/>
        </w:rPr>
        <w:instrText xml:space="preserve"> PAGEREF _Toc146091955 \h </w:instrText>
      </w:r>
      <w:r>
        <w:rPr>
          <w:szCs w:val="24"/>
        </w:rPr>
        <w:fldChar w:fldCharType="separate"/>
      </w:r>
      <w:r>
        <w:rPr>
          <w:szCs w:val="24"/>
        </w:rPr>
        <w:t>243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"_Toc146091956" </w:instrText>
      </w:r>
      <w:r>
        <w:fldChar w:fldCharType="separate"/>
      </w:r>
      <w:r>
        <w:rPr>
          <w:rStyle w:val="39"/>
          <w:szCs w:val="24"/>
        </w:rPr>
        <w:t>6.2.1</w:t>
      </w:r>
      <w:r>
        <w:rPr>
          <w:rStyle w:val="39"/>
          <w:rFonts w:hint="eastAsia"/>
          <w:szCs w:val="24"/>
        </w:rPr>
        <w:t>滨江片区废水排放环境影响分析</w:t>
      </w:r>
      <w:r>
        <w:rPr>
          <w:szCs w:val="24"/>
        </w:rPr>
        <w:tab/>
      </w:r>
      <w:r>
        <w:rPr>
          <w:szCs w:val="24"/>
        </w:rPr>
        <w:fldChar w:fldCharType="begin"/>
      </w:r>
      <w:r>
        <w:rPr>
          <w:szCs w:val="24"/>
        </w:rPr>
        <w:instrText xml:space="preserve"> PAGEREF _Toc146091956 \h </w:instrText>
      </w:r>
      <w:r>
        <w:rPr>
          <w:szCs w:val="24"/>
        </w:rPr>
        <w:fldChar w:fldCharType="separate"/>
      </w:r>
      <w:r>
        <w:rPr>
          <w:szCs w:val="24"/>
        </w:rPr>
        <w:t>243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"_Toc146091957" </w:instrText>
      </w:r>
      <w:r>
        <w:fldChar w:fldCharType="separate"/>
      </w:r>
      <w:r>
        <w:rPr>
          <w:rStyle w:val="39"/>
          <w:szCs w:val="24"/>
        </w:rPr>
        <w:t>6.2.2</w:t>
      </w:r>
      <w:r>
        <w:rPr>
          <w:rStyle w:val="39"/>
          <w:rFonts w:hint="eastAsia" w:ascii="Times New Roman" w:hAnsi="Times New Roman" w:cs="Times New Roman"/>
          <w:szCs w:val="24"/>
        </w:rPr>
        <w:t>三湾片区废水排放</w:t>
      </w:r>
      <w:r>
        <w:rPr>
          <w:rStyle w:val="39"/>
          <w:rFonts w:hint="eastAsia"/>
          <w:szCs w:val="24"/>
        </w:rPr>
        <w:t>环境影响分析</w:t>
      </w:r>
      <w:r>
        <w:rPr>
          <w:szCs w:val="24"/>
        </w:rPr>
        <w:tab/>
      </w:r>
      <w:r>
        <w:rPr>
          <w:szCs w:val="24"/>
        </w:rPr>
        <w:fldChar w:fldCharType="begin"/>
      </w:r>
      <w:r>
        <w:rPr>
          <w:szCs w:val="24"/>
        </w:rPr>
        <w:instrText xml:space="preserve"> PAGEREF _Toc146091957 \h </w:instrText>
      </w:r>
      <w:r>
        <w:rPr>
          <w:szCs w:val="24"/>
        </w:rPr>
        <w:fldChar w:fldCharType="separate"/>
      </w:r>
      <w:r>
        <w:rPr>
          <w:szCs w:val="24"/>
        </w:rPr>
        <w:t>243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"_Toc146091958" </w:instrText>
      </w:r>
      <w:r>
        <w:fldChar w:fldCharType="separate"/>
      </w:r>
      <w:r>
        <w:rPr>
          <w:rStyle w:val="39"/>
          <w:szCs w:val="24"/>
        </w:rPr>
        <w:t xml:space="preserve">6.2.3 </w:t>
      </w:r>
      <w:r>
        <w:rPr>
          <w:rStyle w:val="39"/>
          <w:rFonts w:hint="eastAsia"/>
          <w:szCs w:val="24"/>
        </w:rPr>
        <w:t>污水处理设施可依托性分析</w:t>
      </w:r>
      <w:r>
        <w:rPr>
          <w:szCs w:val="24"/>
        </w:rPr>
        <w:tab/>
      </w:r>
      <w:r>
        <w:rPr>
          <w:szCs w:val="24"/>
        </w:rPr>
        <w:fldChar w:fldCharType="begin"/>
      </w:r>
      <w:r>
        <w:rPr>
          <w:szCs w:val="24"/>
        </w:rPr>
        <w:instrText xml:space="preserve"> PAGEREF _Toc146091958 \h </w:instrText>
      </w:r>
      <w:r>
        <w:rPr>
          <w:szCs w:val="24"/>
        </w:rPr>
        <w:fldChar w:fldCharType="separate"/>
      </w:r>
      <w:r>
        <w:rPr>
          <w:szCs w:val="24"/>
        </w:rPr>
        <w:t>244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"_Toc146091959" </w:instrText>
      </w:r>
      <w:r>
        <w:fldChar w:fldCharType="separate"/>
      </w:r>
      <w:r>
        <w:rPr>
          <w:rStyle w:val="39"/>
          <w:szCs w:val="24"/>
        </w:rPr>
        <w:t>6.3</w:t>
      </w:r>
      <w:r>
        <w:rPr>
          <w:rStyle w:val="39"/>
          <w:rFonts w:hint="eastAsia"/>
          <w:szCs w:val="24"/>
        </w:rPr>
        <w:t>大气环境影响预测与评价</w:t>
      </w:r>
      <w:r>
        <w:rPr>
          <w:szCs w:val="24"/>
        </w:rPr>
        <w:tab/>
      </w:r>
      <w:r>
        <w:rPr>
          <w:szCs w:val="24"/>
        </w:rPr>
        <w:fldChar w:fldCharType="begin"/>
      </w:r>
      <w:r>
        <w:rPr>
          <w:szCs w:val="24"/>
        </w:rPr>
        <w:instrText xml:space="preserve"> PAGEREF _Toc146091959 \h </w:instrText>
      </w:r>
      <w:r>
        <w:rPr>
          <w:szCs w:val="24"/>
        </w:rPr>
        <w:fldChar w:fldCharType="separate"/>
      </w:r>
      <w:r>
        <w:rPr>
          <w:szCs w:val="24"/>
        </w:rPr>
        <w:t>244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"_Toc146091960" </w:instrText>
      </w:r>
      <w:r>
        <w:fldChar w:fldCharType="separate"/>
      </w:r>
      <w:r>
        <w:rPr>
          <w:rStyle w:val="39"/>
          <w:szCs w:val="24"/>
        </w:rPr>
        <w:t>6.3.1</w:t>
      </w:r>
      <w:r>
        <w:rPr>
          <w:rStyle w:val="39"/>
          <w:rFonts w:hint="eastAsia"/>
          <w:szCs w:val="24"/>
        </w:rPr>
        <w:t>大气减排措施</w:t>
      </w:r>
      <w:r>
        <w:rPr>
          <w:szCs w:val="24"/>
        </w:rPr>
        <w:tab/>
      </w:r>
      <w:r>
        <w:rPr>
          <w:szCs w:val="24"/>
        </w:rPr>
        <w:fldChar w:fldCharType="begin"/>
      </w:r>
      <w:r>
        <w:rPr>
          <w:szCs w:val="24"/>
        </w:rPr>
        <w:instrText xml:space="preserve"> PAGEREF _Toc146091960 \h </w:instrText>
      </w:r>
      <w:r>
        <w:rPr>
          <w:szCs w:val="24"/>
        </w:rPr>
        <w:fldChar w:fldCharType="separate"/>
      </w:r>
      <w:r>
        <w:rPr>
          <w:szCs w:val="24"/>
        </w:rPr>
        <w:t>244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"_Toc146091961" </w:instrText>
      </w:r>
      <w:r>
        <w:fldChar w:fldCharType="separate"/>
      </w:r>
      <w:r>
        <w:rPr>
          <w:rStyle w:val="39"/>
          <w:szCs w:val="24"/>
        </w:rPr>
        <w:t>6.4</w:t>
      </w:r>
      <w:r>
        <w:rPr>
          <w:rStyle w:val="39"/>
          <w:rFonts w:hint="eastAsia"/>
          <w:szCs w:val="24"/>
        </w:rPr>
        <w:t>声环境影响预测与评价</w:t>
      </w:r>
      <w:r>
        <w:rPr>
          <w:szCs w:val="24"/>
        </w:rPr>
        <w:tab/>
      </w:r>
      <w:r>
        <w:rPr>
          <w:szCs w:val="24"/>
        </w:rPr>
        <w:fldChar w:fldCharType="begin"/>
      </w:r>
      <w:r>
        <w:rPr>
          <w:szCs w:val="24"/>
        </w:rPr>
        <w:instrText xml:space="preserve"> PAGEREF _Toc146091961 \h </w:instrText>
      </w:r>
      <w:r>
        <w:rPr>
          <w:szCs w:val="24"/>
        </w:rPr>
        <w:fldChar w:fldCharType="separate"/>
      </w:r>
      <w:r>
        <w:rPr>
          <w:szCs w:val="24"/>
        </w:rPr>
        <w:t>245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"_Toc146091962" </w:instrText>
      </w:r>
      <w:r>
        <w:fldChar w:fldCharType="separate"/>
      </w:r>
      <w:r>
        <w:rPr>
          <w:rStyle w:val="39"/>
          <w:szCs w:val="24"/>
        </w:rPr>
        <w:t xml:space="preserve">6.4.1 </w:t>
      </w:r>
      <w:r>
        <w:rPr>
          <w:rStyle w:val="39"/>
          <w:rFonts w:hint="eastAsia"/>
          <w:szCs w:val="24"/>
        </w:rPr>
        <w:t>工业噪声影响分析</w:t>
      </w:r>
      <w:r>
        <w:rPr>
          <w:szCs w:val="24"/>
        </w:rPr>
        <w:tab/>
      </w:r>
      <w:r>
        <w:rPr>
          <w:szCs w:val="24"/>
        </w:rPr>
        <w:fldChar w:fldCharType="begin"/>
      </w:r>
      <w:r>
        <w:rPr>
          <w:szCs w:val="24"/>
        </w:rPr>
        <w:instrText xml:space="preserve"> PAGEREF _Toc146091962 \h </w:instrText>
      </w:r>
      <w:r>
        <w:rPr>
          <w:szCs w:val="24"/>
        </w:rPr>
        <w:fldChar w:fldCharType="separate"/>
      </w:r>
      <w:r>
        <w:rPr>
          <w:szCs w:val="24"/>
        </w:rPr>
        <w:t>245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"_Toc146091963" </w:instrText>
      </w:r>
      <w:r>
        <w:fldChar w:fldCharType="separate"/>
      </w:r>
      <w:r>
        <w:rPr>
          <w:rStyle w:val="39"/>
          <w:szCs w:val="24"/>
        </w:rPr>
        <w:t xml:space="preserve">6.4.2 </w:t>
      </w:r>
      <w:r>
        <w:rPr>
          <w:rStyle w:val="39"/>
          <w:rFonts w:hint="eastAsia"/>
          <w:szCs w:val="24"/>
        </w:rPr>
        <w:t>交通噪声影响分析</w:t>
      </w:r>
      <w:r>
        <w:rPr>
          <w:szCs w:val="24"/>
        </w:rPr>
        <w:tab/>
      </w:r>
      <w:r>
        <w:rPr>
          <w:szCs w:val="24"/>
        </w:rPr>
        <w:fldChar w:fldCharType="begin"/>
      </w:r>
      <w:r>
        <w:rPr>
          <w:szCs w:val="24"/>
        </w:rPr>
        <w:instrText xml:space="preserve"> PAGEREF _Toc146091963 \h </w:instrText>
      </w:r>
      <w:r>
        <w:rPr>
          <w:szCs w:val="24"/>
        </w:rPr>
        <w:fldChar w:fldCharType="separate"/>
      </w:r>
      <w:r>
        <w:rPr>
          <w:szCs w:val="24"/>
        </w:rPr>
        <w:t>248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"_Toc146091964" </w:instrText>
      </w:r>
      <w:r>
        <w:fldChar w:fldCharType="separate"/>
      </w:r>
      <w:r>
        <w:rPr>
          <w:rStyle w:val="39"/>
          <w:szCs w:val="24"/>
        </w:rPr>
        <w:t xml:space="preserve">6.4.3 </w:t>
      </w:r>
      <w:r>
        <w:rPr>
          <w:rStyle w:val="39"/>
          <w:rFonts w:hint="eastAsia"/>
          <w:szCs w:val="24"/>
        </w:rPr>
        <w:t>建筑施工噪声影响分析</w:t>
      </w:r>
      <w:r>
        <w:rPr>
          <w:szCs w:val="24"/>
        </w:rPr>
        <w:tab/>
      </w:r>
      <w:r>
        <w:rPr>
          <w:szCs w:val="24"/>
        </w:rPr>
        <w:fldChar w:fldCharType="begin"/>
      </w:r>
      <w:r>
        <w:rPr>
          <w:szCs w:val="24"/>
        </w:rPr>
        <w:instrText xml:space="preserve"> PAGEREF _Toc146091964 \h </w:instrText>
      </w:r>
      <w:r>
        <w:rPr>
          <w:szCs w:val="24"/>
        </w:rPr>
        <w:fldChar w:fldCharType="separate"/>
      </w:r>
      <w:r>
        <w:rPr>
          <w:szCs w:val="24"/>
        </w:rPr>
        <w:t>249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"_Toc146091965" </w:instrText>
      </w:r>
      <w:r>
        <w:fldChar w:fldCharType="separate"/>
      </w:r>
      <w:r>
        <w:rPr>
          <w:rStyle w:val="39"/>
          <w:szCs w:val="24"/>
        </w:rPr>
        <w:t>6.5</w:t>
      </w:r>
      <w:r>
        <w:rPr>
          <w:rStyle w:val="39"/>
          <w:rFonts w:hint="eastAsia"/>
          <w:szCs w:val="24"/>
        </w:rPr>
        <w:t>固体废物影响分析</w:t>
      </w:r>
      <w:r>
        <w:rPr>
          <w:szCs w:val="24"/>
        </w:rPr>
        <w:tab/>
      </w:r>
      <w:r>
        <w:rPr>
          <w:szCs w:val="24"/>
        </w:rPr>
        <w:fldChar w:fldCharType="begin"/>
      </w:r>
      <w:r>
        <w:rPr>
          <w:szCs w:val="24"/>
        </w:rPr>
        <w:instrText xml:space="preserve"> PAGEREF _Toc146091965 \h </w:instrText>
      </w:r>
      <w:r>
        <w:rPr>
          <w:szCs w:val="24"/>
        </w:rPr>
        <w:fldChar w:fldCharType="separate"/>
      </w:r>
      <w:r>
        <w:rPr>
          <w:szCs w:val="24"/>
        </w:rPr>
        <w:t>249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"_Toc146091966" </w:instrText>
      </w:r>
      <w:r>
        <w:fldChar w:fldCharType="separate"/>
      </w:r>
      <w:r>
        <w:rPr>
          <w:rStyle w:val="39"/>
          <w:szCs w:val="24"/>
        </w:rPr>
        <w:t xml:space="preserve">6.5.1 </w:t>
      </w:r>
      <w:r>
        <w:rPr>
          <w:rStyle w:val="39"/>
          <w:rFonts w:hint="eastAsia"/>
          <w:szCs w:val="24"/>
        </w:rPr>
        <w:t>固体废物处置</w:t>
      </w:r>
      <w:r>
        <w:rPr>
          <w:szCs w:val="24"/>
        </w:rPr>
        <w:tab/>
      </w:r>
      <w:r>
        <w:rPr>
          <w:szCs w:val="24"/>
        </w:rPr>
        <w:fldChar w:fldCharType="begin"/>
      </w:r>
      <w:r>
        <w:rPr>
          <w:szCs w:val="24"/>
        </w:rPr>
        <w:instrText xml:space="preserve"> PAGEREF _Toc146091966 \h </w:instrText>
      </w:r>
      <w:r>
        <w:rPr>
          <w:szCs w:val="24"/>
        </w:rPr>
        <w:fldChar w:fldCharType="separate"/>
      </w:r>
      <w:r>
        <w:rPr>
          <w:szCs w:val="24"/>
        </w:rPr>
        <w:t>249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"_Toc146091967" </w:instrText>
      </w:r>
      <w:r>
        <w:fldChar w:fldCharType="separate"/>
      </w:r>
      <w:r>
        <w:rPr>
          <w:rStyle w:val="39"/>
          <w:szCs w:val="24"/>
        </w:rPr>
        <w:t xml:space="preserve">6.5.2 </w:t>
      </w:r>
      <w:r>
        <w:rPr>
          <w:rStyle w:val="39"/>
          <w:rFonts w:hint="eastAsia"/>
          <w:szCs w:val="24"/>
        </w:rPr>
        <w:t>固体废物环境影响分析</w:t>
      </w:r>
      <w:r>
        <w:rPr>
          <w:szCs w:val="24"/>
        </w:rPr>
        <w:tab/>
      </w:r>
      <w:r>
        <w:rPr>
          <w:szCs w:val="24"/>
        </w:rPr>
        <w:fldChar w:fldCharType="begin"/>
      </w:r>
      <w:r>
        <w:rPr>
          <w:szCs w:val="24"/>
        </w:rPr>
        <w:instrText xml:space="preserve"> PAGEREF _Toc146091967 \h </w:instrText>
      </w:r>
      <w:r>
        <w:rPr>
          <w:szCs w:val="24"/>
        </w:rPr>
        <w:fldChar w:fldCharType="separate"/>
      </w:r>
      <w:r>
        <w:rPr>
          <w:szCs w:val="24"/>
        </w:rPr>
        <w:t>250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"_Toc146091968" </w:instrText>
      </w:r>
      <w:r>
        <w:fldChar w:fldCharType="separate"/>
      </w:r>
      <w:r>
        <w:rPr>
          <w:rStyle w:val="39"/>
          <w:szCs w:val="24"/>
        </w:rPr>
        <w:t>6.6</w:t>
      </w:r>
      <w:r>
        <w:rPr>
          <w:rStyle w:val="39"/>
          <w:rFonts w:hint="eastAsia"/>
          <w:szCs w:val="24"/>
        </w:rPr>
        <w:t>地下水环境影响分析</w:t>
      </w:r>
      <w:r>
        <w:rPr>
          <w:szCs w:val="24"/>
        </w:rPr>
        <w:tab/>
      </w:r>
      <w:r>
        <w:rPr>
          <w:szCs w:val="24"/>
        </w:rPr>
        <w:fldChar w:fldCharType="begin"/>
      </w:r>
      <w:r>
        <w:rPr>
          <w:szCs w:val="24"/>
        </w:rPr>
        <w:instrText xml:space="preserve"> PAGEREF _Toc146091968 \h </w:instrText>
      </w:r>
      <w:r>
        <w:rPr>
          <w:szCs w:val="24"/>
        </w:rPr>
        <w:fldChar w:fldCharType="separate"/>
      </w:r>
      <w:r>
        <w:rPr>
          <w:szCs w:val="24"/>
        </w:rPr>
        <w:t>252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"_Toc146091969" </w:instrText>
      </w:r>
      <w:r>
        <w:fldChar w:fldCharType="separate"/>
      </w:r>
      <w:r>
        <w:rPr>
          <w:rStyle w:val="39"/>
          <w:szCs w:val="24"/>
        </w:rPr>
        <w:t xml:space="preserve">6.6.1 </w:t>
      </w:r>
      <w:r>
        <w:rPr>
          <w:rStyle w:val="39"/>
          <w:rFonts w:hint="eastAsia"/>
          <w:szCs w:val="24"/>
        </w:rPr>
        <w:t>区域地质概况</w:t>
      </w:r>
      <w:r>
        <w:rPr>
          <w:szCs w:val="24"/>
        </w:rPr>
        <w:tab/>
      </w:r>
      <w:r>
        <w:rPr>
          <w:szCs w:val="24"/>
        </w:rPr>
        <w:fldChar w:fldCharType="begin"/>
      </w:r>
      <w:r>
        <w:rPr>
          <w:szCs w:val="24"/>
        </w:rPr>
        <w:instrText xml:space="preserve"> PAGEREF _Toc146091969 \h </w:instrText>
      </w:r>
      <w:r>
        <w:rPr>
          <w:szCs w:val="24"/>
        </w:rPr>
        <w:fldChar w:fldCharType="separate"/>
      </w:r>
      <w:r>
        <w:rPr>
          <w:szCs w:val="24"/>
        </w:rPr>
        <w:t>252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"_Toc146091970" </w:instrText>
      </w:r>
      <w:r>
        <w:fldChar w:fldCharType="separate"/>
      </w:r>
      <w:r>
        <w:rPr>
          <w:rStyle w:val="39"/>
          <w:szCs w:val="24"/>
        </w:rPr>
        <w:t xml:space="preserve">6.6.2 </w:t>
      </w:r>
      <w:r>
        <w:rPr>
          <w:rStyle w:val="39"/>
          <w:rFonts w:hint="eastAsia"/>
          <w:szCs w:val="24"/>
        </w:rPr>
        <w:t>区域水文地质条件</w:t>
      </w:r>
      <w:r>
        <w:rPr>
          <w:szCs w:val="24"/>
        </w:rPr>
        <w:tab/>
      </w:r>
      <w:r>
        <w:rPr>
          <w:szCs w:val="24"/>
        </w:rPr>
        <w:fldChar w:fldCharType="begin"/>
      </w:r>
      <w:r>
        <w:rPr>
          <w:szCs w:val="24"/>
        </w:rPr>
        <w:instrText xml:space="preserve"> PAGEREF _Toc146091970 \h </w:instrText>
      </w:r>
      <w:r>
        <w:rPr>
          <w:szCs w:val="24"/>
        </w:rPr>
        <w:fldChar w:fldCharType="separate"/>
      </w:r>
      <w:r>
        <w:rPr>
          <w:szCs w:val="24"/>
        </w:rPr>
        <w:t>254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"_Toc146091971" </w:instrText>
      </w:r>
      <w:r>
        <w:fldChar w:fldCharType="separate"/>
      </w:r>
      <w:r>
        <w:rPr>
          <w:rStyle w:val="39"/>
          <w:szCs w:val="24"/>
        </w:rPr>
        <w:t xml:space="preserve">6.6.3 </w:t>
      </w:r>
      <w:r>
        <w:rPr>
          <w:rStyle w:val="39"/>
          <w:rFonts w:hint="eastAsia"/>
          <w:szCs w:val="24"/>
        </w:rPr>
        <w:t>地下水环境影响预测</w:t>
      </w:r>
      <w:r>
        <w:rPr>
          <w:szCs w:val="24"/>
        </w:rPr>
        <w:tab/>
      </w:r>
      <w:r>
        <w:rPr>
          <w:szCs w:val="24"/>
        </w:rPr>
        <w:fldChar w:fldCharType="begin"/>
      </w:r>
      <w:r>
        <w:rPr>
          <w:szCs w:val="24"/>
        </w:rPr>
        <w:instrText xml:space="preserve"> PAGEREF _Toc146091971 \h </w:instrText>
      </w:r>
      <w:r>
        <w:rPr>
          <w:szCs w:val="24"/>
        </w:rPr>
        <w:fldChar w:fldCharType="separate"/>
      </w:r>
      <w:r>
        <w:rPr>
          <w:szCs w:val="24"/>
        </w:rPr>
        <w:t>258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"_Toc146091972" </w:instrText>
      </w:r>
      <w:r>
        <w:fldChar w:fldCharType="separate"/>
      </w:r>
      <w:r>
        <w:rPr>
          <w:rStyle w:val="39"/>
          <w:szCs w:val="24"/>
        </w:rPr>
        <w:t>6.6.4</w:t>
      </w:r>
      <w:r>
        <w:rPr>
          <w:rStyle w:val="39"/>
          <w:rFonts w:hint="eastAsia"/>
          <w:szCs w:val="24"/>
        </w:rPr>
        <w:t>地下水环境影响评价工作</w:t>
      </w:r>
      <w:r>
        <w:rPr>
          <w:szCs w:val="24"/>
        </w:rPr>
        <w:tab/>
      </w:r>
      <w:r>
        <w:rPr>
          <w:szCs w:val="24"/>
        </w:rPr>
        <w:fldChar w:fldCharType="begin"/>
      </w:r>
      <w:r>
        <w:rPr>
          <w:szCs w:val="24"/>
        </w:rPr>
        <w:instrText xml:space="preserve"> PAGEREF _Toc146091972 \h </w:instrText>
      </w:r>
      <w:r>
        <w:rPr>
          <w:szCs w:val="24"/>
        </w:rPr>
        <w:fldChar w:fldCharType="separate"/>
      </w:r>
      <w:r>
        <w:rPr>
          <w:szCs w:val="24"/>
        </w:rPr>
        <w:t>261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"_Toc146091973" </w:instrText>
      </w:r>
      <w:r>
        <w:fldChar w:fldCharType="separate"/>
      </w:r>
      <w:r>
        <w:rPr>
          <w:rStyle w:val="39"/>
          <w:szCs w:val="24"/>
        </w:rPr>
        <w:t>6.6.5</w:t>
      </w:r>
      <w:r>
        <w:rPr>
          <w:rStyle w:val="39"/>
          <w:rFonts w:hint="eastAsia"/>
          <w:szCs w:val="24"/>
        </w:rPr>
        <w:t>预测评价结论</w:t>
      </w:r>
      <w:r>
        <w:rPr>
          <w:szCs w:val="24"/>
        </w:rPr>
        <w:tab/>
      </w:r>
      <w:r>
        <w:rPr>
          <w:szCs w:val="24"/>
        </w:rPr>
        <w:fldChar w:fldCharType="begin"/>
      </w:r>
      <w:r>
        <w:rPr>
          <w:szCs w:val="24"/>
        </w:rPr>
        <w:instrText xml:space="preserve"> PAGEREF _Toc146091973 \h </w:instrText>
      </w:r>
      <w:r>
        <w:rPr>
          <w:szCs w:val="24"/>
        </w:rPr>
        <w:fldChar w:fldCharType="separate"/>
      </w:r>
      <w:r>
        <w:rPr>
          <w:szCs w:val="24"/>
        </w:rPr>
        <w:t>266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"_Toc146091974" </w:instrText>
      </w:r>
      <w:r>
        <w:fldChar w:fldCharType="separate"/>
      </w:r>
      <w:r>
        <w:rPr>
          <w:rStyle w:val="39"/>
          <w:szCs w:val="24"/>
        </w:rPr>
        <w:t xml:space="preserve">6.6.6 </w:t>
      </w:r>
      <w:r>
        <w:rPr>
          <w:rStyle w:val="39"/>
          <w:rFonts w:hint="eastAsia"/>
          <w:szCs w:val="24"/>
        </w:rPr>
        <w:t>地下水预测小结</w:t>
      </w:r>
      <w:r>
        <w:rPr>
          <w:szCs w:val="24"/>
        </w:rPr>
        <w:tab/>
      </w:r>
      <w:r>
        <w:rPr>
          <w:szCs w:val="24"/>
        </w:rPr>
        <w:fldChar w:fldCharType="begin"/>
      </w:r>
      <w:r>
        <w:rPr>
          <w:szCs w:val="24"/>
        </w:rPr>
        <w:instrText xml:space="preserve"> PAGEREF _Toc146091974 \h </w:instrText>
      </w:r>
      <w:r>
        <w:rPr>
          <w:szCs w:val="24"/>
        </w:rPr>
        <w:fldChar w:fldCharType="separate"/>
      </w:r>
      <w:r>
        <w:rPr>
          <w:szCs w:val="24"/>
        </w:rPr>
        <w:t>267</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"_Toc146091975" </w:instrText>
      </w:r>
      <w:r>
        <w:fldChar w:fldCharType="separate"/>
      </w:r>
      <w:r>
        <w:rPr>
          <w:rStyle w:val="39"/>
          <w:szCs w:val="24"/>
        </w:rPr>
        <w:t>6.7</w:t>
      </w:r>
      <w:r>
        <w:rPr>
          <w:rStyle w:val="39"/>
          <w:rFonts w:hint="eastAsia"/>
          <w:szCs w:val="24"/>
        </w:rPr>
        <w:t>生态环境影响分析</w:t>
      </w:r>
      <w:r>
        <w:rPr>
          <w:szCs w:val="24"/>
        </w:rPr>
        <w:tab/>
      </w:r>
      <w:r>
        <w:rPr>
          <w:szCs w:val="24"/>
        </w:rPr>
        <w:fldChar w:fldCharType="begin"/>
      </w:r>
      <w:r>
        <w:rPr>
          <w:szCs w:val="24"/>
        </w:rPr>
        <w:instrText xml:space="preserve"> PAGEREF _Toc146091975 \h </w:instrText>
      </w:r>
      <w:r>
        <w:rPr>
          <w:szCs w:val="24"/>
        </w:rPr>
        <w:fldChar w:fldCharType="separate"/>
      </w:r>
      <w:r>
        <w:rPr>
          <w:szCs w:val="24"/>
        </w:rPr>
        <w:t>267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"_Toc146091976" </w:instrText>
      </w:r>
      <w:r>
        <w:fldChar w:fldCharType="separate"/>
      </w:r>
      <w:r>
        <w:rPr>
          <w:rStyle w:val="39"/>
          <w:szCs w:val="24"/>
        </w:rPr>
        <w:t xml:space="preserve">6.7.1 </w:t>
      </w:r>
      <w:r>
        <w:rPr>
          <w:rStyle w:val="39"/>
          <w:rFonts w:hint="eastAsia"/>
          <w:szCs w:val="24"/>
        </w:rPr>
        <w:t>土地利用类型的变化</w:t>
      </w:r>
      <w:r>
        <w:rPr>
          <w:szCs w:val="24"/>
        </w:rPr>
        <w:tab/>
      </w:r>
      <w:r>
        <w:rPr>
          <w:szCs w:val="24"/>
        </w:rPr>
        <w:fldChar w:fldCharType="begin"/>
      </w:r>
      <w:r>
        <w:rPr>
          <w:szCs w:val="24"/>
        </w:rPr>
        <w:instrText xml:space="preserve"> PAGEREF _Toc146091976 \h </w:instrText>
      </w:r>
      <w:r>
        <w:rPr>
          <w:szCs w:val="24"/>
        </w:rPr>
        <w:fldChar w:fldCharType="separate"/>
      </w:r>
      <w:r>
        <w:rPr>
          <w:szCs w:val="24"/>
        </w:rPr>
        <w:t>268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"_Toc146091977" </w:instrText>
      </w:r>
      <w:r>
        <w:fldChar w:fldCharType="separate"/>
      </w:r>
      <w:r>
        <w:rPr>
          <w:rStyle w:val="39"/>
          <w:szCs w:val="24"/>
        </w:rPr>
        <w:t xml:space="preserve">6.7.2 </w:t>
      </w:r>
      <w:r>
        <w:rPr>
          <w:rStyle w:val="39"/>
          <w:rFonts w:hint="eastAsia"/>
          <w:szCs w:val="24"/>
        </w:rPr>
        <w:t>生态结构影响分析</w:t>
      </w:r>
      <w:r>
        <w:rPr>
          <w:szCs w:val="24"/>
        </w:rPr>
        <w:tab/>
      </w:r>
      <w:r>
        <w:rPr>
          <w:szCs w:val="24"/>
        </w:rPr>
        <w:fldChar w:fldCharType="begin"/>
      </w:r>
      <w:r>
        <w:rPr>
          <w:szCs w:val="24"/>
        </w:rPr>
        <w:instrText xml:space="preserve"> PAGEREF _Toc146091977 \h </w:instrText>
      </w:r>
      <w:r>
        <w:rPr>
          <w:szCs w:val="24"/>
        </w:rPr>
        <w:fldChar w:fldCharType="separate"/>
      </w:r>
      <w:r>
        <w:rPr>
          <w:szCs w:val="24"/>
        </w:rPr>
        <w:t>268</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"_Toc146091978" </w:instrText>
      </w:r>
      <w:r>
        <w:fldChar w:fldCharType="separate"/>
      </w:r>
      <w:r>
        <w:rPr>
          <w:rStyle w:val="39"/>
          <w:szCs w:val="24"/>
        </w:rPr>
        <w:t xml:space="preserve">6.7.3 </w:t>
      </w:r>
      <w:r>
        <w:rPr>
          <w:rStyle w:val="39"/>
          <w:rFonts w:hint="eastAsia"/>
          <w:szCs w:val="24"/>
        </w:rPr>
        <w:t>地表结构的影响分析</w:t>
      </w:r>
      <w:r>
        <w:rPr>
          <w:szCs w:val="24"/>
        </w:rPr>
        <w:tab/>
      </w:r>
      <w:r>
        <w:rPr>
          <w:szCs w:val="24"/>
        </w:rPr>
        <w:fldChar w:fldCharType="begin"/>
      </w:r>
      <w:r>
        <w:rPr>
          <w:szCs w:val="24"/>
        </w:rPr>
        <w:instrText xml:space="preserve"> PAGEREF _Toc146091978 \h </w:instrText>
      </w:r>
      <w:r>
        <w:rPr>
          <w:szCs w:val="24"/>
        </w:rPr>
        <w:fldChar w:fldCharType="separate"/>
      </w:r>
      <w:r>
        <w:rPr>
          <w:szCs w:val="24"/>
        </w:rPr>
        <w:t>270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"_Toc146091979" </w:instrText>
      </w:r>
      <w:r>
        <w:fldChar w:fldCharType="separate"/>
      </w:r>
      <w:r>
        <w:rPr>
          <w:rStyle w:val="39"/>
          <w:szCs w:val="24"/>
        </w:rPr>
        <w:t xml:space="preserve">6.7.4 </w:t>
      </w:r>
      <w:r>
        <w:rPr>
          <w:rStyle w:val="39"/>
          <w:rFonts w:hint="eastAsia"/>
          <w:szCs w:val="24"/>
        </w:rPr>
        <w:t>生态功能及生态红线的影响分析</w:t>
      </w:r>
      <w:r>
        <w:rPr>
          <w:szCs w:val="24"/>
        </w:rPr>
        <w:tab/>
      </w:r>
      <w:r>
        <w:rPr>
          <w:szCs w:val="24"/>
        </w:rPr>
        <w:fldChar w:fldCharType="begin"/>
      </w:r>
      <w:r>
        <w:rPr>
          <w:szCs w:val="24"/>
        </w:rPr>
        <w:instrText xml:space="preserve"> PAGEREF _Toc146091979 \h </w:instrText>
      </w:r>
      <w:r>
        <w:rPr>
          <w:szCs w:val="24"/>
        </w:rPr>
        <w:fldChar w:fldCharType="separate"/>
      </w:r>
      <w:r>
        <w:rPr>
          <w:szCs w:val="24"/>
        </w:rPr>
        <w:t>270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"_Toc146091980" </w:instrText>
      </w:r>
      <w:r>
        <w:fldChar w:fldCharType="separate"/>
      </w:r>
      <w:r>
        <w:rPr>
          <w:rStyle w:val="39"/>
          <w:szCs w:val="24"/>
        </w:rPr>
        <w:t xml:space="preserve">6.7.5 </w:t>
      </w:r>
      <w:r>
        <w:rPr>
          <w:rStyle w:val="39"/>
          <w:rFonts w:hint="eastAsia"/>
          <w:szCs w:val="24"/>
        </w:rPr>
        <w:t>景观影响</w:t>
      </w:r>
      <w:r>
        <w:rPr>
          <w:szCs w:val="24"/>
        </w:rPr>
        <w:tab/>
      </w:r>
      <w:r>
        <w:rPr>
          <w:szCs w:val="24"/>
        </w:rPr>
        <w:fldChar w:fldCharType="begin"/>
      </w:r>
      <w:r>
        <w:rPr>
          <w:szCs w:val="24"/>
        </w:rPr>
        <w:instrText xml:space="preserve"> PAGEREF _Toc146091980 \h </w:instrText>
      </w:r>
      <w:r>
        <w:rPr>
          <w:szCs w:val="24"/>
        </w:rPr>
        <w:fldChar w:fldCharType="separate"/>
      </w:r>
      <w:r>
        <w:rPr>
          <w:szCs w:val="24"/>
        </w:rPr>
        <w:t>271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"_Toc146091981" </w:instrText>
      </w:r>
      <w:r>
        <w:fldChar w:fldCharType="separate"/>
      </w:r>
      <w:r>
        <w:rPr>
          <w:rStyle w:val="39"/>
          <w:szCs w:val="24"/>
        </w:rPr>
        <w:t xml:space="preserve">6.7.6 </w:t>
      </w:r>
      <w:r>
        <w:rPr>
          <w:rStyle w:val="39"/>
          <w:rFonts w:hint="eastAsia"/>
          <w:szCs w:val="24"/>
        </w:rPr>
        <w:t>水土流失影响</w:t>
      </w:r>
      <w:r>
        <w:rPr>
          <w:szCs w:val="24"/>
        </w:rPr>
        <w:tab/>
      </w:r>
      <w:r>
        <w:rPr>
          <w:szCs w:val="24"/>
        </w:rPr>
        <w:fldChar w:fldCharType="begin"/>
      </w:r>
      <w:r>
        <w:rPr>
          <w:szCs w:val="24"/>
        </w:rPr>
        <w:instrText xml:space="preserve"> PAGEREF _Toc146091981 \h </w:instrText>
      </w:r>
      <w:r>
        <w:rPr>
          <w:szCs w:val="24"/>
        </w:rPr>
        <w:fldChar w:fldCharType="separate"/>
      </w:r>
      <w:r>
        <w:rPr>
          <w:szCs w:val="24"/>
        </w:rPr>
        <w:t>271</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"_Toc146091982" </w:instrText>
      </w:r>
      <w:r>
        <w:fldChar w:fldCharType="separate"/>
      </w:r>
      <w:r>
        <w:rPr>
          <w:rStyle w:val="39"/>
          <w:szCs w:val="24"/>
        </w:rPr>
        <w:t>6.8</w:t>
      </w:r>
      <w:r>
        <w:rPr>
          <w:rStyle w:val="39"/>
          <w:rFonts w:hint="eastAsia"/>
          <w:szCs w:val="24"/>
        </w:rPr>
        <w:t>对特殊敏感区环境影响分析</w:t>
      </w:r>
      <w:r>
        <w:rPr>
          <w:szCs w:val="24"/>
        </w:rPr>
        <w:tab/>
      </w:r>
      <w:r>
        <w:rPr>
          <w:szCs w:val="24"/>
        </w:rPr>
        <w:fldChar w:fldCharType="begin"/>
      </w:r>
      <w:r>
        <w:rPr>
          <w:szCs w:val="24"/>
        </w:rPr>
        <w:instrText xml:space="preserve"> PAGEREF _Toc146091982 \h </w:instrText>
      </w:r>
      <w:r>
        <w:rPr>
          <w:szCs w:val="24"/>
        </w:rPr>
        <w:fldChar w:fldCharType="separate"/>
      </w:r>
      <w:r>
        <w:rPr>
          <w:szCs w:val="24"/>
        </w:rPr>
        <w:t>272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"_Toc146091983" </w:instrText>
      </w:r>
      <w:r>
        <w:fldChar w:fldCharType="separate"/>
      </w:r>
      <w:r>
        <w:rPr>
          <w:rStyle w:val="39"/>
          <w:szCs w:val="24"/>
        </w:rPr>
        <w:t>6.8.1</w:t>
      </w:r>
      <w:r>
        <w:rPr>
          <w:rStyle w:val="39"/>
          <w:rFonts w:hint="eastAsia"/>
          <w:szCs w:val="24"/>
        </w:rPr>
        <w:t>对长江新螺段白鱀豚国家级自然保护区的影响</w:t>
      </w:r>
      <w:r>
        <w:rPr>
          <w:szCs w:val="24"/>
        </w:rPr>
        <w:tab/>
      </w:r>
      <w:r>
        <w:rPr>
          <w:szCs w:val="24"/>
        </w:rPr>
        <w:fldChar w:fldCharType="begin"/>
      </w:r>
      <w:r>
        <w:rPr>
          <w:szCs w:val="24"/>
        </w:rPr>
        <w:instrText xml:space="preserve"> PAGEREF _Toc146091983 \h </w:instrText>
      </w:r>
      <w:r>
        <w:rPr>
          <w:szCs w:val="24"/>
        </w:rPr>
        <w:fldChar w:fldCharType="separate"/>
      </w:r>
      <w:r>
        <w:rPr>
          <w:szCs w:val="24"/>
        </w:rPr>
        <w:t>272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"_Toc146091984" </w:instrText>
      </w:r>
      <w:r>
        <w:fldChar w:fldCharType="separate"/>
      </w:r>
      <w:r>
        <w:rPr>
          <w:rStyle w:val="39"/>
          <w:szCs w:val="24"/>
        </w:rPr>
        <w:t>6.8.2</w:t>
      </w:r>
      <w:r>
        <w:rPr>
          <w:rStyle w:val="39"/>
          <w:rFonts w:hint="eastAsia"/>
          <w:szCs w:val="24"/>
        </w:rPr>
        <w:t>临湘片区入河排污口对长江新螺段白鱀豚国家级自然保护区的影响</w:t>
      </w:r>
      <w:r>
        <w:rPr>
          <w:szCs w:val="24"/>
        </w:rPr>
        <w:tab/>
      </w:r>
      <w:r>
        <w:rPr>
          <w:szCs w:val="24"/>
        </w:rPr>
        <w:fldChar w:fldCharType="begin"/>
      </w:r>
      <w:r>
        <w:rPr>
          <w:szCs w:val="24"/>
        </w:rPr>
        <w:instrText xml:space="preserve"> PAGEREF _Toc146091984 \h </w:instrText>
      </w:r>
      <w:r>
        <w:rPr>
          <w:szCs w:val="24"/>
        </w:rPr>
        <w:fldChar w:fldCharType="separate"/>
      </w:r>
      <w:r>
        <w:rPr>
          <w:szCs w:val="24"/>
        </w:rPr>
        <w:t>272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"_Toc146091985" </w:instrText>
      </w:r>
      <w:r>
        <w:fldChar w:fldCharType="separate"/>
      </w:r>
      <w:r>
        <w:rPr>
          <w:rStyle w:val="39"/>
          <w:szCs w:val="24"/>
        </w:rPr>
        <w:t>6.8.3</w:t>
      </w:r>
      <w:r>
        <w:rPr>
          <w:rStyle w:val="39"/>
          <w:rFonts w:hint="eastAsia"/>
          <w:szCs w:val="24"/>
        </w:rPr>
        <w:t>对五尖山国家森林公园的影响</w:t>
      </w:r>
      <w:r>
        <w:rPr>
          <w:szCs w:val="24"/>
        </w:rPr>
        <w:tab/>
      </w:r>
      <w:r>
        <w:rPr>
          <w:szCs w:val="24"/>
        </w:rPr>
        <w:fldChar w:fldCharType="begin"/>
      </w:r>
      <w:r>
        <w:rPr>
          <w:szCs w:val="24"/>
        </w:rPr>
        <w:instrText xml:space="preserve"> PAGEREF _Toc146091985 \h </w:instrText>
      </w:r>
      <w:r>
        <w:rPr>
          <w:szCs w:val="24"/>
        </w:rPr>
        <w:fldChar w:fldCharType="separate"/>
      </w:r>
      <w:r>
        <w:rPr>
          <w:szCs w:val="24"/>
        </w:rPr>
        <w:t>274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"_Toc146091986" </w:instrText>
      </w:r>
      <w:r>
        <w:fldChar w:fldCharType="separate"/>
      </w:r>
      <w:r>
        <w:rPr>
          <w:rStyle w:val="39"/>
          <w:szCs w:val="24"/>
        </w:rPr>
        <w:t>6.9</w:t>
      </w:r>
      <w:r>
        <w:rPr>
          <w:rStyle w:val="39"/>
          <w:rFonts w:hint="eastAsia"/>
          <w:szCs w:val="24"/>
        </w:rPr>
        <w:t>社会环境影响分析</w:t>
      </w:r>
      <w:r>
        <w:rPr>
          <w:szCs w:val="24"/>
        </w:rPr>
        <w:tab/>
      </w:r>
      <w:r>
        <w:rPr>
          <w:szCs w:val="24"/>
        </w:rPr>
        <w:fldChar w:fldCharType="begin"/>
      </w:r>
      <w:r>
        <w:rPr>
          <w:szCs w:val="24"/>
        </w:rPr>
        <w:instrText xml:space="preserve"> PAGEREF _Toc146091986 \h </w:instrText>
      </w:r>
      <w:r>
        <w:rPr>
          <w:szCs w:val="24"/>
        </w:rPr>
        <w:fldChar w:fldCharType="separate"/>
      </w:r>
      <w:r>
        <w:rPr>
          <w:szCs w:val="24"/>
        </w:rPr>
        <w:t>274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"_Toc146091987" </w:instrText>
      </w:r>
      <w:r>
        <w:fldChar w:fldCharType="separate"/>
      </w:r>
      <w:r>
        <w:rPr>
          <w:rStyle w:val="39"/>
          <w:szCs w:val="24"/>
        </w:rPr>
        <w:t>6.10</w:t>
      </w:r>
      <w:r>
        <w:rPr>
          <w:rStyle w:val="39"/>
          <w:rFonts w:hint="eastAsia"/>
          <w:szCs w:val="24"/>
        </w:rPr>
        <w:t>土壤环境影响分析</w:t>
      </w:r>
      <w:r>
        <w:rPr>
          <w:szCs w:val="24"/>
        </w:rPr>
        <w:tab/>
      </w:r>
      <w:r>
        <w:rPr>
          <w:szCs w:val="24"/>
        </w:rPr>
        <w:fldChar w:fldCharType="begin"/>
      </w:r>
      <w:r>
        <w:rPr>
          <w:szCs w:val="24"/>
        </w:rPr>
        <w:instrText xml:space="preserve"> PAGEREF _Toc146091987 \h </w:instrText>
      </w:r>
      <w:r>
        <w:rPr>
          <w:szCs w:val="24"/>
        </w:rPr>
        <w:fldChar w:fldCharType="separate"/>
      </w:r>
      <w:r>
        <w:rPr>
          <w:szCs w:val="24"/>
        </w:rPr>
        <w:t>275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"_Toc146091988" </w:instrText>
      </w:r>
      <w:r>
        <w:fldChar w:fldCharType="separate"/>
      </w:r>
      <w:r>
        <w:rPr>
          <w:rStyle w:val="39"/>
          <w:szCs w:val="24"/>
        </w:rPr>
        <w:t xml:space="preserve">6.10.1 </w:t>
      </w:r>
      <w:r>
        <w:rPr>
          <w:rStyle w:val="39"/>
          <w:rFonts w:hint="eastAsia"/>
          <w:szCs w:val="24"/>
        </w:rPr>
        <w:t>区域土壤概况</w:t>
      </w:r>
      <w:r>
        <w:rPr>
          <w:szCs w:val="24"/>
        </w:rPr>
        <w:tab/>
      </w:r>
      <w:r>
        <w:rPr>
          <w:szCs w:val="24"/>
        </w:rPr>
        <w:fldChar w:fldCharType="begin"/>
      </w:r>
      <w:r>
        <w:rPr>
          <w:szCs w:val="24"/>
        </w:rPr>
        <w:instrText xml:space="preserve"> PAGEREF _Toc146091988 \h </w:instrText>
      </w:r>
      <w:r>
        <w:rPr>
          <w:szCs w:val="24"/>
        </w:rPr>
        <w:fldChar w:fldCharType="separate"/>
      </w:r>
      <w:r>
        <w:rPr>
          <w:szCs w:val="24"/>
        </w:rPr>
        <w:t>275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"_Toc146091989" </w:instrText>
      </w:r>
      <w:r>
        <w:fldChar w:fldCharType="separate"/>
      </w:r>
      <w:r>
        <w:rPr>
          <w:rStyle w:val="39"/>
          <w:szCs w:val="24"/>
        </w:rPr>
        <w:t xml:space="preserve">6.10.2 </w:t>
      </w:r>
      <w:r>
        <w:rPr>
          <w:rStyle w:val="39"/>
          <w:rFonts w:hint="eastAsia"/>
          <w:szCs w:val="24"/>
        </w:rPr>
        <w:t>土壤环境影响识别</w:t>
      </w:r>
      <w:r>
        <w:rPr>
          <w:szCs w:val="24"/>
        </w:rPr>
        <w:tab/>
      </w:r>
      <w:r>
        <w:rPr>
          <w:szCs w:val="24"/>
        </w:rPr>
        <w:fldChar w:fldCharType="begin"/>
      </w:r>
      <w:r>
        <w:rPr>
          <w:szCs w:val="24"/>
        </w:rPr>
        <w:instrText xml:space="preserve"> PAGEREF _Toc146091989 \h </w:instrText>
      </w:r>
      <w:r>
        <w:rPr>
          <w:szCs w:val="24"/>
        </w:rPr>
        <w:fldChar w:fldCharType="separate"/>
      </w:r>
      <w:r>
        <w:rPr>
          <w:szCs w:val="24"/>
        </w:rPr>
        <w:t>276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"_Toc146091990" </w:instrText>
      </w:r>
      <w:r>
        <w:fldChar w:fldCharType="separate"/>
      </w:r>
      <w:r>
        <w:rPr>
          <w:rStyle w:val="39"/>
          <w:szCs w:val="24"/>
        </w:rPr>
        <w:t xml:space="preserve">6.10.3 </w:t>
      </w:r>
      <w:r>
        <w:rPr>
          <w:rStyle w:val="39"/>
          <w:rFonts w:hint="eastAsia"/>
          <w:szCs w:val="24"/>
        </w:rPr>
        <w:t>土壤环境现状分析</w:t>
      </w:r>
      <w:r>
        <w:rPr>
          <w:szCs w:val="24"/>
        </w:rPr>
        <w:tab/>
      </w:r>
      <w:r>
        <w:rPr>
          <w:szCs w:val="24"/>
        </w:rPr>
        <w:fldChar w:fldCharType="begin"/>
      </w:r>
      <w:r>
        <w:rPr>
          <w:szCs w:val="24"/>
        </w:rPr>
        <w:instrText xml:space="preserve"> PAGEREF _Toc146091990 \h </w:instrText>
      </w:r>
      <w:r>
        <w:rPr>
          <w:szCs w:val="24"/>
        </w:rPr>
        <w:fldChar w:fldCharType="separate"/>
      </w:r>
      <w:r>
        <w:rPr>
          <w:szCs w:val="24"/>
        </w:rPr>
        <w:t>277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"_Toc146091991" </w:instrText>
      </w:r>
      <w:r>
        <w:fldChar w:fldCharType="separate"/>
      </w:r>
      <w:r>
        <w:rPr>
          <w:rStyle w:val="39"/>
          <w:szCs w:val="24"/>
        </w:rPr>
        <w:t>6.10.4</w:t>
      </w:r>
      <w:r>
        <w:rPr>
          <w:rStyle w:val="39"/>
          <w:rFonts w:hint="eastAsia"/>
          <w:szCs w:val="24"/>
        </w:rPr>
        <w:t>开发建设对土壤环境的影响</w:t>
      </w:r>
      <w:r>
        <w:rPr>
          <w:szCs w:val="24"/>
        </w:rPr>
        <w:tab/>
      </w:r>
      <w:r>
        <w:rPr>
          <w:szCs w:val="24"/>
        </w:rPr>
        <w:fldChar w:fldCharType="begin"/>
      </w:r>
      <w:r>
        <w:rPr>
          <w:szCs w:val="24"/>
        </w:rPr>
        <w:instrText xml:space="preserve"> PAGEREF _Toc146091991 \h </w:instrText>
      </w:r>
      <w:r>
        <w:rPr>
          <w:szCs w:val="24"/>
        </w:rPr>
        <w:fldChar w:fldCharType="separate"/>
      </w:r>
      <w:r>
        <w:rPr>
          <w:szCs w:val="24"/>
        </w:rPr>
        <w:t>278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"_Toc146091992" </w:instrText>
      </w:r>
      <w:r>
        <w:fldChar w:fldCharType="separate"/>
      </w:r>
      <w:r>
        <w:rPr>
          <w:rStyle w:val="39"/>
          <w:szCs w:val="24"/>
        </w:rPr>
        <w:t>6.11</w:t>
      </w:r>
      <w:r>
        <w:rPr>
          <w:rStyle w:val="39"/>
          <w:rFonts w:hint="eastAsia"/>
          <w:szCs w:val="24"/>
        </w:rPr>
        <w:t>累积环境影响分析</w:t>
      </w:r>
      <w:r>
        <w:rPr>
          <w:szCs w:val="24"/>
        </w:rPr>
        <w:tab/>
      </w:r>
      <w:r>
        <w:rPr>
          <w:szCs w:val="24"/>
        </w:rPr>
        <w:fldChar w:fldCharType="begin"/>
      </w:r>
      <w:r>
        <w:rPr>
          <w:szCs w:val="24"/>
        </w:rPr>
        <w:instrText xml:space="preserve"> PAGEREF _Toc146091992 \h </w:instrText>
      </w:r>
      <w:r>
        <w:rPr>
          <w:szCs w:val="24"/>
        </w:rPr>
        <w:fldChar w:fldCharType="separate"/>
      </w:r>
      <w:r>
        <w:rPr>
          <w:szCs w:val="24"/>
        </w:rPr>
        <w:t>278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"_Toc146091993" </w:instrText>
      </w:r>
      <w:r>
        <w:fldChar w:fldCharType="separate"/>
      </w:r>
      <w:r>
        <w:rPr>
          <w:rStyle w:val="39"/>
          <w:szCs w:val="24"/>
        </w:rPr>
        <w:t xml:space="preserve">6.12 </w:t>
      </w:r>
      <w:r>
        <w:rPr>
          <w:rStyle w:val="39"/>
          <w:rFonts w:hint="eastAsia"/>
          <w:szCs w:val="24"/>
        </w:rPr>
        <w:t>环境风险分析</w:t>
      </w:r>
      <w:r>
        <w:rPr>
          <w:szCs w:val="24"/>
        </w:rPr>
        <w:tab/>
      </w:r>
      <w:r>
        <w:rPr>
          <w:szCs w:val="24"/>
        </w:rPr>
        <w:fldChar w:fldCharType="begin"/>
      </w:r>
      <w:r>
        <w:rPr>
          <w:szCs w:val="24"/>
        </w:rPr>
        <w:instrText xml:space="preserve"> PAGEREF _Toc146091993 \h </w:instrText>
      </w:r>
      <w:r>
        <w:rPr>
          <w:szCs w:val="24"/>
        </w:rPr>
        <w:fldChar w:fldCharType="separate"/>
      </w:r>
      <w:r>
        <w:rPr>
          <w:szCs w:val="24"/>
        </w:rPr>
        <w:t>279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"_Toc146091994" </w:instrText>
      </w:r>
      <w:r>
        <w:fldChar w:fldCharType="separate"/>
      </w:r>
      <w:r>
        <w:rPr>
          <w:rStyle w:val="39"/>
          <w:szCs w:val="24"/>
        </w:rPr>
        <w:t xml:space="preserve">6.12.1 </w:t>
      </w:r>
      <w:r>
        <w:rPr>
          <w:rStyle w:val="39"/>
          <w:rFonts w:hint="eastAsia"/>
          <w:szCs w:val="24"/>
        </w:rPr>
        <w:t>环境风险识别</w:t>
      </w:r>
      <w:r>
        <w:rPr>
          <w:szCs w:val="24"/>
        </w:rPr>
        <w:tab/>
      </w:r>
      <w:r>
        <w:rPr>
          <w:szCs w:val="24"/>
        </w:rPr>
        <w:fldChar w:fldCharType="begin"/>
      </w:r>
      <w:r>
        <w:rPr>
          <w:szCs w:val="24"/>
        </w:rPr>
        <w:instrText xml:space="preserve"> PAGEREF _Toc146091994 \h </w:instrText>
      </w:r>
      <w:r>
        <w:rPr>
          <w:szCs w:val="24"/>
        </w:rPr>
        <w:fldChar w:fldCharType="separate"/>
      </w:r>
      <w:r>
        <w:rPr>
          <w:szCs w:val="24"/>
        </w:rPr>
        <w:t>279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"_Toc146091995" </w:instrText>
      </w:r>
      <w:r>
        <w:fldChar w:fldCharType="separate"/>
      </w:r>
      <w:r>
        <w:rPr>
          <w:rStyle w:val="39"/>
          <w:szCs w:val="24"/>
        </w:rPr>
        <w:t xml:space="preserve">6.12.2 </w:t>
      </w:r>
      <w:r>
        <w:rPr>
          <w:rStyle w:val="39"/>
          <w:rFonts w:hint="eastAsia"/>
          <w:szCs w:val="24"/>
        </w:rPr>
        <w:t>源项分析</w:t>
      </w:r>
      <w:r>
        <w:rPr>
          <w:szCs w:val="24"/>
        </w:rPr>
        <w:tab/>
      </w:r>
      <w:r>
        <w:rPr>
          <w:szCs w:val="24"/>
        </w:rPr>
        <w:fldChar w:fldCharType="begin"/>
      </w:r>
      <w:r>
        <w:rPr>
          <w:szCs w:val="24"/>
        </w:rPr>
        <w:instrText xml:space="preserve"> PAGEREF _Toc146091995 \h </w:instrText>
      </w:r>
      <w:r>
        <w:rPr>
          <w:szCs w:val="24"/>
        </w:rPr>
        <w:fldChar w:fldCharType="separate"/>
      </w:r>
      <w:r>
        <w:rPr>
          <w:szCs w:val="24"/>
        </w:rPr>
        <w:t>286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"_Toc146091996" </w:instrText>
      </w:r>
      <w:r>
        <w:fldChar w:fldCharType="separate"/>
      </w:r>
      <w:r>
        <w:rPr>
          <w:rStyle w:val="39"/>
          <w:szCs w:val="24"/>
        </w:rPr>
        <w:t xml:space="preserve">6.12.3 </w:t>
      </w:r>
      <w:r>
        <w:rPr>
          <w:rStyle w:val="39"/>
          <w:rFonts w:hint="eastAsia"/>
          <w:szCs w:val="24"/>
        </w:rPr>
        <w:t>风险影响分析</w:t>
      </w:r>
      <w:r>
        <w:rPr>
          <w:szCs w:val="24"/>
        </w:rPr>
        <w:tab/>
      </w:r>
      <w:r>
        <w:rPr>
          <w:szCs w:val="24"/>
        </w:rPr>
        <w:fldChar w:fldCharType="begin"/>
      </w:r>
      <w:r>
        <w:rPr>
          <w:szCs w:val="24"/>
        </w:rPr>
        <w:instrText xml:space="preserve"> PAGEREF _Toc146091996 \h </w:instrText>
      </w:r>
      <w:r>
        <w:rPr>
          <w:szCs w:val="24"/>
        </w:rPr>
        <w:fldChar w:fldCharType="separate"/>
      </w:r>
      <w:r>
        <w:rPr>
          <w:szCs w:val="24"/>
        </w:rPr>
        <w:t>287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"_Toc146091997" </w:instrText>
      </w:r>
      <w:r>
        <w:fldChar w:fldCharType="separate"/>
      </w:r>
      <w:r>
        <w:rPr>
          <w:rStyle w:val="39"/>
          <w:szCs w:val="24"/>
        </w:rPr>
        <w:t>4.6.3</w:t>
      </w:r>
      <w:r>
        <w:rPr>
          <w:rStyle w:val="39"/>
          <w:rFonts w:hint="eastAsia"/>
          <w:szCs w:val="24"/>
        </w:rPr>
        <w:t>火灾爆炸等次生事故源强</w:t>
      </w:r>
      <w:r>
        <w:rPr>
          <w:szCs w:val="24"/>
        </w:rPr>
        <w:tab/>
      </w:r>
      <w:r>
        <w:rPr>
          <w:szCs w:val="24"/>
        </w:rPr>
        <w:fldChar w:fldCharType="begin"/>
      </w:r>
      <w:r>
        <w:rPr>
          <w:szCs w:val="24"/>
        </w:rPr>
        <w:instrText xml:space="preserve"> PAGEREF _Toc146091997 \h </w:instrText>
      </w:r>
      <w:r>
        <w:rPr>
          <w:szCs w:val="24"/>
        </w:rPr>
        <w:fldChar w:fldCharType="separate"/>
      </w:r>
      <w:r>
        <w:rPr>
          <w:szCs w:val="24"/>
        </w:rPr>
        <w:t>289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"_Toc146091998" </w:instrText>
      </w:r>
      <w:r>
        <w:fldChar w:fldCharType="separate"/>
      </w:r>
      <w:r>
        <w:rPr>
          <w:rStyle w:val="39"/>
          <w:szCs w:val="24"/>
        </w:rPr>
        <w:t>4.6.5</w:t>
      </w:r>
      <w:r>
        <w:rPr>
          <w:rStyle w:val="39"/>
          <w:rFonts w:hint="eastAsia"/>
          <w:szCs w:val="24"/>
        </w:rPr>
        <w:t>污水处理厂事故排放源强</w:t>
      </w:r>
      <w:r>
        <w:rPr>
          <w:szCs w:val="24"/>
        </w:rPr>
        <w:tab/>
      </w:r>
      <w:r>
        <w:rPr>
          <w:szCs w:val="24"/>
        </w:rPr>
        <w:fldChar w:fldCharType="begin"/>
      </w:r>
      <w:r>
        <w:rPr>
          <w:szCs w:val="24"/>
        </w:rPr>
        <w:instrText xml:space="preserve"> PAGEREF _Toc146091998 \h </w:instrText>
      </w:r>
      <w:r>
        <w:rPr>
          <w:szCs w:val="24"/>
        </w:rPr>
        <w:fldChar w:fldCharType="separate"/>
      </w:r>
      <w:r>
        <w:rPr>
          <w:szCs w:val="24"/>
        </w:rPr>
        <w:t>290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"_Toc146091999" </w:instrText>
      </w:r>
      <w:r>
        <w:fldChar w:fldCharType="separate"/>
      </w:r>
      <w:r>
        <w:rPr>
          <w:rStyle w:val="39"/>
          <w:szCs w:val="24"/>
        </w:rPr>
        <w:t xml:space="preserve">6.11.4 </w:t>
      </w:r>
      <w:r>
        <w:rPr>
          <w:rStyle w:val="39"/>
          <w:rFonts w:hint="eastAsia"/>
          <w:szCs w:val="24"/>
        </w:rPr>
        <w:t>环境风险防范措施</w:t>
      </w:r>
      <w:r>
        <w:rPr>
          <w:szCs w:val="24"/>
        </w:rPr>
        <w:tab/>
      </w:r>
      <w:r>
        <w:rPr>
          <w:szCs w:val="24"/>
        </w:rPr>
        <w:fldChar w:fldCharType="begin"/>
      </w:r>
      <w:r>
        <w:rPr>
          <w:szCs w:val="24"/>
        </w:rPr>
        <w:instrText xml:space="preserve"> PAGEREF _Toc146091999 \h </w:instrText>
      </w:r>
      <w:r>
        <w:rPr>
          <w:szCs w:val="24"/>
        </w:rPr>
        <w:fldChar w:fldCharType="separate"/>
      </w:r>
      <w:r>
        <w:rPr>
          <w:szCs w:val="24"/>
        </w:rPr>
        <w:t>294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"_Toc146092000" </w:instrText>
      </w:r>
      <w:r>
        <w:fldChar w:fldCharType="separate"/>
      </w:r>
      <w:r>
        <w:rPr>
          <w:rStyle w:val="39"/>
          <w:szCs w:val="24"/>
        </w:rPr>
        <w:t>6.13</w:t>
      </w:r>
      <w:r>
        <w:rPr>
          <w:rStyle w:val="39"/>
          <w:rFonts w:hint="eastAsia"/>
          <w:szCs w:val="24"/>
        </w:rPr>
        <w:t>累积环境影响分析</w:t>
      </w:r>
      <w:r>
        <w:rPr>
          <w:szCs w:val="24"/>
        </w:rPr>
        <w:tab/>
      </w:r>
      <w:r>
        <w:rPr>
          <w:szCs w:val="24"/>
        </w:rPr>
        <w:fldChar w:fldCharType="begin"/>
      </w:r>
      <w:r>
        <w:rPr>
          <w:szCs w:val="24"/>
        </w:rPr>
        <w:instrText xml:space="preserve"> PAGEREF _Toc146092000 \h </w:instrText>
      </w:r>
      <w:r>
        <w:rPr>
          <w:szCs w:val="24"/>
        </w:rPr>
        <w:fldChar w:fldCharType="separate"/>
      </w:r>
      <w:r>
        <w:rPr>
          <w:szCs w:val="24"/>
        </w:rPr>
        <w:t>297</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"_Toc146092001" </w:instrText>
      </w:r>
      <w:r>
        <w:fldChar w:fldCharType="separate"/>
      </w:r>
      <w:r>
        <w:rPr>
          <w:rStyle w:val="39"/>
          <w:szCs w:val="24"/>
        </w:rPr>
        <w:t>6.14</w:t>
      </w:r>
      <w:r>
        <w:rPr>
          <w:rStyle w:val="39"/>
          <w:rFonts w:hint="eastAsia"/>
          <w:szCs w:val="24"/>
        </w:rPr>
        <w:t>碳排放影响分析</w:t>
      </w:r>
      <w:r>
        <w:rPr>
          <w:szCs w:val="24"/>
        </w:rPr>
        <w:tab/>
      </w:r>
      <w:r>
        <w:rPr>
          <w:szCs w:val="24"/>
        </w:rPr>
        <w:fldChar w:fldCharType="begin"/>
      </w:r>
      <w:r>
        <w:rPr>
          <w:szCs w:val="24"/>
        </w:rPr>
        <w:instrText xml:space="preserve"> PAGEREF _Toc146092001 \h </w:instrText>
      </w:r>
      <w:r>
        <w:rPr>
          <w:szCs w:val="24"/>
        </w:rPr>
        <w:fldChar w:fldCharType="separate"/>
      </w:r>
      <w:r>
        <w:rPr>
          <w:szCs w:val="24"/>
        </w:rPr>
        <w:t>297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"_Toc146092002" </w:instrText>
      </w:r>
      <w:r>
        <w:fldChar w:fldCharType="separate"/>
      </w:r>
      <w:r>
        <w:rPr>
          <w:rStyle w:val="39"/>
          <w:szCs w:val="24"/>
        </w:rPr>
        <w:t>6.14.1</w:t>
      </w:r>
      <w:r>
        <w:rPr>
          <w:rStyle w:val="39"/>
          <w:rFonts w:hint="eastAsia"/>
          <w:szCs w:val="24"/>
        </w:rPr>
        <w:t>碳排放预测</w:t>
      </w:r>
      <w:r>
        <w:rPr>
          <w:szCs w:val="24"/>
        </w:rPr>
        <w:tab/>
      </w:r>
      <w:r>
        <w:rPr>
          <w:szCs w:val="24"/>
        </w:rPr>
        <w:fldChar w:fldCharType="begin"/>
      </w:r>
      <w:r>
        <w:rPr>
          <w:szCs w:val="24"/>
        </w:rPr>
        <w:instrText xml:space="preserve"> PAGEREF _Toc146092002 \h </w:instrText>
      </w:r>
      <w:r>
        <w:rPr>
          <w:szCs w:val="24"/>
        </w:rPr>
        <w:fldChar w:fldCharType="separate"/>
      </w:r>
      <w:r>
        <w:rPr>
          <w:szCs w:val="24"/>
        </w:rPr>
        <w:t>297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"_Toc146092003" </w:instrText>
      </w:r>
      <w:r>
        <w:fldChar w:fldCharType="separate"/>
      </w:r>
      <w:r>
        <w:rPr>
          <w:rStyle w:val="39"/>
          <w:szCs w:val="24"/>
        </w:rPr>
        <w:t>6.14.2</w:t>
      </w:r>
      <w:r>
        <w:rPr>
          <w:rStyle w:val="39"/>
          <w:rFonts w:hint="eastAsia"/>
          <w:szCs w:val="24"/>
        </w:rPr>
        <w:t>单位工业增加值碳排放</w:t>
      </w:r>
      <w:r>
        <w:rPr>
          <w:szCs w:val="24"/>
        </w:rPr>
        <w:tab/>
      </w:r>
      <w:r>
        <w:rPr>
          <w:szCs w:val="24"/>
        </w:rPr>
        <w:fldChar w:fldCharType="begin"/>
      </w:r>
      <w:r>
        <w:rPr>
          <w:szCs w:val="24"/>
        </w:rPr>
        <w:instrText xml:space="preserve"> PAGEREF _Toc146092003 \h </w:instrText>
      </w:r>
      <w:r>
        <w:rPr>
          <w:szCs w:val="24"/>
        </w:rPr>
        <w:fldChar w:fldCharType="separate"/>
      </w:r>
      <w:r>
        <w:rPr>
          <w:szCs w:val="24"/>
        </w:rPr>
        <w:t>300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"_Toc146092004" </w:instrText>
      </w:r>
      <w:r>
        <w:fldChar w:fldCharType="separate"/>
      </w:r>
      <w:r>
        <w:rPr>
          <w:rStyle w:val="39"/>
          <w:szCs w:val="24"/>
        </w:rPr>
        <w:t xml:space="preserve">6.14.3 </w:t>
      </w:r>
      <w:r>
        <w:rPr>
          <w:rStyle w:val="39"/>
          <w:rFonts w:hint="eastAsia"/>
          <w:szCs w:val="24"/>
        </w:rPr>
        <w:t>碳排放潜力分析</w:t>
      </w:r>
      <w:r>
        <w:rPr>
          <w:szCs w:val="24"/>
        </w:rPr>
        <w:tab/>
      </w:r>
      <w:r>
        <w:rPr>
          <w:szCs w:val="24"/>
        </w:rPr>
        <w:fldChar w:fldCharType="begin"/>
      </w:r>
      <w:r>
        <w:rPr>
          <w:szCs w:val="24"/>
        </w:rPr>
        <w:instrText xml:space="preserve"> PAGEREF _Toc146092004 \h </w:instrText>
      </w:r>
      <w:r>
        <w:rPr>
          <w:szCs w:val="24"/>
        </w:rPr>
        <w:fldChar w:fldCharType="separate"/>
      </w:r>
      <w:r>
        <w:rPr>
          <w:szCs w:val="24"/>
        </w:rPr>
        <w:t>301</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"_Toc146092005" </w:instrText>
      </w:r>
      <w:r>
        <w:fldChar w:fldCharType="separate"/>
      </w:r>
      <w:r>
        <w:rPr>
          <w:rStyle w:val="39"/>
          <w:szCs w:val="24"/>
        </w:rPr>
        <w:t xml:space="preserve">6.15 </w:t>
      </w:r>
      <w:r>
        <w:rPr>
          <w:rStyle w:val="39"/>
          <w:rFonts w:hint="eastAsia"/>
          <w:szCs w:val="24"/>
        </w:rPr>
        <w:t>清洁生产与循环经济</w:t>
      </w:r>
      <w:r>
        <w:rPr>
          <w:szCs w:val="24"/>
        </w:rPr>
        <w:tab/>
      </w:r>
      <w:r>
        <w:rPr>
          <w:szCs w:val="24"/>
        </w:rPr>
        <w:fldChar w:fldCharType="begin"/>
      </w:r>
      <w:r>
        <w:rPr>
          <w:szCs w:val="24"/>
        </w:rPr>
        <w:instrText xml:space="preserve"> PAGEREF _Toc146092005 \h </w:instrText>
      </w:r>
      <w:r>
        <w:rPr>
          <w:szCs w:val="24"/>
        </w:rPr>
        <w:fldChar w:fldCharType="separate"/>
      </w:r>
      <w:r>
        <w:rPr>
          <w:szCs w:val="24"/>
        </w:rPr>
        <w:t>301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"_Toc146092006" </w:instrText>
      </w:r>
      <w:r>
        <w:fldChar w:fldCharType="separate"/>
      </w:r>
      <w:r>
        <w:rPr>
          <w:rStyle w:val="39"/>
          <w:szCs w:val="24"/>
        </w:rPr>
        <w:t xml:space="preserve">6.15.1 </w:t>
      </w:r>
      <w:r>
        <w:rPr>
          <w:rStyle w:val="39"/>
          <w:rFonts w:hint="eastAsia"/>
          <w:szCs w:val="24"/>
        </w:rPr>
        <w:t>清洁生产</w:t>
      </w:r>
      <w:r>
        <w:rPr>
          <w:szCs w:val="24"/>
        </w:rPr>
        <w:tab/>
      </w:r>
      <w:r>
        <w:rPr>
          <w:szCs w:val="24"/>
        </w:rPr>
        <w:fldChar w:fldCharType="begin"/>
      </w:r>
      <w:r>
        <w:rPr>
          <w:szCs w:val="24"/>
        </w:rPr>
        <w:instrText xml:space="preserve"> PAGEREF _Toc146092006 \h </w:instrText>
      </w:r>
      <w:r>
        <w:rPr>
          <w:szCs w:val="24"/>
        </w:rPr>
        <w:fldChar w:fldCharType="separate"/>
      </w:r>
      <w:r>
        <w:rPr>
          <w:szCs w:val="24"/>
        </w:rPr>
        <w:t>301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"_Toc146092007" </w:instrText>
      </w:r>
      <w:r>
        <w:fldChar w:fldCharType="separate"/>
      </w:r>
      <w:r>
        <w:rPr>
          <w:rStyle w:val="39"/>
          <w:szCs w:val="24"/>
        </w:rPr>
        <w:t xml:space="preserve">6.15.2 </w:t>
      </w:r>
      <w:r>
        <w:rPr>
          <w:rStyle w:val="39"/>
          <w:rFonts w:hint="eastAsia"/>
          <w:szCs w:val="24"/>
        </w:rPr>
        <w:t>循环经济分析</w:t>
      </w:r>
      <w:r>
        <w:rPr>
          <w:szCs w:val="24"/>
        </w:rPr>
        <w:tab/>
      </w:r>
      <w:r>
        <w:rPr>
          <w:szCs w:val="24"/>
        </w:rPr>
        <w:fldChar w:fldCharType="begin"/>
      </w:r>
      <w:r>
        <w:rPr>
          <w:szCs w:val="24"/>
        </w:rPr>
        <w:instrText xml:space="preserve"> PAGEREF _Toc146092007 \h </w:instrText>
      </w:r>
      <w:r>
        <w:rPr>
          <w:szCs w:val="24"/>
        </w:rPr>
        <w:fldChar w:fldCharType="separate"/>
      </w:r>
      <w:r>
        <w:rPr>
          <w:szCs w:val="24"/>
        </w:rPr>
        <w:t>302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"_Toc146092008" </w:instrText>
      </w:r>
      <w:r>
        <w:fldChar w:fldCharType="separate"/>
      </w:r>
      <w:r>
        <w:rPr>
          <w:rStyle w:val="39"/>
          <w:szCs w:val="24"/>
        </w:rPr>
        <w:t xml:space="preserve">6.15.3 </w:t>
      </w:r>
      <w:r>
        <w:rPr>
          <w:rStyle w:val="39"/>
          <w:rFonts w:hint="eastAsia"/>
          <w:szCs w:val="24"/>
        </w:rPr>
        <w:t>鼓励企业展开</w:t>
      </w:r>
      <w:r>
        <w:rPr>
          <w:rStyle w:val="39"/>
          <w:szCs w:val="24"/>
        </w:rPr>
        <w:t>ISO1400</w:t>
      </w:r>
      <w:r>
        <w:rPr>
          <w:rStyle w:val="39"/>
          <w:rFonts w:hint="eastAsia"/>
          <w:szCs w:val="24"/>
        </w:rPr>
        <w:t>认证</w:t>
      </w:r>
      <w:r>
        <w:rPr>
          <w:szCs w:val="24"/>
        </w:rPr>
        <w:tab/>
      </w:r>
      <w:r>
        <w:rPr>
          <w:szCs w:val="24"/>
        </w:rPr>
        <w:fldChar w:fldCharType="begin"/>
      </w:r>
      <w:r>
        <w:rPr>
          <w:szCs w:val="24"/>
        </w:rPr>
        <w:instrText xml:space="preserve"> PAGEREF _Toc146092008 \h </w:instrText>
      </w:r>
      <w:r>
        <w:rPr>
          <w:szCs w:val="24"/>
        </w:rPr>
        <w:fldChar w:fldCharType="separate"/>
      </w:r>
      <w:r>
        <w:rPr>
          <w:szCs w:val="24"/>
        </w:rPr>
        <w:t>305</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"_Toc146092009" </w:instrText>
      </w:r>
      <w:r>
        <w:fldChar w:fldCharType="separate"/>
      </w:r>
      <w:r>
        <w:rPr>
          <w:rStyle w:val="39"/>
          <w:szCs w:val="24"/>
        </w:rPr>
        <w:t>6.16</w:t>
      </w:r>
      <w:r>
        <w:rPr>
          <w:rStyle w:val="39"/>
          <w:rFonts w:hint="eastAsia"/>
          <w:szCs w:val="24"/>
        </w:rPr>
        <w:t>资源与环境承载力评估</w:t>
      </w:r>
      <w:r>
        <w:rPr>
          <w:szCs w:val="24"/>
        </w:rPr>
        <w:tab/>
      </w:r>
      <w:r>
        <w:rPr>
          <w:szCs w:val="24"/>
        </w:rPr>
        <w:fldChar w:fldCharType="begin"/>
      </w:r>
      <w:r>
        <w:rPr>
          <w:szCs w:val="24"/>
        </w:rPr>
        <w:instrText xml:space="preserve"> PAGEREF _Toc146092009 \h </w:instrText>
      </w:r>
      <w:r>
        <w:rPr>
          <w:szCs w:val="24"/>
        </w:rPr>
        <w:fldChar w:fldCharType="separate"/>
      </w:r>
      <w:r>
        <w:rPr>
          <w:szCs w:val="24"/>
        </w:rPr>
        <w:t>305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"_Toc146092010" </w:instrText>
      </w:r>
      <w:r>
        <w:fldChar w:fldCharType="separate"/>
      </w:r>
      <w:r>
        <w:rPr>
          <w:rStyle w:val="39"/>
          <w:szCs w:val="24"/>
        </w:rPr>
        <w:t xml:space="preserve">6.16.1 </w:t>
      </w:r>
      <w:r>
        <w:rPr>
          <w:rStyle w:val="39"/>
          <w:rFonts w:hint="eastAsia"/>
          <w:szCs w:val="24"/>
        </w:rPr>
        <w:t>生态保护红线</w:t>
      </w:r>
      <w:r>
        <w:rPr>
          <w:szCs w:val="24"/>
        </w:rPr>
        <w:tab/>
      </w:r>
      <w:r>
        <w:rPr>
          <w:szCs w:val="24"/>
        </w:rPr>
        <w:fldChar w:fldCharType="begin"/>
      </w:r>
      <w:r>
        <w:rPr>
          <w:szCs w:val="24"/>
        </w:rPr>
        <w:instrText xml:space="preserve"> PAGEREF _Toc146092010 \h </w:instrText>
      </w:r>
      <w:r>
        <w:rPr>
          <w:szCs w:val="24"/>
        </w:rPr>
        <w:fldChar w:fldCharType="separate"/>
      </w:r>
      <w:r>
        <w:rPr>
          <w:szCs w:val="24"/>
        </w:rPr>
        <w:t>305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"_Toc146092011" </w:instrText>
      </w:r>
      <w:r>
        <w:fldChar w:fldCharType="separate"/>
      </w:r>
      <w:r>
        <w:rPr>
          <w:rStyle w:val="39"/>
          <w:szCs w:val="24"/>
        </w:rPr>
        <w:t xml:space="preserve">6.16.2 </w:t>
      </w:r>
      <w:r>
        <w:rPr>
          <w:rStyle w:val="39"/>
          <w:rFonts w:hint="eastAsia"/>
          <w:szCs w:val="24"/>
        </w:rPr>
        <w:t>环境承载力分析与评估</w:t>
      </w:r>
      <w:r>
        <w:rPr>
          <w:szCs w:val="24"/>
        </w:rPr>
        <w:tab/>
      </w:r>
      <w:r>
        <w:rPr>
          <w:szCs w:val="24"/>
        </w:rPr>
        <w:fldChar w:fldCharType="begin"/>
      </w:r>
      <w:r>
        <w:rPr>
          <w:szCs w:val="24"/>
        </w:rPr>
        <w:instrText xml:space="preserve"> PAGEREF _Toc146092011 \h </w:instrText>
      </w:r>
      <w:r>
        <w:rPr>
          <w:szCs w:val="24"/>
        </w:rPr>
        <w:fldChar w:fldCharType="separate"/>
      </w:r>
      <w:r>
        <w:rPr>
          <w:szCs w:val="24"/>
        </w:rPr>
        <w:t>306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"_Toc146092012" </w:instrText>
      </w:r>
      <w:r>
        <w:fldChar w:fldCharType="separate"/>
      </w:r>
      <w:r>
        <w:rPr>
          <w:rStyle w:val="39"/>
          <w:szCs w:val="24"/>
        </w:rPr>
        <w:t xml:space="preserve">6.16.3 </w:t>
      </w:r>
      <w:r>
        <w:rPr>
          <w:rStyle w:val="39"/>
          <w:rFonts w:hint="eastAsia"/>
          <w:szCs w:val="24"/>
        </w:rPr>
        <w:t>资源承载力分析与评估</w:t>
      </w:r>
      <w:r>
        <w:rPr>
          <w:szCs w:val="24"/>
        </w:rPr>
        <w:tab/>
      </w:r>
      <w:r>
        <w:rPr>
          <w:szCs w:val="24"/>
        </w:rPr>
        <w:fldChar w:fldCharType="begin"/>
      </w:r>
      <w:r>
        <w:rPr>
          <w:szCs w:val="24"/>
        </w:rPr>
        <w:instrText xml:space="preserve"> PAGEREF _Toc146092012 \h </w:instrText>
      </w:r>
      <w:r>
        <w:rPr>
          <w:szCs w:val="24"/>
        </w:rPr>
        <w:fldChar w:fldCharType="separate"/>
      </w:r>
      <w:r>
        <w:rPr>
          <w:szCs w:val="24"/>
        </w:rPr>
        <w:t>309</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"_Toc146092013" </w:instrText>
      </w:r>
      <w:r>
        <w:fldChar w:fldCharType="separate"/>
      </w:r>
      <w:r>
        <w:rPr>
          <w:rStyle w:val="39"/>
          <w:rFonts w:hint="eastAsia"/>
          <w:szCs w:val="24"/>
        </w:rPr>
        <w:t>第</w:t>
      </w:r>
      <w:r>
        <w:rPr>
          <w:rStyle w:val="39"/>
          <w:szCs w:val="24"/>
        </w:rPr>
        <w:t>7</w:t>
      </w:r>
      <w:r>
        <w:rPr>
          <w:rStyle w:val="39"/>
          <w:rFonts w:hint="eastAsia"/>
          <w:szCs w:val="24"/>
        </w:rPr>
        <w:t>章</w:t>
      </w:r>
      <w:r>
        <w:rPr>
          <w:rStyle w:val="39"/>
          <w:szCs w:val="24"/>
        </w:rPr>
        <w:t xml:space="preserve"> </w:t>
      </w:r>
      <w:r>
        <w:rPr>
          <w:rStyle w:val="39"/>
          <w:rFonts w:hint="eastAsia"/>
          <w:szCs w:val="24"/>
        </w:rPr>
        <w:t>规划方案综合论证及优化调整建议</w:t>
      </w:r>
      <w:r>
        <w:rPr>
          <w:szCs w:val="24"/>
        </w:rPr>
        <w:tab/>
      </w:r>
      <w:r>
        <w:rPr>
          <w:szCs w:val="24"/>
        </w:rPr>
        <w:fldChar w:fldCharType="begin"/>
      </w:r>
      <w:r>
        <w:rPr>
          <w:szCs w:val="24"/>
        </w:rPr>
        <w:instrText xml:space="preserve"> PAGEREF _Toc146092013 \h </w:instrText>
      </w:r>
      <w:r>
        <w:rPr>
          <w:szCs w:val="24"/>
        </w:rPr>
        <w:fldChar w:fldCharType="separate"/>
      </w:r>
      <w:r>
        <w:rPr>
          <w:szCs w:val="24"/>
        </w:rPr>
        <w:t>312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"_Toc146092014" </w:instrText>
      </w:r>
      <w:r>
        <w:fldChar w:fldCharType="separate"/>
      </w:r>
      <w:r>
        <w:rPr>
          <w:rStyle w:val="39"/>
          <w:szCs w:val="24"/>
        </w:rPr>
        <w:t>7.1</w:t>
      </w:r>
      <w:r>
        <w:rPr>
          <w:rStyle w:val="39"/>
          <w:rFonts w:hint="eastAsia"/>
          <w:szCs w:val="24"/>
        </w:rPr>
        <w:t>规划方案的环境合理性论证</w:t>
      </w:r>
      <w:r>
        <w:rPr>
          <w:szCs w:val="24"/>
        </w:rPr>
        <w:tab/>
      </w:r>
      <w:r>
        <w:rPr>
          <w:szCs w:val="24"/>
        </w:rPr>
        <w:fldChar w:fldCharType="begin"/>
      </w:r>
      <w:r>
        <w:rPr>
          <w:szCs w:val="24"/>
        </w:rPr>
        <w:instrText xml:space="preserve"> PAGEREF _Toc146092014 \h </w:instrText>
      </w:r>
      <w:r>
        <w:rPr>
          <w:szCs w:val="24"/>
        </w:rPr>
        <w:fldChar w:fldCharType="separate"/>
      </w:r>
      <w:r>
        <w:rPr>
          <w:szCs w:val="24"/>
        </w:rPr>
        <w:t>312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"_Toc146092015" </w:instrText>
      </w:r>
      <w:r>
        <w:fldChar w:fldCharType="separate"/>
      </w:r>
      <w:r>
        <w:rPr>
          <w:rStyle w:val="39"/>
          <w:szCs w:val="24"/>
        </w:rPr>
        <w:t xml:space="preserve">7.1.1 </w:t>
      </w:r>
      <w:r>
        <w:rPr>
          <w:rStyle w:val="39"/>
          <w:rFonts w:hint="eastAsia"/>
          <w:szCs w:val="24"/>
        </w:rPr>
        <w:t>规划目标与发展定位的环境合理性分析</w:t>
      </w:r>
      <w:r>
        <w:rPr>
          <w:szCs w:val="24"/>
        </w:rPr>
        <w:tab/>
      </w:r>
      <w:r>
        <w:rPr>
          <w:szCs w:val="24"/>
        </w:rPr>
        <w:fldChar w:fldCharType="begin"/>
      </w:r>
      <w:r>
        <w:rPr>
          <w:szCs w:val="24"/>
        </w:rPr>
        <w:instrText xml:space="preserve"> PAGEREF _Toc146092015 \h </w:instrText>
      </w:r>
      <w:r>
        <w:rPr>
          <w:szCs w:val="24"/>
        </w:rPr>
        <w:fldChar w:fldCharType="separate"/>
      </w:r>
      <w:r>
        <w:rPr>
          <w:szCs w:val="24"/>
        </w:rPr>
        <w:t>312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"_Toc146092016" </w:instrText>
      </w:r>
      <w:r>
        <w:fldChar w:fldCharType="separate"/>
      </w:r>
      <w:r>
        <w:rPr>
          <w:rStyle w:val="39"/>
          <w:szCs w:val="24"/>
        </w:rPr>
        <w:t xml:space="preserve">7.1.2 </w:t>
      </w:r>
      <w:r>
        <w:rPr>
          <w:rStyle w:val="39"/>
          <w:rFonts w:hint="eastAsia"/>
          <w:szCs w:val="24"/>
        </w:rPr>
        <w:t>规划规模的环境合理性分析</w:t>
      </w:r>
      <w:r>
        <w:rPr>
          <w:szCs w:val="24"/>
        </w:rPr>
        <w:tab/>
      </w:r>
      <w:r>
        <w:rPr>
          <w:szCs w:val="24"/>
        </w:rPr>
        <w:fldChar w:fldCharType="begin"/>
      </w:r>
      <w:r>
        <w:rPr>
          <w:szCs w:val="24"/>
        </w:rPr>
        <w:instrText xml:space="preserve"> PAGEREF _Toc146092016 \h </w:instrText>
      </w:r>
      <w:r>
        <w:rPr>
          <w:szCs w:val="24"/>
        </w:rPr>
        <w:fldChar w:fldCharType="separate"/>
      </w:r>
      <w:r>
        <w:rPr>
          <w:szCs w:val="24"/>
        </w:rPr>
        <w:t>313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"_Toc146092017" </w:instrText>
      </w:r>
      <w:r>
        <w:fldChar w:fldCharType="separate"/>
      </w:r>
      <w:r>
        <w:rPr>
          <w:rStyle w:val="39"/>
          <w:szCs w:val="24"/>
        </w:rPr>
        <w:t xml:space="preserve">7.1.3 </w:t>
      </w:r>
      <w:r>
        <w:rPr>
          <w:rStyle w:val="39"/>
          <w:rFonts w:hint="eastAsia"/>
          <w:szCs w:val="24"/>
        </w:rPr>
        <w:t>规划总体布局及用地结构的环境合理性分析</w:t>
      </w:r>
      <w:r>
        <w:rPr>
          <w:szCs w:val="24"/>
        </w:rPr>
        <w:tab/>
      </w:r>
      <w:r>
        <w:rPr>
          <w:szCs w:val="24"/>
        </w:rPr>
        <w:fldChar w:fldCharType="begin"/>
      </w:r>
      <w:r>
        <w:rPr>
          <w:szCs w:val="24"/>
        </w:rPr>
        <w:instrText xml:space="preserve"> PAGEREF _Toc146092017 \h </w:instrText>
      </w:r>
      <w:r>
        <w:rPr>
          <w:szCs w:val="24"/>
        </w:rPr>
        <w:fldChar w:fldCharType="separate"/>
      </w:r>
      <w:r>
        <w:rPr>
          <w:szCs w:val="24"/>
        </w:rPr>
        <w:t>315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"_Toc146092018" </w:instrText>
      </w:r>
      <w:r>
        <w:fldChar w:fldCharType="separate"/>
      </w:r>
      <w:r>
        <w:rPr>
          <w:rStyle w:val="39"/>
          <w:szCs w:val="24"/>
        </w:rPr>
        <w:t xml:space="preserve">7.1.4 </w:t>
      </w:r>
      <w:r>
        <w:rPr>
          <w:rStyle w:val="39"/>
          <w:rFonts w:hint="eastAsia"/>
          <w:szCs w:val="24"/>
        </w:rPr>
        <w:t>规划配套基础设施建设合理性</w:t>
      </w:r>
      <w:r>
        <w:rPr>
          <w:szCs w:val="24"/>
        </w:rPr>
        <w:tab/>
      </w:r>
      <w:r>
        <w:rPr>
          <w:szCs w:val="24"/>
        </w:rPr>
        <w:fldChar w:fldCharType="begin"/>
      </w:r>
      <w:r>
        <w:rPr>
          <w:szCs w:val="24"/>
        </w:rPr>
        <w:instrText xml:space="preserve"> PAGEREF _Toc146092018 \h </w:instrText>
      </w:r>
      <w:r>
        <w:rPr>
          <w:szCs w:val="24"/>
        </w:rPr>
        <w:fldChar w:fldCharType="separate"/>
      </w:r>
      <w:r>
        <w:rPr>
          <w:szCs w:val="24"/>
        </w:rPr>
        <w:t>316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"_Toc146092019" </w:instrText>
      </w:r>
      <w:r>
        <w:fldChar w:fldCharType="separate"/>
      </w:r>
      <w:r>
        <w:rPr>
          <w:rStyle w:val="39"/>
          <w:szCs w:val="24"/>
        </w:rPr>
        <w:t xml:space="preserve">7.1.5 </w:t>
      </w:r>
      <w:r>
        <w:rPr>
          <w:rStyle w:val="39"/>
          <w:rFonts w:hint="eastAsia"/>
          <w:szCs w:val="24"/>
        </w:rPr>
        <w:t>规划环境保护目标与评价指标可达性分析</w:t>
      </w:r>
      <w:r>
        <w:rPr>
          <w:szCs w:val="24"/>
        </w:rPr>
        <w:tab/>
      </w:r>
      <w:r>
        <w:rPr>
          <w:szCs w:val="24"/>
        </w:rPr>
        <w:fldChar w:fldCharType="begin"/>
      </w:r>
      <w:r>
        <w:rPr>
          <w:szCs w:val="24"/>
        </w:rPr>
        <w:instrText xml:space="preserve"> PAGEREF _Toc146092019 \h </w:instrText>
      </w:r>
      <w:r>
        <w:rPr>
          <w:szCs w:val="24"/>
        </w:rPr>
        <w:fldChar w:fldCharType="separate"/>
      </w:r>
      <w:r>
        <w:rPr>
          <w:szCs w:val="24"/>
        </w:rPr>
        <w:t>317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"_Toc146092020" </w:instrText>
      </w:r>
      <w:r>
        <w:fldChar w:fldCharType="separate"/>
      </w:r>
      <w:r>
        <w:rPr>
          <w:rStyle w:val="39"/>
          <w:szCs w:val="24"/>
        </w:rPr>
        <w:t xml:space="preserve">7.1.6 </w:t>
      </w:r>
      <w:r>
        <w:rPr>
          <w:rStyle w:val="39"/>
          <w:rFonts w:hint="eastAsia"/>
          <w:szCs w:val="24"/>
        </w:rPr>
        <w:t>规划方案环境效益论证</w:t>
      </w:r>
      <w:r>
        <w:rPr>
          <w:szCs w:val="24"/>
        </w:rPr>
        <w:tab/>
      </w:r>
      <w:r>
        <w:rPr>
          <w:szCs w:val="24"/>
        </w:rPr>
        <w:fldChar w:fldCharType="begin"/>
      </w:r>
      <w:r>
        <w:rPr>
          <w:szCs w:val="24"/>
        </w:rPr>
        <w:instrText xml:space="preserve"> PAGEREF _Toc146092020 \h </w:instrText>
      </w:r>
      <w:r>
        <w:rPr>
          <w:szCs w:val="24"/>
        </w:rPr>
        <w:fldChar w:fldCharType="separate"/>
      </w:r>
      <w:r>
        <w:rPr>
          <w:szCs w:val="24"/>
        </w:rPr>
        <w:t>319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"_Toc146092021" </w:instrText>
      </w:r>
      <w:r>
        <w:fldChar w:fldCharType="separate"/>
      </w:r>
      <w:r>
        <w:rPr>
          <w:rStyle w:val="39"/>
          <w:szCs w:val="24"/>
        </w:rPr>
        <w:t>7.2</w:t>
      </w:r>
      <w:r>
        <w:rPr>
          <w:rStyle w:val="39"/>
          <w:rFonts w:hint="eastAsia"/>
          <w:szCs w:val="24"/>
        </w:rPr>
        <w:t>本次扩区主要环境制约因素及解决对策</w:t>
      </w:r>
      <w:r>
        <w:rPr>
          <w:szCs w:val="24"/>
        </w:rPr>
        <w:tab/>
      </w:r>
      <w:r>
        <w:rPr>
          <w:szCs w:val="24"/>
        </w:rPr>
        <w:fldChar w:fldCharType="begin"/>
      </w:r>
      <w:r>
        <w:rPr>
          <w:szCs w:val="24"/>
        </w:rPr>
        <w:instrText xml:space="preserve"> PAGEREF _Toc146092021 \h </w:instrText>
      </w:r>
      <w:r>
        <w:rPr>
          <w:szCs w:val="24"/>
        </w:rPr>
        <w:fldChar w:fldCharType="separate"/>
      </w:r>
      <w:r>
        <w:rPr>
          <w:szCs w:val="24"/>
        </w:rPr>
        <w:t>320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"_Toc146092022" </w:instrText>
      </w:r>
      <w:r>
        <w:fldChar w:fldCharType="separate"/>
      </w:r>
      <w:r>
        <w:rPr>
          <w:rStyle w:val="39"/>
          <w:szCs w:val="24"/>
        </w:rPr>
        <w:t>7.3</w:t>
      </w:r>
      <w:r>
        <w:rPr>
          <w:rStyle w:val="39"/>
          <w:rFonts w:hint="eastAsia"/>
          <w:szCs w:val="24"/>
        </w:rPr>
        <w:t>规划优化调整建议及规划互动</w:t>
      </w:r>
      <w:r>
        <w:rPr>
          <w:szCs w:val="24"/>
        </w:rPr>
        <w:tab/>
      </w:r>
      <w:r>
        <w:rPr>
          <w:szCs w:val="24"/>
        </w:rPr>
        <w:fldChar w:fldCharType="begin"/>
      </w:r>
      <w:r>
        <w:rPr>
          <w:szCs w:val="24"/>
        </w:rPr>
        <w:instrText xml:space="preserve"> PAGEREF _Toc146092022 \h </w:instrText>
      </w:r>
      <w:r>
        <w:rPr>
          <w:szCs w:val="24"/>
        </w:rPr>
        <w:fldChar w:fldCharType="separate"/>
      </w:r>
      <w:r>
        <w:rPr>
          <w:szCs w:val="24"/>
        </w:rPr>
        <w:t>320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"_Toc146092023" </w:instrText>
      </w:r>
      <w:r>
        <w:fldChar w:fldCharType="separate"/>
      </w:r>
      <w:r>
        <w:rPr>
          <w:rStyle w:val="39"/>
          <w:szCs w:val="24"/>
        </w:rPr>
        <w:t xml:space="preserve">7.3.1 </w:t>
      </w:r>
      <w:r>
        <w:rPr>
          <w:rStyle w:val="39"/>
          <w:rFonts w:hint="eastAsia"/>
          <w:szCs w:val="24"/>
        </w:rPr>
        <w:t>规划优化调整建议</w:t>
      </w:r>
      <w:r>
        <w:rPr>
          <w:szCs w:val="24"/>
        </w:rPr>
        <w:tab/>
      </w:r>
      <w:r>
        <w:rPr>
          <w:szCs w:val="24"/>
        </w:rPr>
        <w:fldChar w:fldCharType="begin"/>
      </w:r>
      <w:r>
        <w:rPr>
          <w:szCs w:val="24"/>
        </w:rPr>
        <w:instrText xml:space="preserve"> PAGEREF _Toc146092023 \h </w:instrText>
      </w:r>
      <w:r>
        <w:rPr>
          <w:szCs w:val="24"/>
        </w:rPr>
        <w:fldChar w:fldCharType="separate"/>
      </w:r>
      <w:r>
        <w:rPr>
          <w:szCs w:val="24"/>
        </w:rPr>
        <w:t>320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"_Toc146092024" </w:instrText>
      </w:r>
      <w:r>
        <w:fldChar w:fldCharType="separate"/>
      </w:r>
      <w:r>
        <w:rPr>
          <w:rStyle w:val="39"/>
          <w:szCs w:val="24"/>
        </w:rPr>
        <w:t xml:space="preserve">7.3.2 </w:t>
      </w:r>
      <w:r>
        <w:rPr>
          <w:rStyle w:val="39"/>
          <w:rFonts w:hint="eastAsia"/>
          <w:szCs w:val="24"/>
        </w:rPr>
        <w:t>规划环评与规划编制互动情况</w:t>
      </w:r>
      <w:r>
        <w:rPr>
          <w:szCs w:val="24"/>
        </w:rPr>
        <w:tab/>
      </w:r>
      <w:r>
        <w:rPr>
          <w:szCs w:val="24"/>
        </w:rPr>
        <w:fldChar w:fldCharType="begin"/>
      </w:r>
      <w:r>
        <w:rPr>
          <w:szCs w:val="24"/>
        </w:rPr>
        <w:instrText xml:space="preserve"> PAGEREF _Toc146092024 \h </w:instrText>
      </w:r>
      <w:r>
        <w:rPr>
          <w:szCs w:val="24"/>
        </w:rPr>
        <w:fldChar w:fldCharType="separate"/>
      </w:r>
      <w:r>
        <w:rPr>
          <w:szCs w:val="24"/>
        </w:rPr>
        <w:t>320</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"_Toc146092025" </w:instrText>
      </w:r>
      <w:r>
        <w:fldChar w:fldCharType="separate"/>
      </w:r>
      <w:r>
        <w:rPr>
          <w:rStyle w:val="39"/>
          <w:rFonts w:hint="eastAsia"/>
          <w:szCs w:val="24"/>
        </w:rPr>
        <w:t>第</w:t>
      </w:r>
      <w:r>
        <w:rPr>
          <w:rStyle w:val="39"/>
          <w:szCs w:val="24"/>
        </w:rPr>
        <w:t>8</w:t>
      </w:r>
      <w:r>
        <w:rPr>
          <w:rStyle w:val="39"/>
          <w:rFonts w:hint="eastAsia"/>
          <w:szCs w:val="24"/>
        </w:rPr>
        <w:t>章</w:t>
      </w:r>
      <w:r>
        <w:rPr>
          <w:rStyle w:val="39"/>
          <w:szCs w:val="24"/>
        </w:rPr>
        <w:t xml:space="preserve"> </w:t>
      </w:r>
      <w:r>
        <w:rPr>
          <w:rStyle w:val="39"/>
          <w:rFonts w:hint="eastAsia"/>
          <w:szCs w:val="24"/>
        </w:rPr>
        <w:t>不良环境影响减缓对策措施与协同降碳建议</w:t>
      </w:r>
      <w:r>
        <w:rPr>
          <w:szCs w:val="24"/>
        </w:rPr>
        <w:tab/>
      </w:r>
      <w:r>
        <w:rPr>
          <w:szCs w:val="24"/>
        </w:rPr>
        <w:fldChar w:fldCharType="begin"/>
      </w:r>
      <w:r>
        <w:rPr>
          <w:szCs w:val="24"/>
        </w:rPr>
        <w:instrText xml:space="preserve"> PAGEREF _Toc146092025 \h </w:instrText>
      </w:r>
      <w:r>
        <w:rPr>
          <w:szCs w:val="24"/>
        </w:rPr>
        <w:fldChar w:fldCharType="separate"/>
      </w:r>
      <w:r>
        <w:rPr>
          <w:szCs w:val="24"/>
        </w:rPr>
        <w:t>322</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"_Toc146092026" </w:instrText>
      </w:r>
      <w:r>
        <w:fldChar w:fldCharType="separate"/>
      </w:r>
      <w:r>
        <w:rPr>
          <w:rStyle w:val="39"/>
          <w:szCs w:val="24"/>
        </w:rPr>
        <w:t xml:space="preserve">8.1 </w:t>
      </w:r>
      <w:r>
        <w:rPr>
          <w:rStyle w:val="39"/>
          <w:rFonts w:hint="eastAsia"/>
          <w:szCs w:val="24"/>
        </w:rPr>
        <w:t>资源节约与碳减排</w:t>
      </w:r>
      <w:r>
        <w:rPr>
          <w:szCs w:val="24"/>
        </w:rPr>
        <w:tab/>
      </w:r>
      <w:r>
        <w:rPr>
          <w:szCs w:val="24"/>
        </w:rPr>
        <w:fldChar w:fldCharType="begin"/>
      </w:r>
      <w:r>
        <w:rPr>
          <w:szCs w:val="24"/>
        </w:rPr>
        <w:instrText xml:space="preserve"> PAGEREF _Toc146092026 \h </w:instrText>
      </w:r>
      <w:r>
        <w:rPr>
          <w:szCs w:val="24"/>
        </w:rPr>
        <w:fldChar w:fldCharType="separate"/>
      </w:r>
      <w:r>
        <w:rPr>
          <w:szCs w:val="24"/>
        </w:rPr>
        <w:t>322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"_Toc146092027" </w:instrText>
      </w:r>
      <w:r>
        <w:fldChar w:fldCharType="separate"/>
      </w:r>
      <w:r>
        <w:rPr>
          <w:rStyle w:val="39"/>
          <w:szCs w:val="24"/>
        </w:rPr>
        <w:t xml:space="preserve">8.1.1 </w:t>
      </w:r>
      <w:r>
        <w:rPr>
          <w:rStyle w:val="39"/>
          <w:rFonts w:hint="eastAsia"/>
          <w:szCs w:val="24"/>
        </w:rPr>
        <w:t>资源节约利用</w:t>
      </w:r>
      <w:r>
        <w:rPr>
          <w:szCs w:val="24"/>
        </w:rPr>
        <w:tab/>
      </w:r>
      <w:r>
        <w:rPr>
          <w:szCs w:val="24"/>
        </w:rPr>
        <w:fldChar w:fldCharType="begin"/>
      </w:r>
      <w:r>
        <w:rPr>
          <w:szCs w:val="24"/>
        </w:rPr>
        <w:instrText xml:space="preserve"> PAGEREF _Toc146092027 \h </w:instrText>
      </w:r>
      <w:r>
        <w:rPr>
          <w:szCs w:val="24"/>
        </w:rPr>
        <w:fldChar w:fldCharType="separate"/>
      </w:r>
      <w:r>
        <w:rPr>
          <w:szCs w:val="24"/>
        </w:rPr>
        <w:t>322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"_Toc146092028" </w:instrText>
      </w:r>
      <w:r>
        <w:fldChar w:fldCharType="separate"/>
      </w:r>
      <w:r>
        <w:rPr>
          <w:rStyle w:val="39"/>
          <w:szCs w:val="24"/>
        </w:rPr>
        <w:t xml:space="preserve">8.1.2 </w:t>
      </w:r>
      <w:r>
        <w:rPr>
          <w:rStyle w:val="39"/>
          <w:rFonts w:hint="eastAsia"/>
          <w:szCs w:val="24"/>
        </w:rPr>
        <w:t>碳排放</w:t>
      </w:r>
      <w:r>
        <w:rPr>
          <w:szCs w:val="24"/>
        </w:rPr>
        <w:tab/>
      </w:r>
      <w:r>
        <w:rPr>
          <w:szCs w:val="24"/>
        </w:rPr>
        <w:fldChar w:fldCharType="begin"/>
      </w:r>
      <w:r>
        <w:rPr>
          <w:szCs w:val="24"/>
        </w:rPr>
        <w:instrText xml:space="preserve"> PAGEREF _Toc146092028 \h </w:instrText>
      </w:r>
      <w:r>
        <w:rPr>
          <w:szCs w:val="24"/>
        </w:rPr>
        <w:fldChar w:fldCharType="separate"/>
      </w:r>
      <w:r>
        <w:rPr>
          <w:szCs w:val="24"/>
        </w:rPr>
        <w:t>324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"_Toc146092029" </w:instrText>
      </w:r>
      <w:r>
        <w:fldChar w:fldCharType="separate"/>
      </w:r>
      <w:r>
        <w:rPr>
          <w:rStyle w:val="39"/>
          <w:szCs w:val="24"/>
        </w:rPr>
        <w:t xml:space="preserve">8.2 </w:t>
      </w:r>
      <w:r>
        <w:rPr>
          <w:rStyle w:val="39"/>
          <w:rFonts w:hint="eastAsia"/>
          <w:szCs w:val="24"/>
        </w:rPr>
        <w:t>园区环境风险防范对策</w:t>
      </w:r>
      <w:r>
        <w:rPr>
          <w:szCs w:val="24"/>
        </w:rPr>
        <w:tab/>
      </w:r>
      <w:r>
        <w:rPr>
          <w:szCs w:val="24"/>
        </w:rPr>
        <w:fldChar w:fldCharType="begin"/>
      </w:r>
      <w:r>
        <w:rPr>
          <w:szCs w:val="24"/>
        </w:rPr>
        <w:instrText xml:space="preserve"> PAGEREF _Toc146092029 \h </w:instrText>
      </w:r>
      <w:r>
        <w:rPr>
          <w:szCs w:val="24"/>
        </w:rPr>
        <w:fldChar w:fldCharType="separate"/>
      </w:r>
      <w:r>
        <w:rPr>
          <w:szCs w:val="24"/>
        </w:rPr>
        <w:t>330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"_Toc146092030" </w:instrText>
      </w:r>
      <w:r>
        <w:fldChar w:fldCharType="separate"/>
      </w:r>
      <w:r>
        <w:rPr>
          <w:rStyle w:val="39"/>
          <w:szCs w:val="24"/>
        </w:rPr>
        <w:t xml:space="preserve">8.2.1 </w:t>
      </w:r>
      <w:r>
        <w:rPr>
          <w:rStyle w:val="39"/>
          <w:rFonts w:hint="eastAsia"/>
          <w:szCs w:val="24"/>
        </w:rPr>
        <w:t>环境风险防范措施</w:t>
      </w:r>
      <w:r>
        <w:rPr>
          <w:szCs w:val="24"/>
        </w:rPr>
        <w:tab/>
      </w:r>
      <w:r>
        <w:rPr>
          <w:szCs w:val="24"/>
        </w:rPr>
        <w:fldChar w:fldCharType="begin"/>
      </w:r>
      <w:r>
        <w:rPr>
          <w:szCs w:val="24"/>
        </w:rPr>
        <w:instrText xml:space="preserve"> PAGEREF _Toc146092030 \h </w:instrText>
      </w:r>
      <w:r>
        <w:rPr>
          <w:szCs w:val="24"/>
        </w:rPr>
        <w:fldChar w:fldCharType="separate"/>
      </w:r>
      <w:r>
        <w:rPr>
          <w:szCs w:val="24"/>
        </w:rPr>
        <w:t>330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"_Toc146092031" </w:instrText>
      </w:r>
      <w:r>
        <w:fldChar w:fldCharType="separate"/>
      </w:r>
      <w:r>
        <w:rPr>
          <w:rStyle w:val="39"/>
          <w:szCs w:val="24"/>
        </w:rPr>
        <w:t xml:space="preserve">8.2.2 </w:t>
      </w:r>
      <w:r>
        <w:rPr>
          <w:rStyle w:val="39"/>
          <w:rFonts w:hint="eastAsia"/>
          <w:szCs w:val="24"/>
        </w:rPr>
        <w:t>环境风险应急体系</w:t>
      </w:r>
      <w:r>
        <w:rPr>
          <w:szCs w:val="24"/>
        </w:rPr>
        <w:tab/>
      </w:r>
      <w:r>
        <w:rPr>
          <w:szCs w:val="24"/>
        </w:rPr>
        <w:fldChar w:fldCharType="begin"/>
      </w:r>
      <w:r>
        <w:rPr>
          <w:szCs w:val="24"/>
        </w:rPr>
        <w:instrText xml:space="preserve"> PAGEREF _Toc146092031 \h </w:instrText>
      </w:r>
      <w:r>
        <w:rPr>
          <w:szCs w:val="24"/>
        </w:rPr>
        <w:fldChar w:fldCharType="separate"/>
      </w:r>
      <w:r>
        <w:rPr>
          <w:szCs w:val="24"/>
        </w:rPr>
        <w:t>336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"_Toc146092032" </w:instrText>
      </w:r>
      <w:r>
        <w:fldChar w:fldCharType="separate"/>
      </w:r>
      <w:r>
        <w:rPr>
          <w:rStyle w:val="39"/>
          <w:szCs w:val="24"/>
        </w:rPr>
        <w:t xml:space="preserve">8.2.3 </w:t>
      </w:r>
      <w:r>
        <w:rPr>
          <w:rStyle w:val="39"/>
          <w:rFonts w:hint="eastAsia"/>
          <w:szCs w:val="24"/>
        </w:rPr>
        <w:t>园区需完善的环境风险控制措施及应急措施</w:t>
      </w:r>
      <w:r>
        <w:rPr>
          <w:szCs w:val="24"/>
        </w:rPr>
        <w:tab/>
      </w:r>
      <w:r>
        <w:rPr>
          <w:szCs w:val="24"/>
        </w:rPr>
        <w:fldChar w:fldCharType="begin"/>
      </w:r>
      <w:r>
        <w:rPr>
          <w:szCs w:val="24"/>
        </w:rPr>
        <w:instrText xml:space="preserve"> PAGEREF _Toc146092032 \h </w:instrText>
      </w:r>
      <w:r>
        <w:rPr>
          <w:szCs w:val="24"/>
        </w:rPr>
        <w:fldChar w:fldCharType="separate"/>
      </w:r>
      <w:r>
        <w:rPr>
          <w:szCs w:val="24"/>
        </w:rPr>
        <w:t>343</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"_Toc146092033" </w:instrText>
      </w:r>
      <w:r>
        <w:fldChar w:fldCharType="separate"/>
      </w:r>
      <w:r>
        <w:rPr>
          <w:rStyle w:val="39"/>
          <w:szCs w:val="24"/>
        </w:rPr>
        <w:t xml:space="preserve">8.3 </w:t>
      </w:r>
      <w:r>
        <w:rPr>
          <w:rStyle w:val="39"/>
          <w:rFonts w:hint="eastAsia"/>
          <w:szCs w:val="24"/>
        </w:rPr>
        <w:t>大气环境污染减缓措施</w:t>
      </w:r>
      <w:r>
        <w:rPr>
          <w:szCs w:val="24"/>
        </w:rPr>
        <w:tab/>
      </w:r>
      <w:r>
        <w:rPr>
          <w:szCs w:val="24"/>
        </w:rPr>
        <w:fldChar w:fldCharType="begin"/>
      </w:r>
      <w:r>
        <w:rPr>
          <w:szCs w:val="24"/>
        </w:rPr>
        <w:instrText xml:space="preserve"> PAGEREF _Toc146092033 \h </w:instrText>
      </w:r>
      <w:r>
        <w:rPr>
          <w:szCs w:val="24"/>
        </w:rPr>
        <w:fldChar w:fldCharType="separate"/>
      </w:r>
      <w:r>
        <w:rPr>
          <w:szCs w:val="24"/>
        </w:rPr>
        <w:t>343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"_Toc146092034" </w:instrText>
      </w:r>
      <w:r>
        <w:fldChar w:fldCharType="separate"/>
      </w:r>
      <w:r>
        <w:rPr>
          <w:rStyle w:val="39"/>
          <w:szCs w:val="24"/>
        </w:rPr>
        <w:t xml:space="preserve">8.3.1 </w:t>
      </w:r>
      <w:r>
        <w:rPr>
          <w:rStyle w:val="39"/>
          <w:rFonts w:hint="eastAsia"/>
          <w:szCs w:val="24"/>
        </w:rPr>
        <w:t>施工期大气污染减缓措施</w:t>
      </w:r>
      <w:r>
        <w:rPr>
          <w:szCs w:val="24"/>
        </w:rPr>
        <w:tab/>
      </w:r>
      <w:r>
        <w:rPr>
          <w:szCs w:val="24"/>
        </w:rPr>
        <w:fldChar w:fldCharType="begin"/>
      </w:r>
      <w:r>
        <w:rPr>
          <w:szCs w:val="24"/>
        </w:rPr>
        <w:instrText xml:space="preserve"> PAGEREF _Toc146092034 \h </w:instrText>
      </w:r>
      <w:r>
        <w:rPr>
          <w:szCs w:val="24"/>
        </w:rPr>
        <w:fldChar w:fldCharType="separate"/>
      </w:r>
      <w:r>
        <w:rPr>
          <w:szCs w:val="24"/>
        </w:rPr>
        <w:t>343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"_Toc146092035" </w:instrText>
      </w:r>
      <w:r>
        <w:fldChar w:fldCharType="separate"/>
      </w:r>
      <w:r>
        <w:rPr>
          <w:rStyle w:val="39"/>
          <w:szCs w:val="24"/>
        </w:rPr>
        <w:t xml:space="preserve">8.3.2 </w:t>
      </w:r>
      <w:r>
        <w:rPr>
          <w:rStyle w:val="39"/>
          <w:rFonts w:hint="eastAsia"/>
          <w:szCs w:val="24"/>
        </w:rPr>
        <w:t>严格规划项目生态环境准入要求</w:t>
      </w:r>
      <w:r>
        <w:rPr>
          <w:szCs w:val="24"/>
        </w:rPr>
        <w:tab/>
      </w:r>
      <w:r>
        <w:rPr>
          <w:szCs w:val="24"/>
        </w:rPr>
        <w:fldChar w:fldCharType="begin"/>
      </w:r>
      <w:r>
        <w:rPr>
          <w:szCs w:val="24"/>
        </w:rPr>
        <w:instrText xml:space="preserve"> PAGEREF _Toc146092035 \h </w:instrText>
      </w:r>
      <w:r>
        <w:rPr>
          <w:szCs w:val="24"/>
        </w:rPr>
        <w:fldChar w:fldCharType="separate"/>
      </w:r>
      <w:r>
        <w:rPr>
          <w:szCs w:val="24"/>
        </w:rPr>
        <w:t>344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"_Toc146092036" </w:instrText>
      </w:r>
      <w:r>
        <w:fldChar w:fldCharType="separate"/>
      </w:r>
      <w:r>
        <w:rPr>
          <w:rStyle w:val="39"/>
          <w:szCs w:val="24"/>
        </w:rPr>
        <w:t xml:space="preserve">8.3.3 </w:t>
      </w:r>
      <w:r>
        <w:rPr>
          <w:rStyle w:val="39"/>
          <w:rFonts w:hint="eastAsia"/>
          <w:szCs w:val="24"/>
        </w:rPr>
        <w:t>运营期供热方式与污染防治方案</w:t>
      </w:r>
      <w:r>
        <w:rPr>
          <w:szCs w:val="24"/>
        </w:rPr>
        <w:tab/>
      </w:r>
      <w:r>
        <w:rPr>
          <w:szCs w:val="24"/>
        </w:rPr>
        <w:fldChar w:fldCharType="begin"/>
      </w:r>
      <w:r>
        <w:rPr>
          <w:szCs w:val="24"/>
        </w:rPr>
        <w:instrText xml:space="preserve"> PAGEREF _Toc146092036 \h </w:instrText>
      </w:r>
      <w:r>
        <w:rPr>
          <w:szCs w:val="24"/>
        </w:rPr>
        <w:fldChar w:fldCharType="separate"/>
      </w:r>
      <w:r>
        <w:rPr>
          <w:szCs w:val="24"/>
        </w:rPr>
        <w:t>345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"_Toc146092037" </w:instrText>
      </w:r>
      <w:r>
        <w:fldChar w:fldCharType="separate"/>
      </w:r>
      <w:r>
        <w:rPr>
          <w:rStyle w:val="39"/>
          <w:szCs w:val="24"/>
        </w:rPr>
        <w:t xml:space="preserve">8.3.4 </w:t>
      </w:r>
      <w:r>
        <w:rPr>
          <w:rStyle w:val="39"/>
          <w:rFonts w:hint="eastAsia"/>
          <w:szCs w:val="24"/>
        </w:rPr>
        <w:t>加强工业企业大气污染深度治理</w:t>
      </w:r>
      <w:r>
        <w:rPr>
          <w:szCs w:val="24"/>
        </w:rPr>
        <w:tab/>
      </w:r>
      <w:r>
        <w:rPr>
          <w:szCs w:val="24"/>
        </w:rPr>
        <w:fldChar w:fldCharType="begin"/>
      </w:r>
      <w:r>
        <w:rPr>
          <w:szCs w:val="24"/>
        </w:rPr>
        <w:instrText xml:space="preserve"> PAGEREF _Toc146092037 \h </w:instrText>
      </w:r>
      <w:r>
        <w:rPr>
          <w:szCs w:val="24"/>
        </w:rPr>
        <w:fldChar w:fldCharType="separate"/>
      </w:r>
      <w:r>
        <w:rPr>
          <w:szCs w:val="24"/>
        </w:rPr>
        <w:t>345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"_Toc146092038" </w:instrText>
      </w:r>
      <w:r>
        <w:fldChar w:fldCharType="separate"/>
      </w:r>
      <w:r>
        <w:rPr>
          <w:rStyle w:val="39"/>
          <w:szCs w:val="24"/>
        </w:rPr>
        <w:t xml:space="preserve">8.3.5 </w:t>
      </w:r>
      <w:r>
        <w:rPr>
          <w:rStyle w:val="39"/>
          <w:rFonts w:hint="eastAsia"/>
          <w:szCs w:val="24"/>
        </w:rPr>
        <w:t>建立、强化</w:t>
      </w:r>
      <w:r>
        <w:rPr>
          <w:rStyle w:val="39"/>
          <w:szCs w:val="24"/>
        </w:rPr>
        <w:t>VOCs</w:t>
      </w:r>
      <w:r>
        <w:rPr>
          <w:rStyle w:val="39"/>
          <w:rFonts w:hint="eastAsia"/>
          <w:szCs w:val="24"/>
        </w:rPr>
        <w:t>污染防治长效机制</w:t>
      </w:r>
      <w:r>
        <w:rPr>
          <w:szCs w:val="24"/>
        </w:rPr>
        <w:tab/>
      </w:r>
      <w:r>
        <w:rPr>
          <w:szCs w:val="24"/>
        </w:rPr>
        <w:fldChar w:fldCharType="begin"/>
      </w:r>
      <w:r>
        <w:rPr>
          <w:szCs w:val="24"/>
        </w:rPr>
        <w:instrText xml:space="preserve"> PAGEREF _Toc146092038 \h </w:instrText>
      </w:r>
      <w:r>
        <w:rPr>
          <w:szCs w:val="24"/>
        </w:rPr>
        <w:fldChar w:fldCharType="separate"/>
      </w:r>
      <w:r>
        <w:rPr>
          <w:szCs w:val="24"/>
        </w:rPr>
        <w:t>347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"_Toc146092039" </w:instrText>
      </w:r>
      <w:r>
        <w:fldChar w:fldCharType="separate"/>
      </w:r>
      <w:r>
        <w:rPr>
          <w:rStyle w:val="39"/>
          <w:szCs w:val="24"/>
        </w:rPr>
        <w:t xml:space="preserve">8.3.6 </w:t>
      </w:r>
      <w:r>
        <w:rPr>
          <w:rStyle w:val="39"/>
          <w:rFonts w:hint="eastAsia"/>
          <w:szCs w:val="24"/>
        </w:rPr>
        <w:t>加强恶臭污染源、酸雾治理与监管</w:t>
      </w:r>
      <w:r>
        <w:rPr>
          <w:szCs w:val="24"/>
        </w:rPr>
        <w:tab/>
      </w:r>
      <w:r>
        <w:rPr>
          <w:szCs w:val="24"/>
        </w:rPr>
        <w:fldChar w:fldCharType="begin"/>
      </w:r>
      <w:r>
        <w:rPr>
          <w:szCs w:val="24"/>
        </w:rPr>
        <w:instrText xml:space="preserve"> PAGEREF _Toc146092039 \h </w:instrText>
      </w:r>
      <w:r>
        <w:rPr>
          <w:szCs w:val="24"/>
        </w:rPr>
        <w:fldChar w:fldCharType="separate"/>
      </w:r>
      <w:r>
        <w:rPr>
          <w:szCs w:val="24"/>
        </w:rPr>
        <w:t>350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"_Toc146092040" </w:instrText>
      </w:r>
      <w:r>
        <w:fldChar w:fldCharType="separate"/>
      </w:r>
      <w:r>
        <w:rPr>
          <w:rStyle w:val="39"/>
          <w:szCs w:val="24"/>
        </w:rPr>
        <w:t xml:space="preserve">8.3.7 </w:t>
      </w:r>
      <w:r>
        <w:rPr>
          <w:rStyle w:val="39"/>
          <w:rFonts w:hint="eastAsia"/>
          <w:szCs w:val="24"/>
        </w:rPr>
        <w:t>其他大气污染控制措施</w:t>
      </w:r>
      <w:r>
        <w:rPr>
          <w:szCs w:val="24"/>
        </w:rPr>
        <w:tab/>
      </w:r>
      <w:r>
        <w:rPr>
          <w:szCs w:val="24"/>
        </w:rPr>
        <w:fldChar w:fldCharType="begin"/>
      </w:r>
      <w:r>
        <w:rPr>
          <w:szCs w:val="24"/>
        </w:rPr>
        <w:instrText xml:space="preserve"> PAGEREF _Toc146092040 \h </w:instrText>
      </w:r>
      <w:r>
        <w:rPr>
          <w:szCs w:val="24"/>
        </w:rPr>
        <w:fldChar w:fldCharType="separate"/>
      </w:r>
      <w:r>
        <w:rPr>
          <w:szCs w:val="24"/>
        </w:rPr>
        <w:t>350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"_Toc146092041" </w:instrText>
      </w:r>
      <w:r>
        <w:fldChar w:fldCharType="separate"/>
      </w:r>
      <w:r>
        <w:rPr>
          <w:rStyle w:val="39"/>
          <w:szCs w:val="24"/>
        </w:rPr>
        <w:t xml:space="preserve">8.3.8 </w:t>
      </w:r>
      <w:r>
        <w:rPr>
          <w:rStyle w:val="39"/>
          <w:rFonts w:hint="eastAsia"/>
          <w:szCs w:val="24"/>
        </w:rPr>
        <w:t>园区规划典型行业废气防治措施</w:t>
      </w:r>
      <w:r>
        <w:rPr>
          <w:szCs w:val="24"/>
        </w:rPr>
        <w:tab/>
      </w:r>
      <w:r>
        <w:rPr>
          <w:szCs w:val="24"/>
        </w:rPr>
        <w:fldChar w:fldCharType="begin"/>
      </w:r>
      <w:r>
        <w:rPr>
          <w:szCs w:val="24"/>
        </w:rPr>
        <w:instrText xml:space="preserve"> PAGEREF _Toc146092041 \h </w:instrText>
      </w:r>
      <w:r>
        <w:rPr>
          <w:szCs w:val="24"/>
        </w:rPr>
        <w:fldChar w:fldCharType="separate"/>
      </w:r>
      <w:r>
        <w:rPr>
          <w:szCs w:val="24"/>
        </w:rPr>
        <w:t>351</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"_Toc146092042" </w:instrText>
      </w:r>
      <w:r>
        <w:fldChar w:fldCharType="separate"/>
      </w:r>
      <w:r>
        <w:rPr>
          <w:rStyle w:val="39"/>
          <w:szCs w:val="24"/>
        </w:rPr>
        <w:t>8.4</w:t>
      </w:r>
      <w:r>
        <w:rPr>
          <w:rStyle w:val="39"/>
          <w:rFonts w:hint="eastAsia"/>
          <w:szCs w:val="24"/>
        </w:rPr>
        <w:t>水环境污染减缓措施</w:t>
      </w:r>
      <w:r>
        <w:rPr>
          <w:szCs w:val="24"/>
        </w:rPr>
        <w:tab/>
      </w:r>
      <w:r>
        <w:rPr>
          <w:szCs w:val="24"/>
        </w:rPr>
        <w:fldChar w:fldCharType="begin"/>
      </w:r>
      <w:r>
        <w:rPr>
          <w:szCs w:val="24"/>
        </w:rPr>
        <w:instrText xml:space="preserve"> PAGEREF _Toc146092042 \h </w:instrText>
      </w:r>
      <w:r>
        <w:rPr>
          <w:szCs w:val="24"/>
        </w:rPr>
        <w:fldChar w:fldCharType="separate"/>
      </w:r>
      <w:r>
        <w:rPr>
          <w:szCs w:val="24"/>
        </w:rPr>
        <w:t>354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"_Toc146092043" </w:instrText>
      </w:r>
      <w:r>
        <w:fldChar w:fldCharType="separate"/>
      </w:r>
      <w:r>
        <w:rPr>
          <w:rStyle w:val="39"/>
          <w:szCs w:val="24"/>
        </w:rPr>
        <w:t xml:space="preserve">8.4.1 </w:t>
      </w:r>
      <w:r>
        <w:rPr>
          <w:rStyle w:val="39"/>
          <w:rFonts w:hint="eastAsia"/>
          <w:szCs w:val="24"/>
        </w:rPr>
        <w:t>施工期废水处理措施</w:t>
      </w:r>
      <w:r>
        <w:rPr>
          <w:szCs w:val="24"/>
        </w:rPr>
        <w:tab/>
      </w:r>
      <w:r>
        <w:rPr>
          <w:szCs w:val="24"/>
        </w:rPr>
        <w:fldChar w:fldCharType="begin"/>
      </w:r>
      <w:r>
        <w:rPr>
          <w:szCs w:val="24"/>
        </w:rPr>
        <w:instrText xml:space="preserve"> PAGEREF _Toc146092043 \h </w:instrText>
      </w:r>
      <w:r>
        <w:rPr>
          <w:szCs w:val="24"/>
        </w:rPr>
        <w:fldChar w:fldCharType="separate"/>
      </w:r>
      <w:r>
        <w:rPr>
          <w:szCs w:val="24"/>
        </w:rPr>
        <w:t>354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"_Toc146092044" </w:instrText>
      </w:r>
      <w:r>
        <w:fldChar w:fldCharType="separate"/>
      </w:r>
      <w:r>
        <w:rPr>
          <w:rStyle w:val="39"/>
          <w:szCs w:val="24"/>
        </w:rPr>
        <w:t xml:space="preserve">8.4.2 </w:t>
      </w:r>
      <w:r>
        <w:rPr>
          <w:rStyle w:val="39"/>
          <w:rFonts w:hint="eastAsia"/>
          <w:szCs w:val="24"/>
        </w:rPr>
        <w:t>提高入园项目生态环境准入要求</w:t>
      </w:r>
      <w:r>
        <w:rPr>
          <w:szCs w:val="24"/>
        </w:rPr>
        <w:tab/>
      </w:r>
      <w:r>
        <w:rPr>
          <w:szCs w:val="24"/>
        </w:rPr>
        <w:fldChar w:fldCharType="begin"/>
      </w:r>
      <w:r>
        <w:rPr>
          <w:szCs w:val="24"/>
        </w:rPr>
        <w:instrText xml:space="preserve"> PAGEREF _Toc146092044 \h </w:instrText>
      </w:r>
      <w:r>
        <w:rPr>
          <w:szCs w:val="24"/>
        </w:rPr>
        <w:fldChar w:fldCharType="separate"/>
      </w:r>
      <w:r>
        <w:rPr>
          <w:szCs w:val="24"/>
        </w:rPr>
        <w:t>354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"_Toc146092045" </w:instrText>
      </w:r>
      <w:r>
        <w:fldChar w:fldCharType="separate"/>
      </w:r>
      <w:r>
        <w:rPr>
          <w:rStyle w:val="39"/>
          <w:szCs w:val="24"/>
        </w:rPr>
        <w:t xml:space="preserve">8.4.3 </w:t>
      </w:r>
      <w:r>
        <w:rPr>
          <w:rStyle w:val="39"/>
          <w:rFonts w:hint="eastAsia"/>
          <w:szCs w:val="24"/>
        </w:rPr>
        <w:t>严格实行源头控污，强化园区污染源监管</w:t>
      </w:r>
      <w:r>
        <w:rPr>
          <w:szCs w:val="24"/>
        </w:rPr>
        <w:tab/>
      </w:r>
      <w:r>
        <w:rPr>
          <w:szCs w:val="24"/>
        </w:rPr>
        <w:fldChar w:fldCharType="begin"/>
      </w:r>
      <w:r>
        <w:rPr>
          <w:szCs w:val="24"/>
        </w:rPr>
        <w:instrText xml:space="preserve"> PAGEREF _Toc146092045 \h </w:instrText>
      </w:r>
      <w:r>
        <w:rPr>
          <w:szCs w:val="24"/>
        </w:rPr>
        <w:fldChar w:fldCharType="separate"/>
      </w:r>
      <w:r>
        <w:rPr>
          <w:szCs w:val="24"/>
        </w:rPr>
        <w:t>355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"_Toc146092046" </w:instrText>
      </w:r>
      <w:r>
        <w:fldChar w:fldCharType="separate"/>
      </w:r>
      <w:r>
        <w:rPr>
          <w:rStyle w:val="39"/>
          <w:szCs w:val="24"/>
        </w:rPr>
        <w:t xml:space="preserve">8.4.4 </w:t>
      </w:r>
      <w:r>
        <w:rPr>
          <w:rStyle w:val="39"/>
          <w:rFonts w:hint="eastAsia"/>
          <w:szCs w:val="24"/>
        </w:rPr>
        <w:t>加强园区水环境综合治理</w:t>
      </w:r>
      <w:r>
        <w:rPr>
          <w:szCs w:val="24"/>
        </w:rPr>
        <w:tab/>
      </w:r>
      <w:r>
        <w:rPr>
          <w:szCs w:val="24"/>
        </w:rPr>
        <w:fldChar w:fldCharType="begin"/>
      </w:r>
      <w:r>
        <w:rPr>
          <w:szCs w:val="24"/>
        </w:rPr>
        <w:instrText xml:space="preserve"> PAGEREF _Toc146092046 \h </w:instrText>
      </w:r>
      <w:r>
        <w:rPr>
          <w:szCs w:val="24"/>
        </w:rPr>
        <w:fldChar w:fldCharType="separate"/>
      </w:r>
      <w:r>
        <w:rPr>
          <w:szCs w:val="24"/>
        </w:rPr>
        <w:t>355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"_Toc146092047" </w:instrText>
      </w:r>
      <w:r>
        <w:fldChar w:fldCharType="separate"/>
      </w:r>
      <w:r>
        <w:rPr>
          <w:rStyle w:val="39"/>
          <w:szCs w:val="24"/>
        </w:rPr>
        <w:t xml:space="preserve">8.4.5 </w:t>
      </w:r>
      <w:r>
        <w:rPr>
          <w:rStyle w:val="39"/>
          <w:rFonts w:hint="eastAsia"/>
          <w:szCs w:val="24"/>
        </w:rPr>
        <w:t>园区规划典型行业废水治理可行技术</w:t>
      </w:r>
      <w:r>
        <w:rPr>
          <w:szCs w:val="24"/>
        </w:rPr>
        <w:tab/>
      </w:r>
      <w:r>
        <w:rPr>
          <w:szCs w:val="24"/>
        </w:rPr>
        <w:fldChar w:fldCharType="begin"/>
      </w:r>
      <w:r>
        <w:rPr>
          <w:szCs w:val="24"/>
        </w:rPr>
        <w:instrText xml:space="preserve"> PAGEREF _Toc146092047 \h </w:instrText>
      </w:r>
      <w:r>
        <w:rPr>
          <w:szCs w:val="24"/>
        </w:rPr>
        <w:fldChar w:fldCharType="separate"/>
      </w:r>
      <w:r>
        <w:rPr>
          <w:szCs w:val="24"/>
        </w:rPr>
        <w:t>358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"_Toc146092048" </w:instrText>
      </w:r>
      <w:r>
        <w:fldChar w:fldCharType="separate"/>
      </w:r>
      <w:r>
        <w:rPr>
          <w:rStyle w:val="39"/>
          <w:szCs w:val="24"/>
        </w:rPr>
        <w:t>8.5</w:t>
      </w:r>
      <w:r>
        <w:rPr>
          <w:rStyle w:val="39"/>
          <w:rFonts w:hint="eastAsia"/>
          <w:szCs w:val="24"/>
        </w:rPr>
        <w:t>地下水污染防控措施</w:t>
      </w:r>
      <w:r>
        <w:rPr>
          <w:szCs w:val="24"/>
        </w:rPr>
        <w:tab/>
      </w:r>
      <w:r>
        <w:rPr>
          <w:szCs w:val="24"/>
        </w:rPr>
        <w:fldChar w:fldCharType="begin"/>
      </w:r>
      <w:r>
        <w:rPr>
          <w:szCs w:val="24"/>
        </w:rPr>
        <w:instrText xml:space="preserve"> PAGEREF _Toc146092048 \h </w:instrText>
      </w:r>
      <w:r>
        <w:rPr>
          <w:szCs w:val="24"/>
        </w:rPr>
        <w:fldChar w:fldCharType="separate"/>
      </w:r>
      <w:r>
        <w:rPr>
          <w:szCs w:val="24"/>
        </w:rPr>
        <w:t>360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"_Toc146092049" </w:instrText>
      </w:r>
      <w:r>
        <w:fldChar w:fldCharType="separate"/>
      </w:r>
      <w:r>
        <w:rPr>
          <w:rStyle w:val="39"/>
          <w:szCs w:val="24"/>
        </w:rPr>
        <w:t xml:space="preserve">8.5.1 </w:t>
      </w:r>
      <w:r>
        <w:rPr>
          <w:rStyle w:val="39"/>
          <w:rFonts w:hint="eastAsia"/>
          <w:szCs w:val="24"/>
        </w:rPr>
        <w:t>源头控制措施</w:t>
      </w:r>
      <w:r>
        <w:rPr>
          <w:szCs w:val="24"/>
        </w:rPr>
        <w:tab/>
      </w:r>
      <w:r>
        <w:rPr>
          <w:szCs w:val="24"/>
        </w:rPr>
        <w:fldChar w:fldCharType="begin"/>
      </w:r>
      <w:r>
        <w:rPr>
          <w:szCs w:val="24"/>
        </w:rPr>
        <w:instrText xml:space="preserve"> PAGEREF _Toc146092049 \h </w:instrText>
      </w:r>
      <w:r>
        <w:rPr>
          <w:szCs w:val="24"/>
        </w:rPr>
        <w:fldChar w:fldCharType="separate"/>
      </w:r>
      <w:r>
        <w:rPr>
          <w:szCs w:val="24"/>
        </w:rPr>
        <w:t>360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"_Toc146092050" </w:instrText>
      </w:r>
      <w:r>
        <w:fldChar w:fldCharType="separate"/>
      </w:r>
      <w:r>
        <w:rPr>
          <w:rStyle w:val="39"/>
          <w:szCs w:val="24"/>
        </w:rPr>
        <w:t xml:space="preserve">8.5.2 </w:t>
      </w:r>
      <w:r>
        <w:rPr>
          <w:rStyle w:val="39"/>
          <w:rFonts w:hint="eastAsia"/>
          <w:szCs w:val="24"/>
        </w:rPr>
        <w:t>地下水污染主动防控措施</w:t>
      </w:r>
      <w:r>
        <w:rPr>
          <w:szCs w:val="24"/>
        </w:rPr>
        <w:tab/>
      </w:r>
      <w:r>
        <w:rPr>
          <w:szCs w:val="24"/>
        </w:rPr>
        <w:fldChar w:fldCharType="begin"/>
      </w:r>
      <w:r>
        <w:rPr>
          <w:szCs w:val="24"/>
        </w:rPr>
        <w:instrText xml:space="preserve"> PAGEREF _Toc146092050 \h </w:instrText>
      </w:r>
      <w:r>
        <w:rPr>
          <w:szCs w:val="24"/>
        </w:rPr>
        <w:fldChar w:fldCharType="separate"/>
      </w:r>
      <w:r>
        <w:rPr>
          <w:szCs w:val="24"/>
        </w:rPr>
        <w:t>361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"_Toc146092051" </w:instrText>
      </w:r>
      <w:r>
        <w:fldChar w:fldCharType="separate"/>
      </w:r>
      <w:r>
        <w:rPr>
          <w:rStyle w:val="39"/>
          <w:szCs w:val="24"/>
        </w:rPr>
        <w:t xml:space="preserve">8.5.3 </w:t>
      </w:r>
      <w:r>
        <w:rPr>
          <w:rStyle w:val="39"/>
          <w:rFonts w:hint="eastAsia"/>
          <w:szCs w:val="24"/>
        </w:rPr>
        <w:t>地下水污染被动防控措施</w:t>
      </w:r>
      <w:r>
        <w:rPr>
          <w:szCs w:val="24"/>
        </w:rPr>
        <w:tab/>
      </w:r>
      <w:r>
        <w:rPr>
          <w:szCs w:val="24"/>
        </w:rPr>
        <w:fldChar w:fldCharType="begin"/>
      </w:r>
      <w:r>
        <w:rPr>
          <w:szCs w:val="24"/>
        </w:rPr>
        <w:instrText xml:space="preserve"> PAGEREF _Toc146092051 \h </w:instrText>
      </w:r>
      <w:r>
        <w:rPr>
          <w:szCs w:val="24"/>
        </w:rPr>
        <w:fldChar w:fldCharType="separate"/>
      </w:r>
      <w:r>
        <w:rPr>
          <w:szCs w:val="24"/>
        </w:rPr>
        <w:t>362</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"_Toc146092052" </w:instrText>
      </w:r>
      <w:r>
        <w:fldChar w:fldCharType="separate"/>
      </w:r>
      <w:r>
        <w:rPr>
          <w:rStyle w:val="39"/>
          <w:szCs w:val="24"/>
        </w:rPr>
        <w:t xml:space="preserve">8.5.4 </w:t>
      </w:r>
      <w:r>
        <w:rPr>
          <w:rStyle w:val="39"/>
          <w:rFonts w:hint="eastAsia"/>
          <w:szCs w:val="24"/>
        </w:rPr>
        <w:t>推进现有企业地下水环境调查与评估工作</w:t>
      </w:r>
      <w:r>
        <w:rPr>
          <w:szCs w:val="24"/>
        </w:rPr>
        <w:tab/>
      </w:r>
      <w:r>
        <w:rPr>
          <w:szCs w:val="24"/>
        </w:rPr>
        <w:fldChar w:fldCharType="begin"/>
      </w:r>
      <w:r>
        <w:rPr>
          <w:szCs w:val="24"/>
        </w:rPr>
        <w:instrText xml:space="preserve"> PAGEREF _Toc146092052 \h </w:instrText>
      </w:r>
      <w:r>
        <w:rPr>
          <w:szCs w:val="24"/>
        </w:rPr>
        <w:fldChar w:fldCharType="separate"/>
      </w:r>
      <w:r>
        <w:rPr>
          <w:szCs w:val="24"/>
        </w:rPr>
        <w:t>365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"_Toc146092053" </w:instrText>
      </w:r>
      <w:r>
        <w:fldChar w:fldCharType="separate"/>
      </w:r>
      <w:r>
        <w:rPr>
          <w:rStyle w:val="39"/>
          <w:szCs w:val="24"/>
        </w:rPr>
        <w:t xml:space="preserve">8.5.5 </w:t>
      </w:r>
      <w:r>
        <w:rPr>
          <w:rStyle w:val="39"/>
          <w:rFonts w:hint="eastAsia"/>
          <w:szCs w:val="24"/>
        </w:rPr>
        <w:t>地下水环境监测计划</w:t>
      </w:r>
      <w:r>
        <w:rPr>
          <w:szCs w:val="24"/>
        </w:rPr>
        <w:tab/>
      </w:r>
      <w:r>
        <w:rPr>
          <w:szCs w:val="24"/>
        </w:rPr>
        <w:fldChar w:fldCharType="begin"/>
      </w:r>
      <w:r>
        <w:rPr>
          <w:szCs w:val="24"/>
        </w:rPr>
        <w:instrText xml:space="preserve"> PAGEREF _Toc146092053 \h </w:instrText>
      </w:r>
      <w:r>
        <w:rPr>
          <w:szCs w:val="24"/>
        </w:rPr>
        <w:fldChar w:fldCharType="separate"/>
      </w:r>
      <w:r>
        <w:rPr>
          <w:szCs w:val="24"/>
        </w:rPr>
        <w:t>367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"_Toc146092054" </w:instrText>
      </w:r>
      <w:r>
        <w:fldChar w:fldCharType="separate"/>
      </w:r>
      <w:r>
        <w:rPr>
          <w:rStyle w:val="39"/>
          <w:szCs w:val="24"/>
        </w:rPr>
        <w:t xml:space="preserve">8.5.6 </w:t>
      </w:r>
      <w:r>
        <w:rPr>
          <w:rStyle w:val="39"/>
          <w:rFonts w:hint="eastAsia"/>
          <w:szCs w:val="24"/>
        </w:rPr>
        <w:t>应急治理措施</w:t>
      </w:r>
      <w:r>
        <w:rPr>
          <w:szCs w:val="24"/>
        </w:rPr>
        <w:tab/>
      </w:r>
      <w:r>
        <w:rPr>
          <w:szCs w:val="24"/>
        </w:rPr>
        <w:fldChar w:fldCharType="begin"/>
      </w:r>
      <w:r>
        <w:rPr>
          <w:szCs w:val="24"/>
        </w:rPr>
        <w:instrText xml:space="preserve"> PAGEREF _Toc146092054 \h </w:instrText>
      </w:r>
      <w:r>
        <w:rPr>
          <w:szCs w:val="24"/>
        </w:rPr>
        <w:fldChar w:fldCharType="separate"/>
      </w:r>
      <w:r>
        <w:rPr>
          <w:szCs w:val="24"/>
        </w:rPr>
        <w:t>368</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"_Toc146092055" </w:instrText>
      </w:r>
      <w:r>
        <w:fldChar w:fldCharType="separate"/>
      </w:r>
      <w:r>
        <w:rPr>
          <w:rStyle w:val="39"/>
          <w:szCs w:val="24"/>
        </w:rPr>
        <w:t>8.6</w:t>
      </w:r>
      <w:r>
        <w:rPr>
          <w:rStyle w:val="39"/>
          <w:rFonts w:hint="eastAsia"/>
          <w:szCs w:val="24"/>
        </w:rPr>
        <w:t>噪声污染防治措施</w:t>
      </w:r>
      <w:r>
        <w:rPr>
          <w:szCs w:val="24"/>
        </w:rPr>
        <w:tab/>
      </w:r>
      <w:r>
        <w:rPr>
          <w:szCs w:val="24"/>
        </w:rPr>
        <w:fldChar w:fldCharType="begin"/>
      </w:r>
      <w:r>
        <w:rPr>
          <w:szCs w:val="24"/>
        </w:rPr>
        <w:instrText xml:space="preserve"> PAGEREF _Toc146092055 \h </w:instrText>
      </w:r>
      <w:r>
        <w:rPr>
          <w:szCs w:val="24"/>
        </w:rPr>
        <w:fldChar w:fldCharType="separate"/>
      </w:r>
      <w:r>
        <w:rPr>
          <w:szCs w:val="24"/>
        </w:rPr>
        <w:t>369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"_Toc146092056" </w:instrText>
      </w:r>
      <w:r>
        <w:fldChar w:fldCharType="separate"/>
      </w:r>
      <w:r>
        <w:rPr>
          <w:rStyle w:val="39"/>
          <w:szCs w:val="24"/>
        </w:rPr>
        <w:t>8.7</w:t>
      </w:r>
      <w:r>
        <w:rPr>
          <w:rStyle w:val="39"/>
          <w:rFonts w:hint="eastAsia"/>
          <w:szCs w:val="24"/>
        </w:rPr>
        <w:t>固体废弃物污染环境减缓措施</w:t>
      </w:r>
      <w:r>
        <w:rPr>
          <w:szCs w:val="24"/>
        </w:rPr>
        <w:tab/>
      </w:r>
      <w:r>
        <w:rPr>
          <w:szCs w:val="24"/>
        </w:rPr>
        <w:fldChar w:fldCharType="begin"/>
      </w:r>
      <w:r>
        <w:rPr>
          <w:szCs w:val="24"/>
        </w:rPr>
        <w:instrText xml:space="preserve"> PAGEREF _Toc146092056 \h </w:instrText>
      </w:r>
      <w:r>
        <w:rPr>
          <w:szCs w:val="24"/>
        </w:rPr>
        <w:fldChar w:fldCharType="separate"/>
      </w:r>
      <w:r>
        <w:rPr>
          <w:szCs w:val="24"/>
        </w:rPr>
        <w:t>370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"_Toc146092057" </w:instrText>
      </w:r>
      <w:r>
        <w:fldChar w:fldCharType="separate"/>
      </w:r>
      <w:r>
        <w:rPr>
          <w:rStyle w:val="39"/>
          <w:szCs w:val="24"/>
        </w:rPr>
        <w:t>8.8</w:t>
      </w:r>
      <w:r>
        <w:rPr>
          <w:rStyle w:val="39"/>
          <w:rFonts w:hint="eastAsia"/>
          <w:szCs w:val="24"/>
        </w:rPr>
        <w:t>土壤环境影响减缓措施</w:t>
      </w:r>
      <w:r>
        <w:rPr>
          <w:szCs w:val="24"/>
        </w:rPr>
        <w:tab/>
      </w:r>
      <w:r>
        <w:rPr>
          <w:szCs w:val="24"/>
        </w:rPr>
        <w:fldChar w:fldCharType="begin"/>
      </w:r>
      <w:r>
        <w:rPr>
          <w:szCs w:val="24"/>
        </w:rPr>
        <w:instrText xml:space="preserve"> PAGEREF _Toc146092057 \h </w:instrText>
      </w:r>
      <w:r>
        <w:rPr>
          <w:szCs w:val="24"/>
        </w:rPr>
        <w:fldChar w:fldCharType="separate"/>
      </w:r>
      <w:r>
        <w:rPr>
          <w:szCs w:val="24"/>
        </w:rPr>
        <w:t>371</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"_Toc146092058" </w:instrText>
      </w:r>
      <w:r>
        <w:fldChar w:fldCharType="separate"/>
      </w:r>
      <w:r>
        <w:rPr>
          <w:rStyle w:val="39"/>
          <w:szCs w:val="24"/>
        </w:rPr>
        <w:t>8.9</w:t>
      </w:r>
      <w:r>
        <w:rPr>
          <w:rStyle w:val="39"/>
          <w:rFonts w:hint="eastAsia"/>
          <w:szCs w:val="24"/>
        </w:rPr>
        <w:t>生态环境破坏减缓措施</w:t>
      </w:r>
      <w:r>
        <w:rPr>
          <w:szCs w:val="24"/>
        </w:rPr>
        <w:tab/>
      </w:r>
      <w:r>
        <w:rPr>
          <w:szCs w:val="24"/>
        </w:rPr>
        <w:fldChar w:fldCharType="begin"/>
      </w:r>
      <w:r>
        <w:rPr>
          <w:szCs w:val="24"/>
        </w:rPr>
        <w:instrText xml:space="preserve"> PAGEREF _Toc146092058 \h </w:instrText>
      </w:r>
      <w:r>
        <w:rPr>
          <w:szCs w:val="24"/>
        </w:rPr>
        <w:fldChar w:fldCharType="separate"/>
      </w:r>
      <w:r>
        <w:rPr>
          <w:szCs w:val="24"/>
        </w:rPr>
        <w:t>374</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"_Toc146092059" </w:instrText>
      </w:r>
      <w:r>
        <w:fldChar w:fldCharType="separate"/>
      </w:r>
      <w:r>
        <w:rPr>
          <w:rStyle w:val="39"/>
          <w:szCs w:val="24"/>
        </w:rPr>
        <w:t xml:space="preserve">8.10 </w:t>
      </w:r>
      <w:r>
        <w:rPr>
          <w:rStyle w:val="39"/>
          <w:rFonts w:hint="eastAsia"/>
          <w:szCs w:val="24"/>
        </w:rPr>
        <w:t>对特殊敏感区减缓措施</w:t>
      </w:r>
      <w:r>
        <w:rPr>
          <w:szCs w:val="24"/>
        </w:rPr>
        <w:tab/>
      </w:r>
      <w:r>
        <w:rPr>
          <w:szCs w:val="24"/>
        </w:rPr>
        <w:fldChar w:fldCharType="begin"/>
      </w:r>
      <w:r>
        <w:rPr>
          <w:szCs w:val="24"/>
        </w:rPr>
        <w:instrText xml:space="preserve"> PAGEREF _Toc146092059 \h </w:instrText>
      </w:r>
      <w:r>
        <w:rPr>
          <w:szCs w:val="24"/>
        </w:rPr>
        <w:fldChar w:fldCharType="separate"/>
      </w:r>
      <w:r>
        <w:rPr>
          <w:szCs w:val="24"/>
        </w:rPr>
        <w:t>377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"_Toc146092060" </w:instrText>
      </w:r>
      <w:r>
        <w:fldChar w:fldCharType="separate"/>
      </w:r>
      <w:r>
        <w:rPr>
          <w:rStyle w:val="39"/>
          <w:szCs w:val="24"/>
        </w:rPr>
        <w:t>8.10.1</w:t>
      </w:r>
      <w:r>
        <w:rPr>
          <w:rStyle w:val="39"/>
          <w:rFonts w:hint="eastAsia"/>
          <w:szCs w:val="24"/>
        </w:rPr>
        <w:t>对长江新螺段白鱀豚国家级自然保护区和长江监利段四大家鱼国家级水产种质资源保护区减缓措施</w:t>
      </w:r>
      <w:r>
        <w:rPr>
          <w:szCs w:val="24"/>
        </w:rPr>
        <w:tab/>
      </w:r>
      <w:r>
        <w:rPr>
          <w:szCs w:val="24"/>
        </w:rPr>
        <w:fldChar w:fldCharType="begin"/>
      </w:r>
      <w:r>
        <w:rPr>
          <w:szCs w:val="24"/>
        </w:rPr>
        <w:instrText xml:space="preserve"> PAGEREF _Toc146092060 \h </w:instrText>
      </w:r>
      <w:r>
        <w:rPr>
          <w:szCs w:val="24"/>
        </w:rPr>
        <w:fldChar w:fldCharType="separate"/>
      </w:r>
      <w:r>
        <w:rPr>
          <w:szCs w:val="24"/>
        </w:rPr>
        <w:t>377</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"_Toc146092061" </w:instrText>
      </w:r>
      <w:r>
        <w:fldChar w:fldCharType="separate"/>
      </w:r>
      <w:r>
        <w:rPr>
          <w:rStyle w:val="39"/>
          <w:szCs w:val="24"/>
        </w:rPr>
        <w:t xml:space="preserve">8.10.2 </w:t>
      </w:r>
      <w:r>
        <w:rPr>
          <w:rStyle w:val="39"/>
          <w:rFonts w:hint="eastAsia"/>
          <w:szCs w:val="24"/>
        </w:rPr>
        <w:t>对五尖山国家森林公园减缓措施</w:t>
      </w:r>
      <w:r>
        <w:rPr>
          <w:szCs w:val="24"/>
        </w:rPr>
        <w:tab/>
      </w:r>
      <w:r>
        <w:rPr>
          <w:szCs w:val="24"/>
        </w:rPr>
        <w:fldChar w:fldCharType="begin"/>
      </w:r>
      <w:r>
        <w:rPr>
          <w:szCs w:val="24"/>
        </w:rPr>
        <w:instrText xml:space="preserve"> PAGEREF _Toc146092061 \h </w:instrText>
      </w:r>
      <w:r>
        <w:rPr>
          <w:szCs w:val="24"/>
        </w:rPr>
        <w:fldChar w:fldCharType="separate"/>
      </w:r>
      <w:r>
        <w:rPr>
          <w:szCs w:val="24"/>
        </w:rPr>
        <w:t>378</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"_Toc146092062" </w:instrText>
      </w:r>
      <w:r>
        <w:fldChar w:fldCharType="separate"/>
      </w:r>
      <w:r>
        <w:rPr>
          <w:rStyle w:val="39"/>
          <w:rFonts w:hint="eastAsia" w:ascii="Times New Roman" w:hAnsi="Times New Roman"/>
          <w:bCs/>
          <w:kern w:val="44"/>
          <w:szCs w:val="24"/>
        </w:rPr>
        <w:t>第</w:t>
      </w:r>
      <w:r>
        <w:rPr>
          <w:rStyle w:val="39"/>
          <w:rFonts w:ascii="Times New Roman" w:hAnsi="Times New Roman"/>
          <w:bCs/>
          <w:kern w:val="44"/>
          <w:szCs w:val="24"/>
        </w:rPr>
        <w:t>9</w:t>
      </w:r>
      <w:r>
        <w:rPr>
          <w:rStyle w:val="39"/>
          <w:rFonts w:hint="eastAsia" w:ascii="Times New Roman" w:hAnsi="Times New Roman"/>
          <w:bCs/>
          <w:kern w:val="44"/>
          <w:szCs w:val="24"/>
        </w:rPr>
        <w:t>章</w:t>
      </w:r>
      <w:r>
        <w:rPr>
          <w:rStyle w:val="39"/>
          <w:rFonts w:ascii="Times New Roman" w:hAnsi="Times New Roman"/>
          <w:bCs/>
          <w:kern w:val="44"/>
          <w:szCs w:val="24"/>
        </w:rPr>
        <w:t xml:space="preserve"> </w:t>
      </w:r>
      <w:r>
        <w:rPr>
          <w:rStyle w:val="39"/>
          <w:rFonts w:hint="eastAsia" w:ascii="Times New Roman" w:hAnsi="Times New Roman"/>
          <w:bCs/>
          <w:kern w:val="44"/>
          <w:szCs w:val="24"/>
        </w:rPr>
        <w:t>环境影响跟踪评价计划</w:t>
      </w:r>
      <w:r>
        <w:rPr>
          <w:szCs w:val="24"/>
        </w:rPr>
        <w:tab/>
      </w:r>
      <w:r>
        <w:rPr>
          <w:szCs w:val="24"/>
        </w:rPr>
        <w:fldChar w:fldCharType="begin"/>
      </w:r>
      <w:r>
        <w:rPr>
          <w:szCs w:val="24"/>
        </w:rPr>
        <w:instrText xml:space="preserve"> PAGEREF _Toc146092062 \h </w:instrText>
      </w:r>
      <w:r>
        <w:rPr>
          <w:szCs w:val="24"/>
        </w:rPr>
        <w:fldChar w:fldCharType="separate"/>
      </w:r>
      <w:r>
        <w:rPr>
          <w:szCs w:val="24"/>
        </w:rPr>
        <w:t>379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"_Toc146092063" </w:instrText>
      </w:r>
      <w:r>
        <w:fldChar w:fldCharType="separate"/>
      </w:r>
      <w:r>
        <w:rPr>
          <w:rStyle w:val="39"/>
          <w:rFonts w:asciiTheme="majorHAnsi" w:hAnsiTheme="majorHAnsi" w:eastAsiaTheme="majorEastAsia" w:cstheme="majorBidi"/>
          <w:bCs/>
          <w:szCs w:val="24"/>
        </w:rPr>
        <w:t xml:space="preserve">9.1 </w:t>
      </w:r>
      <w:r>
        <w:rPr>
          <w:rStyle w:val="39"/>
          <w:rFonts w:hint="eastAsia" w:asciiTheme="majorHAnsi" w:hAnsiTheme="majorHAnsi" w:eastAsiaTheme="majorEastAsia" w:cstheme="majorBidi"/>
          <w:bCs/>
          <w:szCs w:val="24"/>
        </w:rPr>
        <w:t>跟踪评价计划</w:t>
      </w:r>
      <w:r>
        <w:rPr>
          <w:szCs w:val="24"/>
        </w:rPr>
        <w:tab/>
      </w:r>
      <w:r>
        <w:rPr>
          <w:szCs w:val="24"/>
        </w:rPr>
        <w:fldChar w:fldCharType="begin"/>
      </w:r>
      <w:r>
        <w:rPr>
          <w:szCs w:val="24"/>
        </w:rPr>
        <w:instrText xml:space="preserve"> PAGEREF _Toc146092063 \h </w:instrText>
      </w:r>
      <w:r>
        <w:rPr>
          <w:szCs w:val="24"/>
        </w:rPr>
        <w:fldChar w:fldCharType="separate"/>
      </w:r>
      <w:r>
        <w:rPr>
          <w:szCs w:val="24"/>
        </w:rPr>
        <w:t>379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"_Toc146092064" </w:instrText>
      </w:r>
      <w:r>
        <w:fldChar w:fldCharType="separate"/>
      </w:r>
      <w:r>
        <w:rPr>
          <w:rStyle w:val="39"/>
          <w:rFonts w:ascii="Times New Roman" w:hAnsi="Times New Roman" w:cs="Times New Roman" w:eastAsiaTheme="majorEastAsia"/>
          <w:bCs/>
          <w:szCs w:val="24"/>
        </w:rPr>
        <w:t xml:space="preserve">9.2 </w:t>
      </w:r>
      <w:r>
        <w:rPr>
          <w:rStyle w:val="39"/>
          <w:rFonts w:hint="eastAsia" w:ascii="Times New Roman" w:hAnsi="Times New Roman" w:cs="Times New Roman" w:eastAsiaTheme="majorEastAsia"/>
          <w:bCs/>
          <w:szCs w:val="24"/>
        </w:rPr>
        <w:t>环境监测计划</w:t>
      </w:r>
      <w:r>
        <w:rPr>
          <w:szCs w:val="24"/>
        </w:rPr>
        <w:tab/>
      </w:r>
      <w:r>
        <w:rPr>
          <w:szCs w:val="24"/>
        </w:rPr>
        <w:fldChar w:fldCharType="begin"/>
      </w:r>
      <w:r>
        <w:rPr>
          <w:szCs w:val="24"/>
        </w:rPr>
        <w:instrText xml:space="preserve"> PAGEREF _Toc146092064 \h </w:instrText>
      </w:r>
      <w:r>
        <w:rPr>
          <w:szCs w:val="24"/>
        </w:rPr>
        <w:fldChar w:fldCharType="separate"/>
      </w:r>
      <w:r>
        <w:rPr>
          <w:szCs w:val="24"/>
        </w:rPr>
        <w:t>381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"_Toc146092065" </w:instrText>
      </w:r>
      <w:r>
        <w:fldChar w:fldCharType="separate"/>
      </w:r>
      <w:r>
        <w:rPr>
          <w:rStyle w:val="39"/>
          <w:rFonts w:ascii="Times New Roman" w:hAnsi="Times New Roman" w:cs="Times New Roman"/>
          <w:bCs/>
          <w:szCs w:val="24"/>
        </w:rPr>
        <w:t xml:space="preserve">9.2.1 </w:t>
      </w:r>
      <w:r>
        <w:rPr>
          <w:rStyle w:val="39"/>
          <w:rFonts w:hint="eastAsia" w:ascii="Times New Roman" w:hAnsi="Times New Roman" w:cs="Times New Roman"/>
          <w:bCs/>
          <w:szCs w:val="24"/>
        </w:rPr>
        <w:t>水环境</w:t>
      </w:r>
      <w:r>
        <w:rPr>
          <w:szCs w:val="24"/>
        </w:rPr>
        <w:tab/>
      </w:r>
      <w:r>
        <w:rPr>
          <w:szCs w:val="24"/>
        </w:rPr>
        <w:fldChar w:fldCharType="begin"/>
      </w:r>
      <w:r>
        <w:rPr>
          <w:szCs w:val="24"/>
        </w:rPr>
        <w:instrText xml:space="preserve"> PAGEREF _Toc146092065 \h </w:instrText>
      </w:r>
      <w:r>
        <w:rPr>
          <w:szCs w:val="24"/>
        </w:rPr>
        <w:fldChar w:fldCharType="separate"/>
      </w:r>
      <w:r>
        <w:rPr>
          <w:szCs w:val="24"/>
        </w:rPr>
        <w:t>381</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"_Toc146092066" </w:instrText>
      </w:r>
      <w:r>
        <w:fldChar w:fldCharType="separate"/>
      </w:r>
      <w:r>
        <w:rPr>
          <w:rStyle w:val="39"/>
          <w:rFonts w:ascii="Times New Roman" w:hAnsi="Times New Roman" w:cs="Times New Roman"/>
          <w:bCs/>
          <w:szCs w:val="24"/>
        </w:rPr>
        <w:t xml:space="preserve">9.2.2 </w:t>
      </w:r>
      <w:r>
        <w:rPr>
          <w:rStyle w:val="39"/>
          <w:rFonts w:hint="eastAsia" w:ascii="Times New Roman" w:hAnsi="Times New Roman" w:cs="Times New Roman"/>
          <w:bCs/>
          <w:szCs w:val="24"/>
        </w:rPr>
        <w:t>大气环境</w:t>
      </w:r>
      <w:r>
        <w:rPr>
          <w:szCs w:val="24"/>
        </w:rPr>
        <w:tab/>
      </w:r>
      <w:r>
        <w:rPr>
          <w:szCs w:val="24"/>
        </w:rPr>
        <w:fldChar w:fldCharType="begin"/>
      </w:r>
      <w:r>
        <w:rPr>
          <w:szCs w:val="24"/>
        </w:rPr>
        <w:instrText xml:space="preserve"> PAGEREF _Toc146092066 \h </w:instrText>
      </w:r>
      <w:r>
        <w:rPr>
          <w:szCs w:val="24"/>
        </w:rPr>
        <w:fldChar w:fldCharType="separate"/>
      </w:r>
      <w:r>
        <w:rPr>
          <w:szCs w:val="24"/>
        </w:rPr>
        <w:t>383</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"_Toc146092067" </w:instrText>
      </w:r>
      <w:r>
        <w:fldChar w:fldCharType="separate"/>
      </w:r>
      <w:r>
        <w:rPr>
          <w:rStyle w:val="39"/>
          <w:rFonts w:ascii="Times New Roman" w:hAnsi="Times New Roman" w:cs="Times New Roman"/>
          <w:bCs/>
          <w:szCs w:val="24"/>
        </w:rPr>
        <w:t xml:space="preserve">9.2.3 </w:t>
      </w:r>
      <w:r>
        <w:rPr>
          <w:rStyle w:val="39"/>
          <w:rFonts w:hint="eastAsia" w:ascii="Times New Roman" w:hAnsi="Times New Roman" w:cs="Times New Roman"/>
          <w:bCs/>
          <w:szCs w:val="24"/>
        </w:rPr>
        <w:t>声环境</w:t>
      </w:r>
      <w:r>
        <w:rPr>
          <w:szCs w:val="24"/>
        </w:rPr>
        <w:tab/>
      </w:r>
      <w:r>
        <w:rPr>
          <w:szCs w:val="24"/>
        </w:rPr>
        <w:fldChar w:fldCharType="begin"/>
      </w:r>
      <w:r>
        <w:rPr>
          <w:szCs w:val="24"/>
        </w:rPr>
        <w:instrText xml:space="preserve"> PAGEREF _Toc146092067 \h </w:instrText>
      </w:r>
      <w:r>
        <w:rPr>
          <w:szCs w:val="24"/>
        </w:rPr>
        <w:fldChar w:fldCharType="separate"/>
      </w:r>
      <w:r>
        <w:rPr>
          <w:szCs w:val="24"/>
        </w:rPr>
        <w:t>384</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"_Toc146092068" </w:instrText>
      </w:r>
      <w:r>
        <w:fldChar w:fldCharType="separate"/>
      </w:r>
      <w:r>
        <w:rPr>
          <w:rStyle w:val="39"/>
          <w:rFonts w:ascii="Times New Roman" w:hAnsi="Times New Roman" w:cs="Times New Roman"/>
          <w:bCs/>
          <w:szCs w:val="24"/>
        </w:rPr>
        <w:t xml:space="preserve">9.2.4 </w:t>
      </w:r>
      <w:r>
        <w:rPr>
          <w:rStyle w:val="39"/>
          <w:rFonts w:hint="eastAsia" w:ascii="Times New Roman" w:hAnsi="Times New Roman" w:cs="Times New Roman"/>
          <w:bCs/>
          <w:szCs w:val="24"/>
        </w:rPr>
        <w:t>土壤和底泥</w:t>
      </w:r>
      <w:r>
        <w:rPr>
          <w:szCs w:val="24"/>
        </w:rPr>
        <w:tab/>
      </w:r>
      <w:r>
        <w:rPr>
          <w:szCs w:val="24"/>
        </w:rPr>
        <w:fldChar w:fldCharType="begin"/>
      </w:r>
      <w:r>
        <w:rPr>
          <w:szCs w:val="24"/>
        </w:rPr>
        <w:instrText xml:space="preserve"> PAGEREF _Toc146092068 \h </w:instrText>
      </w:r>
      <w:r>
        <w:rPr>
          <w:szCs w:val="24"/>
        </w:rPr>
        <w:fldChar w:fldCharType="separate"/>
      </w:r>
      <w:r>
        <w:rPr>
          <w:szCs w:val="24"/>
        </w:rPr>
        <w:t>385</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"_Toc146092069" </w:instrText>
      </w:r>
      <w:r>
        <w:fldChar w:fldCharType="separate"/>
      </w:r>
      <w:r>
        <w:rPr>
          <w:rStyle w:val="39"/>
          <w:rFonts w:ascii="Times New Roman" w:hAnsi="Times New Roman" w:cs="Times New Roman"/>
          <w:bCs/>
          <w:szCs w:val="24"/>
        </w:rPr>
        <w:t xml:space="preserve">9.2.5 </w:t>
      </w:r>
      <w:r>
        <w:rPr>
          <w:rStyle w:val="39"/>
          <w:rFonts w:hint="eastAsia" w:ascii="Times New Roman" w:hAnsi="Times New Roman" w:cs="Times New Roman"/>
          <w:bCs/>
          <w:szCs w:val="24"/>
        </w:rPr>
        <w:t>环境监测计划的实施</w:t>
      </w:r>
      <w:r>
        <w:rPr>
          <w:szCs w:val="24"/>
        </w:rPr>
        <w:tab/>
      </w:r>
      <w:r>
        <w:rPr>
          <w:szCs w:val="24"/>
        </w:rPr>
        <w:fldChar w:fldCharType="begin"/>
      </w:r>
      <w:r>
        <w:rPr>
          <w:szCs w:val="24"/>
        </w:rPr>
        <w:instrText xml:space="preserve"> PAGEREF _Toc146092069 \h </w:instrText>
      </w:r>
      <w:r>
        <w:rPr>
          <w:szCs w:val="24"/>
        </w:rPr>
        <w:fldChar w:fldCharType="separate"/>
      </w:r>
      <w:r>
        <w:rPr>
          <w:szCs w:val="24"/>
        </w:rPr>
        <w:t>386</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"_Toc146092070" </w:instrText>
      </w:r>
      <w:r>
        <w:fldChar w:fldCharType="separate"/>
      </w:r>
      <w:r>
        <w:rPr>
          <w:rStyle w:val="39"/>
          <w:rFonts w:ascii="Times New Roman" w:hAnsi="Times New Roman" w:cs="Times New Roman"/>
          <w:bCs/>
          <w:szCs w:val="24"/>
        </w:rPr>
        <w:t xml:space="preserve">9.2.6 </w:t>
      </w:r>
      <w:r>
        <w:rPr>
          <w:rStyle w:val="39"/>
          <w:rFonts w:hint="eastAsia" w:ascii="Times New Roman" w:hAnsi="Times New Roman" w:cs="Times New Roman"/>
          <w:bCs/>
          <w:szCs w:val="24"/>
        </w:rPr>
        <w:t>排污口设置及规范化整治</w:t>
      </w:r>
      <w:r>
        <w:rPr>
          <w:szCs w:val="24"/>
        </w:rPr>
        <w:tab/>
      </w:r>
      <w:r>
        <w:rPr>
          <w:szCs w:val="24"/>
        </w:rPr>
        <w:fldChar w:fldCharType="begin"/>
      </w:r>
      <w:r>
        <w:rPr>
          <w:szCs w:val="24"/>
        </w:rPr>
        <w:instrText xml:space="preserve"> PAGEREF _Toc146092070 \h </w:instrText>
      </w:r>
      <w:r>
        <w:rPr>
          <w:szCs w:val="24"/>
        </w:rPr>
        <w:fldChar w:fldCharType="separate"/>
      </w:r>
      <w:r>
        <w:rPr>
          <w:szCs w:val="24"/>
        </w:rPr>
        <w:t>386</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"_Toc146092071" </w:instrText>
      </w:r>
      <w:r>
        <w:fldChar w:fldCharType="separate"/>
      </w:r>
      <w:r>
        <w:rPr>
          <w:rStyle w:val="39"/>
          <w:rFonts w:ascii="Times New Roman" w:hAnsi="Times New Roman" w:cs="Times New Roman" w:eastAsiaTheme="majorEastAsia"/>
          <w:bCs/>
          <w:szCs w:val="24"/>
        </w:rPr>
        <w:t xml:space="preserve">9.3 </w:t>
      </w:r>
      <w:r>
        <w:rPr>
          <w:rStyle w:val="39"/>
          <w:rFonts w:hint="eastAsia" w:ascii="Times New Roman" w:hAnsi="Times New Roman" w:cs="Times New Roman" w:eastAsiaTheme="majorEastAsia"/>
          <w:bCs/>
          <w:szCs w:val="24"/>
        </w:rPr>
        <w:t>入园建设项目环评简化及深入论证建议</w:t>
      </w:r>
      <w:r>
        <w:rPr>
          <w:szCs w:val="24"/>
        </w:rPr>
        <w:tab/>
      </w:r>
      <w:r>
        <w:rPr>
          <w:szCs w:val="24"/>
        </w:rPr>
        <w:fldChar w:fldCharType="begin"/>
      </w:r>
      <w:r>
        <w:rPr>
          <w:szCs w:val="24"/>
        </w:rPr>
        <w:instrText xml:space="preserve"> PAGEREF _Toc146092071 \h </w:instrText>
      </w:r>
      <w:r>
        <w:rPr>
          <w:szCs w:val="24"/>
        </w:rPr>
        <w:fldChar w:fldCharType="separate"/>
      </w:r>
      <w:r>
        <w:rPr>
          <w:szCs w:val="24"/>
        </w:rPr>
        <w:t>387</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"_Toc146092072" </w:instrText>
      </w:r>
      <w:r>
        <w:fldChar w:fldCharType="separate"/>
      </w:r>
      <w:r>
        <w:rPr>
          <w:rStyle w:val="39"/>
          <w:rFonts w:hint="eastAsia"/>
          <w:szCs w:val="24"/>
        </w:rPr>
        <w:t>第</w:t>
      </w:r>
      <w:r>
        <w:rPr>
          <w:rStyle w:val="39"/>
          <w:szCs w:val="24"/>
        </w:rPr>
        <w:t>10</w:t>
      </w:r>
      <w:r>
        <w:rPr>
          <w:rStyle w:val="39"/>
          <w:rFonts w:hint="eastAsia"/>
          <w:szCs w:val="24"/>
        </w:rPr>
        <w:t>章</w:t>
      </w:r>
      <w:r>
        <w:rPr>
          <w:rStyle w:val="39"/>
          <w:szCs w:val="24"/>
        </w:rPr>
        <w:t xml:space="preserve"> </w:t>
      </w:r>
      <w:r>
        <w:rPr>
          <w:rStyle w:val="39"/>
          <w:rFonts w:hint="eastAsia"/>
          <w:szCs w:val="24"/>
        </w:rPr>
        <w:t>环境管理与环境准入</w:t>
      </w:r>
      <w:r>
        <w:rPr>
          <w:szCs w:val="24"/>
        </w:rPr>
        <w:tab/>
      </w:r>
      <w:r>
        <w:rPr>
          <w:szCs w:val="24"/>
        </w:rPr>
        <w:fldChar w:fldCharType="begin"/>
      </w:r>
      <w:r>
        <w:rPr>
          <w:szCs w:val="24"/>
        </w:rPr>
        <w:instrText xml:space="preserve"> PAGEREF _Toc146092072 \h </w:instrText>
      </w:r>
      <w:r>
        <w:rPr>
          <w:szCs w:val="24"/>
        </w:rPr>
        <w:fldChar w:fldCharType="separate"/>
      </w:r>
      <w:r>
        <w:rPr>
          <w:szCs w:val="24"/>
        </w:rPr>
        <w:t>389</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"_Toc146092073" </w:instrText>
      </w:r>
      <w:r>
        <w:fldChar w:fldCharType="separate"/>
      </w:r>
      <w:r>
        <w:rPr>
          <w:rStyle w:val="39"/>
          <w:szCs w:val="24"/>
        </w:rPr>
        <w:t>10.1</w:t>
      </w:r>
      <w:r>
        <w:rPr>
          <w:rStyle w:val="39"/>
          <w:rFonts w:hint="eastAsia"/>
          <w:szCs w:val="24"/>
        </w:rPr>
        <w:t>环境管理</w:t>
      </w:r>
      <w:r>
        <w:rPr>
          <w:szCs w:val="24"/>
        </w:rPr>
        <w:tab/>
      </w:r>
      <w:r>
        <w:rPr>
          <w:szCs w:val="24"/>
        </w:rPr>
        <w:fldChar w:fldCharType="begin"/>
      </w:r>
      <w:r>
        <w:rPr>
          <w:szCs w:val="24"/>
        </w:rPr>
        <w:instrText xml:space="preserve"> PAGEREF _Toc146092073 \h </w:instrText>
      </w:r>
      <w:r>
        <w:rPr>
          <w:szCs w:val="24"/>
        </w:rPr>
        <w:fldChar w:fldCharType="separate"/>
      </w:r>
      <w:r>
        <w:rPr>
          <w:szCs w:val="24"/>
        </w:rPr>
        <w:t>389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"_Toc146092074" </w:instrText>
      </w:r>
      <w:r>
        <w:fldChar w:fldCharType="separate"/>
      </w:r>
      <w:r>
        <w:rPr>
          <w:rStyle w:val="39"/>
          <w:szCs w:val="24"/>
        </w:rPr>
        <w:t>10.1.1</w:t>
      </w:r>
      <w:r>
        <w:rPr>
          <w:rStyle w:val="39"/>
          <w:rFonts w:hint="eastAsia"/>
          <w:szCs w:val="24"/>
        </w:rPr>
        <w:t>新建项目的环境管理</w:t>
      </w:r>
      <w:r>
        <w:rPr>
          <w:szCs w:val="24"/>
        </w:rPr>
        <w:tab/>
      </w:r>
      <w:r>
        <w:rPr>
          <w:szCs w:val="24"/>
        </w:rPr>
        <w:fldChar w:fldCharType="begin"/>
      </w:r>
      <w:r>
        <w:rPr>
          <w:szCs w:val="24"/>
        </w:rPr>
        <w:instrText xml:space="preserve"> PAGEREF _Toc146092074 \h </w:instrText>
      </w:r>
      <w:r>
        <w:rPr>
          <w:szCs w:val="24"/>
        </w:rPr>
        <w:fldChar w:fldCharType="separate"/>
      </w:r>
      <w:r>
        <w:rPr>
          <w:szCs w:val="24"/>
        </w:rPr>
        <w:t>389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"_Toc146092075" </w:instrText>
      </w:r>
      <w:r>
        <w:fldChar w:fldCharType="separate"/>
      </w:r>
      <w:r>
        <w:rPr>
          <w:rStyle w:val="39"/>
          <w:szCs w:val="24"/>
        </w:rPr>
        <w:t xml:space="preserve">10.1.2 </w:t>
      </w:r>
      <w:r>
        <w:rPr>
          <w:rStyle w:val="39"/>
          <w:rFonts w:hint="eastAsia"/>
          <w:szCs w:val="24"/>
        </w:rPr>
        <w:t>环境监控预警体系建设</w:t>
      </w:r>
      <w:r>
        <w:rPr>
          <w:szCs w:val="24"/>
        </w:rPr>
        <w:tab/>
      </w:r>
      <w:r>
        <w:rPr>
          <w:szCs w:val="24"/>
        </w:rPr>
        <w:fldChar w:fldCharType="begin"/>
      </w:r>
      <w:r>
        <w:rPr>
          <w:szCs w:val="24"/>
        </w:rPr>
        <w:instrText xml:space="preserve"> PAGEREF _Toc146092075 \h </w:instrText>
      </w:r>
      <w:r>
        <w:rPr>
          <w:szCs w:val="24"/>
        </w:rPr>
        <w:fldChar w:fldCharType="separate"/>
      </w:r>
      <w:r>
        <w:rPr>
          <w:szCs w:val="24"/>
        </w:rPr>
        <w:t>389</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"_Toc146092076" </w:instrText>
      </w:r>
      <w:r>
        <w:fldChar w:fldCharType="separate"/>
      </w:r>
      <w:r>
        <w:rPr>
          <w:rStyle w:val="39"/>
          <w:szCs w:val="24"/>
        </w:rPr>
        <w:t xml:space="preserve">10.1.3 </w:t>
      </w:r>
      <w:r>
        <w:rPr>
          <w:rStyle w:val="39"/>
          <w:rFonts w:hint="eastAsia"/>
          <w:szCs w:val="24"/>
        </w:rPr>
        <w:t>强化企业环保信息管理</w:t>
      </w:r>
      <w:r>
        <w:rPr>
          <w:szCs w:val="24"/>
        </w:rPr>
        <w:tab/>
      </w:r>
      <w:r>
        <w:rPr>
          <w:szCs w:val="24"/>
        </w:rPr>
        <w:fldChar w:fldCharType="begin"/>
      </w:r>
      <w:r>
        <w:rPr>
          <w:szCs w:val="24"/>
        </w:rPr>
        <w:instrText xml:space="preserve"> PAGEREF _Toc146092076 \h </w:instrText>
      </w:r>
      <w:r>
        <w:rPr>
          <w:szCs w:val="24"/>
        </w:rPr>
        <w:fldChar w:fldCharType="separate"/>
      </w:r>
      <w:r>
        <w:rPr>
          <w:szCs w:val="24"/>
        </w:rPr>
        <w:t>390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"_Toc146092077" </w:instrText>
      </w:r>
      <w:r>
        <w:fldChar w:fldCharType="separate"/>
      </w:r>
      <w:r>
        <w:rPr>
          <w:rStyle w:val="39"/>
          <w:szCs w:val="24"/>
        </w:rPr>
        <w:t>10.2</w:t>
      </w:r>
      <w:r>
        <w:rPr>
          <w:rStyle w:val="39"/>
          <w:rFonts w:hint="eastAsia"/>
          <w:szCs w:val="24"/>
        </w:rPr>
        <w:t>产业园区环境准入</w:t>
      </w:r>
      <w:r>
        <w:rPr>
          <w:szCs w:val="24"/>
        </w:rPr>
        <w:tab/>
      </w:r>
      <w:r>
        <w:rPr>
          <w:szCs w:val="24"/>
        </w:rPr>
        <w:fldChar w:fldCharType="begin"/>
      </w:r>
      <w:r>
        <w:rPr>
          <w:szCs w:val="24"/>
        </w:rPr>
        <w:instrText xml:space="preserve"> PAGEREF _Toc146092077 \h </w:instrText>
      </w:r>
      <w:r>
        <w:rPr>
          <w:szCs w:val="24"/>
        </w:rPr>
        <w:fldChar w:fldCharType="separate"/>
      </w:r>
      <w:r>
        <w:rPr>
          <w:szCs w:val="24"/>
        </w:rPr>
        <w:t>390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"_Toc146092078" </w:instrText>
      </w:r>
      <w:r>
        <w:fldChar w:fldCharType="separate"/>
      </w:r>
      <w:r>
        <w:rPr>
          <w:rStyle w:val="39"/>
          <w:szCs w:val="24"/>
        </w:rPr>
        <w:t>10.2.1</w:t>
      </w:r>
      <w:r>
        <w:rPr>
          <w:rStyle w:val="39"/>
          <w:rFonts w:hint="eastAsia"/>
          <w:szCs w:val="24"/>
        </w:rPr>
        <w:t>产业园区环境管控分区</w:t>
      </w:r>
      <w:r>
        <w:rPr>
          <w:szCs w:val="24"/>
        </w:rPr>
        <w:tab/>
      </w:r>
      <w:r>
        <w:rPr>
          <w:szCs w:val="24"/>
        </w:rPr>
        <w:fldChar w:fldCharType="begin"/>
      </w:r>
      <w:r>
        <w:rPr>
          <w:szCs w:val="24"/>
        </w:rPr>
        <w:instrText xml:space="preserve"> PAGEREF _Toc146092078 \h </w:instrText>
      </w:r>
      <w:r>
        <w:rPr>
          <w:szCs w:val="24"/>
        </w:rPr>
        <w:fldChar w:fldCharType="separate"/>
      </w:r>
      <w:r>
        <w:rPr>
          <w:szCs w:val="24"/>
        </w:rPr>
        <w:t>390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"_Toc146092079" </w:instrText>
      </w:r>
      <w:r>
        <w:fldChar w:fldCharType="separate"/>
      </w:r>
      <w:r>
        <w:rPr>
          <w:rStyle w:val="39"/>
          <w:szCs w:val="24"/>
        </w:rPr>
        <w:t>10.2.2</w:t>
      </w:r>
      <w:r>
        <w:rPr>
          <w:rStyle w:val="39"/>
          <w:rFonts w:hint="eastAsia"/>
          <w:szCs w:val="24"/>
        </w:rPr>
        <w:t>产业园区分区环境管控要求</w:t>
      </w:r>
      <w:r>
        <w:rPr>
          <w:szCs w:val="24"/>
        </w:rPr>
        <w:tab/>
      </w:r>
      <w:r>
        <w:rPr>
          <w:szCs w:val="24"/>
        </w:rPr>
        <w:fldChar w:fldCharType="begin"/>
      </w:r>
      <w:r>
        <w:rPr>
          <w:szCs w:val="24"/>
        </w:rPr>
        <w:instrText xml:space="preserve"> PAGEREF _Toc146092079 \h </w:instrText>
      </w:r>
      <w:r>
        <w:rPr>
          <w:szCs w:val="24"/>
        </w:rPr>
        <w:fldChar w:fldCharType="separate"/>
      </w:r>
      <w:r>
        <w:rPr>
          <w:szCs w:val="24"/>
        </w:rPr>
        <w:t>391</w:t>
      </w:r>
      <w:r>
        <w:rPr>
          <w:szCs w:val="24"/>
        </w:rPr>
        <w:fldChar w:fldCharType="end"/>
      </w:r>
      <w:r>
        <w:rPr>
          <w:szCs w:val="24"/>
        </w:rPr>
        <w:fldChar w:fldCharType="end"/>
      </w:r>
    </w:p>
    <w:p>
      <w:pPr>
        <w:pStyle w:val="26"/>
        <w:tabs>
          <w:tab w:val="right" w:leader="dot" w:pos="8777"/>
        </w:tabs>
        <w:spacing w:line="360" w:lineRule="auto"/>
        <w:rPr>
          <w:szCs w:val="24"/>
        </w:rPr>
      </w:pPr>
      <w:r>
        <w:fldChar w:fldCharType="begin"/>
      </w:r>
      <w:r>
        <w:instrText xml:space="preserve"> HYPERLINK \l "_Toc146092080" </w:instrText>
      </w:r>
      <w:r>
        <w:fldChar w:fldCharType="separate"/>
      </w:r>
      <w:r>
        <w:rPr>
          <w:rStyle w:val="39"/>
          <w:rFonts w:hint="eastAsia"/>
          <w:szCs w:val="24"/>
        </w:rPr>
        <w:t>第</w:t>
      </w:r>
      <w:r>
        <w:rPr>
          <w:rStyle w:val="39"/>
          <w:szCs w:val="24"/>
        </w:rPr>
        <w:t>11</w:t>
      </w:r>
      <w:r>
        <w:rPr>
          <w:rStyle w:val="39"/>
          <w:rFonts w:hint="eastAsia"/>
          <w:szCs w:val="24"/>
        </w:rPr>
        <w:t>章</w:t>
      </w:r>
      <w:r>
        <w:rPr>
          <w:rStyle w:val="39"/>
          <w:szCs w:val="24"/>
        </w:rPr>
        <w:t xml:space="preserve"> </w:t>
      </w:r>
      <w:r>
        <w:rPr>
          <w:rStyle w:val="39"/>
          <w:rFonts w:hint="eastAsia"/>
          <w:szCs w:val="24"/>
        </w:rPr>
        <w:t>公众参与</w:t>
      </w:r>
      <w:r>
        <w:rPr>
          <w:szCs w:val="24"/>
        </w:rPr>
        <w:tab/>
      </w:r>
      <w:r>
        <w:rPr>
          <w:szCs w:val="24"/>
        </w:rPr>
        <w:fldChar w:fldCharType="begin"/>
      </w:r>
      <w:r>
        <w:rPr>
          <w:szCs w:val="24"/>
        </w:rPr>
        <w:instrText xml:space="preserve"> PAGEREF _Toc146092080 \h </w:instrText>
      </w:r>
      <w:r>
        <w:rPr>
          <w:szCs w:val="24"/>
        </w:rPr>
        <w:fldChar w:fldCharType="separate"/>
      </w:r>
      <w:r>
        <w:rPr>
          <w:szCs w:val="24"/>
        </w:rPr>
        <w:t>400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"_Toc146092081" </w:instrText>
      </w:r>
      <w:r>
        <w:fldChar w:fldCharType="separate"/>
      </w:r>
      <w:r>
        <w:rPr>
          <w:rStyle w:val="39"/>
          <w:szCs w:val="24"/>
        </w:rPr>
        <w:t>11.1</w:t>
      </w:r>
      <w:r>
        <w:rPr>
          <w:rStyle w:val="39"/>
          <w:rFonts w:hint="eastAsia"/>
          <w:szCs w:val="24"/>
        </w:rPr>
        <w:t>公众参与的目的和作用</w:t>
      </w:r>
      <w:r>
        <w:rPr>
          <w:szCs w:val="24"/>
        </w:rPr>
        <w:tab/>
      </w:r>
      <w:r>
        <w:rPr>
          <w:szCs w:val="24"/>
        </w:rPr>
        <w:fldChar w:fldCharType="begin"/>
      </w:r>
      <w:r>
        <w:rPr>
          <w:szCs w:val="24"/>
        </w:rPr>
        <w:instrText xml:space="preserve"> PAGEREF _Toc146092081 \h </w:instrText>
      </w:r>
      <w:r>
        <w:rPr>
          <w:szCs w:val="24"/>
        </w:rPr>
        <w:fldChar w:fldCharType="separate"/>
      </w:r>
      <w:r>
        <w:rPr>
          <w:szCs w:val="24"/>
        </w:rPr>
        <w:t>400</w:t>
      </w:r>
      <w:r>
        <w:rPr>
          <w:szCs w:val="24"/>
        </w:rPr>
        <w:fldChar w:fldCharType="end"/>
      </w:r>
      <w:r>
        <w:rPr>
          <w:szCs w:val="24"/>
        </w:rPr>
        <w:fldChar w:fldCharType="end"/>
      </w:r>
    </w:p>
    <w:p>
      <w:pPr>
        <w:pStyle w:val="29"/>
        <w:tabs>
          <w:tab w:val="right" w:leader="dot" w:pos="8777"/>
        </w:tabs>
        <w:spacing w:line="360" w:lineRule="auto"/>
        <w:ind w:left="480"/>
        <w:rPr>
          <w:szCs w:val="24"/>
        </w:rPr>
      </w:pPr>
      <w:r>
        <w:fldChar w:fldCharType="begin"/>
      </w:r>
      <w:r>
        <w:instrText xml:space="preserve"> HYPERLINK \l "_Toc146092082" </w:instrText>
      </w:r>
      <w:r>
        <w:fldChar w:fldCharType="separate"/>
      </w:r>
      <w:r>
        <w:rPr>
          <w:rStyle w:val="39"/>
          <w:szCs w:val="24"/>
        </w:rPr>
        <w:t>11.2</w:t>
      </w:r>
      <w:r>
        <w:rPr>
          <w:rStyle w:val="39"/>
          <w:rFonts w:hint="eastAsia"/>
          <w:szCs w:val="24"/>
        </w:rPr>
        <w:t>第一次环境影响评价信息公开情况</w:t>
      </w:r>
      <w:r>
        <w:rPr>
          <w:szCs w:val="24"/>
        </w:rPr>
        <w:tab/>
      </w:r>
      <w:r>
        <w:rPr>
          <w:szCs w:val="24"/>
        </w:rPr>
        <w:fldChar w:fldCharType="begin"/>
      </w:r>
      <w:r>
        <w:rPr>
          <w:szCs w:val="24"/>
        </w:rPr>
        <w:instrText xml:space="preserve"> PAGEREF _Toc146092082 \h </w:instrText>
      </w:r>
      <w:r>
        <w:rPr>
          <w:szCs w:val="24"/>
        </w:rPr>
        <w:fldChar w:fldCharType="separate"/>
      </w:r>
      <w:r>
        <w:rPr>
          <w:szCs w:val="24"/>
        </w:rPr>
        <w:t>400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"_Toc146092083" </w:instrText>
      </w:r>
      <w:r>
        <w:fldChar w:fldCharType="separate"/>
      </w:r>
      <w:r>
        <w:rPr>
          <w:rStyle w:val="39"/>
          <w:szCs w:val="24"/>
        </w:rPr>
        <w:t xml:space="preserve">11.2.1 </w:t>
      </w:r>
      <w:r>
        <w:rPr>
          <w:rStyle w:val="39"/>
          <w:rFonts w:hint="eastAsia"/>
          <w:szCs w:val="24"/>
        </w:rPr>
        <w:t>公开内容及日期</w:t>
      </w:r>
      <w:r>
        <w:rPr>
          <w:szCs w:val="24"/>
        </w:rPr>
        <w:tab/>
      </w:r>
      <w:r>
        <w:rPr>
          <w:szCs w:val="24"/>
        </w:rPr>
        <w:fldChar w:fldCharType="begin"/>
      </w:r>
      <w:r>
        <w:rPr>
          <w:szCs w:val="24"/>
        </w:rPr>
        <w:instrText xml:space="preserve"> PAGEREF _Toc146092083 \h </w:instrText>
      </w:r>
      <w:r>
        <w:rPr>
          <w:szCs w:val="24"/>
        </w:rPr>
        <w:fldChar w:fldCharType="separate"/>
      </w:r>
      <w:r>
        <w:rPr>
          <w:szCs w:val="24"/>
        </w:rPr>
        <w:t>400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"_Toc146092084" </w:instrText>
      </w:r>
      <w:r>
        <w:fldChar w:fldCharType="separate"/>
      </w:r>
      <w:r>
        <w:rPr>
          <w:rStyle w:val="39"/>
          <w:szCs w:val="24"/>
        </w:rPr>
        <w:t xml:space="preserve">11.2.2 </w:t>
      </w:r>
      <w:r>
        <w:rPr>
          <w:rStyle w:val="39"/>
          <w:rFonts w:hint="eastAsia"/>
          <w:szCs w:val="24"/>
        </w:rPr>
        <w:t>公开方式</w:t>
      </w:r>
      <w:r>
        <w:rPr>
          <w:szCs w:val="24"/>
        </w:rPr>
        <w:tab/>
      </w:r>
      <w:r>
        <w:rPr>
          <w:szCs w:val="24"/>
        </w:rPr>
        <w:fldChar w:fldCharType="begin"/>
      </w:r>
      <w:r>
        <w:rPr>
          <w:szCs w:val="24"/>
        </w:rPr>
        <w:instrText xml:space="preserve"> PAGEREF _Toc146092084 \h </w:instrText>
      </w:r>
      <w:r>
        <w:rPr>
          <w:szCs w:val="24"/>
        </w:rPr>
        <w:fldChar w:fldCharType="separate"/>
      </w:r>
      <w:r>
        <w:rPr>
          <w:szCs w:val="24"/>
        </w:rPr>
        <w:t>400</w:t>
      </w:r>
      <w:r>
        <w:rPr>
          <w:szCs w:val="24"/>
        </w:rPr>
        <w:fldChar w:fldCharType="end"/>
      </w:r>
      <w:r>
        <w:rPr>
          <w:szCs w:val="24"/>
        </w:rPr>
        <w:fldChar w:fldCharType="end"/>
      </w:r>
    </w:p>
    <w:p>
      <w:pPr>
        <w:pStyle w:val="18"/>
        <w:tabs>
          <w:tab w:val="right" w:leader="dot" w:pos="8777"/>
        </w:tabs>
        <w:spacing w:line="360" w:lineRule="auto"/>
        <w:ind w:left="960"/>
        <w:rPr>
          <w:szCs w:val="24"/>
        </w:rPr>
      </w:pPr>
      <w:r>
        <w:fldChar w:fldCharType="begin"/>
      </w:r>
      <w:r>
        <w:instrText xml:space="preserve"> HYPERLINK \l "_Toc146092085" </w:instrText>
      </w:r>
      <w:r>
        <w:fldChar w:fldCharType="separate"/>
      </w:r>
      <w:r>
        <w:rPr>
          <w:rStyle w:val="39"/>
          <w:szCs w:val="24"/>
        </w:rPr>
        <w:t xml:space="preserve">11.2.3 </w:t>
      </w:r>
      <w:r>
        <w:rPr>
          <w:rStyle w:val="39"/>
          <w:rFonts w:hint="eastAsia"/>
          <w:szCs w:val="24"/>
        </w:rPr>
        <w:t>公众意见情况</w:t>
      </w:r>
      <w:r>
        <w:rPr>
          <w:szCs w:val="24"/>
        </w:rPr>
        <w:tab/>
      </w:r>
      <w:r>
        <w:rPr>
          <w:szCs w:val="24"/>
        </w:rPr>
        <w:fldChar w:fldCharType="begin"/>
      </w:r>
      <w:r>
        <w:rPr>
          <w:szCs w:val="24"/>
        </w:rPr>
        <w:instrText xml:space="preserve"> PAGEREF _Toc146092085 \h </w:instrText>
      </w:r>
      <w:r>
        <w:rPr>
          <w:szCs w:val="24"/>
        </w:rPr>
        <w:fldChar w:fldCharType="separate"/>
      </w:r>
      <w:r>
        <w:rPr>
          <w:szCs w:val="24"/>
        </w:rPr>
        <w:t>402</w:t>
      </w:r>
      <w:r>
        <w:rPr>
          <w:szCs w:val="24"/>
        </w:rPr>
        <w:fldChar w:fldCharType="end"/>
      </w:r>
      <w:r>
        <w:rPr>
          <w:szCs w:val="24"/>
        </w:rPr>
        <w:fldChar w:fldCharType="end"/>
      </w:r>
    </w:p>
    <w:p>
      <w:pPr>
        <w:pStyle w:val="26"/>
        <w:tabs>
          <w:tab w:val="right" w:leader="dot" w:pos="8777"/>
        </w:tabs>
        <w:spacing w:line="360" w:lineRule="auto"/>
        <w:rPr>
          <w:rFonts w:ascii="Times New Roman" w:hAnsi="Times New Roman" w:cs="Times New Roman"/>
          <w:b/>
          <w:sz w:val="40"/>
        </w:rPr>
      </w:pPr>
      <w:r>
        <w:rPr>
          <w:rFonts w:ascii="Times New Roman" w:hAnsi="Times New Roman" w:cs="Times New Roman"/>
          <w:szCs w:val="24"/>
        </w:rPr>
        <w:fldChar w:fldCharType="end"/>
      </w: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end"/>
      </w:r>
    </w:p>
    <w:p>
      <w:pPr>
        <w:jc w:val="center"/>
        <w:rPr>
          <w:rFonts w:ascii="Times New Roman" w:hAnsi="Times New Roman" w:cs="Times New Roman"/>
          <w:b/>
          <w:sz w:val="40"/>
        </w:rPr>
        <w:sectPr>
          <w:pgSz w:w="11906" w:h="16838"/>
          <w:pgMar w:top="1418" w:right="1418" w:bottom="1418" w:left="1701" w:header="851" w:footer="992" w:gutter="0"/>
          <w:paperSrc w:first="7" w:other="7"/>
          <w:cols w:space="425" w:num="1"/>
          <w:docGrid w:linePitch="326" w:charSpace="915"/>
        </w:sectPr>
      </w:pPr>
    </w:p>
    <w:p>
      <w:pPr>
        <w:pStyle w:val="2"/>
        <w:spacing w:before="120" w:after="120"/>
        <w:rPr>
          <w:rFonts w:ascii="Times New Roman" w:hAnsi="Times New Roman" w:cs="Times New Roman"/>
        </w:rPr>
      </w:pPr>
      <w:bookmarkStart w:id="8" w:name="_Toc146091853"/>
      <w:bookmarkStart w:id="9" w:name="_Toc134088408"/>
      <w:r>
        <w:rPr>
          <w:rFonts w:ascii="Times New Roman" w:hAnsi="Times New Roman" w:cs="Times New Roman"/>
        </w:rPr>
        <w:t>第1章 总论</w:t>
      </w:r>
      <w:bookmarkEnd w:id="8"/>
      <w:bookmarkEnd w:id="9"/>
    </w:p>
    <w:p>
      <w:pPr>
        <w:pStyle w:val="3"/>
        <w:rPr>
          <w:rFonts w:ascii="Times New Roman" w:hAnsi="Times New Roman" w:cs="Times New Roman" w:eastAsiaTheme="minorEastAsia"/>
        </w:rPr>
      </w:pPr>
      <w:bookmarkStart w:id="10" w:name="_Toc146091854"/>
      <w:bookmarkStart w:id="11" w:name="_Toc134088409"/>
      <w:r>
        <w:rPr>
          <w:rFonts w:ascii="Times New Roman" w:hAnsi="Times New Roman" w:cs="Times New Roman" w:eastAsiaTheme="minorEastAsia"/>
        </w:rPr>
        <w:t>1.1 任务由来</w:t>
      </w:r>
      <w:bookmarkEnd w:id="10"/>
      <w:bookmarkEnd w:id="11"/>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临湘高新技术产业开发区原名临湘市工业园，成立于2003年5月，2006年4月湖南省人民政府（湘改函[2006]79号）设立为省级工业园。</w:t>
      </w:r>
    </w:p>
    <w:p>
      <w:pPr>
        <w:spacing w:line="360" w:lineRule="auto"/>
        <w:ind w:firstLine="480" w:firstLineChars="200"/>
        <w:rPr>
          <w:rFonts w:ascii="Times New Roman" w:hAnsi="Times New Roman" w:cs="Times New Roman"/>
        </w:rPr>
      </w:pPr>
      <w:r>
        <w:rPr>
          <w:rFonts w:ascii="Times New Roman" w:hAnsi="Times New Roman" w:cs="Times New Roman"/>
        </w:rPr>
        <w:t>2013年临湘工业园进行调区扩区取得《湖南省发展和改革委员会关于临湘工业园区调区扩区的复函》（湘发改函[2013]92号），规划面积由原222公顷调整至465.98公顷，形成“一园两片区”格局，下设三湾工业片区和滨江产业示范片区。</w:t>
      </w:r>
    </w:p>
    <w:p>
      <w:pPr>
        <w:spacing w:line="360" w:lineRule="auto"/>
        <w:ind w:firstLine="480" w:firstLineChars="200"/>
        <w:rPr>
          <w:rFonts w:ascii="Times New Roman" w:hAnsi="Times New Roman" w:cs="Times New Roman"/>
        </w:rPr>
      </w:pPr>
      <w:r>
        <w:rPr>
          <w:rFonts w:ascii="Times New Roman" w:hAnsi="Times New Roman" w:cs="Times New Roman"/>
        </w:rPr>
        <w:t>2014年《湖南省省级及以上产业园名录》（湘政办函[2014]66号），湖南临湘工业园核定面积为465.98公顷，主导产业为：医药制造业，非金属矿物制品业，化学原料和化学制品制造业。</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2016年临湘工业园滨江片区开展调区扩区工作，取得原湖南省环境环保厅审查意见的函（湘环评函（2016）1号）及《湖南省发展和改革委员会关于湖南临湘工业园调区扩区的函》（湘发改函[2016]152号），规划面积由原465.98</w:t>
      </w:r>
      <w:r>
        <w:rPr>
          <w:rFonts w:ascii="Times New Roman" w:hAnsi="Times New Roman" w:cs="Times New Roman"/>
        </w:rPr>
        <w:t>公顷</w:t>
      </w:r>
      <w:r>
        <w:rPr>
          <w:rFonts w:ascii="Times New Roman" w:hAnsi="Times New Roman" w:cs="Times New Roman"/>
          <w:szCs w:val="24"/>
        </w:rPr>
        <w:t>调整至839.01</w:t>
      </w:r>
      <w:r>
        <w:rPr>
          <w:rFonts w:ascii="Times New Roman" w:hAnsi="Times New Roman" w:cs="Times New Roman"/>
        </w:rPr>
        <w:t>公顷</w:t>
      </w:r>
      <w:r>
        <w:rPr>
          <w:rFonts w:ascii="Times New Roman" w:hAnsi="Times New Roman" w:cs="Times New Roman"/>
          <w:szCs w:val="24"/>
        </w:rPr>
        <w:t>，调出原四至范围内用地12.67</w:t>
      </w:r>
      <w:r>
        <w:rPr>
          <w:rFonts w:ascii="Times New Roman" w:hAnsi="Times New Roman" w:cs="Times New Roman"/>
        </w:rPr>
        <w:t>公顷</w:t>
      </w:r>
      <w:r>
        <w:rPr>
          <w:rFonts w:ascii="Times New Roman" w:hAnsi="Times New Roman" w:cs="Times New Roman"/>
          <w:szCs w:val="24"/>
        </w:rPr>
        <w:t>，保留用地453.31</w:t>
      </w:r>
      <w:r>
        <w:rPr>
          <w:rFonts w:ascii="Times New Roman" w:hAnsi="Times New Roman" w:cs="Times New Roman"/>
        </w:rPr>
        <w:t>公顷</w:t>
      </w:r>
      <w:r>
        <w:rPr>
          <w:rFonts w:ascii="Times New Roman" w:hAnsi="Times New Roman" w:cs="Times New Roman"/>
          <w:szCs w:val="24"/>
        </w:rPr>
        <w:t>。</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2017年临湘工业园针对三湾片区开展回顾性评价，取得湖南省环境保护厅《关于临湘工业园回顾性环境影响报告书的审查意见》（湘环评函（2017）30号）。</w:t>
      </w:r>
    </w:p>
    <w:p>
      <w:pPr>
        <w:spacing w:line="360" w:lineRule="auto"/>
        <w:ind w:firstLine="480" w:firstLineChars="200"/>
        <w:rPr>
          <w:rFonts w:ascii="Times New Roman" w:hAnsi="Times New Roman" w:cs="Times New Roman"/>
        </w:rPr>
      </w:pPr>
      <w:r>
        <w:rPr>
          <w:rFonts w:ascii="Times New Roman" w:hAnsi="Times New Roman" w:cs="Times New Roman"/>
        </w:rPr>
        <w:t>2018年《中国开发区审核公告目录》（2018年版）</w:t>
      </w:r>
      <w:r>
        <w:rPr>
          <w:rFonts w:ascii="Times New Roman" w:hAnsi="Times New Roman" w:cs="Times New Roman"/>
          <w:szCs w:val="24"/>
        </w:rPr>
        <w:t>临湘工业园</w:t>
      </w:r>
      <w:r>
        <w:rPr>
          <w:rFonts w:ascii="Times New Roman" w:hAnsi="Times New Roman" w:cs="Times New Roman"/>
        </w:rPr>
        <w:t>核准面积435.46公顷，主导产业为建材、化工、有色冶金。</w:t>
      </w:r>
    </w:p>
    <w:p>
      <w:pPr>
        <w:spacing w:line="360" w:lineRule="auto"/>
        <w:ind w:firstLine="480" w:firstLineChars="200"/>
        <w:rPr>
          <w:rFonts w:ascii="Times New Roman" w:hAnsi="Times New Roman" w:cs="Times New Roman"/>
        </w:rPr>
      </w:pPr>
      <w:r>
        <w:rPr>
          <w:rFonts w:ascii="Times New Roman" w:hAnsi="Times New Roman" w:cs="Times New Roman"/>
        </w:rPr>
        <w:t>2020年临湘市工业园更名为临湘高新技术产业开发区（湘政函[2020]5号）。</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2020年临湘高新区滨江产业区开展调区扩区工作，取得《湖南省生态环境厅关于湖南临湘工业园（滨江产业区）调区（扩区）规划环境影响报告书审查意见的函》（湘环评函〔2020〕1号）及《湖南省发展和改革委员会关于醴陵经济开发区等园区调区扩区复函》（湘发改函[2020]111号），调出不符合两规的用地面积10.56</w:t>
      </w:r>
      <w:r>
        <w:rPr>
          <w:rFonts w:ascii="Times New Roman" w:hAnsi="Times New Roman" w:cs="Times New Roman"/>
        </w:rPr>
        <w:t>公顷</w:t>
      </w:r>
      <w:r>
        <w:rPr>
          <w:rFonts w:ascii="Times New Roman" w:hAnsi="Times New Roman" w:cs="Times New Roman"/>
          <w:szCs w:val="24"/>
        </w:rPr>
        <w:t>，新调入314.24</w:t>
      </w:r>
      <w:r>
        <w:rPr>
          <w:rFonts w:ascii="Times New Roman" w:hAnsi="Times New Roman" w:cs="Times New Roman"/>
        </w:rPr>
        <w:t>公顷</w:t>
      </w:r>
      <w:r>
        <w:rPr>
          <w:rFonts w:ascii="Times New Roman" w:hAnsi="Times New Roman" w:cs="Times New Roman"/>
          <w:szCs w:val="24"/>
        </w:rPr>
        <w:t>，调区后园区总面积739.14</w:t>
      </w:r>
      <w:r>
        <w:rPr>
          <w:rFonts w:ascii="Times New Roman" w:hAnsi="Times New Roman" w:cs="Times New Roman"/>
        </w:rPr>
        <w:t>公顷</w:t>
      </w:r>
      <w:r>
        <w:rPr>
          <w:rFonts w:ascii="Times New Roman" w:hAnsi="Times New Roman" w:cs="Times New Roman"/>
          <w:szCs w:val="24"/>
        </w:rPr>
        <w:t>，调扩区后形成“一园两区”格局，主导产业为新材料和电子信息产业。</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三湾片区：面积193.29公顷，四至范围：东至京珠高速公路，南至大岭村赵组、王禾村港下组，西至王禾村郭陈家水库，北至白云湖公园，主要发展建材、机械制造和浮标产业。滨江产业片区：面积545.85公顷，主要发展绿色化工、电子信息、新材料、机械制造和现代航运物流产业；其中儒溪地块面积324.75公顷，四至范围：北至纬一路（西段）及纬五路以北100米处（东段），南至纬六路，东至沿湖路，西至长江大堤内50米处，鸭栏地块面积33.99公顷，四至范围：东至沿湖路（北段）西接建设路、南至S208、北至临湘儒溪汽车轮渡码头；旗杆地块面积27.12公顷，四至范围：东至临鸭公路西接横二路、南至民富路、北至华强路；杨桥地块面积159.99公顷，四至范围北至黄皋路，南至横四路，西至X053县道，东至环一线（东段）。</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2021年5月，</w:t>
      </w:r>
      <w:r>
        <w:rPr>
          <w:rFonts w:ascii="Times New Roman" w:hAnsi="Times New Roman" w:cs="Times New Roman"/>
        </w:rPr>
        <w:t>临湘高新技术产业开发区</w:t>
      </w:r>
      <w:r>
        <w:rPr>
          <w:rFonts w:ascii="Times New Roman" w:hAnsi="Times New Roman" w:eastAsia="宋体" w:cs="Times New Roman"/>
          <w:kern w:val="0"/>
          <w:szCs w:val="20"/>
        </w:rPr>
        <w:t>（</w:t>
      </w:r>
      <w:r>
        <w:rPr>
          <w:rFonts w:hint="eastAsia" w:ascii="Times New Roman" w:hAnsi="Times New Roman" w:eastAsia="宋体" w:cs="Times New Roman"/>
          <w:kern w:val="0"/>
          <w:szCs w:val="20"/>
        </w:rPr>
        <w:t>滨江化工片区</w:t>
      </w:r>
      <w:r>
        <w:rPr>
          <w:rFonts w:ascii="Times New Roman" w:hAnsi="Times New Roman" w:eastAsia="宋体" w:cs="Times New Roman"/>
          <w:kern w:val="0"/>
          <w:szCs w:val="20"/>
        </w:rPr>
        <w:t>）认定为湖南省第一批化工园区（湘发改地区[2021]372号）。</w:t>
      </w:r>
    </w:p>
    <w:p>
      <w:pPr>
        <w:spacing w:line="360" w:lineRule="auto"/>
        <w:ind w:firstLine="480" w:firstLineChars="200"/>
        <w:rPr>
          <w:rFonts w:ascii="Times New Roman" w:hAnsi="Times New Roman" w:cs="Times New Roman"/>
        </w:rPr>
      </w:pPr>
      <w:r>
        <w:rPr>
          <w:rFonts w:ascii="Times New Roman" w:hAnsi="Times New Roman" w:cs="Times New Roman"/>
        </w:rPr>
        <w:t>2022年湖南省发展和改革委员会、湖南省自然资源厅发布《关于发布临湘高新技术产业开发区边界面积及四至范围的通知》（湘发改园区[2022]601号）中临湘高新技术产业开发区核定面积共774.20公顷，其中区块一（滨江片区</w:t>
      </w:r>
      <w:r>
        <w:rPr>
          <w:rFonts w:ascii="Times New Roman" w:hAnsi="Times New Roman" w:cs="Times New Roman"/>
          <w:szCs w:val="24"/>
        </w:rPr>
        <w:t>儒溪地块</w:t>
      </w:r>
      <w:r>
        <w:rPr>
          <w:rFonts w:ascii="Times New Roman" w:hAnsi="Times New Roman" w:cs="Times New Roman"/>
        </w:rPr>
        <w:t>）面积为324.74公顷，东至潇雨路，南至S208省道支线，西至长江防洪堤，北至洋西路；区块二（滨江片区</w:t>
      </w:r>
      <w:r>
        <w:rPr>
          <w:rFonts w:ascii="Times New Roman" w:hAnsi="Times New Roman" w:cs="Times New Roman"/>
          <w:szCs w:val="24"/>
        </w:rPr>
        <w:t>鸭栏地块</w:t>
      </w:r>
      <w:r>
        <w:rPr>
          <w:rFonts w:ascii="Times New Roman" w:hAnsi="Times New Roman" w:cs="Times New Roman"/>
        </w:rPr>
        <w:t>）面积为35.32公顷，东至S208省道，南至儒溪大道，西至长江，北至鸭兰村；区块三（滨江片区</w:t>
      </w:r>
      <w:r>
        <w:rPr>
          <w:rFonts w:ascii="Times New Roman" w:hAnsi="Times New Roman" w:cs="Times New Roman"/>
          <w:szCs w:val="24"/>
        </w:rPr>
        <w:t>旗杆地块</w:t>
      </w:r>
      <w:r>
        <w:rPr>
          <w:rFonts w:ascii="Times New Roman" w:hAnsi="Times New Roman" w:cs="Times New Roman"/>
        </w:rPr>
        <w:t>）面积为27.12公顷，东至民富路，南至红南路，西至临鸭公路文家嘴，北至陆城镇；区块四（滨江片区</w:t>
      </w:r>
      <w:r>
        <w:rPr>
          <w:rFonts w:ascii="Times New Roman" w:hAnsi="Times New Roman" w:cs="Times New Roman"/>
          <w:szCs w:val="24"/>
        </w:rPr>
        <w:t>杨桥地块</w:t>
      </w:r>
      <w:r>
        <w:rPr>
          <w:rFonts w:ascii="Times New Roman" w:hAnsi="Times New Roman" w:cs="Times New Roman"/>
        </w:rPr>
        <w:t>）面积为159.99公顷，东至杨桥村方家嘴组，南至杨桥村树野组，西至谢家坳，北至洋溪村燕窝组以南200米处；区块五（三湾片区）面积为193.29公顷，东至京港澳高速公路，南至大岭村赵坂组、王禾村港下组，西至王禾村郭陈家水库，北至白云湖公园；区块六（绿色建材产业园）面积为33.74公顷，东临金叶众望，南至京广铁路以北900米处，西至灰山村张家组，北至菖溪湾。</w:t>
      </w:r>
    </w:p>
    <w:p>
      <w:pPr>
        <w:spacing w:line="360" w:lineRule="auto"/>
        <w:ind w:firstLine="480" w:firstLineChars="200"/>
        <w:rPr>
          <w:rFonts w:ascii="Times New Roman" w:hAnsi="Times New Roman" w:cs="Times New Roman"/>
        </w:rPr>
      </w:pPr>
      <w:r>
        <w:rPr>
          <w:rFonts w:ascii="Times New Roman" w:hAnsi="Times New Roman" w:cs="Times New Roman"/>
        </w:rPr>
        <w:t>为贯彻落实省委省政府三高四新战略、主动融入岳阳市省域副中心城市建设、落实临湘市委市政府“三区四市五个新格局”的战略部署，进一步引导培育和发展壮大临湘高新区优势产业，推动经济社会持续健康发展，围绕100万吨/年乙烯炼化一体化项目，打造绿色化工全产业链条，实现园区升级发展和开展跨区域合作，结合《临湘市国土空间总体规划》最新成果，统筹落实三条控制线。临湘市高新技术产业开发区管委会开展本次园区扩区工作。</w:t>
      </w:r>
    </w:p>
    <w:p>
      <w:pPr>
        <w:spacing w:line="360" w:lineRule="auto"/>
        <w:ind w:firstLine="480" w:firstLineChars="200"/>
        <w:rPr>
          <w:rFonts w:ascii="Times New Roman" w:hAnsi="Times New Roman" w:cs="Times New Roman"/>
        </w:rPr>
      </w:pPr>
      <w:r>
        <w:rPr>
          <w:rFonts w:ascii="Times New Roman" w:hAnsi="Times New Roman" w:cs="Times New Roman"/>
        </w:rPr>
        <w:t>本轮规划范围以湘发改园区[2022]601号核定范围为基础进行调区扩区工作，调整后园区总面积为992.30公顷。分述如下：</w:t>
      </w:r>
    </w:p>
    <w:p>
      <w:pPr>
        <w:spacing w:line="360" w:lineRule="auto"/>
        <w:ind w:firstLine="480" w:firstLineChars="200"/>
        <w:rPr>
          <w:rFonts w:ascii="Times New Roman" w:hAnsi="Times New Roman" w:cs="Times New Roman"/>
        </w:rPr>
      </w:pPr>
      <w:r>
        <w:rPr>
          <w:rFonts w:ascii="Times New Roman" w:hAnsi="Times New Roman" w:cs="Times New Roman"/>
        </w:rPr>
        <w:t>（1）区块一（滨江片区</w:t>
      </w:r>
      <w:r>
        <w:rPr>
          <w:rFonts w:ascii="Times New Roman" w:hAnsi="Times New Roman" w:cs="Times New Roman"/>
          <w:szCs w:val="24"/>
        </w:rPr>
        <w:t>儒溪地块</w:t>
      </w:r>
      <w:r>
        <w:rPr>
          <w:rFonts w:ascii="Times New Roman" w:hAnsi="Times New Roman" w:cs="Times New Roman"/>
        </w:rPr>
        <w:t>）原核定面积为324.74公顷，调出不在城镇开发边界范围内的81.35公顷，调整后面积为243.39公顷；四至范围为：东至潇雨路，南S208省道支线，西至长江防洪堤，北至老季口北侧；</w:t>
      </w:r>
    </w:p>
    <w:p>
      <w:pPr>
        <w:spacing w:line="360" w:lineRule="auto"/>
        <w:ind w:firstLine="480" w:firstLineChars="200"/>
        <w:rPr>
          <w:rFonts w:ascii="Times New Roman" w:hAnsi="Times New Roman" w:cs="Times New Roman"/>
        </w:rPr>
      </w:pPr>
      <w:r>
        <w:rPr>
          <w:rFonts w:ascii="Times New Roman" w:hAnsi="Times New Roman" w:cs="Times New Roman"/>
        </w:rPr>
        <w:t>（2）区块二（滨江片区</w:t>
      </w:r>
      <w:r>
        <w:rPr>
          <w:rFonts w:ascii="Times New Roman" w:hAnsi="Times New Roman" w:cs="Times New Roman"/>
          <w:szCs w:val="24"/>
        </w:rPr>
        <w:t>鸭栏地块</w:t>
      </w:r>
      <w:r>
        <w:rPr>
          <w:rFonts w:ascii="Times New Roman" w:hAnsi="Times New Roman" w:cs="Times New Roman"/>
        </w:rPr>
        <w:t>）原核定面积为35.32公顷，均不在城镇开发边界范围内，全部调出；</w:t>
      </w:r>
    </w:p>
    <w:p>
      <w:pPr>
        <w:spacing w:line="360" w:lineRule="auto"/>
        <w:ind w:firstLine="480" w:firstLineChars="200"/>
        <w:rPr>
          <w:rFonts w:ascii="Times New Roman" w:hAnsi="Times New Roman" w:cs="Times New Roman"/>
        </w:rPr>
      </w:pPr>
      <w:r>
        <w:rPr>
          <w:rFonts w:ascii="Times New Roman" w:hAnsi="Times New Roman" w:cs="Times New Roman"/>
        </w:rPr>
        <w:t>（3）区块三（滨江片区</w:t>
      </w:r>
      <w:r>
        <w:rPr>
          <w:rFonts w:ascii="Times New Roman" w:hAnsi="Times New Roman" w:cs="Times New Roman"/>
          <w:szCs w:val="24"/>
        </w:rPr>
        <w:t>旗杆地块</w:t>
      </w:r>
      <w:r>
        <w:rPr>
          <w:rFonts w:ascii="Times New Roman" w:hAnsi="Times New Roman" w:cs="Times New Roman"/>
        </w:rPr>
        <w:t>）原核定面积为27.12公顷，调入西侧6.78公顷用地，调整后面积为33.90公顷，四至范围为：东至长富路，南至横二路、建设路，西至洋溪湖，北至横一西路、临江大道；</w:t>
      </w:r>
    </w:p>
    <w:p>
      <w:pPr>
        <w:spacing w:line="360" w:lineRule="auto"/>
        <w:ind w:firstLine="480" w:firstLineChars="200"/>
        <w:rPr>
          <w:rFonts w:ascii="Times New Roman" w:hAnsi="Times New Roman" w:cs="Times New Roman"/>
        </w:rPr>
      </w:pPr>
      <w:r>
        <w:rPr>
          <w:rFonts w:ascii="Times New Roman" w:hAnsi="Times New Roman" w:cs="Times New Roman"/>
        </w:rPr>
        <w:t>（4）区块四（滨江片区</w:t>
      </w:r>
      <w:r>
        <w:rPr>
          <w:rFonts w:ascii="Times New Roman" w:hAnsi="Times New Roman" w:cs="Times New Roman"/>
          <w:szCs w:val="24"/>
        </w:rPr>
        <w:t>杨桥地块</w:t>
      </w:r>
      <w:r>
        <w:rPr>
          <w:rFonts w:ascii="Times New Roman" w:hAnsi="Times New Roman" w:cs="Times New Roman"/>
        </w:rPr>
        <w:t>）原核定面积为159.99公顷，调出不在城镇开发边界的0.51公顷，调入周边城镇开发边界范围内363.46公项用地，扩区后面积522.94公顷，四至范围为：东至临江大道，南至洋溪村湾里，西至洋溪村荷叶坡，北至刘家大屋。</w:t>
      </w:r>
    </w:p>
    <w:p>
      <w:pPr>
        <w:spacing w:line="360" w:lineRule="auto"/>
        <w:ind w:firstLine="480" w:firstLineChars="200"/>
        <w:rPr>
          <w:rFonts w:ascii="Times New Roman" w:hAnsi="Times New Roman" w:cs="Times New Roman"/>
        </w:rPr>
      </w:pPr>
      <w:r>
        <w:rPr>
          <w:rFonts w:ascii="Times New Roman" w:hAnsi="Times New Roman" w:cs="Times New Roman"/>
        </w:rPr>
        <w:t>（5）区块五（三湾片区）原核定面积为193.29公顷，调出不在城镇开发边界范围的34.96公顷，调整后面积为158.33公顷；四至范围为：东至京港澳高速公路以西40米，南至大岭村全京排，王禾村港下组,西至王禾村郭陈京水库，北至临桃线；</w:t>
      </w:r>
    </w:p>
    <w:p>
      <w:pPr>
        <w:spacing w:line="360" w:lineRule="auto"/>
        <w:ind w:firstLine="480" w:firstLineChars="200"/>
        <w:rPr>
          <w:rFonts w:ascii="Times New Roman" w:hAnsi="Times New Roman" w:cs="Times New Roman"/>
        </w:rPr>
      </w:pPr>
      <w:r>
        <w:rPr>
          <w:rFonts w:ascii="Times New Roman" w:hAnsi="Times New Roman" w:cs="Times New Roman"/>
        </w:rPr>
        <w:t>（6）区块六（绿色建材产业园）原核定面积为33.74公顷，维持不变。</w:t>
      </w:r>
    </w:p>
    <w:p>
      <w:pPr>
        <w:spacing w:line="360" w:lineRule="auto"/>
        <w:ind w:firstLine="480" w:firstLineChars="200"/>
        <w:rPr>
          <w:rFonts w:ascii="Times New Roman" w:hAnsi="Times New Roman" w:cs="Times New Roman"/>
        </w:rPr>
      </w:pPr>
      <w:r>
        <w:rPr>
          <w:rFonts w:ascii="Times New Roman" w:hAnsi="Times New Roman" w:cs="Times New Roman"/>
        </w:rPr>
        <w:t>根据《中华人民共和国环境保护法》、《中华人民共和国环境影响评价法》等有关规定，临湘市高新技术产业开发区管委会委托湖南葆华环保有限公司承担临湘高新技术产业开发区调区扩区规划环境影响工作。我单位接受委托后，组成项目组，进行现场勘察、调研，并收集了相关资料。根据环评导则规范要求，编制《临湘高新技术产业开发区调区扩区规划环境影响报告书》。</w:t>
      </w:r>
    </w:p>
    <w:p>
      <w:pPr>
        <w:pStyle w:val="3"/>
        <w:rPr>
          <w:rFonts w:ascii="Times New Roman" w:hAnsi="Times New Roman" w:cs="Times New Roman" w:eastAsiaTheme="minorEastAsia"/>
        </w:rPr>
      </w:pPr>
      <w:bookmarkStart w:id="12" w:name="_Toc134088410"/>
      <w:bookmarkStart w:id="13" w:name="_Toc146091855"/>
      <w:r>
        <w:rPr>
          <w:rFonts w:ascii="Times New Roman" w:hAnsi="Times New Roman" w:cs="Times New Roman" w:eastAsiaTheme="minorEastAsia"/>
        </w:rPr>
        <w:t>1.2 编制依据</w:t>
      </w:r>
      <w:bookmarkEnd w:id="12"/>
      <w:bookmarkEnd w:id="13"/>
    </w:p>
    <w:p>
      <w:pPr>
        <w:pStyle w:val="4"/>
        <w:rPr>
          <w:rFonts w:ascii="Times New Roman" w:hAnsi="Times New Roman" w:cs="Times New Roman"/>
        </w:rPr>
      </w:pPr>
      <w:bookmarkStart w:id="14" w:name="_Toc134088411"/>
      <w:bookmarkStart w:id="15" w:name="_Toc146091856"/>
      <w:r>
        <w:rPr>
          <w:rFonts w:ascii="Times New Roman" w:hAnsi="Times New Roman" w:cs="Times New Roman"/>
        </w:rPr>
        <w:t>1.2.1 国家法律法规</w:t>
      </w:r>
      <w:bookmarkEnd w:id="14"/>
      <w:bookmarkEnd w:id="15"/>
    </w:p>
    <w:p>
      <w:pPr>
        <w:spacing w:line="360" w:lineRule="auto"/>
        <w:ind w:firstLine="480" w:firstLineChars="200"/>
        <w:rPr>
          <w:rFonts w:ascii="Times New Roman" w:hAnsi="Times New Roman" w:cs="Times New Roman"/>
        </w:rPr>
      </w:pPr>
      <w:r>
        <w:rPr>
          <w:rFonts w:ascii="Times New Roman" w:hAnsi="Times New Roman" w:cs="Times New Roman"/>
        </w:rPr>
        <w:t>（1）《中华人民共和国环境保护法》2015年1月1日修订实施；</w:t>
      </w:r>
    </w:p>
    <w:p>
      <w:pPr>
        <w:spacing w:line="360" w:lineRule="auto"/>
        <w:ind w:firstLine="480" w:firstLineChars="200"/>
        <w:rPr>
          <w:rFonts w:ascii="Times New Roman" w:hAnsi="Times New Roman" w:cs="Times New Roman"/>
        </w:rPr>
      </w:pPr>
      <w:r>
        <w:rPr>
          <w:rFonts w:ascii="Times New Roman" w:hAnsi="Times New Roman" w:cs="Times New Roman"/>
        </w:rPr>
        <w:t>（2）《中华人民共和国大气污染防治法》2018年10月26日修订；</w:t>
      </w:r>
    </w:p>
    <w:p>
      <w:pPr>
        <w:spacing w:line="360" w:lineRule="auto"/>
        <w:ind w:firstLine="480" w:firstLineChars="200"/>
        <w:rPr>
          <w:rFonts w:ascii="Times New Roman" w:hAnsi="Times New Roman" w:cs="Times New Roman"/>
        </w:rPr>
      </w:pPr>
      <w:r>
        <w:rPr>
          <w:rFonts w:ascii="Times New Roman" w:hAnsi="Times New Roman" w:cs="Times New Roman"/>
        </w:rPr>
        <w:t>（3）《中华人民共和国水污染防治法》2017年6月27日修订；</w:t>
      </w:r>
    </w:p>
    <w:p>
      <w:pPr>
        <w:spacing w:line="360" w:lineRule="auto"/>
        <w:ind w:firstLine="480" w:firstLineChars="200"/>
        <w:rPr>
          <w:rFonts w:ascii="Times New Roman" w:hAnsi="Times New Roman" w:cs="Times New Roman"/>
        </w:rPr>
      </w:pPr>
      <w:r>
        <w:rPr>
          <w:rFonts w:ascii="Times New Roman" w:hAnsi="Times New Roman" w:cs="Times New Roman"/>
        </w:rPr>
        <w:t>（4）《中华人民共和国噪声污染防治法》2021年12月24日修订；</w:t>
      </w:r>
    </w:p>
    <w:p>
      <w:pPr>
        <w:spacing w:line="360" w:lineRule="auto"/>
        <w:ind w:firstLine="480" w:firstLineChars="200"/>
        <w:rPr>
          <w:rFonts w:ascii="Times New Roman" w:hAnsi="Times New Roman" w:cs="Times New Roman"/>
        </w:rPr>
      </w:pPr>
      <w:r>
        <w:rPr>
          <w:rFonts w:ascii="Times New Roman" w:hAnsi="Times New Roman" w:cs="Times New Roman"/>
        </w:rPr>
        <w:t>（5）《中华人民共和国固体废物污染环境防治法》2020年4月29日修订；</w:t>
      </w:r>
    </w:p>
    <w:p>
      <w:pPr>
        <w:spacing w:line="360" w:lineRule="auto"/>
        <w:ind w:firstLine="480" w:firstLineChars="200"/>
        <w:rPr>
          <w:rFonts w:ascii="Times New Roman" w:hAnsi="Times New Roman" w:cs="Times New Roman"/>
        </w:rPr>
      </w:pPr>
      <w:r>
        <w:rPr>
          <w:rFonts w:ascii="Times New Roman" w:hAnsi="Times New Roman" w:cs="Times New Roman"/>
        </w:rPr>
        <w:t>（6）《中华人民共和国清洁生产促进法》2018年10月26日修订；</w:t>
      </w:r>
    </w:p>
    <w:p>
      <w:pPr>
        <w:spacing w:line="360" w:lineRule="auto"/>
        <w:ind w:firstLine="480" w:firstLineChars="200"/>
        <w:rPr>
          <w:rFonts w:ascii="Times New Roman" w:hAnsi="Times New Roman" w:cs="Times New Roman"/>
        </w:rPr>
      </w:pPr>
      <w:r>
        <w:rPr>
          <w:rFonts w:ascii="Times New Roman" w:hAnsi="Times New Roman" w:cs="Times New Roman"/>
        </w:rPr>
        <w:t>（7）《中华人民共和国水土保持法》2011年3月1日修订；</w:t>
      </w:r>
    </w:p>
    <w:p>
      <w:pPr>
        <w:spacing w:line="360" w:lineRule="auto"/>
        <w:ind w:firstLine="480" w:firstLineChars="200"/>
        <w:rPr>
          <w:rFonts w:ascii="Times New Roman" w:hAnsi="Times New Roman" w:cs="Times New Roman"/>
        </w:rPr>
      </w:pPr>
      <w:r>
        <w:rPr>
          <w:rFonts w:ascii="Times New Roman" w:hAnsi="Times New Roman" w:cs="Times New Roman"/>
        </w:rPr>
        <w:t>（8）《中华人民共和国土地管理法》2019年8月26日修订；</w:t>
      </w:r>
    </w:p>
    <w:p>
      <w:pPr>
        <w:spacing w:line="360" w:lineRule="auto"/>
        <w:ind w:firstLine="480" w:firstLineChars="200"/>
        <w:rPr>
          <w:rFonts w:ascii="Times New Roman" w:hAnsi="Times New Roman" w:cs="Times New Roman"/>
        </w:rPr>
      </w:pPr>
      <w:r>
        <w:rPr>
          <w:rFonts w:ascii="Times New Roman" w:hAnsi="Times New Roman" w:cs="Times New Roman"/>
        </w:rPr>
        <w:t>（9）《中华人民共和国环境影响评价法》2018年12月29日修订；</w:t>
      </w:r>
    </w:p>
    <w:p>
      <w:pPr>
        <w:spacing w:line="360" w:lineRule="auto"/>
        <w:ind w:firstLine="480" w:firstLineChars="200"/>
        <w:rPr>
          <w:rFonts w:ascii="Times New Roman" w:hAnsi="Times New Roman" w:cs="Times New Roman"/>
        </w:rPr>
      </w:pPr>
      <w:r>
        <w:rPr>
          <w:rFonts w:ascii="Times New Roman" w:hAnsi="Times New Roman" w:cs="Times New Roman"/>
        </w:rPr>
        <w:t>（10）《中华人民共和国城乡规划法》2019年4月23日修正；</w:t>
      </w:r>
    </w:p>
    <w:p>
      <w:pPr>
        <w:spacing w:line="360" w:lineRule="auto"/>
        <w:ind w:firstLine="480" w:firstLineChars="200"/>
        <w:rPr>
          <w:rFonts w:ascii="Times New Roman" w:hAnsi="Times New Roman" w:cs="Times New Roman"/>
        </w:rPr>
      </w:pPr>
      <w:r>
        <w:rPr>
          <w:rFonts w:ascii="Times New Roman" w:hAnsi="Times New Roman" w:cs="Times New Roman"/>
        </w:rPr>
        <w:t>（11）《中华人民共和国土壤污染防治法》2019年1月1日实施；</w:t>
      </w:r>
    </w:p>
    <w:p>
      <w:pPr>
        <w:spacing w:line="360" w:lineRule="auto"/>
        <w:ind w:firstLine="480" w:firstLineChars="200"/>
        <w:rPr>
          <w:rFonts w:ascii="Times New Roman" w:hAnsi="Times New Roman" w:cs="Times New Roman"/>
        </w:rPr>
      </w:pPr>
      <w:r>
        <w:rPr>
          <w:rFonts w:ascii="Times New Roman" w:hAnsi="Times New Roman" w:cs="Times New Roman"/>
        </w:rPr>
        <w:t>（12）《中华人民共和国野生动物保护法》2018年10月26日修订；</w:t>
      </w:r>
    </w:p>
    <w:p>
      <w:pPr>
        <w:spacing w:line="360" w:lineRule="auto"/>
        <w:ind w:firstLine="480" w:firstLineChars="200"/>
        <w:rPr>
          <w:rFonts w:ascii="Times New Roman" w:hAnsi="Times New Roman" w:cs="Times New Roman"/>
        </w:rPr>
      </w:pPr>
      <w:r>
        <w:rPr>
          <w:rFonts w:ascii="Times New Roman" w:hAnsi="Times New Roman" w:cs="Times New Roman"/>
        </w:rPr>
        <w:t>（13）《中华人民共和国自然保护区条例》（2017年修订）；</w:t>
      </w:r>
    </w:p>
    <w:p>
      <w:pPr>
        <w:spacing w:line="360" w:lineRule="auto"/>
        <w:ind w:firstLine="480" w:firstLineChars="200"/>
        <w:rPr>
          <w:rFonts w:ascii="Times New Roman" w:hAnsi="Times New Roman" w:cs="Times New Roman"/>
        </w:rPr>
      </w:pPr>
      <w:r>
        <w:rPr>
          <w:rFonts w:ascii="Times New Roman" w:hAnsi="Times New Roman" w:cs="Times New Roman"/>
        </w:rPr>
        <w:t>（14）《中华人民共和国水生动植物自然保护区管理办法》（农业部令2013年第5号修订）</w:t>
      </w:r>
    </w:p>
    <w:p>
      <w:pPr>
        <w:spacing w:line="360" w:lineRule="auto"/>
        <w:ind w:firstLine="480" w:firstLineChars="200"/>
        <w:rPr>
          <w:rFonts w:ascii="Times New Roman" w:hAnsi="Times New Roman" w:cs="Times New Roman"/>
        </w:rPr>
      </w:pPr>
      <w:r>
        <w:rPr>
          <w:rFonts w:ascii="Times New Roman" w:hAnsi="Times New Roman" w:cs="Times New Roman"/>
        </w:rPr>
        <w:t>（15）《水产种质资源保护区管理暂行办法》；</w:t>
      </w:r>
    </w:p>
    <w:p>
      <w:pPr>
        <w:spacing w:line="360" w:lineRule="auto"/>
        <w:ind w:firstLine="480" w:firstLineChars="200"/>
        <w:rPr>
          <w:rFonts w:ascii="Times New Roman" w:hAnsi="Times New Roman" w:cs="Times New Roman"/>
        </w:rPr>
      </w:pPr>
      <w:r>
        <w:rPr>
          <w:rFonts w:ascii="Times New Roman" w:hAnsi="Times New Roman" w:cs="Times New Roman"/>
        </w:rPr>
        <w:t>（16）《公路安全保护条例》（国务院令第593号）；</w:t>
      </w:r>
    </w:p>
    <w:p>
      <w:pPr>
        <w:spacing w:line="360" w:lineRule="auto"/>
        <w:ind w:firstLine="480" w:firstLineChars="200"/>
        <w:rPr>
          <w:rFonts w:ascii="Times New Roman" w:hAnsi="Times New Roman" w:cs="Times New Roman"/>
        </w:rPr>
      </w:pPr>
      <w:r>
        <w:rPr>
          <w:rFonts w:ascii="Times New Roman" w:hAnsi="Times New Roman" w:cs="Times New Roman"/>
        </w:rPr>
        <w:t>（17）《全国生态功能区划（修编版）》2015年11月；</w:t>
      </w:r>
    </w:p>
    <w:p>
      <w:pPr>
        <w:spacing w:line="360" w:lineRule="auto"/>
        <w:ind w:firstLine="480" w:firstLineChars="200"/>
        <w:rPr>
          <w:rFonts w:ascii="Times New Roman" w:hAnsi="Times New Roman" w:cs="Times New Roman"/>
        </w:rPr>
      </w:pPr>
      <w:r>
        <w:rPr>
          <w:rFonts w:ascii="Times New Roman" w:hAnsi="Times New Roman" w:cs="Times New Roman"/>
        </w:rPr>
        <w:t>（18）《环境影响评价公众参与办法》（生态环境部令第4号）；</w:t>
      </w:r>
    </w:p>
    <w:p>
      <w:pPr>
        <w:spacing w:line="360" w:lineRule="auto"/>
        <w:ind w:firstLine="480" w:firstLineChars="200"/>
        <w:rPr>
          <w:rFonts w:ascii="Times New Roman" w:hAnsi="Times New Roman" w:cs="Times New Roman"/>
        </w:rPr>
      </w:pPr>
      <w:r>
        <w:rPr>
          <w:rFonts w:ascii="Times New Roman" w:hAnsi="Times New Roman" w:cs="Times New Roman"/>
        </w:rPr>
        <w:t>（19）《建设项目环境影响评价分类管理名录（2021年版）》；</w:t>
      </w:r>
    </w:p>
    <w:p>
      <w:pPr>
        <w:spacing w:line="360" w:lineRule="auto"/>
        <w:ind w:firstLine="480" w:firstLineChars="200"/>
        <w:rPr>
          <w:rFonts w:ascii="Times New Roman" w:hAnsi="Times New Roman" w:cs="Times New Roman"/>
        </w:rPr>
      </w:pPr>
      <w:r>
        <w:rPr>
          <w:rFonts w:ascii="Times New Roman" w:hAnsi="Times New Roman" w:cs="Times New Roman"/>
        </w:rPr>
        <w:t>（20）《建设项目环境保护管理条例》2017年10月1日；</w:t>
      </w:r>
    </w:p>
    <w:p>
      <w:pPr>
        <w:spacing w:line="360" w:lineRule="auto"/>
        <w:ind w:firstLine="480" w:firstLineChars="200"/>
        <w:rPr>
          <w:rFonts w:ascii="Times New Roman" w:hAnsi="Times New Roman" w:cs="Times New Roman"/>
        </w:rPr>
      </w:pPr>
      <w:r>
        <w:rPr>
          <w:rFonts w:ascii="Times New Roman" w:hAnsi="Times New Roman" w:cs="Times New Roman"/>
        </w:rPr>
        <w:t>（21）《产业结构调整指导目录》（2019年本）（2021年修改）；</w:t>
      </w:r>
    </w:p>
    <w:p>
      <w:pPr>
        <w:spacing w:line="360" w:lineRule="auto"/>
        <w:ind w:firstLine="480" w:firstLineChars="200"/>
        <w:rPr>
          <w:rFonts w:ascii="Times New Roman" w:hAnsi="Times New Roman" w:cs="Times New Roman"/>
        </w:rPr>
      </w:pPr>
      <w:r>
        <w:rPr>
          <w:rFonts w:ascii="Times New Roman" w:hAnsi="Times New Roman" w:cs="Times New Roman"/>
        </w:rPr>
        <w:t>（22）《关于加强工业园环境影响评价有关问题的通知》（环发[2002]174号）；</w:t>
      </w:r>
    </w:p>
    <w:p>
      <w:pPr>
        <w:spacing w:line="360" w:lineRule="auto"/>
        <w:ind w:firstLine="480" w:firstLineChars="200"/>
        <w:rPr>
          <w:rFonts w:ascii="Times New Roman" w:hAnsi="Times New Roman" w:cs="Times New Roman"/>
        </w:rPr>
      </w:pPr>
      <w:r>
        <w:rPr>
          <w:rFonts w:ascii="Times New Roman" w:hAnsi="Times New Roman" w:cs="Times New Roman"/>
        </w:rPr>
        <w:t>（23）《国家环保总局关于推进循环经济发展的指导意见》环发[2005]114号；</w:t>
      </w:r>
    </w:p>
    <w:p>
      <w:pPr>
        <w:spacing w:line="360" w:lineRule="auto"/>
        <w:ind w:firstLine="480" w:firstLineChars="200"/>
        <w:rPr>
          <w:rFonts w:ascii="Times New Roman" w:hAnsi="Times New Roman" w:cs="Times New Roman"/>
        </w:rPr>
      </w:pPr>
      <w:r>
        <w:rPr>
          <w:rFonts w:ascii="Times New Roman" w:hAnsi="Times New Roman" w:cs="Times New Roman"/>
        </w:rPr>
        <w:t>（24）《国务院关于加快发展循环经济的若干意见》国发〔2005〕22号；</w:t>
      </w:r>
    </w:p>
    <w:p>
      <w:pPr>
        <w:spacing w:line="360" w:lineRule="auto"/>
        <w:ind w:firstLine="480" w:firstLineChars="200"/>
        <w:rPr>
          <w:rFonts w:ascii="Times New Roman" w:hAnsi="Times New Roman" w:cs="Times New Roman"/>
        </w:rPr>
      </w:pPr>
      <w:r>
        <w:rPr>
          <w:rFonts w:ascii="Times New Roman" w:hAnsi="Times New Roman" w:cs="Times New Roman"/>
        </w:rPr>
        <w:t>（25）《国务院关于落实科学发展观、加强环境保护的决定》2005.12.3；</w:t>
      </w:r>
    </w:p>
    <w:p>
      <w:pPr>
        <w:spacing w:line="360" w:lineRule="auto"/>
        <w:ind w:firstLine="480" w:firstLineChars="200"/>
        <w:rPr>
          <w:rFonts w:ascii="Times New Roman" w:hAnsi="Times New Roman" w:cs="Times New Roman"/>
        </w:rPr>
      </w:pPr>
      <w:r>
        <w:rPr>
          <w:rFonts w:ascii="Times New Roman" w:hAnsi="Times New Roman" w:cs="Times New Roman"/>
        </w:rPr>
        <w:t>（26）《工业项目建设用地控制指标》（国土资发〔2008〕24号）；</w:t>
      </w:r>
    </w:p>
    <w:p>
      <w:pPr>
        <w:spacing w:line="360" w:lineRule="auto"/>
        <w:ind w:firstLine="480" w:firstLineChars="200"/>
        <w:rPr>
          <w:rFonts w:ascii="Times New Roman" w:hAnsi="Times New Roman" w:cs="Times New Roman"/>
        </w:rPr>
      </w:pPr>
      <w:r>
        <w:rPr>
          <w:rFonts w:ascii="Times New Roman" w:hAnsi="Times New Roman" w:cs="Times New Roman"/>
        </w:rPr>
        <w:t>（27）《国务院关于印发全国主体功能区规划的通知》（国发〔2010〕46号）；</w:t>
      </w:r>
    </w:p>
    <w:p>
      <w:pPr>
        <w:spacing w:line="360" w:lineRule="auto"/>
        <w:ind w:firstLine="480" w:firstLineChars="200"/>
        <w:rPr>
          <w:rFonts w:ascii="Times New Roman" w:hAnsi="Times New Roman" w:cs="Times New Roman"/>
        </w:rPr>
      </w:pPr>
      <w:r>
        <w:rPr>
          <w:rFonts w:ascii="Times New Roman" w:hAnsi="Times New Roman" w:cs="Times New Roman"/>
        </w:rPr>
        <w:t>（28）《关于进一步加强规划环境影响评价工作的通知》（环发〔2011〕9号）；</w:t>
      </w:r>
    </w:p>
    <w:p>
      <w:pPr>
        <w:spacing w:line="360" w:lineRule="auto"/>
        <w:ind w:firstLine="480" w:firstLineChars="200"/>
        <w:rPr>
          <w:rFonts w:ascii="Times New Roman" w:hAnsi="Times New Roman" w:cs="Times New Roman"/>
        </w:rPr>
      </w:pPr>
      <w:r>
        <w:rPr>
          <w:rFonts w:ascii="Times New Roman" w:hAnsi="Times New Roman" w:cs="Times New Roman"/>
        </w:rPr>
        <w:t>（29）《关于进一步加强产业园区规划环境影响评价工作的意见》（环环评〔2020〕65号）；</w:t>
      </w:r>
    </w:p>
    <w:p>
      <w:pPr>
        <w:spacing w:line="360" w:lineRule="auto"/>
        <w:ind w:firstLine="480" w:firstLineChars="200"/>
        <w:rPr>
          <w:rFonts w:ascii="Times New Roman" w:hAnsi="Times New Roman" w:cs="Times New Roman"/>
        </w:rPr>
      </w:pPr>
      <w:r>
        <w:rPr>
          <w:rFonts w:ascii="Times New Roman" w:hAnsi="Times New Roman" w:cs="Times New Roman"/>
        </w:rPr>
        <w:t>（30）《关于进一步加强环境影响评价管理防范环境风险的通知》（环发[2012]77号）；</w:t>
      </w:r>
    </w:p>
    <w:p>
      <w:pPr>
        <w:spacing w:line="360" w:lineRule="auto"/>
        <w:ind w:firstLine="480" w:firstLineChars="200"/>
        <w:rPr>
          <w:rFonts w:ascii="Times New Roman" w:hAnsi="Times New Roman" w:cs="Times New Roman"/>
        </w:rPr>
      </w:pPr>
      <w:r>
        <w:rPr>
          <w:rFonts w:ascii="Times New Roman" w:hAnsi="Times New Roman" w:cs="Times New Roman"/>
        </w:rPr>
        <w:t>（31）《关于切实加强风险防范严格环境影响评价管理的通知》（环发[2012]98号文件）；</w:t>
      </w:r>
    </w:p>
    <w:p>
      <w:pPr>
        <w:spacing w:line="360" w:lineRule="auto"/>
        <w:ind w:firstLine="480" w:firstLineChars="200"/>
        <w:rPr>
          <w:rFonts w:ascii="Times New Roman" w:hAnsi="Times New Roman" w:cs="Times New Roman"/>
        </w:rPr>
      </w:pPr>
      <w:r>
        <w:rPr>
          <w:rFonts w:ascii="Times New Roman" w:hAnsi="Times New Roman" w:cs="Times New Roman"/>
        </w:rPr>
        <w:t>（32）《贯彻落实主体功能区战略推进主体功能区建设若干政策的意见》（发改规划〔2013〕1154号）；</w:t>
      </w:r>
    </w:p>
    <w:p>
      <w:pPr>
        <w:spacing w:line="360" w:lineRule="auto"/>
        <w:ind w:firstLine="480" w:firstLineChars="200"/>
        <w:rPr>
          <w:rFonts w:ascii="Times New Roman" w:hAnsi="Times New Roman" w:cs="Times New Roman"/>
        </w:rPr>
      </w:pPr>
      <w:r>
        <w:rPr>
          <w:rFonts w:ascii="Times New Roman" w:hAnsi="Times New Roman" w:cs="Times New Roman"/>
        </w:rPr>
        <w:t>（33）《关于加强国家重点生态功能区环境保护和管理的意见》（环发〔2013〕16号）；</w:t>
      </w:r>
    </w:p>
    <w:p>
      <w:pPr>
        <w:spacing w:line="360" w:lineRule="auto"/>
        <w:ind w:firstLine="480" w:firstLineChars="200"/>
        <w:rPr>
          <w:rFonts w:ascii="Times New Roman" w:hAnsi="Times New Roman" w:cs="Times New Roman"/>
        </w:rPr>
      </w:pPr>
      <w:r>
        <w:rPr>
          <w:rFonts w:ascii="Times New Roman" w:hAnsi="Times New Roman" w:cs="Times New Roman"/>
        </w:rPr>
        <w:t>（34）《国务院关于印发大气污染防治行动计划的通知》（国发〔2013〕37号）；</w:t>
      </w:r>
    </w:p>
    <w:p>
      <w:pPr>
        <w:spacing w:line="360" w:lineRule="auto"/>
        <w:ind w:firstLine="480" w:firstLineChars="200"/>
        <w:rPr>
          <w:rFonts w:ascii="Times New Roman" w:hAnsi="Times New Roman" w:cs="Times New Roman"/>
        </w:rPr>
      </w:pPr>
      <w:r>
        <w:rPr>
          <w:rFonts w:ascii="Times New Roman" w:hAnsi="Times New Roman" w:cs="Times New Roman"/>
        </w:rPr>
        <w:t>（35）《国务院关于印发水污染防治行动计划的通知》（国发〔2015〕17号）；</w:t>
      </w:r>
    </w:p>
    <w:p>
      <w:pPr>
        <w:spacing w:line="360" w:lineRule="auto"/>
        <w:ind w:firstLine="480" w:firstLineChars="200"/>
        <w:rPr>
          <w:rFonts w:ascii="Times New Roman" w:hAnsi="Times New Roman" w:cs="Times New Roman"/>
        </w:rPr>
      </w:pPr>
      <w:r>
        <w:rPr>
          <w:rFonts w:ascii="Times New Roman" w:hAnsi="Times New Roman" w:cs="Times New Roman"/>
        </w:rPr>
        <w:t>（36）《关于加强规划环境影响评价与建设项目环境影响评价联动工作的意见》（环发〔2015〕178号）；</w:t>
      </w:r>
    </w:p>
    <w:p>
      <w:pPr>
        <w:spacing w:line="360" w:lineRule="auto"/>
        <w:ind w:firstLine="480" w:firstLineChars="200"/>
        <w:rPr>
          <w:rFonts w:ascii="Times New Roman" w:hAnsi="Times New Roman" w:cs="Times New Roman"/>
        </w:rPr>
      </w:pPr>
      <w:r>
        <w:rPr>
          <w:rFonts w:ascii="Times New Roman" w:hAnsi="Times New Roman" w:cs="Times New Roman"/>
        </w:rPr>
        <w:t>（37）《关于贯彻实施国家主体功能区环境政策的若干意见》（环发〔2015〕92号）；</w:t>
      </w:r>
    </w:p>
    <w:p>
      <w:pPr>
        <w:spacing w:line="360" w:lineRule="auto"/>
        <w:ind w:firstLine="480" w:firstLineChars="200"/>
        <w:rPr>
          <w:rFonts w:ascii="Times New Roman" w:hAnsi="Times New Roman" w:cs="Times New Roman"/>
        </w:rPr>
      </w:pPr>
      <w:r>
        <w:rPr>
          <w:rFonts w:ascii="Times New Roman" w:hAnsi="Times New Roman" w:cs="Times New Roman"/>
        </w:rPr>
        <w:t>（38）《国务院关于印发土壤污染防治行动计划的通知》（国发〔2016〕31号）；</w:t>
      </w:r>
    </w:p>
    <w:p>
      <w:pPr>
        <w:spacing w:line="360" w:lineRule="auto"/>
        <w:ind w:firstLine="480" w:firstLineChars="200"/>
        <w:rPr>
          <w:rFonts w:ascii="Times New Roman" w:hAnsi="Times New Roman" w:cs="Times New Roman"/>
        </w:rPr>
      </w:pPr>
      <w:r>
        <w:rPr>
          <w:rFonts w:ascii="Times New Roman" w:hAnsi="Times New Roman" w:cs="Times New Roman"/>
        </w:rPr>
        <w:t>（39）关于落实《水污染防治行动计划》实施区域差别化环境准入的指导意见（环环评〔2016〕190号）；</w:t>
      </w:r>
    </w:p>
    <w:p>
      <w:pPr>
        <w:spacing w:line="360" w:lineRule="auto"/>
        <w:ind w:firstLine="480" w:firstLineChars="200"/>
        <w:rPr>
          <w:rFonts w:ascii="Times New Roman" w:hAnsi="Times New Roman" w:cs="Times New Roman"/>
        </w:rPr>
      </w:pPr>
      <w:r>
        <w:rPr>
          <w:rFonts w:ascii="Times New Roman" w:hAnsi="Times New Roman" w:cs="Times New Roman"/>
        </w:rPr>
        <w:t>（40）《关于规划环境影响评价加强空间管制、总量管控和环境准入的指导意见（试行）》（环办环评〔2016〕14号）；</w:t>
      </w:r>
    </w:p>
    <w:p>
      <w:pPr>
        <w:spacing w:line="360" w:lineRule="auto"/>
        <w:ind w:firstLine="480" w:firstLineChars="200"/>
        <w:rPr>
          <w:rFonts w:ascii="Times New Roman" w:hAnsi="Times New Roman" w:cs="Times New Roman"/>
        </w:rPr>
      </w:pPr>
      <w:r>
        <w:rPr>
          <w:rFonts w:ascii="Times New Roman" w:hAnsi="Times New Roman" w:cs="Times New Roman"/>
        </w:rPr>
        <w:t>（41）《关于以改善环境质量为核心加强环境影响评价管理的通知》（环环评〔2016〕150号）；</w:t>
      </w:r>
    </w:p>
    <w:p>
      <w:pPr>
        <w:spacing w:line="360" w:lineRule="auto"/>
        <w:ind w:firstLine="480" w:firstLineChars="200"/>
        <w:rPr>
          <w:rFonts w:ascii="Times New Roman" w:hAnsi="Times New Roman" w:cs="Times New Roman"/>
        </w:rPr>
      </w:pPr>
      <w:r>
        <w:rPr>
          <w:rFonts w:ascii="Times New Roman" w:hAnsi="Times New Roman" w:cs="Times New Roman"/>
        </w:rPr>
        <w:t>（42）《关于促进开发区改革和创新发展的若干意见》（国办发〔2017〕7号）；</w:t>
      </w:r>
    </w:p>
    <w:p>
      <w:pPr>
        <w:spacing w:line="360" w:lineRule="auto"/>
        <w:ind w:firstLine="480" w:firstLineChars="200"/>
        <w:rPr>
          <w:rFonts w:ascii="Times New Roman" w:hAnsi="Times New Roman" w:cs="Times New Roman"/>
        </w:rPr>
      </w:pPr>
      <w:r>
        <w:rPr>
          <w:rFonts w:ascii="Times New Roman" w:hAnsi="Times New Roman" w:cs="Times New Roman"/>
        </w:rPr>
        <w:t>（43）《打赢蓝天保卫战三年行动计划》（国发〔2018〕22号）；</w:t>
      </w:r>
    </w:p>
    <w:p>
      <w:pPr>
        <w:spacing w:line="360" w:lineRule="auto"/>
        <w:ind w:firstLine="480" w:firstLineChars="200"/>
        <w:rPr>
          <w:rFonts w:ascii="Times New Roman" w:hAnsi="Times New Roman" w:cs="Times New Roman"/>
        </w:rPr>
      </w:pPr>
      <w:r>
        <w:rPr>
          <w:rFonts w:ascii="Times New Roman" w:hAnsi="Times New Roman" w:cs="Times New Roman"/>
        </w:rPr>
        <w:t>（44）《</w:t>
      </w:r>
      <w:r>
        <w:rPr>
          <w:rFonts w:ascii="Times New Roman" w:hAnsi="Times New Roman" w:cs="Times New Roman"/>
          <w:bCs/>
        </w:rPr>
        <w:t>关于印发&lt;2020年挥发性有机物治理攻坚方案&gt;的通知</w:t>
      </w:r>
      <w:r>
        <w:rPr>
          <w:rFonts w:ascii="Times New Roman" w:hAnsi="Times New Roman" w:cs="Times New Roman"/>
        </w:rPr>
        <w:t>》</w:t>
      </w:r>
      <w:r>
        <w:rPr>
          <w:rFonts w:ascii="Times New Roman" w:hAnsi="Times New Roman" w:cs="Times New Roman"/>
          <w:bCs/>
        </w:rPr>
        <w:t>（环大气〔2020〕33号）；</w:t>
      </w:r>
    </w:p>
    <w:p>
      <w:pPr>
        <w:spacing w:line="360" w:lineRule="auto"/>
        <w:ind w:firstLine="480" w:firstLineChars="200"/>
        <w:rPr>
          <w:rFonts w:ascii="Times New Roman" w:hAnsi="Times New Roman" w:cs="Times New Roman"/>
          <w:bCs/>
        </w:rPr>
      </w:pPr>
      <w:r>
        <w:rPr>
          <w:rFonts w:ascii="Times New Roman" w:hAnsi="Times New Roman" w:cs="Times New Roman"/>
        </w:rPr>
        <w:t>（45）</w:t>
      </w:r>
      <w:r>
        <w:rPr>
          <w:rFonts w:ascii="Times New Roman" w:hAnsi="Times New Roman" w:cs="Times New Roman"/>
          <w:bCs/>
        </w:rPr>
        <w:t>《关于印发“十四五”土壤、地下水和农村生态环境保护规划的通知》（</w:t>
      </w:r>
      <w:r>
        <w:rPr>
          <w:rFonts w:ascii="Times New Roman" w:hAnsi="Times New Roman" w:cs="Times New Roman"/>
        </w:rPr>
        <w:t>环土壤〔2021〕120号</w:t>
      </w:r>
      <w:r>
        <w:rPr>
          <w:rFonts w:ascii="Times New Roman" w:hAnsi="Times New Roman" w:cs="Times New Roman"/>
          <w:bCs/>
        </w:rPr>
        <w:t>）；</w:t>
      </w:r>
    </w:p>
    <w:p>
      <w:pPr>
        <w:spacing w:line="360" w:lineRule="auto"/>
        <w:ind w:firstLine="480" w:firstLineChars="200"/>
        <w:rPr>
          <w:rFonts w:ascii="Times New Roman" w:hAnsi="Times New Roman" w:cs="Times New Roman"/>
        </w:rPr>
      </w:pPr>
      <w:r>
        <w:rPr>
          <w:rFonts w:ascii="Times New Roman" w:hAnsi="Times New Roman" w:cs="Times New Roman"/>
          <w:bCs/>
        </w:rPr>
        <w:t>（46）《生态环境部关于进一步加强重金属污染防控的意见》（环固体〔2022〕17号）；</w:t>
      </w:r>
    </w:p>
    <w:p>
      <w:pPr>
        <w:spacing w:line="360" w:lineRule="auto"/>
        <w:ind w:firstLine="480" w:firstLineChars="200"/>
        <w:rPr>
          <w:rFonts w:ascii="Times New Roman" w:hAnsi="Times New Roman" w:cs="Times New Roman"/>
        </w:rPr>
      </w:pPr>
      <w:r>
        <w:rPr>
          <w:rFonts w:ascii="Times New Roman" w:hAnsi="Times New Roman" w:cs="Times New Roman"/>
        </w:rPr>
        <w:t>（47）《国家节水行动方案》（发改环资规〔2019〕695号）；</w:t>
      </w:r>
    </w:p>
    <w:p>
      <w:pPr>
        <w:spacing w:line="360" w:lineRule="auto"/>
        <w:ind w:firstLine="480" w:firstLineChars="200"/>
        <w:rPr>
          <w:rFonts w:ascii="Times New Roman" w:hAnsi="Times New Roman" w:cs="Times New Roman"/>
        </w:rPr>
      </w:pPr>
      <w:r>
        <w:rPr>
          <w:rFonts w:ascii="Times New Roman" w:hAnsi="Times New Roman" w:cs="Times New Roman"/>
        </w:rPr>
        <w:t>（48）《重点行业挥发性有机物综合治理方案》（环大气〔2019〕53号）；</w:t>
      </w:r>
    </w:p>
    <w:p>
      <w:pPr>
        <w:spacing w:line="360" w:lineRule="auto"/>
        <w:ind w:firstLine="480" w:firstLineChars="200"/>
        <w:rPr>
          <w:rFonts w:ascii="Times New Roman" w:hAnsi="Times New Roman" w:cs="Times New Roman"/>
        </w:rPr>
      </w:pPr>
      <w:r>
        <w:rPr>
          <w:rFonts w:ascii="Times New Roman" w:hAnsi="Times New Roman" w:cs="Times New Roman"/>
        </w:rPr>
        <w:t>（49）《生态环境部办公厅关于加强重点行业建设项目区域削减措施监督管理的通知》（环办环评〔2020〕36号）；</w:t>
      </w:r>
    </w:p>
    <w:p>
      <w:pPr>
        <w:spacing w:line="360" w:lineRule="auto"/>
        <w:ind w:firstLine="480" w:firstLineChars="200"/>
        <w:rPr>
          <w:rFonts w:ascii="Times New Roman" w:hAnsi="Times New Roman" w:cs="Times New Roman"/>
        </w:rPr>
      </w:pPr>
      <w:r>
        <w:rPr>
          <w:rFonts w:ascii="Times New Roman" w:hAnsi="Times New Roman" w:cs="Times New Roman"/>
        </w:rPr>
        <w:t>（50）《关于加强高耗能、高排放建设项目生态环境源头防控的指导意见》（环环评〔2021〕45号）；</w:t>
      </w:r>
    </w:p>
    <w:p>
      <w:pPr>
        <w:spacing w:line="360" w:lineRule="auto"/>
        <w:ind w:firstLine="480" w:firstLineChars="200"/>
        <w:rPr>
          <w:rFonts w:ascii="Times New Roman" w:hAnsi="Times New Roman" w:cs="Times New Roman"/>
        </w:rPr>
      </w:pPr>
      <w:r>
        <w:rPr>
          <w:rFonts w:ascii="Times New Roman" w:hAnsi="Times New Roman" w:cs="Times New Roman"/>
        </w:rPr>
        <w:t>（51）《中共中央国务院关于完整准确全面贯彻新发展理念做好碳达峰碳中和工作的意见》（中发（2021）36号）；</w:t>
      </w:r>
    </w:p>
    <w:p>
      <w:pPr>
        <w:spacing w:line="360" w:lineRule="auto"/>
        <w:ind w:firstLine="480" w:firstLineChars="200"/>
        <w:rPr>
          <w:rFonts w:ascii="Times New Roman" w:hAnsi="Times New Roman" w:cs="Times New Roman"/>
        </w:rPr>
      </w:pPr>
      <w:r>
        <w:rPr>
          <w:rFonts w:ascii="Times New Roman" w:hAnsi="Times New Roman" w:cs="Times New Roman"/>
        </w:rPr>
        <w:t>（52）《关于进一步规范城镇（园区）污水处理环境管理的通知》（环水体[2020]71号）；</w:t>
      </w:r>
    </w:p>
    <w:p>
      <w:pPr>
        <w:spacing w:line="360" w:lineRule="auto"/>
        <w:ind w:firstLine="480" w:firstLineChars="200"/>
        <w:rPr>
          <w:rFonts w:ascii="Times New Roman" w:hAnsi="Times New Roman" w:cs="Times New Roman"/>
        </w:rPr>
      </w:pPr>
      <w:r>
        <w:rPr>
          <w:rFonts w:ascii="Times New Roman" w:hAnsi="Times New Roman" w:cs="Times New Roman"/>
        </w:rPr>
        <w:t>（53）《地下水管理条例》2021年12月1日起施行；</w:t>
      </w:r>
    </w:p>
    <w:p>
      <w:pPr>
        <w:spacing w:line="360" w:lineRule="auto"/>
        <w:ind w:firstLine="480" w:firstLineChars="200"/>
        <w:rPr>
          <w:rFonts w:ascii="Times New Roman" w:hAnsi="Times New Roman" w:cs="Times New Roman"/>
        </w:rPr>
      </w:pPr>
      <w:r>
        <w:rPr>
          <w:rFonts w:ascii="Times New Roman" w:hAnsi="Times New Roman" w:cs="Times New Roman"/>
        </w:rPr>
        <w:t>（54）《环境保护综合名录》（2021版）；</w:t>
      </w:r>
    </w:p>
    <w:p>
      <w:pPr>
        <w:spacing w:line="360" w:lineRule="auto"/>
        <w:ind w:firstLine="480" w:firstLineChars="200"/>
        <w:rPr>
          <w:rFonts w:ascii="Times New Roman" w:hAnsi="Times New Roman" w:cs="Times New Roman"/>
        </w:rPr>
      </w:pPr>
      <w:r>
        <w:rPr>
          <w:rFonts w:ascii="Times New Roman" w:hAnsi="Times New Roman" w:cs="Times New Roman"/>
        </w:rPr>
        <w:t>（55）《国务院关于加快建立健全绿色低碳循环发展经济体系的指导意见》（国发〔2021〕4号）；</w:t>
      </w:r>
    </w:p>
    <w:p>
      <w:pPr>
        <w:spacing w:line="360" w:lineRule="auto"/>
        <w:ind w:firstLine="480" w:firstLineChars="200"/>
        <w:rPr>
          <w:rFonts w:ascii="Times New Roman" w:hAnsi="Times New Roman" w:cs="Times New Roman"/>
        </w:rPr>
      </w:pPr>
      <w:r>
        <w:rPr>
          <w:rFonts w:ascii="Times New Roman" w:hAnsi="Times New Roman" w:cs="Times New Roman"/>
        </w:rPr>
        <w:t>（56）《国务院关于印发2030年前碳达峰行动方案的通知》（国发〔2021〕23号）；</w:t>
      </w:r>
    </w:p>
    <w:p>
      <w:pPr>
        <w:spacing w:line="360" w:lineRule="auto"/>
        <w:ind w:firstLine="480" w:firstLineChars="200"/>
        <w:rPr>
          <w:rFonts w:ascii="Times New Roman" w:hAnsi="Times New Roman" w:cs="Times New Roman"/>
        </w:rPr>
      </w:pPr>
      <w:r>
        <w:rPr>
          <w:rFonts w:ascii="Times New Roman" w:hAnsi="Times New Roman" w:cs="Times New Roman"/>
        </w:rPr>
        <w:t>（57）《中共中央国务院关于完整准确全面贯彻新发展理念做好碳达峰碳中和工作的意见》（中发（2021）36号））；</w:t>
      </w:r>
    </w:p>
    <w:p>
      <w:pPr>
        <w:spacing w:line="360" w:lineRule="auto"/>
        <w:ind w:firstLine="480" w:firstLineChars="200"/>
        <w:rPr>
          <w:rFonts w:ascii="Times New Roman" w:hAnsi="Times New Roman" w:cs="Times New Roman"/>
        </w:rPr>
      </w:pPr>
      <w:r>
        <w:rPr>
          <w:rFonts w:ascii="Times New Roman" w:hAnsi="Times New Roman" w:cs="Times New Roman"/>
        </w:rPr>
        <w:t>（58）《深入打好长江保护修复攻坚战行动方案》的通知（环水体〔2022〕55号）；</w:t>
      </w:r>
    </w:p>
    <w:p>
      <w:pPr>
        <w:spacing w:line="360" w:lineRule="auto"/>
        <w:ind w:firstLine="480" w:firstLineChars="200"/>
        <w:rPr>
          <w:rFonts w:ascii="Times New Roman" w:hAnsi="Times New Roman" w:cs="Times New Roman"/>
        </w:rPr>
      </w:pPr>
      <w:r>
        <w:rPr>
          <w:rFonts w:ascii="Times New Roman" w:hAnsi="Times New Roman" w:cs="Times New Roman"/>
        </w:rPr>
        <w:t>（59）关于印发《深入打好城市黑臭水体治理攻坚战实施方案》（建城〔2022〕29号）。</w:t>
      </w:r>
    </w:p>
    <w:p>
      <w:pPr>
        <w:pStyle w:val="4"/>
        <w:rPr>
          <w:rFonts w:ascii="Times New Roman" w:hAnsi="Times New Roman" w:cs="Times New Roman"/>
        </w:rPr>
      </w:pPr>
      <w:bookmarkStart w:id="16" w:name="_Toc146091857"/>
      <w:bookmarkStart w:id="17" w:name="_Toc134088412"/>
      <w:r>
        <w:rPr>
          <w:rFonts w:ascii="Times New Roman" w:hAnsi="Times New Roman" w:cs="Times New Roman"/>
        </w:rPr>
        <w:t>1.2.2 地方法规政策、规划</w:t>
      </w:r>
      <w:bookmarkEnd w:id="16"/>
      <w:bookmarkEnd w:id="17"/>
    </w:p>
    <w:p>
      <w:pPr>
        <w:spacing w:line="360" w:lineRule="auto"/>
        <w:ind w:firstLine="480" w:firstLineChars="200"/>
        <w:rPr>
          <w:rFonts w:ascii="Times New Roman" w:hAnsi="Times New Roman" w:cs="Times New Roman"/>
        </w:rPr>
      </w:pPr>
      <w:r>
        <w:rPr>
          <w:rFonts w:ascii="Times New Roman" w:hAnsi="Times New Roman" w:cs="Times New Roman"/>
        </w:rPr>
        <w:t>（1）《湖南省环境保护条例》2019年9月28日修订；</w:t>
      </w:r>
    </w:p>
    <w:p>
      <w:pPr>
        <w:spacing w:line="360" w:lineRule="auto"/>
        <w:ind w:firstLine="480" w:firstLineChars="200"/>
        <w:rPr>
          <w:rFonts w:ascii="Times New Roman" w:hAnsi="Times New Roman" w:cs="Times New Roman"/>
        </w:rPr>
      </w:pPr>
      <w:r>
        <w:rPr>
          <w:rFonts w:ascii="Times New Roman" w:hAnsi="Times New Roman" w:cs="Times New Roman"/>
        </w:rPr>
        <w:t>（2）《湖南省主要水系地表水环境功能区划》（DB43/023-2005）；</w:t>
      </w:r>
    </w:p>
    <w:p>
      <w:pPr>
        <w:spacing w:line="360" w:lineRule="auto"/>
        <w:ind w:firstLine="480" w:firstLineChars="200"/>
        <w:rPr>
          <w:rFonts w:ascii="Times New Roman" w:hAnsi="Times New Roman" w:cs="Times New Roman"/>
        </w:rPr>
      </w:pPr>
      <w:r>
        <w:rPr>
          <w:rFonts w:ascii="Times New Roman" w:hAnsi="Times New Roman" w:cs="Times New Roman"/>
        </w:rPr>
        <w:t>（3）《关于进一步促进产业开发区发展的意见》湘发[2009]4号；</w:t>
      </w:r>
    </w:p>
    <w:p>
      <w:pPr>
        <w:spacing w:line="360" w:lineRule="auto"/>
        <w:ind w:firstLine="480" w:firstLineChars="200"/>
        <w:rPr>
          <w:rFonts w:ascii="Times New Roman" w:hAnsi="Times New Roman" w:cs="Times New Roman"/>
        </w:rPr>
      </w:pPr>
      <w:r>
        <w:rPr>
          <w:rFonts w:ascii="Times New Roman" w:hAnsi="Times New Roman" w:cs="Times New Roman"/>
        </w:rPr>
        <w:t>（4）《湖南省人民政府关于加快产业园体系建设的意见》（湘政发[2011]25号）；</w:t>
      </w:r>
    </w:p>
    <w:p>
      <w:pPr>
        <w:spacing w:line="360" w:lineRule="auto"/>
        <w:ind w:firstLine="480" w:firstLineChars="200"/>
        <w:rPr>
          <w:rFonts w:ascii="Times New Roman" w:hAnsi="Times New Roman" w:cs="Times New Roman"/>
        </w:rPr>
      </w:pPr>
      <w:r>
        <w:rPr>
          <w:rFonts w:ascii="Times New Roman" w:hAnsi="Times New Roman" w:cs="Times New Roman"/>
        </w:rPr>
        <w:t>（5）《湖南省主体功能区规划》（湘政发〔2012〕39号）；</w:t>
      </w:r>
    </w:p>
    <w:p>
      <w:pPr>
        <w:spacing w:line="360" w:lineRule="auto"/>
        <w:ind w:firstLine="480" w:firstLineChars="200"/>
        <w:rPr>
          <w:rFonts w:ascii="Times New Roman" w:hAnsi="Times New Roman" w:cs="Times New Roman"/>
        </w:rPr>
      </w:pPr>
      <w:r>
        <w:rPr>
          <w:rFonts w:ascii="Times New Roman" w:hAnsi="Times New Roman" w:cs="Times New Roman"/>
        </w:rPr>
        <w:t>（6）《关于转发环境保护部&lt;关于进一步加强环境影响评价管理防范环境风险的通知&gt;和&lt;关于切实加强风险防范严格环境影响评价管理的通知&gt;的通知》（湘环办函〔2012〕57号）；</w:t>
      </w:r>
    </w:p>
    <w:p>
      <w:pPr>
        <w:spacing w:line="360" w:lineRule="auto"/>
        <w:ind w:firstLine="480" w:firstLineChars="200"/>
        <w:rPr>
          <w:rFonts w:ascii="Times New Roman" w:hAnsi="Times New Roman" w:cs="Times New Roman"/>
        </w:rPr>
      </w:pPr>
      <w:r>
        <w:rPr>
          <w:rFonts w:ascii="Times New Roman" w:hAnsi="Times New Roman" w:cs="Times New Roman"/>
        </w:rPr>
        <w:t>（7）《关于印发&lt;湖南省省级及以上产业园区名录&gt;的通知》（湘政函办[2014]66号）；</w:t>
      </w:r>
    </w:p>
    <w:p>
      <w:pPr>
        <w:spacing w:line="360" w:lineRule="auto"/>
        <w:ind w:firstLine="480" w:firstLineChars="200"/>
        <w:rPr>
          <w:rFonts w:ascii="Times New Roman" w:hAnsi="Times New Roman" w:cs="Times New Roman"/>
        </w:rPr>
      </w:pPr>
      <w:r>
        <w:rPr>
          <w:rFonts w:ascii="Times New Roman" w:hAnsi="Times New Roman" w:cs="Times New Roman"/>
        </w:rPr>
        <w:t>（8）《关于加快全省经济技术开发区转型升级创新发展的实施意见》（湘政办发〔2015〕70号）；</w:t>
      </w:r>
    </w:p>
    <w:p>
      <w:pPr>
        <w:spacing w:line="360" w:lineRule="auto"/>
        <w:ind w:firstLine="480" w:firstLineChars="200"/>
        <w:rPr>
          <w:rFonts w:ascii="Times New Roman" w:hAnsi="Times New Roman" w:cs="Times New Roman"/>
        </w:rPr>
      </w:pPr>
      <w:r>
        <w:rPr>
          <w:rFonts w:ascii="Times New Roman" w:hAnsi="Times New Roman" w:cs="Times New Roman"/>
        </w:rPr>
        <w:t>（9）《关于加强我省产业园区环境污染集中整治的意见》（湘园区〔2016〕2号）；</w:t>
      </w:r>
    </w:p>
    <w:p>
      <w:pPr>
        <w:spacing w:line="360" w:lineRule="auto"/>
        <w:ind w:firstLine="480" w:firstLineChars="200"/>
        <w:rPr>
          <w:rFonts w:ascii="Times New Roman" w:hAnsi="Times New Roman" w:cs="Times New Roman"/>
        </w:rPr>
      </w:pPr>
      <w:r>
        <w:rPr>
          <w:rFonts w:ascii="Times New Roman" w:hAnsi="Times New Roman" w:cs="Times New Roman"/>
        </w:rPr>
        <w:t>（10）《湖南省人民政府关于公布湖南省县级以上地表水集中式饮用水水源保护区划定方案的通知》（湘政函〔2016〕176号）；</w:t>
      </w:r>
    </w:p>
    <w:p>
      <w:pPr>
        <w:spacing w:line="360" w:lineRule="auto"/>
        <w:ind w:firstLine="480" w:firstLineChars="200"/>
        <w:rPr>
          <w:rFonts w:ascii="Times New Roman" w:hAnsi="Times New Roman" w:cs="Times New Roman"/>
        </w:rPr>
      </w:pPr>
      <w:r>
        <w:rPr>
          <w:rFonts w:ascii="Times New Roman" w:hAnsi="Times New Roman" w:cs="Times New Roman"/>
        </w:rPr>
        <w:t>（11）《湖南省加快推进产业园区转型升级的实施方案》（湘政办发〔2016〕52号文件）；</w:t>
      </w:r>
    </w:p>
    <w:p>
      <w:pPr>
        <w:spacing w:line="360" w:lineRule="auto"/>
        <w:ind w:firstLine="480" w:firstLineChars="200"/>
        <w:rPr>
          <w:rFonts w:ascii="Times New Roman" w:hAnsi="Times New Roman" w:cs="Times New Roman"/>
        </w:rPr>
      </w:pPr>
      <w:r>
        <w:rPr>
          <w:rFonts w:ascii="Times New Roman" w:hAnsi="Times New Roman" w:cs="Times New Roman"/>
        </w:rPr>
        <w:t>（12）《关于印发&lt;2016年全省产业园区主导产业指导目录（修订）&gt;的通知》（湘园区〔2016〕4号）；</w:t>
      </w:r>
    </w:p>
    <w:p>
      <w:pPr>
        <w:spacing w:line="360" w:lineRule="auto"/>
        <w:ind w:firstLine="480" w:firstLineChars="200"/>
        <w:rPr>
          <w:rFonts w:ascii="Times New Roman" w:hAnsi="Times New Roman" w:cs="Times New Roman"/>
        </w:rPr>
      </w:pPr>
      <w:r>
        <w:rPr>
          <w:rFonts w:ascii="Times New Roman" w:hAnsi="Times New Roman" w:cs="Times New Roman"/>
        </w:rPr>
        <w:t>（13）《湖南省大气污染防治条例》2017年3月31日；</w:t>
      </w:r>
    </w:p>
    <w:p>
      <w:pPr>
        <w:spacing w:line="360" w:lineRule="auto"/>
        <w:ind w:firstLine="480" w:firstLineChars="200"/>
        <w:rPr>
          <w:rFonts w:ascii="Times New Roman" w:hAnsi="Times New Roman" w:cs="Times New Roman"/>
        </w:rPr>
      </w:pPr>
      <w:r>
        <w:rPr>
          <w:rFonts w:ascii="Times New Roman" w:hAnsi="Times New Roman" w:cs="Times New Roman"/>
        </w:rPr>
        <w:t>（14）《湖南省关于加快推进产业园区改革和创新发展的实施意见》（湘政办发〔2018〕15号）；</w:t>
      </w:r>
    </w:p>
    <w:p>
      <w:pPr>
        <w:spacing w:line="360" w:lineRule="auto"/>
        <w:ind w:firstLine="480" w:firstLineChars="200"/>
        <w:rPr>
          <w:rFonts w:ascii="Times New Roman" w:hAnsi="Times New Roman" w:cs="Times New Roman"/>
        </w:rPr>
      </w:pPr>
      <w:r>
        <w:rPr>
          <w:rFonts w:ascii="Times New Roman" w:hAnsi="Times New Roman" w:cs="Times New Roman"/>
        </w:rPr>
        <w:t>（15）《湖南省人民政府关于印发&lt;湖南省生态保护红线&gt;的通知》（湘政发〔2018〕20号）；</w:t>
      </w:r>
    </w:p>
    <w:p>
      <w:pPr>
        <w:spacing w:line="360" w:lineRule="auto"/>
        <w:ind w:firstLine="480" w:firstLineChars="200"/>
        <w:rPr>
          <w:rFonts w:ascii="Times New Roman" w:hAnsi="Times New Roman" w:cs="Times New Roman"/>
        </w:rPr>
      </w:pPr>
      <w:r>
        <w:rPr>
          <w:rFonts w:ascii="Times New Roman" w:hAnsi="Times New Roman" w:cs="Times New Roman"/>
        </w:rPr>
        <w:t>（16）</w:t>
      </w:r>
      <w:r>
        <w:rPr>
          <w:rFonts w:ascii="Times New Roman" w:hAnsi="Times New Roman" w:cs="Times New Roman"/>
          <w:bCs/>
        </w:rPr>
        <w:t>《湖南省人民政府关于印发‹湖南省碳达峰实施方案›的通知》（湘政发〔2022〕19号）</w:t>
      </w:r>
      <w:r>
        <w:rPr>
          <w:rFonts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（17）《湖南省开发区调区扩区和退出管理办法》（湘政办发〔2018〕19号）；</w:t>
      </w:r>
    </w:p>
    <w:p>
      <w:pPr>
        <w:spacing w:line="360" w:lineRule="auto"/>
        <w:ind w:firstLine="480" w:firstLineChars="200"/>
        <w:rPr>
          <w:rFonts w:ascii="Times New Roman" w:hAnsi="Times New Roman" w:cs="Times New Roman"/>
        </w:rPr>
      </w:pPr>
      <w:r>
        <w:rPr>
          <w:rFonts w:ascii="Times New Roman" w:hAnsi="Times New Roman" w:cs="Times New Roman"/>
        </w:rPr>
        <w:t>（18）《关于全面加强生态环境保护坚决打好污染防治攻坚战的实施意见》（湘发〔2018〕20号）；</w:t>
      </w:r>
    </w:p>
    <w:p>
      <w:pPr>
        <w:spacing w:line="360" w:lineRule="auto"/>
        <w:ind w:firstLine="480" w:firstLineChars="200"/>
        <w:rPr>
          <w:rFonts w:ascii="Times New Roman" w:hAnsi="Times New Roman" w:cs="Times New Roman"/>
        </w:rPr>
      </w:pPr>
      <w:r>
        <w:rPr>
          <w:rFonts w:ascii="Times New Roman" w:hAnsi="Times New Roman" w:cs="Times New Roman"/>
        </w:rPr>
        <w:t>（19）《湖南省人民政府关于印发&lt;湖南省土壤污染防治工作方案&gt;的通知》（湘政发〔2017〕4号）；</w:t>
      </w:r>
    </w:p>
    <w:p>
      <w:pPr>
        <w:spacing w:line="360" w:lineRule="auto"/>
        <w:ind w:firstLine="480" w:firstLineChars="200"/>
        <w:rPr>
          <w:rFonts w:ascii="Times New Roman" w:hAnsi="Times New Roman" w:cs="Times New Roman"/>
        </w:rPr>
      </w:pPr>
      <w:r>
        <w:rPr>
          <w:rFonts w:ascii="Times New Roman" w:hAnsi="Times New Roman" w:cs="Times New Roman"/>
        </w:rPr>
        <w:t>（20）《湖南省VOCs污染防治三年行动实施方案（2018-2020年）》（环政法函〔2018〕11号）；</w:t>
      </w:r>
    </w:p>
    <w:p>
      <w:pPr>
        <w:spacing w:line="360" w:lineRule="auto"/>
        <w:ind w:firstLine="480" w:firstLineChars="200"/>
        <w:rPr>
          <w:rFonts w:ascii="Times New Roman" w:hAnsi="Times New Roman" w:cs="Times New Roman"/>
        </w:rPr>
      </w:pPr>
      <w:r>
        <w:rPr>
          <w:rFonts w:ascii="Times New Roman" w:hAnsi="Times New Roman" w:cs="Times New Roman"/>
        </w:rPr>
        <w:t>（21）《湖南省生态环境厅关于执行污染物特别排放限值（第一批）的公告》；</w:t>
      </w:r>
    </w:p>
    <w:p>
      <w:pPr>
        <w:spacing w:line="360" w:lineRule="auto"/>
        <w:ind w:firstLine="480" w:firstLineChars="200"/>
        <w:rPr>
          <w:rFonts w:ascii="Times New Roman" w:hAnsi="Times New Roman" w:cs="Times New Roman"/>
        </w:rPr>
      </w:pPr>
      <w:r>
        <w:rPr>
          <w:rFonts w:ascii="Times New Roman" w:hAnsi="Times New Roman" w:cs="Times New Roman"/>
        </w:rPr>
        <w:t>（22）《湖南省县以上城市污水治理提质增效三年行动工作方案（2019-2021年）的通知》（湘建城〔2019〕133号）；</w:t>
      </w:r>
    </w:p>
    <w:p>
      <w:pPr>
        <w:spacing w:line="360" w:lineRule="auto"/>
        <w:ind w:firstLine="480" w:firstLineChars="200"/>
        <w:rPr>
          <w:rFonts w:ascii="Times New Roman" w:hAnsi="Times New Roman" w:cs="Times New Roman"/>
        </w:rPr>
      </w:pPr>
      <w:r>
        <w:rPr>
          <w:rFonts w:ascii="Times New Roman" w:hAnsi="Times New Roman" w:cs="Times New Roman"/>
        </w:rPr>
        <w:t>（23）《湖南省人民政府关于实施“三线一单”生态环境分区管控的意见》（湘政发〔2020〕12号）；</w:t>
      </w:r>
    </w:p>
    <w:p>
      <w:pPr>
        <w:spacing w:line="360" w:lineRule="auto"/>
        <w:ind w:firstLine="480" w:firstLineChars="200"/>
        <w:rPr>
          <w:rFonts w:ascii="Times New Roman" w:hAnsi="Times New Roman" w:cs="Times New Roman"/>
        </w:rPr>
      </w:pPr>
      <w:r>
        <w:rPr>
          <w:rFonts w:ascii="Times New Roman" w:hAnsi="Times New Roman" w:cs="Times New Roman"/>
        </w:rPr>
        <w:t>（24）《关于进一步规范和加强产业园区生态环境管理的通知》（湘环发〔2020〕27号）；</w:t>
      </w:r>
    </w:p>
    <w:p>
      <w:pPr>
        <w:spacing w:line="360" w:lineRule="auto"/>
        <w:ind w:firstLine="480" w:firstLineChars="200"/>
        <w:rPr>
          <w:rFonts w:ascii="Times New Roman" w:hAnsi="Times New Roman" w:cs="Times New Roman"/>
        </w:rPr>
      </w:pPr>
      <w:r>
        <w:rPr>
          <w:rFonts w:ascii="Times New Roman" w:hAnsi="Times New Roman" w:cs="Times New Roman"/>
        </w:rPr>
        <w:t>（25）《</w:t>
      </w:r>
      <w:r>
        <w:rPr>
          <w:rFonts w:ascii="Times New Roman" w:hAnsi="Times New Roman" w:cs="Times New Roman"/>
          <w:bCs/>
        </w:rPr>
        <w:t>关于印发&lt;湖南省“两高”项目管理目录&gt;的通知</w:t>
      </w:r>
      <w:r>
        <w:rPr>
          <w:rFonts w:ascii="Times New Roman" w:hAnsi="Times New Roman" w:cs="Times New Roman"/>
        </w:rPr>
        <w:t>》（湘发改环资[2021]968号）；</w:t>
      </w:r>
    </w:p>
    <w:p>
      <w:pPr>
        <w:spacing w:line="360" w:lineRule="auto"/>
        <w:ind w:firstLine="480" w:firstLineChars="200"/>
        <w:rPr>
          <w:rFonts w:ascii="Times New Roman" w:hAnsi="Times New Roman" w:cs="Times New Roman"/>
        </w:rPr>
      </w:pPr>
      <w:r>
        <w:rPr>
          <w:rFonts w:ascii="Times New Roman" w:hAnsi="Times New Roman" w:cs="Times New Roman"/>
        </w:rPr>
        <w:t>（26）《湖南省“三线一单”生态环境总体管控要求暨省级以上产业园区生态环境准入清单》；</w:t>
      </w:r>
    </w:p>
    <w:p>
      <w:pPr>
        <w:spacing w:line="360" w:lineRule="auto"/>
        <w:ind w:firstLine="480" w:firstLineChars="200"/>
        <w:rPr>
          <w:rFonts w:ascii="Times New Roman" w:hAnsi="Times New Roman" w:cs="Times New Roman"/>
        </w:rPr>
      </w:pPr>
      <w:r>
        <w:rPr>
          <w:rFonts w:ascii="Times New Roman" w:hAnsi="Times New Roman" w:cs="Times New Roman"/>
        </w:rPr>
        <w:t>（27）《湖南省产业园区环保信用评价管理办法》（湘环函〔2020〕195号）；</w:t>
      </w:r>
    </w:p>
    <w:p>
      <w:pPr>
        <w:spacing w:line="360" w:lineRule="auto"/>
        <w:ind w:firstLine="480" w:firstLineChars="200"/>
        <w:rPr>
          <w:rFonts w:ascii="Times New Roman" w:hAnsi="Times New Roman" w:cs="Times New Roman"/>
        </w:rPr>
      </w:pPr>
      <w:r>
        <w:rPr>
          <w:rFonts w:ascii="Times New Roman" w:hAnsi="Times New Roman" w:cs="Times New Roman"/>
        </w:rPr>
        <w:t>（28）湖南省在产企业土壤和地下水自行监测技术指南（试行）；</w:t>
      </w:r>
    </w:p>
    <w:p>
      <w:pPr>
        <w:spacing w:line="360" w:lineRule="auto"/>
        <w:ind w:firstLine="480" w:firstLineChars="200"/>
        <w:rPr>
          <w:rFonts w:ascii="Times New Roman" w:hAnsi="Times New Roman" w:cs="Times New Roman"/>
        </w:rPr>
      </w:pPr>
      <w:r>
        <w:rPr>
          <w:rFonts w:ascii="Times New Roman" w:hAnsi="Times New Roman" w:cs="Times New Roman"/>
        </w:rPr>
        <w:t>（29）《湖南省生态环境厅办公室关于加强土壤污染重点监管单位隐患排查和自行监测工作的通知》（湘环办〔2021〕126号）；</w:t>
      </w:r>
    </w:p>
    <w:p>
      <w:pPr>
        <w:spacing w:line="360" w:lineRule="auto"/>
        <w:ind w:firstLine="480" w:firstLineChars="200"/>
        <w:rPr>
          <w:rFonts w:ascii="Times New Roman" w:hAnsi="Times New Roman" w:cs="Times New Roman"/>
        </w:rPr>
      </w:pPr>
      <w:r>
        <w:rPr>
          <w:rFonts w:ascii="Times New Roman" w:hAnsi="Times New Roman" w:cs="Times New Roman"/>
        </w:rPr>
        <w:t>（30）《湖南省“十四五”生态环境保护规划》（湘政办发〔2021〕61号）；</w:t>
      </w:r>
    </w:p>
    <w:p>
      <w:pPr>
        <w:spacing w:line="360" w:lineRule="auto"/>
        <w:ind w:firstLine="480" w:firstLineChars="200"/>
        <w:rPr>
          <w:rFonts w:ascii="Times New Roman" w:hAnsi="Times New Roman" w:cs="Times New Roman"/>
        </w:rPr>
      </w:pPr>
      <w:r>
        <w:rPr>
          <w:rFonts w:ascii="Times New Roman" w:hAnsi="Times New Roman" w:cs="Times New Roman"/>
        </w:rPr>
        <w:t>（31）《湖南省人民政府关于推进全省产业园区高质量发展的实施意见》（湘政发[2020]13号）；</w:t>
      </w:r>
    </w:p>
    <w:p>
      <w:pPr>
        <w:spacing w:line="360" w:lineRule="auto"/>
        <w:ind w:firstLine="480" w:firstLineChars="200"/>
        <w:rPr>
          <w:rFonts w:ascii="Times New Roman" w:hAnsi="Times New Roman" w:cs="Times New Roman"/>
        </w:rPr>
      </w:pPr>
      <w:r>
        <w:rPr>
          <w:rFonts w:ascii="Times New Roman" w:hAnsi="Times New Roman" w:cs="Times New Roman"/>
        </w:rPr>
        <w:t>（32）《湖南省人民政府办公厅关于加快推进产业园区改革和创新发展的实施意见》（湘政办发[2018]15号）；</w:t>
      </w:r>
    </w:p>
    <w:p>
      <w:pPr>
        <w:spacing w:line="360" w:lineRule="auto"/>
        <w:ind w:firstLine="480" w:firstLineChars="200"/>
        <w:rPr>
          <w:rFonts w:ascii="Times New Roman" w:hAnsi="Times New Roman" w:cs="Times New Roman"/>
          <w:bCs/>
        </w:rPr>
      </w:pPr>
      <w:r>
        <w:rPr>
          <w:rFonts w:ascii="Times New Roman" w:hAnsi="Times New Roman" w:cs="Times New Roman"/>
        </w:rPr>
        <w:t>（33）《</w:t>
      </w:r>
      <w:r>
        <w:rPr>
          <w:rFonts w:ascii="Times New Roman" w:hAnsi="Times New Roman" w:cs="Times New Roman"/>
          <w:bCs/>
        </w:rPr>
        <w:t>关于印发&lt;规范和加强产业园区工业污水收集处理实施方案（2021-2023年）&gt;的通知</w:t>
      </w:r>
      <w:r>
        <w:rPr>
          <w:rFonts w:ascii="Times New Roman" w:hAnsi="Times New Roman" w:cs="Times New Roman"/>
        </w:rPr>
        <w:t>》</w:t>
      </w:r>
      <w:r>
        <w:rPr>
          <w:rFonts w:ascii="Times New Roman" w:hAnsi="Times New Roman" w:cs="Times New Roman"/>
          <w:bCs/>
        </w:rPr>
        <w:t>（湘环发[2021]41号）；</w:t>
      </w:r>
    </w:p>
    <w:p>
      <w:pPr>
        <w:spacing w:line="360" w:lineRule="auto"/>
        <w:ind w:firstLine="480" w:firstLineChars="200"/>
        <w:rPr>
          <w:rFonts w:ascii="Times New Roman" w:hAnsi="Times New Roman" w:cs="Times New Roman"/>
          <w:bCs/>
        </w:rPr>
      </w:pPr>
      <w:r>
        <w:rPr>
          <w:rFonts w:ascii="Times New Roman" w:hAnsi="Times New Roman" w:cs="Times New Roman"/>
          <w:bCs/>
        </w:rPr>
        <w:t>（34）《湖南省发展和改革委员会关于印发&lt;湖南省“十四五”产业园区发展规划&gt;的通知》（湘发改地区〔2021〕394号）；</w:t>
      </w:r>
    </w:p>
    <w:p>
      <w:pPr>
        <w:spacing w:line="360" w:lineRule="auto"/>
        <w:ind w:firstLine="480" w:firstLineChars="200"/>
        <w:rPr>
          <w:rFonts w:ascii="Times New Roman" w:hAnsi="Times New Roman" w:cs="Times New Roman"/>
          <w:bCs/>
        </w:rPr>
      </w:pPr>
      <w:r>
        <w:rPr>
          <w:rFonts w:ascii="Times New Roman" w:hAnsi="Times New Roman" w:cs="Times New Roman"/>
          <w:bCs/>
        </w:rPr>
        <w:t>（35）《岳阳市国土空间总体规划（2021-2035年）》</w:t>
      </w:r>
    </w:p>
    <w:p>
      <w:pPr>
        <w:spacing w:line="360" w:lineRule="auto"/>
        <w:ind w:firstLine="480" w:firstLineChars="200"/>
        <w:rPr>
          <w:rFonts w:ascii="Times New Roman" w:hAnsi="Times New Roman" w:cs="Times New Roman"/>
        </w:rPr>
      </w:pPr>
      <w:r>
        <w:rPr>
          <w:rFonts w:ascii="Times New Roman" w:hAnsi="Times New Roman" w:cs="Times New Roman"/>
          <w:bCs/>
        </w:rPr>
        <w:t>（36）</w:t>
      </w:r>
      <w:r>
        <w:rPr>
          <w:rFonts w:ascii="Times New Roman" w:hAnsi="Times New Roman" w:cs="Times New Roman"/>
        </w:rPr>
        <w:t>《岳阳港临湘港区长江岸线控制性详规》；</w:t>
      </w:r>
    </w:p>
    <w:p>
      <w:pPr>
        <w:spacing w:line="360" w:lineRule="auto"/>
        <w:ind w:firstLine="480" w:firstLineChars="200"/>
        <w:rPr>
          <w:rFonts w:ascii="Times New Roman" w:hAnsi="Times New Roman" w:cs="Times New Roman"/>
          <w:bCs/>
        </w:rPr>
      </w:pPr>
      <w:r>
        <w:rPr>
          <w:rFonts w:ascii="Times New Roman" w:hAnsi="Times New Roman" w:cs="Times New Roman"/>
          <w:bCs/>
        </w:rPr>
        <w:t>（37）《临湘市国土空间总体规划 （2021-2035）》；</w:t>
      </w:r>
    </w:p>
    <w:p>
      <w:pPr>
        <w:spacing w:line="360" w:lineRule="auto"/>
        <w:ind w:firstLine="480" w:firstLineChars="200"/>
        <w:rPr>
          <w:rFonts w:ascii="Times New Roman" w:hAnsi="Times New Roman" w:cs="Times New Roman"/>
        </w:rPr>
      </w:pPr>
      <w:r>
        <w:rPr>
          <w:rFonts w:ascii="Times New Roman" w:hAnsi="Times New Roman" w:cs="Times New Roman"/>
          <w:bCs/>
        </w:rPr>
        <w:t>（38）</w:t>
      </w:r>
      <w:r>
        <w:rPr>
          <w:rFonts w:ascii="Times New Roman" w:hAnsi="Times New Roman" w:cs="Times New Roman"/>
        </w:rPr>
        <w:t>《临湘市国民经济和社会发展第十四个五年规划》；</w:t>
      </w:r>
    </w:p>
    <w:p>
      <w:pPr>
        <w:spacing w:line="360" w:lineRule="auto"/>
        <w:ind w:firstLine="480" w:firstLineChars="200"/>
        <w:rPr>
          <w:rFonts w:ascii="Times New Roman" w:hAnsi="Times New Roman" w:cs="Times New Roman"/>
        </w:rPr>
      </w:pPr>
      <w:r>
        <w:rPr>
          <w:rFonts w:ascii="Times New Roman" w:hAnsi="Times New Roman" w:cs="Times New Roman"/>
          <w:bCs/>
        </w:rPr>
        <w:t>（39）</w:t>
      </w:r>
      <w:r>
        <w:rPr>
          <w:rFonts w:ascii="Times New Roman" w:hAnsi="Times New Roman" w:cs="Times New Roman"/>
        </w:rPr>
        <w:t>《临湘高新技术产业开发区滨江片区控制性详细规划》</w:t>
      </w:r>
    </w:p>
    <w:p>
      <w:pPr>
        <w:spacing w:line="360" w:lineRule="auto"/>
        <w:ind w:firstLine="480" w:firstLineChars="200"/>
        <w:rPr>
          <w:rFonts w:ascii="Times New Roman" w:hAnsi="Times New Roman" w:cs="Times New Roman"/>
        </w:rPr>
      </w:pPr>
      <w:r>
        <w:rPr>
          <w:rFonts w:ascii="Times New Roman" w:hAnsi="Times New Roman" w:cs="Times New Roman"/>
          <w:bCs/>
        </w:rPr>
        <w:t>（40）</w:t>
      </w:r>
      <w:r>
        <w:rPr>
          <w:rFonts w:ascii="Times New Roman" w:hAnsi="Times New Roman" w:cs="Times New Roman"/>
        </w:rPr>
        <w:t>《临湘高新区绿色化工园区控制性详细规划》</w:t>
      </w:r>
    </w:p>
    <w:p>
      <w:pPr>
        <w:spacing w:line="360" w:lineRule="auto"/>
        <w:ind w:firstLine="480" w:firstLineChars="200"/>
        <w:rPr>
          <w:rFonts w:ascii="Times New Roman" w:hAnsi="Times New Roman" w:cs="Times New Roman"/>
        </w:rPr>
      </w:pPr>
      <w:r>
        <w:rPr>
          <w:rFonts w:ascii="Times New Roman" w:hAnsi="Times New Roman" w:cs="Times New Roman"/>
          <w:bCs/>
        </w:rPr>
        <w:t>（41）</w:t>
      </w:r>
      <w:r>
        <w:rPr>
          <w:rFonts w:ascii="Times New Roman" w:hAnsi="Times New Roman" w:cs="Times New Roman"/>
        </w:rPr>
        <w:t>《临湘市土地利用总体规划（2006-2020）》（2015修订版）；</w:t>
      </w:r>
    </w:p>
    <w:p>
      <w:pPr>
        <w:spacing w:line="360" w:lineRule="auto"/>
        <w:ind w:firstLine="480" w:firstLineChars="200"/>
        <w:rPr>
          <w:rFonts w:ascii="Times New Roman" w:hAnsi="Times New Roman" w:cs="Times New Roman"/>
        </w:rPr>
      </w:pPr>
      <w:r>
        <w:rPr>
          <w:rFonts w:ascii="Times New Roman" w:hAnsi="Times New Roman" w:cs="Times New Roman"/>
        </w:rPr>
        <w:t>（42）《岳阳市人民政府关于实施岳阳市“三线一单”生态环境分区管控的意见》（岳政发〔2021〕2号）。</w:t>
      </w:r>
    </w:p>
    <w:p>
      <w:pPr>
        <w:pStyle w:val="4"/>
        <w:rPr>
          <w:rFonts w:ascii="Times New Roman" w:hAnsi="Times New Roman" w:cs="Times New Roman"/>
        </w:rPr>
      </w:pPr>
      <w:bookmarkStart w:id="18" w:name="_Toc134088413"/>
      <w:bookmarkStart w:id="19" w:name="_Toc146091858"/>
      <w:r>
        <w:rPr>
          <w:rFonts w:ascii="Times New Roman" w:hAnsi="Times New Roman" w:cs="Times New Roman"/>
        </w:rPr>
        <w:t>1.2.3 技术导则与规范</w:t>
      </w:r>
      <w:bookmarkEnd w:id="18"/>
      <w:bookmarkEnd w:id="19"/>
    </w:p>
    <w:p>
      <w:pPr>
        <w:spacing w:line="360" w:lineRule="auto"/>
        <w:ind w:firstLine="480" w:firstLineChars="200"/>
        <w:rPr>
          <w:rFonts w:ascii="Times New Roman" w:hAnsi="Times New Roman" w:cs="Times New Roman"/>
        </w:rPr>
      </w:pPr>
      <w:r>
        <w:rPr>
          <w:rFonts w:ascii="Times New Roman" w:hAnsi="Times New Roman" w:cs="Times New Roman"/>
        </w:rPr>
        <w:t>（1）《规划环境影响评价技术导则 总纲》（HJ130－2019）；</w:t>
      </w:r>
    </w:p>
    <w:p>
      <w:pPr>
        <w:spacing w:line="360" w:lineRule="auto"/>
        <w:ind w:firstLine="480" w:firstLineChars="200"/>
        <w:rPr>
          <w:rFonts w:ascii="Times New Roman" w:hAnsi="Times New Roman" w:cs="Times New Roman"/>
        </w:rPr>
      </w:pPr>
      <w:r>
        <w:rPr>
          <w:rFonts w:ascii="Times New Roman" w:hAnsi="Times New Roman" w:cs="Times New Roman"/>
        </w:rPr>
        <w:t>（2）《规划环境影响评价技术导则 产业园区》（HJ131－2021）；</w:t>
      </w:r>
    </w:p>
    <w:p>
      <w:pPr>
        <w:spacing w:line="360" w:lineRule="auto"/>
        <w:ind w:firstLine="480" w:firstLineChars="200"/>
        <w:rPr>
          <w:rFonts w:ascii="Times New Roman" w:hAnsi="Times New Roman" w:cs="Times New Roman"/>
        </w:rPr>
      </w:pPr>
      <w:r>
        <w:rPr>
          <w:rFonts w:ascii="Times New Roman" w:hAnsi="Times New Roman" w:cs="Times New Roman"/>
        </w:rPr>
        <w:t>（3）《环境影响评价技术导则 大气环境》（HJ2.2－2018）；</w:t>
      </w:r>
    </w:p>
    <w:p>
      <w:pPr>
        <w:spacing w:line="360" w:lineRule="auto"/>
        <w:ind w:firstLine="480" w:firstLineChars="200"/>
        <w:rPr>
          <w:rFonts w:ascii="Times New Roman" w:hAnsi="Times New Roman" w:cs="Times New Roman"/>
        </w:rPr>
      </w:pPr>
      <w:r>
        <w:rPr>
          <w:rFonts w:ascii="Times New Roman" w:hAnsi="Times New Roman" w:cs="Times New Roman"/>
        </w:rPr>
        <w:t>（4）《环境影响评价技术导则 地表水环境》（HJ2.3－2018）；</w:t>
      </w:r>
    </w:p>
    <w:p>
      <w:pPr>
        <w:spacing w:line="360" w:lineRule="auto"/>
        <w:ind w:firstLine="480" w:firstLineChars="200"/>
        <w:rPr>
          <w:rFonts w:ascii="Times New Roman" w:hAnsi="Times New Roman" w:cs="Times New Roman"/>
        </w:rPr>
      </w:pPr>
      <w:r>
        <w:rPr>
          <w:rFonts w:ascii="Times New Roman" w:hAnsi="Times New Roman" w:cs="Times New Roman"/>
        </w:rPr>
        <w:t>（5）《环境影响评价技术导则 地下水环境》（HJ610－2016）；</w:t>
      </w:r>
    </w:p>
    <w:p>
      <w:pPr>
        <w:spacing w:line="360" w:lineRule="auto"/>
        <w:ind w:firstLine="480" w:firstLineChars="200"/>
        <w:rPr>
          <w:rFonts w:ascii="Times New Roman" w:hAnsi="Times New Roman" w:cs="Times New Roman"/>
        </w:rPr>
      </w:pPr>
      <w:r>
        <w:rPr>
          <w:rFonts w:ascii="Times New Roman" w:hAnsi="Times New Roman" w:cs="Times New Roman"/>
        </w:rPr>
        <w:t>（6）《环境影响评价技术导则 声环境》（HJ 2.4-2021）；</w:t>
      </w:r>
    </w:p>
    <w:p>
      <w:pPr>
        <w:spacing w:line="360" w:lineRule="auto"/>
        <w:ind w:firstLine="480" w:firstLineChars="200"/>
        <w:rPr>
          <w:rFonts w:ascii="Times New Roman" w:hAnsi="Times New Roman" w:cs="Times New Roman"/>
        </w:rPr>
      </w:pPr>
      <w:r>
        <w:rPr>
          <w:rFonts w:ascii="Times New Roman" w:hAnsi="Times New Roman" w:cs="Times New Roman"/>
        </w:rPr>
        <w:t>（7）《环境影响评价技术导则 生态影响》（HJ19－2022）；</w:t>
      </w:r>
    </w:p>
    <w:p>
      <w:pPr>
        <w:spacing w:line="360" w:lineRule="auto"/>
        <w:ind w:firstLine="480" w:firstLineChars="200"/>
        <w:rPr>
          <w:rFonts w:ascii="Times New Roman" w:hAnsi="Times New Roman" w:cs="Times New Roman"/>
        </w:rPr>
      </w:pPr>
      <w:r>
        <w:rPr>
          <w:rFonts w:ascii="Times New Roman" w:hAnsi="Times New Roman" w:cs="Times New Roman"/>
        </w:rPr>
        <w:t>（8）《环境影响评价技术导则 土壤环境（试行）》（HJ964—2018）；</w:t>
      </w:r>
    </w:p>
    <w:p>
      <w:pPr>
        <w:spacing w:line="360" w:lineRule="auto"/>
        <w:ind w:firstLine="480" w:firstLineChars="200"/>
        <w:rPr>
          <w:rFonts w:ascii="Times New Roman" w:hAnsi="Times New Roman" w:cs="Times New Roman"/>
        </w:rPr>
      </w:pPr>
      <w:r>
        <w:rPr>
          <w:rFonts w:ascii="Times New Roman" w:hAnsi="Times New Roman" w:cs="Times New Roman"/>
        </w:rPr>
        <w:t>（9）《建设项目环境风险评价技术导则》（HJ169－2018）；</w:t>
      </w:r>
    </w:p>
    <w:p>
      <w:pPr>
        <w:spacing w:line="360" w:lineRule="auto"/>
        <w:ind w:firstLine="480" w:firstLineChars="200"/>
        <w:rPr>
          <w:rFonts w:ascii="Times New Roman" w:hAnsi="Times New Roman" w:cs="Times New Roman"/>
        </w:rPr>
      </w:pPr>
      <w:r>
        <w:rPr>
          <w:rFonts w:ascii="Times New Roman" w:hAnsi="Times New Roman" w:cs="Times New Roman"/>
        </w:rPr>
        <w:t>（10）《国家生态工业示范园区标准》（HJ274-2015）；</w:t>
      </w:r>
    </w:p>
    <w:p>
      <w:pPr>
        <w:spacing w:line="360" w:lineRule="auto"/>
        <w:ind w:firstLine="480" w:firstLineChars="200"/>
        <w:rPr>
          <w:rFonts w:ascii="Times New Roman" w:hAnsi="Times New Roman" w:cs="Times New Roman"/>
        </w:rPr>
      </w:pPr>
      <w:r>
        <w:rPr>
          <w:rFonts w:ascii="Times New Roman" w:hAnsi="Times New Roman" w:cs="Times New Roman"/>
        </w:rPr>
        <w:t>（11）《城市给水工程规划规范》（GB50282-2016）；</w:t>
      </w:r>
    </w:p>
    <w:p>
      <w:pPr>
        <w:spacing w:line="360" w:lineRule="auto"/>
        <w:ind w:firstLine="480" w:firstLineChars="200"/>
        <w:rPr>
          <w:rFonts w:ascii="Times New Roman" w:hAnsi="Times New Roman" w:cs="Times New Roman"/>
        </w:rPr>
      </w:pPr>
      <w:r>
        <w:rPr>
          <w:rFonts w:ascii="Times New Roman" w:hAnsi="Times New Roman" w:cs="Times New Roman"/>
        </w:rPr>
        <w:t>（12）《城市排水工程规划规范》（GB50318-2017）；</w:t>
      </w:r>
    </w:p>
    <w:p>
      <w:pPr>
        <w:spacing w:line="360" w:lineRule="auto"/>
        <w:ind w:firstLine="480" w:firstLineChars="200"/>
        <w:rPr>
          <w:rFonts w:ascii="Times New Roman" w:hAnsi="Times New Roman" w:cs="Times New Roman"/>
        </w:rPr>
      </w:pPr>
      <w:r>
        <w:rPr>
          <w:rFonts w:ascii="Times New Roman" w:hAnsi="Times New Roman" w:cs="Times New Roman"/>
        </w:rPr>
        <w:t>（13）《声环境功能区划分技术规范》（GB/T15190-2014）；</w:t>
      </w:r>
    </w:p>
    <w:p>
      <w:pPr>
        <w:spacing w:line="360" w:lineRule="auto"/>
        <w:ind w:firstLine="480" w:firstLineChars="200"/>
        <w:rPr>
          <w:rFonts w:ascii="Times New Roman" w:hAnsi="Times New Roman" w:cs="Times New Roman"/>
        </w:rPr>
      </w:pPr>
      <w:r>
        <w:rPr>
          <w:rFonts w:ascii="Times New Roman" w:hAnsi="Times New Roman" w:cs="Times New Roman"/>
        </w:rPr>
        <w:t>（14）《环境空气质量功能区划分原则与技术方法》（HJ14-1996）；</w:t>
      </w:r>
    </w:p>
    <w:p>
      <w:pPr>
        <w:spacing w:line="360" w:lineRule="auto"/>
        <w:ind w:firstLine="480" w:firstLineChars="200"/>
        <w:rPr>
          <w:rFonts w:ascii="Times New Roman" w:hAnsi="Times New Roman" w:cs="Times New Roman"/>
        </w:rPr>
      </w:pPr>
      <w:r>
        <w:rPr>
          <w:rFonts w:ascii="Times New Roman" w:hAnsi="Times New Roman" w:cs="Times New Roman"/>
        </w:rPr>
        <w:t>（15）《制定地方大气污染物排放标准的技术方法》GB/T3840-91；</w:t>
      </w:r>
    </w:p>
    <w:p>
      <w:pPr>
        <w:spacing w:line="360" w:lineRule="auto"/>
        <w:ind w:firstLine="480" w:firstLineChars="200"/>
        <w:rPr>
          <w:rFonts w:ascii="Times New Roman" w:hAnsi="Times New Roman" w:cs="Times New Roman"/>
        </w:rPr>
      </w:pPr>
      <w:r>
        <w:rPr>
          <w:rFonts w:ascii="Times New Roman" w:hAnsi="Times New Roman" w:cs="Times New Roman"/>
        </w:rPr>
        <w:t>（16）《地表水环境容量核定技术报告编制大纲》（环办[2004] 53号）；</w:t>
      </w:r>
    </w:p>
    <w:p>
      <w:pPr>
        <w:spacing w:line="360" w:lineRule="auto"/>
        <w:ind w:firstLine="480" w:firstLineChars="200"/>
        <w:rPr>
          <w:rFonts w:ascii="Times New Roman" w:hAnsi="Times New Roman" w:cs="Times New Roman"/>
        </w:rPr>
      </w:pPr>
      <w:r>
        <w:rPr>
          <w:rFonts w:ascii="Times New Roman" w:hAnsi="Times New Roman" w:cs="Times New Roman"/>
        </w:rPr>
        <w:t>（17）《规划环境影响报告书技术审核报告编制规范》（环评估发[2011]31号）。</w:t>
      </w:r>
    </w:p>
    <w:p>
      <w:pPr>
        <w:spacing w:line="360" w:lineRule="auto"/>
        <w:ind w:firstLine="480" w:firstLineChars="200"/>
        <w:rPr>
          <w:rFonts w:ascii="Times New Roman" w:hAnsi="Times New Roman" w:cs="Times New Roman"/>
        </w:rPr>
      </w:pPr>
      <w:r>
        <w:rPr>
          <w:rFonts w:ascii="Times New Roman" w:hAnsi="Times New Roman" w:cs="Times New Roman"/>
        </w:rPr>
        <w:t>（18）《危险化学品重大危险源辨识》（GB18218-2018）；</w:t>
      </w:r>
    </w:p>
    <w:p>
      <w:pPr>
        <w:pStyle w:val="4"/>
        <w:rPr>
          <w:rFonts w:ascii="Times New Roman" w:hAnsi="Times New Roman" w:cs="Times New Roman"/>
        </w:rPr>
      </w:pPr>
      <w:bookmarkStart w:id="20" w:name="_Toc146091859"/>
      <w:bookmarkStart w:id="21" w:name="_Toc134088414"/>
      <w:r>
        <w:rPr>
          <w:rFonts w:ascii="Times New Roman" w:hAnsi="Times New Roman" w:cs="Times New Roman"/>
        </w:rPr>
        <w:t>1.2.4 项目相关文件</w:t>
      </w:r>
      <w:bookmarkEnd w:id="20"/>
      <w:bookmarkEnd w:id="21"/>
    </w:p>
    <w:p>
      <w:pPr>
        <w:spacing w:line="360" w:lineRule="auto"/>
        <w:ind w:firstLine="480" w:firstLineChars="200"/>
        <w:rPr>
          <w:rFonts w:ascii="Times New Roman" w:hAnsi="Times New Roman" w:cs="Times New Roman"/>
        </w:rPr>
      </w:pPr>
      <w:r>
        <w:rPr>
          <w:rFonts w:ascii="Times New Roman" w:hAnsi="Times New Roman" w:cs="Times New Roman"/>
        </w:rPr>
        <w:t>（1）环评委托书；</w:t>
      </w:r>
    </w:p>
    <w:p>
      <w:pPr>
        <w:spacing w:line="360" w:lineRule="auto"/>
        <w:ind w:firstLine="480" w:firstLineChars="200"/>
        <w:rPr>
          <w:rFonts w:ascii="Times New Roman" w:hAnsi="Times New Roman" w:cs="Times New Roman"/>
        </w:rPr>
      </w:pPr>
      <w:r>
        <w:rPr>
          <w:rFonts w:ascii="Times New Roman" w:hAnsi="Times New Roman" w:cs="Times New Roman"/>
        </w:rPr>
        <w:t>（2）《临湘高新技术产业开发区控制性详细规划》；</w:t>
      </w:r>
    </w:p>
    <w:p>
      <w:pPr>
        <w:spacing w:line="360" w:lineRule="auto"/>
        <w:ind w:firstLine="480" w:firstLineChars="200"/>
        <w:rPr>
          <w:rFonts w:ascii="Times New Roman" w:hAnsi="Times New Roman" w:cs="Times New Roman"/>
        </w:rPr>
      </w:pPr>
      <w:r>
        <w:rPr>
          <w:rFonts w:ascii="Times New Roman" w:hAnsi="Times New Roman" w:cs="Times New Roman"/>
        </w:rPr>
        <w:t>（3）《临湘高新技术产业开发区中长期产业发展规划》（2023-2035 年）</w:t>
      </w:r>
    </w:p>
    <w:p>
      <w:pPr>
        <w:spacing w:line="360" w:lineRule="auto"/>
        <w:ind w:firstLine="480" w:firstLineChars="200"/>
        <w:rPr>
          <w:rFonts w:ascii="Times New Roman" w:hAnsi="Times New Roman" w:cs="Times New Roman"/>
        </w:rPr>
      </w:pPr>
      <w:r>
        <w:rPr>
          <w:rFonts w:ascii="Times New Roman" w:hAnsi="Times New Roman" w:cs="Times New Roman"/>
        </w:rPr>
        <w:t>（4）管理委员会提供的其它资料。</w:t>
      </w:r>
    </w:p>
    <w:p>
      <w:pPr>
        <w:pStyle w:val="3"/>
        <w:rPr>
          <w:rFonts w:ascii="Times New Roman" w:hAnsi="Times New Roman" w:cs="Times New Roman" w:eastAsiaTheme="minorEastAsia"/>
        </w:rPr>
      </w:pPr>
      <w:bookmarkStart w:id="22" w:name="_Toc146091860"/>
      <w:bookmarkStart w:id="23" w:name="_Toc134088415"/>
      <w:r>
        <w:rPr>
          <w:rFonts w:ascii="Times New Roman" w:hAnsi="Times New Roman" w:cs="Times New Roman" w:eastAsiaTheme="minorEastAsia"/>
        </w:rPr>
        <w:t>1.3 评价内容与重点</w:t>
      </w:r>
      <w:bookmarkEnd w:id="22"/>
      <w:bookmarkEnd w:id="23"/>
    </w:p>
    <w:p>
      <w:pPr>
        <w:pStyle w:val="4"/>
        <w:rPr>
          <w:rFonts w:ascii="Times New Roman" w:hAnsi="Times New Roman" w:cs="Times New Roman"/>
        </w:rPr>
      </w:pPr>
      <w:bookmarkStart w:id="24" w:name="_Toc146091861"/>
      <w:bookmarkStart w:id="25" w:name="_Toc134088416"/>
      <w:r>
        <w:rPr>
          <w:rFonts w:ascii="Times New Roman" w:hAnsi="Times New Roman" w:cs="Times New Roman"/>
        </w:rPr>
        <w:t>1.3.1 评价内容</w:t>
      </w:r>
      <w:bookmarkEnd w:id="24"/>
      <w:bookmarkEnd w:id="25"/>
    </w:p>
    <w:p>
      <w:pPr>
        <w:spacing w:line="360" w:lineRule="auto"/>
        <w:ind w:firstLine="480" w:firstLineChars="200"/>
        <w:rPr>
          <w:rFonts w:ascii="Times New Roman" w:hAnsi="Times New Roman" w:cs="Times New Roman"/>
        </w:rPr>
      </w:pPr>
      <w:r>
        <w:rPr>
          <w:rFonts w:ascii="Times New Roman" w:hAnsi="Times New Roman" w:cs="Times New Roman"/>
        </w:rPr>
        <w:t>（1）规划方案分析</w:t>
      </w:r>
    </w:p>
    <w:p>
      <w:pPr>
        <w:spacing w:line="360" w:lineRule="auto"/>
        <w:ind w:firstLine="480" w:firstLineChars="200"/>
        <w:rPr>
          <w:rFonts w:ascii="Times New Roman" w:hAnsi="Times New Roman" w:cs="Times New Roman"/>
        </w:rPr>
      </w:pPr>
      <w:r>
        <w:rPr>
          <w:rFonts w:ascii="Times New Roman" w:hAnsi="Times New Roman" w:cs="Times New Roman"/>
        </w:rPr>
        <w:t>规划概述应明确可能对生态环境造成影响的规划内容；规划协调性分析应明确规划与相关法律、法规、政策的相符性，以及规划在空间布局、资源保护与利用、生态环境保护等方面的冲突和矛盾。</w:t>
      </w:r>
    </w:p>
    <w:p>
      <w:pPr>
        <w:spacing w:line="360" w:lineRule="auto"/>
        <w:ind w:firstLine="480" w:firstLineChars="200"/>
        <w:rPr>
          <w:rFonts w:ascii="Times New Roman" w:hAnsi="Times New Roman" w:cs="Times New Roman"/>
        </w:rPr>
      </w:pPr>
      <w:r>
        <w:rPr>
          <w:rFonts w:ascii="Times New Roman" w:hAnsi="Times New Roman" w:cs="Times New Roman"/>
        </w:rPr>
        <w:t>（2）环境现状调查及分析</w:t>
      </w:r>
    </w:p>
    <w:p>
      <w:pPr>
        <w:spacing w:line="360" w:lineRule="auto"/>
        <w:ind w:firstLine="480" w:firstLineChars="200"/>
        <w:rPr>
          <w:rFonts w:ascii="Times New Roman" w:hAnsi="Times New Roman" w:cs="Times New Roman"/>
        </w:rPr>
      </w:pPr>
      <w:r>
        <w:rPr>
          <w:rFonts w:ascii="Times New Roman" w:hAnsi="Times New Roman" w:cs="Times New Roman"/>
        </w:rPr>
        <w:t>包括环境、社会、经济调查及问题分析，生态敏感点调查分析、环境保护和资源管理分析；对园区上轮规划实施情况做回顾性分析，重点调查规划实施产生的生态环境影响意见，分析规划实施的实际环境影响，评估规划采取的预防或者减轻不良生态环境影响的对策和措施的有效性，研判规划实施是否对生态环境产生了重大影响，对规划已实施部分造成的生态环境问题提出解决方案，重点分析区域的环境质量变化情况；明确评价区域资源利用水平和生态功能、环境质量现状、污染物排放状况，分析主要生态环境问题及成因，梳理规划实施的资源、生态、环境制约因素。</w:t>
      </w:r>
    </w:p>
    <w:p>
      <w:pPr>
        <w:spacing w:line="360" w:lineRule="auto"/>
        <w:ind w:firstLine="480" w:firstLineChars="200"/>
        <w:rPr>
          <w:rFonts w:ascii="Times New Roman" w:hAnsi="Times New Roman" w:cs="Times New Roman"/>
        </w:rPr>
      </w:pPr>
      <w:r>
        <w:rPr>
          <w:rFonts w:ascii="Times New Roman" w:hAnsi="Times New Roman" w:cs="Times New Roman"/>
        </w:rPr>
        <w:t>（3）规划指标体系构建</w:t>
      </w:r>
    </w:p>
    <w:p>
      <w:pPr>
        <w:spacing w:line="360" w:lineRule="auto"/>
        <w:ind w:firstLine="480" w:firstLineChars="200"/>
        <w:rPr>
          <w:rFonts w:ascii="Times New Roman" w:hAnsi="Times New Roman" w:cs="Times New Roman"/>
        </w:rPr>
      </w:pPr>
      <w:r>
        <w:rPr>
          <w:rFonts w:ascii="Times New Roman" w:hAnsi="Times New Roman" w:cs="Times New Roman"/>
        </w:rPr>
        <w:t>识别规划实施可能产生的资源、生态、环境影响，初步判断影响的性质、范围和程度，确定评价重点，明确环境目标，建立评价的指标体系。</w:t>
      </w:r>
    </w:p>
    <w:p>
      <w:pPr>
        <w:spacing w:line="360" w:lineRule="auto"/>
        <w:ind w:firstLine="480" w:firstLineChars="200"/>
        <w:rPr>
          <w:rFonts w:ascii="Times New Roman" w:hAnsi="Times New Roman" w:cs="Times New Roman"/>
        </w:rPr>
      </w:pPr>
      <w:r>
        <w:rPr>
          <w:rFonts w:ascii="Times New Roman" w:hAnsi="Times New Roman" w:cs="Times New Roman"/>
        </w:rPr>
        <w:t>（4）环境影响预测与评价</w:t>
      </w:r>
    </w:p>
    <w:p>
      <w:pPr>
        <w:spacing w:line="360" w:lineRule="auto"/>
        <w:ind w:firstLine="480" w:firstLineChars="200"/>
        <w:rPr>
          <w:rFonts w:ascii="Times New Roman" w:hAnsi="Times New Roman" w:cs="Times New Roman"/>
        </w:rPr>
      </w:pPr>
      <w:r>
        <w:rPr>
          <w:rFonts w:ascii="Times New Roman" w:hAnsi="Times New Roman" w:cs="Times New Roman"/>
        </w:rPr>
        <w:t>在污染源估算的基础上，预测并评价园区开发对地表水环境、环境空气、生态环境的累积效应及其影响程度，对环境敏感区和重点生态功能区的影响预测与评价，环境风险预测与评价，资源与环境承载力评估等内容。</w:t>
      </w:r>
    </w:p>
    <w:p>
      <w:pPr>
        <w:spacing w:line="360" w:lineRule="auto"/>
        <w:ind w:firstLine="480" w:firstLineChars="200"/>
        <w:rPr>
          <w:rFonts w:ascii="Times New Roman" w:hAnsi="Times New Roman" w:cs="Times New Roman"/>
        </w:rPr>
      </w:pPr>
      <w:r>
        <w:rPr>
          <w:rFonts w:ascii="Times New Roman" w:hAnsi="Times New Roman" w:cs="Times New Roman"/>
        </w:rPr>
        <w:t>（5）规划方案综合论证及调整</w:t>
      </w:r>
    </w:p>
    <w:p>
      <w:pPr>
        <w:spacing w:line="360" w:lineRule="auto"/>
        <w:ind w:firstLine="480" w:firstLineChars="200"/>
        <w:rPr>
          <w:rFonts w:ascii="Times New Roman" w:hAnsi="Times New Roman" w:cs="Times New Roman"/>
        </w:rPr>
      </w:pPr>
      <w:r>
        <w:rPr>
          <w:rFonts w:ascii="Times New Roman" w:hAnsi="Times New Roman" w:cs="Times New Roman"/>
        </w:rPr>
        <w:t>以改善环境质量和保障生态安全为核心，综合环境影响预测与评价结果，论证规划目标、规模、布局、结构等规划内容的环境合理性以及评价设定的环境目标的可达性，分析判定规划实施的重大资源、生态、环境制约的程度、范围、方式等，提出规划方案的优化调整建议并推荐环境可行的规划方案。</w:t>
      </w:r>
    </w:p>
    <w:p>
      <w:pPr>
        <w:spacing w:line="360" w:lineRule="auto"/>
        <w:ind w:firstLine="480" w:firstLineChars="200"/>
        <w:rPr>
          <w:rFonts w:ascii="Times New Roman" w:hAnsi="Times New Roman" w:cs="Times New Roman"/>
        </w:rPr>
      </w:pPr>
      <w:r>
        <w:rPr>
          <w:rFonts w:ascii="Times New Roman" w:hAnsi="Times New Roman" w:cs="Times New Roman"/>
        </w:rPr>
        <w:t>（6）环境影响减缓措施</w:t>
      </w:r>
    </w:p>
    <w:p>
      <w:pPr>
        <w:spacing w:line="360" w:lineRule="auto"/>
        <w:ind w:firstLine="480" w:firstLineChars="200"/>
        <w:rPr>
          <w:rFonts w:ascii="Times New Roman" w:hAnsi="Times New Roman" w:cs="Times New Roman"/>
        </w:rPr>
      </w:pPr>
      <w:r>
        <w:rPr>
          <w:rFonts w:ascii="Times New Roman" w:hAnsi="Times New Roman" w:cs="Times New Roman"/>
        </w:rPr>
        <w:t>对于规划已实施部分造成的生态环境问题提出解决方案，对规划后续实施内容提出优化调整建议或减轻不良生态环境影响的对策和措施；在充分评估规划方案中已明确的环境污染防治、生态保护、资源能源增效等相关措施的基础上，提出的环境保护方案和管控要求。</w:t>
      </w:r>
    </w:p>
    <w:p>
      <w:pPr>
        <w:spacing w:line="360" w:lineRule="auto"/>
        <w:ind w:firstLine="480" w:firstLineChars="200"/>
        <w:rPr>
          <w:rFonts w:ascii="Times New Roman" w:hAnsi="Times New Roman" w:cs="Times New Roman"/>
        </w:rPr>
      </w:pPr>
      <w:r>
        <w:rPr>
          <w:rFonts w:ascii="Times New Roman" w:hAnsi="Times New Roman" w:cs="Times New Roman"/>
        </w:rPr>
        <w:t>（7）环境管理与跟踪评价</w:t>
      </w:r>
    </w:p>
    <w:p>
      <w:pPr>
        <w:spacing w:line="360" w:lineRule="auto"/>
        <w:ind w:firstLine="480" w:firstLineChars="200"/>
        <w:rPr>
          <w:rFonts w:ascii="Times New Roman" w:hAnsi="Times New Roman" w:cs="Times New Roman"/>
        </w:rPr>
      </w:pPr>
      <w:r>
        <w:rPr>
          <w:rFonts w:ascii="Times New Roman" w:hAnsi="Times New Roman" w:cs="Times New Roman"/>
        </w:rPr>
        <w:t>以可持续发展为目的，建立动态的环境管理体系方案，包括环境管理机构、环境管理信息系统建立、清洁生产审核制度、环境监控体系建立与环境监测方案拟订等；提出规划的项目实施中开展项目环境影响评价的内容、深度等方面的具体要求。</w:t>
      </w:r>
    </w:p>
    <w:p>
      <w:pPr>
        <w:spacing w:line="360" w:lineRule="auto"/>
        <w:ind w:firstLine="480" w:firstLineChars="200"/>
        <w:rPr>
          <w:rFonts w:ascii="Times New Roman" w:hAnsi="Times New Roman" w:cs="Times New Roman"/>
        </w:rPr>
      </w:pPr>
      <w:r>
        <w:rPr>
          <w:rFonts w:ascii="Times New Roman" w:hAnsi="Times New Roman" w:cs="Times New Roman"/>
        </w:rPr>
        <w:t>（8）公众参与</w:t>
      </w:r>
    </w:p>
    <w:p>
      <w:pPr>
        <w:spacing w:line="360" w:lineRule="auto"/>
        <w:ind w:firstLine="480" w:firstLineChars="200"/>
        <w:rPr>
          <w:rFonts w:ascii="Times New Roman" w:hAnsi="Times New Roman" w:cs="Times New Roman"/>
        </w:rPr>
      </w:pPr>
      <w:r>
        <w:rPr>
          <w:rFonts w:ascii="Times New Roman" w:hAnsi="Times New Roman" w:cs="Times New Roman"/>
        </w:rPr>
        <w:t>按照公众参与管理要求，对园区规划采取网上公示、报纸公示以及现场公示等方式，调查有关公众对园区规划的意见、建议等，并将各方面利益和主张反馈到规划方案制定中。</w:t>
      </w:r>
    </w:p>
    <w:p>
      <w:pPr>
        <w:pStyle w:val="4"/>
        <w:rPr>
          <w:rFonts w:ascii="Times New Roman" w:hAnsi="Times New Roman" w:cs="Times New Roman"/>
        </w:rPr>
      </w:pPr>
      <w:bookmarkStart w:id="26" w:name="_Toc146091862"/>
      <w:bookmarkStart w:id="27" w:name="_Toc134088417"/>
      <w:r>
        <w:rPr>
          <w:rFonts w:ascii="Times New Roman" w:hAnsi="Times New Roman" w:cs="Times New Roman"/>
        </w:rPr>
        <w:t>1.3.2 评价重点</w:t>
      </w:r>
      <w:bookmarkEnd w:id="26"/>
      <w:bookmarkEnd w:id="27"/>
    </w:p>
    <w:p>
      <w:pPr>
        <w:spacing w:line="360" w:lineRule="auto"/>
        <w:ind w:firstLine="480" w:firstLineChars="200"/>
        <w:rPr>
          <w:rFonts w:ascii="Times New Roman" w:hAnsi="Times New Roman" w:cs="Times New Roman"/>
        </w:rPr>
      </w:pPr>
      <w:r>
        <w:rPr>
          <w:rFonts w:ascii="Times New Roman" w:hAnsi="Times New Roman" w:cs="Times New Roman"/>
        </w:rPr>
        <w:t>（1）规划实施回顾。跟踪分析上一轮规划方案实施情况以及上轮规划环评提出的优化调整意见、环境保护措施的落实情况，对规划区历史环境与现状进行比对分析，分析生态环境质量变化趋势，分析上一轮开发活动的环境影响，总结区域开发建设取得的成效以及存在的主要环境问题，对开发区的环境管理提出相应整改、优化建议，为本轮规划编制提供借鉴。</w:t>
      </w:r>
    </w:p>
    <w:p>
      <w:pPr>
        <w:spacing w:line="360" w:lineRule="auto"/>
        <w:ind w:firstLine="480" w:firstLineChars="200"/>
        <w:rPr>
          <w:rFonts w:ascii="Times New Roman" w:hAnsi="Times New Roman" w:cs="Times New Roman"/>
        </w:rPr>
      </w:pPr>
      <w:r>
        <w:rPr>
          <w:rFonts w:ascii="Times New Roman" w:hAnsi="Times New Roman" w:cs="Times New Roman"/>
        </w:rPr>
        <w:t>（2）规划方案分析。分析规划目标、定位、产业结构、布局、环境保护措施与国家、省和市环境保护与污染防治政策与规划、生态文明战略、城市总体规划、土地利用规划等符合性。</w:t>
      </w:r>
    </w:p>
    <w:p>
      <w:pPr>
        <w:spacing w:line="360" w:lineRule="auto"/>
        <w:ind w:firstLine="480" w:firstLineChars="200"/>
        <w:rPr>
          <w:rFonts w:ascii="Times New Roman" w:hAnsi="Times New Roman" w:cs="Times New Roman"/>
        </w:rPr>
      </w:pPr>
      <w:r>
        <w:rPr>
          <w:rFonts w:ascii="Times New Roman" w:hAnsi="Times New Roman" w:cs="Times New Roman"/>
        </w:rPr>
        <w:t>（3）规划实施的环境影响。系统分析规划实施对可能受影响的资源、环境要素的影响类型和途径，利用已开发区域产排污系数，预测规划实施产生的各类污染物对周边环境要素、生态系统等的影响程度及范围，根据可供规划实施利用的资源量、环境容量等，综合分析区域资源与环境对规划实施的支撑能力，提出区域污染防治、整改重点。</w:t>
      </w:r>
    </w:p>
    <w:p>
      <w:pPr>
        <w:spacing w:line="360" w:lineRule="auto"/>
        <w:ind w:firstLine="480" w:firstLineChars="200"/>
        <w:rPr>
          <w:rFonts w:ascii="Times New Roman" w:hAnsi="Times New Roman" w:cs="Times New Roman"/>
        </w:rPr>
      </w:pPr>
      <w:r>
        <w:rPr>
          <w:rFonts w:ascii="Times New Roman" w:hAnsi="Times New Roman" w:cs="Times New Roman"/>
        </w:rPr>
        <w:t>（4）规划方案环境合理性分析。从评价区生态敏感区分布与保护要求、区域资源环境承载力、功能组团布局与发展方向、规划实施可能产生的环境影响，分析规划区选址、发展规模的合理性，分析内部各功能组团之间以及与外部敏感区之间的环境协调性，提出优化发展时序、控制发展规模、布局调整等优化发展建议，提出区域环境综合整治对策、措施。</w:t>
      </w:r>
    </w:p>
    <w:p>
      <w:pPr>
        <w:pStyle w:val="3"/>
        <w:rPr>
          <w:rFonts w:ascii="Times New Roman" w:hAnsi="Times New Roman" w:cs="Times New Roman" w:eastAsiaTheme="minorEastAsia"/>
        </w:rPr>
      </w:pPr>
      <w:bookmarkStart w:id="28" w:name="_Toc146091863"/>
      <w:bookmarkStart w:id="29" w:name="_Toc134088418"/>
      <w:r>
        <w:rPr>
          <w:rFonts w:ascii="Times New Roman" w:hAnsi="Times New Roman" w:cs="Times New Roman" w:eastAsiaTheme="minorEastAsia"/>
        </w:rPr>
        <w:t>1.4 评价目的与原则</w:t>
      </w:r>
      <w:bookmarkEnd w:id="28"/>
      <w:bookmarkEnd w:id="29"/>
    </w:p>
    <w:p>
      <w:pPr>
        <w:pStyle w:val="4"/>
        <w:rPr>
          <w:rFonts w:ascii="Times New Roman" w:hAnsi="Times New Roman" w:cs="Times New Roman"/>
        </w:rPr>
      </w:pPr>
      <w:bookmarkStart w:id="30" w:name="_Toc146091864"/>
      <w:bookmarkStart w:id="31" w:name="_Toc134088419"/>
      <w:r>
        <w:rPr>
          <w:rFonts w:ascii="Times New Roman" w:hAnsi="Times New Roman" w:cs="Times New Roman"/>
        </w:rPr>
        <w:t>1.4.1 评价目的</w:t>
      </w:r>
      <w:bookmarkEnd w:id="30"/>
      <w:bookmarkEnd w:id="31"/>
    </w:p>
    <w:p>
      <w:pPr>
        <w:spacing w:line="360" w:lineRule="auto"/>
        <w:ind w:firstLine="480" w:firstLineChars="200"/>
        <w:rPr>
          <w:rFonts w:ascii="Times New Roman" w:hAnsi="Times New Roman" w:cs="Times New Roman"/>
        </w:rPr>
      </w:pPr>
      <w:r>
        <w:rPr>
          <w:rFonts w:ascii="Times New Roman" w:hAnsi="Times New Roman" w:cs="Times New Roman"/>
        </w:rPr>
        <w:t>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pPr>
        <w:pStyle w:val="4"/>
        <w:rPr>
          <w:rFonts w:ascii="Times New Roman" w:hAnsi="Times New Roman" w:cs="Times New Roman"/>
        </w:rPr>
      </w:pPr>
      <w:bookmarkStart w:id="32" w:name="_Toc134088420"/>
      <w:bookmarkStart w:id="33" w:name="_Toc146091865"/>
      <w:r>
        <w:rPr>
          <w:rFonts w:ascii="Times New Roman" w:hAnsi="Times New Roman" w:cs="Times New Roman"/>
        </w:rPr>
        <w:t>1.4.2 评价原则</w:t>
      </w:r>
      <w:bookmarkEnd w:id="32"/>
      <w:bookmarkEnd w:id="33"/>
    </w:p>
    <w:p>
      <w:pPr>
        <w:spacing w:line="360" w:lineRule="auto"/>
        <w:ind w:firstLine="480" w:firstLineChars="200"/>
        <w:rPr>
          <w:rFonts w:ascii="Times New Roman" w:hAnsi="Times New Roman" w:cs="Times New Roman"/>
        </w:rPr>
      </w:pPr>
      <w:r>
        <w:rPr>
          <w:rFonts w:ascii="Times New Roman" w:hAnsi="Times New Roman" w:cs="Times New Roman"/>
        </w:rPr>
        <w:t>（1）早期介入、过程互动</w:t>
      </w:r>
    </w:p>
    <w:p>
      <w:pPr>
        <w:spacing w:line="360" w:lineRule="auto"/>
        <w:ind w:firstLine="480" w:firstLineChars="200"/>
        <w:rPr>
          <w:rFonts w:ascii="Times New Roman" w:hAnsi="Times New Roman" w:cs="Times New Roman"/>
        </w:rPr>
      </w:pPr>
      <w:r>
        <w:rPr>
          <w:rFonts w:ascii="Times New Roman" w:hAnsi="Times New Roman" w:cs="Times New Roman"/>
        </w:rPr>
        <w:t>评价应在规划编制的早期阶段介入，在规划前期研究和方案编制、论证、审定等关键环节和过程中充分互动，不断优化规划方案，提高环境合理性。</w:t>
      </w:r>
    </w:p>
    <w:p>
      <w:pPr>
        <w:spacing w:line="360" w:lineRule="auto"/>
        <w:ind w:firstLine="480" w:firstLineChars="200"/>
        <w:rPr>
          <w:rFonts w:ascii="Times New Roman" w:hAnsi="Times New Roman" w:cs="Times New Roman"/>
        </w:rPr>
      </w:pPr>
      <w:r>
        <w:rPr>
          <w:rFonts w:ascii="Times New Roman" w:hAnsi="Times New Roman" w:cs="Times New Roman"/>
        </w:rPr>
        <w:t>（2）统筹衔接、分类指导、统筹协调、协同联动</w:t>
      </w:r>
    </w:p>
    <w:p>
      <w:pPr>
        <w:spacing w:line="360" w:lineRule="auto"/>
        <w:ind w:firstLine="480" w:firstLineChars="200"/>
        <w:rPr>
          <w:rFonts w:ascii="Times New Roman" w:hAnsi="Times New Roman" w:cs="Times New Roman"/>
        </w:rPr>
      </w:pPr>
      <w:r>
        <w:rPr>
          <w:rFonts w:ascii="Times New Roman" w:hAnsi="Times New Roman" w:cs="Times New Roman"/>
        </w:rPr>
        <w:t>评价工作应突出不同类型、不同层级规划及其环境影响特点，充分衔接“三线一单”成果，分类指导规划所包含建设项目的布局和生态环境准入。</w:t>
      </w:r>
    </w:p>
    <w:p>
      <w:pPr>
        <w:spacing w:line="360" w:lineRule="auto"/>
        <w:ind w:firstLine="489"/>
        <w:rPr>
          <w:rFonts w:ascii="Times New Roman" w:hAnsi="Times New Roman" w:cs="Times New Roman"/>
        </w:rPr>
      </w:pPr>
      <w:r>
        <w:rPr>
          <w:rFonts w:ascii="Times New Roman" w:hAnsi="Times New Roman" w:cs="Times New Roman"/>
        </w:rPr>
        <w:t>协调好产业发展与园区环境保护，统筹园区环境污染防治、资源集约节约及循环化利用、环境风险防控，引导园区生态化、绿色化发展。</w:t>
      </w:r>
    </w:p>
    <w:p>
      <w:pPr>
        <w:spacing w:line="360" w:lineRule="auto"/>
        <w:ind w:firstLine="480" w:firstLineChars="200"/>
        <w:rPr>
          <w:rFonts w:ascii="Times New Roman" w:hAnsi="Times New Roman" w:cs="Times New Roman"/>
        </w:rPr>
      </w:pPr>
      <w:r>
        <w:rPr>
          <w:rFonts w:ascii="Times New Roman" w:hAnsi="Times New Roman" w:cs="Times New Roman"/>
        </w:rPr>
        <w:t>协同联动。衔接区域生态环境分区管控成果，细化园区环境准入要求，指导建设项目环境准入及其环评内容简化，实现区域、园区、建设项目环评的系统衔接和协同管理。</w:t>
      </w:r>
    </w:p>
    <w:p>
      <w:pPr>
        <w:spacing w:line="360" w:lineRule="auto"/>
        <w:ind w:firstLine="480" w:firstLineChars="200"/>
        <w:rPr>
          <w:rFonts w:ascii="Times New Roman" w:hAnsi="Times New Roman" w:cs="Times New Roman"/>
        </w:rPr>
      </w:pPr>
      <w:r>
        <w:rPr>
          <w:rFonts w:ascii="Times New Roman" w:hAnsi="Times New Roman" w:cs="Times New Roman"/>
        </w:rPr>
        <w:t>（3）客观评价、结论科学</w:t>
      </w:r>
    </w:p>
    <w:p>
      <w:pPr>
        <w:spacing w:line="360" w:lineRule="auto"/>
        <w:ind w:firstLine="480" w:firstLineChars="200"/>
        <w:rPr>
          <w:rFonts w:ascii="Times New Roman" w:hAnsi="Times New Roman" w:cs="Times New Roman"/>
        </w:rPr>
      </w:pPr>
      <w:r>
        <w:rPr>
          <w:rFonts w:ascii="Times New Roman" w:hAnsi="Times New Roman" w:cs="Times New Roman"/>
        </w:rPr>
        <w:t>依据现有知识水平和技术条件对规划实施可能产生的不良环境影响的范围和程度进行客观分析，评价方法应成熟可靠，数据资料应完整可信，结论建议应具体明确且具有可操作性。</w:t>
      </w:r>
    </w:p>
    <w:p>
      <w:pPr>
        <w:spacing w:line="360" w:lineRule="auto"/>
        <w:ind w:firstLine="480" w:firstLineChars="200"/>
        <w:rPr>
          <w:rFonts w:ascii="Times New Roman" w:hAnsi="Times New Roman" w:cs="Times New Roman"/>
        </w:rPr>
      </w:pPr>
      <w:r>
        <w:rPr>
          <w:rFonts w:ascii="Times New Roman" w:hAnsi="Times New Roman" w:cs="Times New Roman"/>
        </w:rPr>
        <w:t>（4）突出重点</w:t>
      </w:r>
    </w:p>
    <w:p>
      <w:pPr>
        <w:spacing w:line="360" w:lineRule="auto"/>
        <w:ind w:firstLine="480" w:firstLineChars="200"/>
        <w:rPr>
          <w:rFonts w:ascii="Times New Roman" w:hAnsi="Times New Roman" w:cs="Times New Roman"/>
        </w:rPr>
      </w:pPr>
      <w:r>
        <w:rPr>
          <w:rFonts w:ascii="Times New Roman" w:hAnsi="Times New Roman" w:cs="Times New Roman"/>
        </w:rPr>
        <w:t>立足规划方案特点及资源环境特征，充分利用区域空间生态环境评价中符合时效性的数据资料及成果，对规划实施的主要影响进行分析评价，并重点关注制约区域环境质量改善的污染因子、潜在重大环境风险因子的影响预测和评价。</w:t>
      </w:r>
    </w:p>
    <w:p>
      <w:pPr>
        <w:pStyle w:val="3"/>
        <w:rPr>
          <w:rFonts w:ascii="Times New Roman" w:hAnsi="Times New Roman" w:cs="Times New Roman" w:eastAsiaTheme="minorEastAsia"/>
        </w:rPr>
      </w:pPr>
      <w:bookmarkStart w:id="34" w:name="_Toc134088421"/>
      <w:bookmarkStart w:id="35" w:name="_Toc146091866"/>
      <w:r>
        <w:rPr>
          <w:rFonts w:ascii="Times New Roman" w:hAnsi="Times New Roman" w:cs="Times New Roman" w:eastAsiaTheme="minorEastAsia"/>
        </w:rPr>
        <w:t>1.5 评价基本任务</w:t>
      </w:r>
      <w:bookmarkEnd w:id="34"/>
      <w:bookmarkEnd w:id="35"/>
    </w:p>
    <w:p>
      <w:pPr>
        <w:spacing w:line="360" w:lineRule="auto"/>
        <w:ind w:firstLine="480" w:firstLineChars="200"/>
        <w:rPr>
          <w:rFonts w:ascii="Times New Roman" w:hAnsi="Times New Roman" w:cs="Times New Roman"/>
        </w:rPr>
      </w:pPr>
      <w:r>
        <w:rPr>
          <w:rFonts w:ascii="Times New Roman" w:hAnsi="Times New Roman" w:cs="Times New Roman"/>
        </w:rPr>
        <w:t>（1）园区现状调查、环境影响回顾性评价，园区发展及规划实施主要资源、环境制约因素分析。</w:t>
      </w:r>
    </w:p>
    <w:p>
      <w:pPr>
        <w:spacing w:line="360" w:lineRule="auto"/>
        <w:ind w:firstLine="480" w:firstLineChars="200"/>
        <w:rPr>
          <w:rFonts w:ascii="Times New Roman" w:hAnsi="Times New Roman" w:cs="Times New Roman"/>
        </w:rPr>
      </w:pPr>
      <w:r>
        <w:rPr>
          <w:rFonts w:ascii="Times New Roman" w:hAnsi="Times New Roman" w:cs="Times New Roman"/>
        </w:rPr>
        <w:t>（2）识别规划实施主要资源、环境影响，预测与评价规划实施的生态压力、污染物减排潜力、环境影响及区域资源、环境对规划实施的承载状态，环境风险潜势较高的园区还应将环境风险评价防控作为评价重点。</w:t>
      </w:r>
    </w:p>
    <w:p>
      <w:pPr>
        <w:spacing w:line="360" w:lineRule="auto"/>
        <w:ind w:firstLine="480" w:firstLineChars="200"/>
        <w:rPr>
          <w:rFonts w:ascii="Times New Roman" w:hAnsi="Times New Roman" w:cs="Times New Roman"/>
        </w:rPr>
      </w:pPr>
      <w:r>
        <w:rPr>
          <w:rFonts w:ascii="Times New Roman" w:hAnsi="Times New Roman" w:cs="Times New Roman"/>
        </w:rPr>
        <w:t>（3）论证规划实施的环境合理性，提出规划方案优化调整建议，包括园区产业定位、发展规模、产业结构、布局及环境基础设施选址、规模、工艺、建设时序、处理深度等调整建议。</w:t>
      </w:r>
    </w:p>
    <w:p>
      <w:pPr>
        <w:spacing w:line="360" w:lineRule="auto"/>
        <w:ind w:firstLine="480" w:firstLineChars="200"/>
        <w:rPr>
          <w:rFonts w:ascii="Times New Roman" w:hAnsi="Times New Roman" w:cs="Times New Roman"/>
        </w:rPr>
      </w:pPr>
      <w:r>
        <w:rPr>
          <w:rFonts w:ascii="Times New Roman" w:hAnsi="Times New Roman" w:cs="Times New Roman"/>
        </w:rPr>
        <w:t>（4）提出园区既有环境问题及不良环境影响的减缓对策、措施，制定园区环境准入和规划所含建设项目的环评要求。</w:t>
      </w:r>
    </w:p>
    <w:p>
      <w:pPr>
        <w:pStyle w:val="3"/>
        <w:rPr>
          <w:rFonts w:ascii="Times New Roman" w:hAnsi="Times New Roman" w:cs="Times New Roman" w:eastAsiaTheme="minorEastAsia"/>
        </w:rPr>
      </w:pPr>
      <w:bookmarkStart w:id="36" w:name="_Toc146091867"/>
      <w:bookmarkStart w:id="37" w:name="_Toc134088422"/>
      <w:r>
        <w:rPr>
          <w:rFonts w:ascii="Times New Roman" w:hAnsi="Times New Roman" w:cs="Times New Roman" w:eastAsiaTheme="minorEastAsia"/>
        </w:rPr>
        <w:t>1.6 环境保护目标</w:t>
      </w:r>
      <w:bookmarkEnd w:id="36"/>
      <w:bookmarkEnd w:id="37"/>
    </w:p>
    <w:p>
      <w:pPr>
        <w:spacing w:line="360" w:lineRule="auto"/>
        <w:ind w:firstLine="480" w:firstLineChars="200"/>
        <w:rPr>
          <w:rFonts w:ascii="Times New Roman" w:hAnsi="Times New Roman" w:cs="Times New Roman"/>
        </w:rPr>
        <w:sectPr>
          <w:footerReference r:id="rId3" w:type="default"/>
          <w:pgSz w:w="11906" w:h="16838"/>
          <w:pgMar w:top="1418" w:right="1418" w:bottom="1418" w:left="1701" w:header="851" w:footer="992" w:gutter="0"/>
          <w:paperSrc w:first="7" w:other="7"/>
          <w:cols w:space="425" w:num="1"/>
          <w:docGrid w:linePitch="326" w:charSpace="915"/>
        </w:sectPr>
      </w:pPr>
      <w:r>
        <w:rPr>
          <w:rFonts w:ascii="Times New Roman" w:hAnsi="Times New Roman" w:cs="Times New Roman"/>
        </w:rPr>
        <w:t>根据园区区域周围环境特征，本项目环境保护目标主要为规划区内及规划区外范围内的居民、地表水、地下水和生态环境等</w:t>
      </w:r>
      <w:r>
        <w:rPr>
          <w:rFonts w:hint="eastAsia" w:ascii="Times New Roman" w:hAnsi="Times New Roman" w:cs="Times New Roman"/>
        </w:rPr>
        <w:t>，详见下表所示</w:t>
      </w:r>
      <w:r>
        <w:rPr>
          <w:rFonts w:ascii="Times New Roman" w:hAnsi="Times New Roman" w:cs="Times New Roman"/>
        </w:rPr>
        <w:t>。</w:t>
      </w:r>
    </w:p>
    <w:p>
      <w:pPr>
        <w:pStyle w:val="6"/>
        <w:rPr>
          <w:rFonts w:ascii="Times New Roman" w:hAnsi="Times New Roman" w:cs="Times New Roman"/>
        </w:rPr>
      </w:pPr>
      <w:bookmarkStart w:id="38" w:name="_Toc134088423"/>
      <w:r>
        <w:rPr>
          <w:rFonts w:ascii="Times New Roman" w:hAnsi="Times New Roman" w:cs="Times New Roman"/>
        </w:rPr>
        <w:t>表1.6-</w:t>
      </w:r>
      <w:r>
        <w:rPr>
          <w:rFonts w:hint="eastAsia" w:ascii="Times New Roman" w:hAnsi="Times New Roman" w:cs="Times New Roman"/>
        </w:rPr>
        <w:t>1</w:t>
      </w:r>
      <w:r>
        <w:rPr>
          <w:rFonts w:ascii="Times New Roman" w:hAnsi="Times New Roman" w:cs="Times New Roman"/>
        </w:rPr>
        <w:t xml:space="preserve">  大气环境保护目标</w:t>
      </w:r>
    </w:p>
    <w:tbl>
      <w:tblPr>
        <w:tblStyle w:val="36"/>
        <w:tblW w:w="141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920"/>
        <w:gridCol w:w="1559"/>
        <w:gridCol w:w="1559"/>
        <w:gridCol w:w="2530"/>
        <w:gridCol w:w="2231"/>
        <w:gridCol w:w="1658"/>
        <w:gridCol w:w="1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1" w:type="dxa"/>
            <w:vMerge w:val="restart"/>
            <w:vAlign w:val="center"/>
          </w:tcPr>
          <w:p>
            <w:pPr>
              <w:pStyle w:val="63"/>
              <w:rPr>
                <w:szCs w:val="21"/>
              </w:rPr>
            </w:pPr>
            <w:r>
              <w:rPr>
                <w:szCs w:val="21"/>
              </w:rPr>
              <w:t>类别</w:t>
            </w:r>
          </w:p>
        </w:tc>
        <w:tc>
          <w:tcPr>
            <w:tcW w:w="1920" w:type="dxa"/>
            <w:vMerge w:val="restart"/>
            <w:vAlign w:val="center"/>
          </w:tcPr>
          <w:p>
            <w:pPr>
              <w:pStyle w:val="63"/>
              <w:rPr>
                <w:szCs w:val="21"/>
              </w:rPr>
            </w:pPr>
            <w:r>
              <w:rPr>
                <w:szCs w:val="21"/>
              </w:rPr>
              <w:t>名称</w:t>
            </w:r>
          </w:p>
        </w:tc>
        <w:tc>
          <w:tcPr>
            <w:tcW w:w="3118" w:type="dxa"/>
            <w:gridSpan w:val="2"/>
            <w:vAlign w:val="center"/>
          </w:tcPr>
          <w:p>
            <w:pPr>
              <w:pStyle w:val="63"/>
              <w:rPr>
                <w:szCs w:val="21"/>
              </w:rPr>
            </w:pPr>
            <w:r>
              <w:rPr>
                <w:szCs w:val="21"/>
              </w:rPr>
              <w:t>坐标</w:t>
            </w:r>
          </w:p>
        </w:tc>
        <w:tc>
          <w:tcPr>
            <w:tcW w:w="2530" w:type="dxa"/>
            <w:vMerge w:val="restart"/>
            <w:vAlign w:val="center"/>
          </w:tcPr>
          <w:p>
            <w:pPr>
              <w:pStyle w:val="63"/>
              <w:rPr>
                <w:szCs w:val="21"/>
              </w:rPr>
            </w:pPr>
            <w:r>
              <w:rPr>
                <w:szCs w:val="21"/>
              </w:rPr>
              <w:t>保护内容</w:t>
            </w:r>
          </w:p>
        </w:tc>
        <w:tc>
          <w:tcPr>
            <w:tcW w:w="2231" w:type="dxa"/>
            <w:vMerge w:val="restart"/>
            <w:vAlign w:val="center"/>
          </w:tcPr>
          <w:p>
            <w:pPr>
              <w:pStyle w:val="63"/>
              <w:rPr>
                <w:szCs w:val="21"/>
              </w:rPr>
            </w:pPr>
            <w:r>
              <w:rPr>
                <w:szCs w:val="21"/>
              </w:rPr>
              <w:t>环境功能区</w:t>
            </w:r>
          </w:p>
        </w:tc>
        <w:tc>
          <w:tcPr>
            <w:tcW w:w="1658" w:type="dxa"/>
            <w:vMerge w:val="restart"/>
            <w:vAlign w:val="center"/>
          </w:tcPr>
          <w:p>
            <w:pPr>
              <w:pStyle w:val="63"/>
              <w:rPr>
                <w:szCs w:val="21"/>
              </w:rPr>
            </w:pPr>
            <w:r>
              <w:rPr>
                <w:szCs w:val="21"/>
              </w:rPr>
              <w:t>相对园区方位及距离</w:t>
            </w:r>
          </w:p>
        </w:tc>
        <w:tc>
          <w:tcPr>
            <w:tcW w:w="1977" w:type="dxa"/>
            <w:vMerge w:val="restart"/>
            <w:vAlign w:val="center"/>
          </w:tcPr>
          <w:p>
            <w:pPr>
              <w:pStyle w:val="63"/>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jc w:val="center"/>
        </w:trPr>
        <w:tc>
          <w:tcPr>
            <w:tcW w:w="741" w:type="dxa"/>
            <w:vMerge w:val="continue"/>
            <w:vAlign w:val="center"/>
          </w:tcPr>
          <w:p>
            <w:pPr>
              <w:pStyle w:val="63"/>
              <w:rPr>
                <w:szCs w:val="21"/>
              </w:rPr>
            </w:pPr>
          </w:p>
        </w:tc>
        <w:tc>
          <w:tcPr>
            <w:tcW w:w="1920" w:type="dxa"/>
            <w:vMerge w:val="continue"/>
            <w:vAlign w:val="center"/>
          </w:tcPr>
          <w:p>
            <w:pPr>
              <w:pStyle w:val="63"/>
              <w:rPr>
                <w:szCs w:val="21"/>
              </w:rPr>
            </w:pPr>
          </w:p>
        </w:tc>
        <w:tc>
          <w:tcPr>
            <w:tcW w:w="1559" w:type="dxa"/>
            <w:vAlign w:val="center"/>
          </w:tcPr>
          <w:p>
            <w:pPr>
              <w:pStyle w:val="63"/>
              <w:rPr>
                <w:szCs w:val="21"/>
              </w:rPr>
            </w:pPr>
            <w:r>
              <w:rPr>
                <w:szCs w:val="21"/>
              </w:rPr>
              <w:t>东经（°）</w:t>
            </w:r>
          </w:p>
        </w:tc>
        <w:tc>
          <w:tcPr>
            <w:tcW w:w="1559" w:type="dxa"/>
            <w:vAlign w:val="center"/>
          </w:tcPr>
          <w:p>
            <w:pPr>
              <w:pStyle w:val="63"/>
              <w:rPr>
                <w:szCs w:val="21"/>
              </w:rPr>
            </w:pPr>
            <w:r>
              <w:rPr>
                <w:szCs w:val="21"/>
              </w:rPr>
              <w:t>北纬（°）</w:t>
            </w:r>
          </w:p>
        </w:tc>
        <w:tc>
          <w:tcPr>
            <w:tcW w:w="2530" w:type="dxa"/>
            <w:vMerge w:val="continue"/>
            <w:vAlign w:val="center"/>
          </w:tcPr>
          <w:p>
            <w:pPr>
              <w:pStyle w:val="63"/>
              <w:rPr>
                <w:szCs w:val="21"/>
              </w:rPr>
            </w:pPr>
          </w:p>
        </w:tc>
        <w:tc>
          <w:tcPr>
            <w:tcW w:w="2231" w:type="dxa"/>
            <w:vMerge w:val="continue"/>
            <w:vAlign w:val="center"/>
          </w:tcPr>
          <w:p>
            <w:pPr>
              <w:pStyle w:val="63"/>
              <w:rPr>
                <w:szCs w:val="21"/>
              </w:rPr>
            </w:pPr>
          </w:p>
        </w:tc>
        <w:tc>
          <w:tcPr>
            <w:tcW w:w="1658" w:type="dxa"/>
            <w:vMerge w:val="continue"/>
            <w:vAlign w:val="center"/>
          </w:tcPr>
          <w:p>
            <w:pPr>
              <w:pStyle w:val="63"/>
              <w:rPr>
                <w:szCs w:val="21"/>
              </w:rPr>
            </w:pPr>
          </w:p>
        </w:tc>
        <w:tc>
          <w:tcPr>
            <w:tcW w:w="1977" w:type="dxa"/>
            <w:vMerge w:val="continue"/>
            <w:vAlign w:val="center"/>
          </w:tcPr>
          <w:p>
            <w:pPr>
              <w:pStyle w:val="63"/>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restart"/>
            <w:vAlign w:val="center"/>
          </w:tcPr>
          <w:p>
            <w:pPr>
              <w:pStyle w:val="63"/>
              <w:rPr>
                <w:szCs w:val="21"/>
              </w:rPr>
            </w:pPr>
            <w:r>
              <w:rPr>
                <w:rFonts w:hint="eastAsia"/>
                <w:szCs w:val="21"/>
              </w:rPr>
              <w:t>三湾片区</w:t>
            </w:r>
          </w:p>
        </w:tc>
        <w:tc>
          <w:tcPr>
            <w:tcW w:w="1920" w:type="dxa"/>
            <w:vAlign w:val="center"/>
          </w:tcPr>
          <w:p>
            <w:pPr>
              <w:pStyle w:val="63"/>
              <w:rPr>
                <w:szCs w:val="21"/>
              </w:rPr>
            </w:pPr>
            <w:r>
              <w:rPr>
                <w:szCs w:val="21"/>
              </w:rPr>
              <w:t>三湾产业区管委会</w:t>
            </w:r>
          </w:p>
        </w:tc>
        <w:tc>
          <w:tcPr>
            <w:tcW w:w="1559" w:type="dxa"/>
            <w:vAlign w:val="center"/>
          </w:tcPr>
          <w:p>
            <w:pPr>
              <w:pStyle w:val="63"/>
              <w:rPr>
                <w:szCs w:val="21"/>
              </w:rPr>
            </w:pPr>
            <w:r>
              <w:rPr>
                <w:rFonts w:hint="eastAsia"/>
                <w:szCs w:val="21"/>
              </w:rPr>
              <w:t>113°25′52.24405″</w:t>
            </w:r>
          </w:p>
        </w:tc>
        <w:tc>
          <w:tcPr>
            <w:tcW w:w="1559" w:type="dxa"/>
            <w:vAlign w:val="center"/>
          </w:tcPr>
          <w:p>
            <w:pPr>
              <w:pStyle w:val="63"/>
              <w:rPr>
                <w:szCs w:val="21"/>
              </w:rPr>
            </w:pPr>
            <w:r>
              <w:rPr>
                <w:rFonts w:hint="eastAsia"/>
                <w:szCs w:val="21"/>
              </w:rPr>
              <w:t>29°26′20.42097″</w:t>
            </w:r>
          </w:p>
        </w:tc>
        <w:tc>
          <w:tcPr>
            <w:tcW w:w="2530" w:type="dxa"/>
            <w:vAlign w:val="center"/>
          </w:tcPr>
          <w:p>
            <w:pPr>
              <w:pStyle w:val="63"/>
              <w:rPr>
                <w:szCs w:val="21"/>
              </w:rPr>
            </w:pPr>
            <w:r>
              <w:rPr>
                <w:szCs w:val="21"/>
              </w:rPr>
              <w:t>行政办公</w:t>
            </w:r>
            <w:r>
              <w:rPr>
                <w:rFonts w:hint="eastAsia"/>
                <w:szCs w:val="21"/>
              </w:rPr>
              <w:t>，约</w:t>
            </w:r>
            <w:r>
              <w:rPr>
                <w:szCs w:val="21"/>
              </w:rPr>
              <w:t>50人</w:t>
            </w:r>
          </w:p>
        </w:tc>
        <w:tc>
          <w:tcPr>
            <w:tcW w:w="2231" w:type="dxa"/>
            <w:vMerge w:val="restart"/>
            <w:vAlign w:val="center"/>
          </w:tcPr>
          <w:p>
            <w:pPr>
              <w:pStyle w:val="63"/>
              <w:rPr>
                <w:szCs w:val="21"/>
              </w:rPr>
            </w:pPr>
            <w:r>
              <w:rPr>
                <w:rFonts w:hint="eastAsia"/>
                <w:szCs w:val="21"/>
              </w:rPr>
              <w:t>《环境空气质量标准》（GB3095-2012）中二级标准</w:t>
            </w:r>
          </w:p>
        </w:tc>
        <w:tc>
          <w:tcPr>
            <w:tcW w:w="1658" w:type="dxa"/>
            <w:vAlign w:val="center"/>
          </w:tcPr>
          <w:p>
            <w:pPr>
              <w:pStyle w:val="63"/>
              <w:rPr>
                <w:szCs w:val="21"/>
              </w:rPr>
            </w:pPr>
            <w:r>
              <w:rPr>
                <w:rFonts w:hint="eastAsia"/>
                <w:szCs w:val="21"/>
              </w:rPr>
              <w:t>园区内南侧</w:t>
            </w:r>
          </w:p>
        </w:tc>
        <w:tc>
          <w:tcPr>
            <w:tcW w:w="1977" w:type="dxa"/>
            <w:vAlign w:val="center"/>
          </w:tcPr>
          <w:p>
            <w:pPr>
              <w:pStyle w:val="63"/>
              <w:rPr>
                <w:szCs w:val="21"/>
              </w:rPr>
            </w:pPr>
            <w:r>
              <w:rPr>
                <w:rFonts w:hint="eastAsia"/>
                <w:szCs w:val="21"/>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庄上组</w:t>
            </w:r>
          </w:p>
        </w:tc>
        <w:tc>
          <w:tcPr>
            <w:tcW w:w="1559" w:type="dxa"/>
            <w:vAlign w:val="center"/>
          </w:tcPr>
          <w:p>
            <w:pPr>
              <w:pStyle w:val="63"/>
              <w:rPr>
                <w:szCs w:val="21"/>
              </w:rPr>
            </w:pPr>
            <w:r>
              <w:rPr>
                <w:rFonts w:hint="eastAsia"/>
                <w:color w:val="000000"/>
                <w:szCs w:val="21"/>
              </w:rPr>
              <w:t>113°25′45.04071″</w:t>
            </w:r>
          </w:p>
        </w:tc>
        <w:tc>
          <w:tcPr>
            <w:tcW w:w="1559" w:type="dxa"/>
            <w:vAlign w:val="center"/>
          </w:tcPr>
          <w:p>
            <w:pPr>
              <w:pStyle w:val="63"/>
              <w:rPr>
                <w:szCs w:val="21"/>
              </w:rPr>
            </w:pPr>
            <w:r>
              <w:rPr>
                <w:rFonts w:hint="eastAsia"/>
                <w:color w:val="000000"/>
                <w:szCs w:val="21"/>
              </w:rPr>
              <w:t>29°26′14.18323″</w:t>
            </w:r>
          </w:p>
        </w:tc>
        <w:tc>
          <w:tcPr>
            <w:tcW w:w="2530" w:type="dxa"/>
            <w:vAlign w:val="center"/>
          </w:tcPr>
          <w:p>
            <w:pPr>
              <w:pStyle w:val="63"/>
              <w:rPr>
                <w:szCs w:val="21"/>
              </w:rPr>
            </w:pPr>
            <w:r>
              <w:rPr>
                <w:szCs w:val="21"/>
              </w:rPr>
              <w:t>居住区</w:t>
            </w:r>
            <w:r>
              <w:rPr>
                <w:rFonts w:hint="eastAsia"/>
                <w:szCs w:val="21"/>
              </w:rPr>
              <w:t>，</w:t>
            </w:r>
            <w:r>
              <w:rPr>
                <w:szCs w:val="21"/>
              </w:rPr>
              <w:t>居民约150人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SW40m</w:t>
            </w:r>
          </w:p>
        </w:tc>
        <w:tc>
          <w:tcPr>
            <w:tcW w:w="1977" w:type="dxa"/>
            <w:vAlign w:val="center"/>
          </w:tcPr>
          <w:p>
            <w:pPr>
              <w:pStyle w:val="63"/>
              <w:rPr>
                <w:szCs w:val="21"/>
              </w:rPr>
            </w:pPr>
            <w:r>
              <w:rPr>
                <w:rFonts w:hint="eastAsia"/>
                <w:szCs w:val="21"/>
              </w:rPr>
              <w:t>核准范围内，规划范围外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石塘冲</w:t>
            </w:r>
          </w:p>
        </w:tc>
        <w:tc>
          <w:tcPr>
            <w:tcW w:w="1559" w:type="dxa"/>
            <w:vAlign w:val="center"/>
          </w:tcPr>
          <w:p>
            <w:pPr>
              <w:pStyle w:val="63"/>
              <w:rPr>
                <w:szCs w:val="21"/>
              </w:rPr>
            </w:pPr>
            <w:r>
              <w:rPr>
                <w:rFonts w:hint="eastAsia"/>
                <w:color w:val="000000"/>
                <w:szCs w:val="21"/>
              </w:rPr>
              <w:t>113°25′50.29355″</w:t>
            </w:r>
          </w:p>
        </w:tc>
        <w:tc>
          <w:tcPr>
            <w:tcW w:w="1559" w:type="dxa"/>
            <w:vAlign w:val="center"/>
          </w:tcPr>
          <w:p>
            <w:pPr>
              <w:pStyle w:val="63"/>
              <w:rPr>
                <w:szCs w:val="21"/>
              </w:rPr>
            </w:pPr>
            <w:r>
              <w:rPr>
                <w:rFonts w:hint="eastAsia"/>
                <w:color w:val="000000"/>
                <w:szCs w:val="21"/>
              </w:rPr>
              <w:t>29°26′56.92047″</w:t>
            </w:r>
          </w:p>
        </w:tc>
        <w:tc>
          <w:tcPr>
            <w:tcW w:w="2530" w:type="dxa"/>
            <w:vAlign w:val="center"/>
          </w:tcPr>
          <w:p>
            <w:pPr>
              <w:pStyle w:val="63"/>
              <w:rPr>
                <w:szCs w:val="21"/>
              </w:rPr>
            </w:pPr>
            <w:r>
              <w:rPr>
                <w:szCs w:val="21"/>
              </w:rPr>
              <w:t>居住区</w:t>
            </w:r>
            <w:r>
              <w:rPr>
                <w:rFonts w:hint="eastAsia"/>
                <w:szCs w:val="21"/>
              </w:rPr>
              <w:t>，</w:t>
            </w:r>
            <w:r>
              <w:rPr>
                <w:szCs w:val="21"/>
              </w:rPr>
              <w:t>居民约200人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N100m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联合村</w:t>
            </w:r>
          </w:p>
        </w:tc>
        <w:tc>
          <w:tcPr>
            <w:tcW w:w="1559" w:type="dxa"/>
            <w:vAlign w:val="center"/>
          </w:tcPr>
          <w:p>
            <w:pPr>
              <w:pStyle w:val="63"/>
              <w:rPr>
                <w:color w:val="000000"/>
                <w:szCs w:val="21"/>
              </w:rPr>
            </w:pPr>
            <w:r>
              <w:rPr>
                <w:rFonts w:hint="eastAsia"/>
                <w:color w:val="000000"/>
                <w:szCs w:val="21"/>
              </w:rPr>
              <w:t>113°26′28.91736″</w:t>
            </w:r>
          </w:p>
        </w:tc>
        <w:tc>
          <w:tcPr>
            <w:tcW w:w="1559" w:type="dxa"/>
            <w:vAlign w:val="center"/>
          </w:tcPr>
          <w:p>
            <w:pPr>
              <w:pStyle w:val="63"/>
              <w:rPr>
                <w:color w:val="000000"/>
                <w:szCs w:val="21"/>
              </w:rPr>
            </w:pPr>
            <w:r>
              <w:rPr>
                <w:rFonts w:hint="eastAsia"/>
                <w:color w:val="000000"/>
                <w:szCs w:val="21"/>
              </w:rPr>
              <w:t>29°26′30.15417″</w:t>
            </w:r>
          </w:p>
        </w:tc>
        <w:tc>
          <w:tcPr>
            <w:tcW w:w="2530" w:type="dxa"/>
            <w:vAlign w:val="center"/>
          </w:tcPr>
          <w:p>
            <w:pPr>
              <w:pStyle w:val="63"/>
              <w:rPr>
                <w:szCs w:val="21"/>
              </w:rPr>
            </w:pPr>
            <w:r>
              <w:rPr>
                <w:szCs w:val="21"/>
              </w:rPr>
              <w:t>居住区</w:t>
            </w:r>
            <w:r>
              <w:rPr>
                <w:rFonts w:hint="eastAsia"/>
                <w:szCs w:val="21"/>
              </w:rPr>
              <w:t>，</w:t>
            </w:r>
            <w:r>
              <w:rPr>
                <w:szCs w:val="21"/>
              </w:rPr>
              <w:t>居民约800人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E250m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陈家组</w:t>
            </w:r>
          </w:p>
        </w:tc>
        <w:tc>
          <w:tcPr>
            <w:tcW w:w="1559" w:type="dxa"/>
            <w:vAlign w:val="center"/>
          </w:tcPr>
          <w:p>
            <w:pPr>
              <w:pStyle w:val="63"/>
              <w:rPr>
                <w:color w:val="000000"/>
                <w:szCs w:val="21"/>
              </w:rPr>
            </w:pPr>
            <w:r>
              <w:rPr>
                <w:rFonts w:hint="eastAsia"/>
                <w:color w:val="000000"/>
                <w:szCs w:val="21"/>
              </w:rPr>
              <w:t>113°25′33.45357″</w:t>
            </w:r>
          </w:p>
        </w:tc>
        <w:tc>
          <w:tcPr>
            <w:tcW w:w="1559" w:type="dxa"/>
            <w:vAlign w:val="center"/>
          </w:tcPr>
          <w:p>
            <w:pPr>
              <w:pStyle w:val="63"/>
              <w:rPr>
                <w:color w:val="000000"/>
                <w:szCs w:val="21"/>
              </w:rPr>
            </w:pPr>
            <w:r>
              <w:rPr>
                <w:rFonts w:hint="eastAsia"/>
                <w:color w:val="000000"/>
                <w:szCs w:val="21"/>
              </w:rPr>
              <w:t>29°26′8.98833″</w:t>
            </w:r>
          </w:p>
        </w:tc>
        <w:tc>
          <w:tcPr>
            <w:tcW w:w="2530" w:type="dxa"/>
            <w:vAlign w:val="center"/>
          </w:tcPr>
          <w:p>
            <w:pPr>
              <w:pStyle w:val="63"/>
              <w:rPr>
                <w:szCs w:val="21"/>
              </w:rPr>
            </w:pPr>
            <w:r>
              <w:rPr>
                <w:szCs w:val="21"/>
              </w:rPr>
              <w:t>居住区</w:t>
            </w:r>
            <w:r>
              <w:rPr>
                <w:rFonts w:hint="eastAsia"/>
                <w:szCs w:val="21"/>
              </w:rPr>
              <w:t>，</w:t>
            </w:r>
            <w:r>
              <w:rPr>
                <w:szCs w:val="21"/>
              </w:rPr>
              <w:t>居民约370人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S260m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赵家大屋</w:t>
            </w:r>
          </w:p>
        </w:tc>
        <w:tc>
          <w:tcPr>
            <w:tcW w:w="1559" w:type="dxa"/>
            <w:vAlign w:val="center"/>
          </w:tcPr>
          <w:p>
            <w:pPr>
              <w:pStyle w:val="63"/>
              <w:rPr>
                <w:color w:val="000000"/>
                <w:szCs w:val="21"/>
              </w:rPr>
            </w:pPr>
            <w:r>
              <w:rPr>
                <w:rFonts w:hint="eastAsia"/>
                <w:color w:val="000000"/>
                <w:szCs w:val="21"/>
              </w:rPr>
              <w:t>113°25′49.13484″</w:t>
            </w:r>
          </w:p>
        </w:tc>
        <w:tc>
          <w:tcPr>
            <w:tcW w:w="1559" w:type="dxa"/>
            <w:vAlign w:val="center"/>
          </w:tcPr>
          <w:p>
            <w:pPr>
              <w:pStyle w:val="63"/>
              <w:rPr>
                <w:color w:val="000000"/>
                <w:szCs w:val="21"/>
              </w:rPr>
            </w:pPr>
            <w:r>
              <w:rPr>
                <w:rFonts w:hint="eastAsia"/>
                <w:color w:val="000000"/>
                <w:szCs w:val="21"/>
              </w:rPr>
              <w:t>29°25′41.33368″</w:t>
            </w:r>
          </w:p>
        </w:tc>
        <w:tc>
          <w:tcPr>
            <w:tcW w:w="2530" w:type="dxa"/>
            <w:vAlign w:val="center"/>
          </w:tcPr>
          <w:p>
            <w:pPr>
              <w:pStyle w:val="63"/>
              <w:rPr>
                <w:szCs w:val="21"/>
              </w:rPr>
            </w:pPr>
            <w:r>
              <w:rPr>
                <w:szCs w:val="21"/>
              </w:rPr>
              <w:t>居住区</w:t>
            </w:r>
            <w:r>
              <w:rPr>
                <w:rFonts w:hint="eastAsia"/>
                <w:szCs w:val="21"/>
              </w:rPr>
              <w:t>，</w:t>
            </w:r>
            <w:r>
              <w:rPr>
                <w:szCs w:val="21"/>
              </w:rPr>
              <w:t>居民约400人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新建队</w:t>
            </w:r>
          </w:p>
        </w:tc>
        <w:tc>
          <w:tcPr>
            <w:tcW w:w="1559" w:type="dxa"/>
            <w:vAlign w:val="center"/>
          </w:tcPr>
          <w:p>
            <w:pPr>
              <w:pStyle w:val="63"/>
              <w:rPr>
                <w:color w:val="000000"/>
                <w:szCs w:val="21"/>
              </w:rPr>
            </w:pPr>
            <w:r>
              <w:rPr>
                <w:rFonts w:hint="eastAsia"/>
                <w:color w:val="000000"/>
                <w:szCs w:val="21"/>
              </w:rPr>
              <w:t>113°26′33.74533″</w:t>
            </w:r>
          </w:p>
        </w:tc>
        <w:tc>
          <w:tcPr>
            <w:tcW w:w="1559" w:type="dxa"/>
            <w:vAlign w:val="center"/>
          </w:tcPr>
          <w:p>
            <w:pPr>
              <w:pStyle w:val="63"/>
              <w:rPr>
                <w:color w:val="000000"/>
                <w:szCs w:val="21"/>
              </w:rPr>
            </w:pPr>
            <w:r>
              <w:rPr>
                <w:rFonts w:hint="eastAsia"/>
                <w:color w:val="000000"/>
                <w:szCs w:val="21"/>
              </w:rPr>
              <w:t>29°25′58.09641″</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5</w:t>
            </w:r>
            <w:r>
              <w:rPr>
                <w:szCs w:val="21"/>
              </w:rPr>
              <w:t>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E500m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大岭村</w:t>
            </w:r>
          </w:p>
        </w:tc>
        <w:tc>
          <w:tcPr>
            <w:tcW w:w="1559" w:type="dxa"/>
            <w:vAlign w:val="center"/>
          </w:tcPr>
          <w:p>
            <w:pPr>
              <w:pStyle w:val="63"/>
              <w:rPr>
                <w:color w:val="000000"/>
                <w:szCs w:val="21"/>
              </w:rPr>
            </w:pPr>
            <w:r>
              <w:rPr>
                <w:rFonts w:hint="eastAsia"/>
                <w:color w:val="000000"/>
                <w:szCs w:val="21"/>
              </w:rPr>
              <w:t>113°26′27.79727″</w:t>
            </w:r>
          </w:p>
        </w:tc>
        <w:tc>
          <w:tcPr>
            <w:tcW w:w="1559" w:type="dxa"/>
            <w:vAlign w:val="center"/>
          </w:tcPr>
          <w:p>
            <w:pPr>
              <w:pStyle w:val="63"/>
              <w:rPr>
                <w:color w:val="000000"/>
                <w:szCs w:val="21"/>
              </w:rPr>
            </w:pPr>
            <w:r>
              <w:rPr>
                <w:rFonts w:hint="eastAsia"/>
                <w:color w:val="000000"/>
                <w:szCs w:val="21"/>
              </w:rPr>
              <w:t>29°25′27.85396″</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5</w:t>
            </w:r>
            <w:r>
              <w:rPr>
                <w:szCs w:val="21"/>
              </w:rPr>
              <w:t>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ES600m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王禾社区</w:t>
            </w:r>
          </w:p>
        </w:tc>
        <w:tc>
          <w:tcPr>
            <w:tcW w:w="1559" w:type="dxa"/>
            <w:vAlign w:val="center"/>
          </w:tcPr>
          <w:p>
            <w:pPr>
              <w:pStyle w:val="63"/>
              <w:rPr>
                <w:color w:val="000000"/>
                <w:szCs w:val="21"/>
              </w:rPr>
            </w:pPr>
            <w:r>
              <w:rPr>
                <w:rFonts w:hint="eastAsia"/>
                <w:color w:val="000000"/>
                <w:szCs w:val="21"/>
              </w:rPr>
              <w:t>113°25′1.78204″</w:t>
            </w:r>
          </w:p>
        </w:tc>
        <w:tc>
          <w:tcPr>
            <w:tcW w:w="1559" w:type="dxa"/>
            <w:vAlign w:val="center"/>
          </w:tcPr>
          <w:p>
            <w:pPr>
              <w:pStyle w:val="63"/>
              <w:rPr>
                <w:color w:val="000000"/>
                <w:szCs w:val="21"/>
              </w:rPr>
            </w:pPr>
            <w:r>
              <w:rPr>
                <w:rFonts w:hint="eastAsia"/>
                <w:color w:val="000000"/>
                <w:szCs w:val="21"/>
              </w:rPr>
              <w:t>29°26′8.13860″</w:t>
            </w:r>
          </w:p>
        </w:tc>
        <w:tc>
          <w:tcPr>
            <w:tcW w:w="2530" w:type="dxa"/>
            <w:vAlign w:val="center"/>
          </w:tcPr>
          <w:p>
            <w:pPr>
              <w:pStyle w:val="63"/>
              <w:rPr>
                <w:szCs w:val="21"/>
              </w:rPr>
            </w:pPr>
            <w:r>
              <w:rPr>
                <w:szCs w:val="21"/>
              </w:rPr>
              <w:t>居住区</w:t>
            </w:r>
            <w:r>
              <w:rPr>
                <w:rFonts w:hint="eastAsia"/>
                <w:szCs w:val="21"/>
              </w:rPr>
              <w:t>，</w:t>
            </w:r>
            <w:r>
              <w:rPr>
                <w:szCs w:val="21"/>
              </w:rPr>
              <w:t>居民约500人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SW800m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云水湾小区</w:t>
            </w:r>
          </w:p>
        </w:tc>
        <w:tc>
          <w:tcPr>
            <w:tcW w:w="1559" w:type="dxa"/>
            <w:vAlign w:val="center"/>
          </w:tcPr>
          <w:p>
            <w:pPr>
              <w:pStyle w:val="63"/>
              <w:rPr>
                <w:color w:val="000000"/>
                <w:szCs w:val="21"/>
              </w:rPr>
            </w:pPr>
            <w:r>
              <w:rPr>
                <w:rFonts w:hint="eastAsia"/>
                <w:color w:val="000000"/>
                <w:szCs w:val="21"/>
              </w:rPr>
              <w:t>113°26′4.12087″</w:t>
            </w:r>
          </w:p>
        </w:tc>
        <w:tc>
          <w:tcPr>
            <w:tcW w:w="1559" w:type="dxa"/>
            <w:vAlign w:val="center"/>
          </w:tcPr>
          <w:p>
            <w:pPr>
              <w:pStyle w:val="63"/>
              <w:rPr>
                <w:color w:val="000000"/>
                <w:szCs w:val="21"/>
              </w:rPr>
            </w:pPr>
            <w:r>
              <w:rPr>
                <w:rFonts w:hint="eastAsia"/>
                <w:color w:val="000000"/>
                <w:szCs w:val="21"/>
              </w:rPr>
              <w:t>29°27′26.19732″</w:t>
            </w:r>
          </w:p>
        </w:tc>
        <w:tc>
          <w:tcPr>
            <w:tcW w:w="2530" w:type="dxa"/>
            <w:vAlign w:val="center"/>
          </w:tcPr>
          <w:p>
            <w:pPr>
              <w:pStyle w:val="63"/>
              <w:rPr>
                <w:szCs w:val="21"/>
              </w:rPr>
            </w:pPr>
            <w:r>
              <w:rPr>
                <w:szCs w:val="21"/>
              </w:rPr>
              <w:t>居住区</w:t>
            </w:r>
            <w:r>
              <w:rPr>
                <w:rFonts w:hint="eastAsia"/>
                <w:szCs w:val="21"/>
              </w:rPr>
              <w:t>，</w:t>
            </w:r>
            <w:r>
              <w:rPr>
                <w:szCs w:val="21"/>
              </w:rPr>
              <w:t>约3万人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N1000m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szCs w:val="21"/>
              </w:rPr>
              <w:t>白云湖公园</w:t>
            </w:r>
          </w:p>
        </w:tc>
        <w:tc>
          <w:tcPr>
            <w:tcW w:w="1559" w:type="dxa"/>
            <w:vAlign w:val="center"/>
          </w:tcPr>
          <w:p>
            <w:pPr>
              <w:pStyle w:val="63"/>
              <w:rPr>
                <w:color w:val="000000"/>
                <w:szCs w:val="21"/>
              </w:rPr>
            </w:pPr>
            <w:r>
              <w:rPr>
                <w:rFonts w:hint="eastAsia"/>
                <w:szCs w:val="21"/>
              </w:rPr>
              <w:t>113°26′14.85829″</w:t>
            </w:r>
          </w:p>
        </w:tc>
        <w:tc>
          <w:tcPr>
            <w:tcW w:w="1559" w:type="dxa"/>
            <w:vAlign w:val="center"/>
          </w:tcPr>
          <w:p>
            <w:pPr>
              <w:pStyle w:val="63"/>
              <w:rPr>
                <w:color w:val="000000"/>
                <w:szCs w:val="21"/>
              </w:rPr>
            </w:pPr>
            <w:r>
              <w:rPr>
                <w:rFonts w:hint="eastAsia"/>
                <w:szCs w:val="21"/>
              </w:rPr>
              <w:t>29°27′34.15383″</w:t>
            </w:r>
          </w:p>
        </w:tc>
        <w:tc>
          <w:tcPr>
            <w:tcW w:w="2530" w:type="dxa"/>
            <w:vAlign w:val="center"/>
          </w:tcPr>
          <w:p>
            <w:pPr>
              <w:pStyle w:val="63"/>
              <w:rPr>
                <w:szCs w:val="21"/>
              </w:rPr>
            </w:pPr>
            <w:r>
              <w:rPr>
                <w:szCs w:val="21"/>
              </w:rPr>
              <w:t>公园</w:t>
            </w:r>
            <w:r>
              <w:rPr>
                <w:rFonts w:hint="eastAsia"/>
                <w:szCs w:val="21"/>
              </w:rPr>
              <w:t>，</w:t>
            </w:r>
            <w:r>
              <w:rPr>
                <w:szCs w:val="21"/>
              </w:rPr>
              <w:t>市级</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N1300m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大岭村</w:t>
            </w:r>
          </w:p>
        </w:tc>
        <w:tc>
          <w:tcPr>
            <w:tcW w:w="1559" w:type="dxa"/>
            <w:vAlign w:val="center"/>
          </w:tcPr>
          <w:p>
            <w:pPr>
              <w:pStyle w:val="63"/>
              <w:rPr>
                <w:szCs w:val="21"/>
              </w:rPr>
            </w:pPr>
            <w:r>
              <w:rPr>
                <w:rFonts w:hint="eastAsia"/>
                <w:color w:val="000000"/>
                <w:szCs w:val="21"/>
              </w:rPr>
              <w:t>113°24′45.94628″</w:t>
            </w:r>
          </w:p>
        </w:tc>
        <w:tc>
          <w:tcPr>
            <w:tcW w:w="1559" w:type="dxa"/>
            <w:vAlign w:val="center"/>
          </w:tcPr>
          <w:p>
            <w:pPr>
              <w:pStyle w:val="63"/>
              <w:rPr>
                <w:szCs w:val="21"/>
              </w:rPr>
            </w:pPr>
            <w:r>
              <w:rPr>
                <w:rFonts w:hint="eastAsia"/>
                <w:color w:val="000000"/>
                <w:szCs w:val="21"/>
              </w:rPr>
              <w:t>29°27′1.05322″</w:t>
            </w:r>
          </w:p>
        </w:tc>
        <w:tc>
          <w:tcPr>
            <w:tcW w:w="2530" w:type="dxa"/>
            <w:vAlign w:val="center"/>
          </w:tcPr>
          <w:p>
            <w:pPr>
              <w:pStyle w:val="63"/>
              <w:rPr>
                <w:szCs w:val="21"/>
              </w:rPr>
            </w:pPr>
            <w:r>
              <w:rPr>
                <w:szCs w:val="21"/>
              </w:rPr>
              <w:t>居住区</w:t>
            </w:r>
            <w:r>
              <w:rPr>
                <w:rFonts w:hint="eastAsia"/>
                <w:szCs w:val="21"/>
              </w:rPr>
              <w:t>，</w:t>
            </w:r>
            <w:r>
              <w:rPr>
                <w:szCs w:val="21"/>
              </w:rPr>
              <w:t>居民约550人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W1500m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临湘市</w:t>
            </w:r>
          </w:p>
        </w:tc>
        <w:tc>
          <w:tcPr>
            <w:tcW w:w="1559" w:type="dxa"/>
            <w:vAlign w:val="center"/>
          </w:tcPr>
          <w:p>
            <w:pPr>
              <w:pStyle w:val="63"/>
              <w:rPr>
                <w:color w:val="000000"/>
                <w:szCs w:val="21"/>
              </w:rPr>
            </w:pPr>
            <w:r>
              <w:rPr>
                <w:rFonts w:hint="eastAsia"/>
                <w:color w:val="000000"/>
                <w:szCs w:val="21"/>
              </w:rPr>
              <w:t>113°26′38.95954″</w:t>
            </w:r>
          </w:p>
        </w:tc>
        <w:tc>
          <w:tcPr>
            <w:tcW w:w="1559" w:type="dxa"/>
            <w:vAlign w:val="center"/>
          </w:tcPr>
          <w:p>
            <w:pPr>
              <w:pStyle w:val="63"/>
              <w:rPr>
                <w:color w:val="000000"/>
                <w:szCs w:val="21"/>
              </w:rPr>
            </w:pPr>
            <w:r>
              <w:rPr>
                <w:rFonts w:hint="eastAsia"/>
                <w:color w:val="000000"/>
                <w:szCs w:val="21"/>
              </w:rPr>
              <w:t>29°28′11.15544″</w:t>
            </w:r>
          </w:p>
        </w:tc>
        <w:tc>
          <w:tcPr>
            <w:tcW w:w="2530" w:type="dxa"/>
            <w:vAlign w:val="center"/>
          </w:tcPr>
          <w:p>
            <w:pPr>
              <w:pStyle w:val="63"/>
              <w:rPr>
                <w:szCs w:val="21"/>
              </w:rPr>
            </w:pPr>
            <w:r>
              <w:rPr>
                <w:szCs w:val="21"/>
              </w:rPr>
              <w:t>居住区</w:t>
            </w:r>
            <w:r>
              <w:rPr>
                <w:rFonts w:hint="eastAsia"/>
                <w:szCs w:val="21"/>
              </w:rPr>
              <w:t>，</w:t>
            </w:r>
            <w:r>
              <w:rPr>
                <w:szCs w:val="21"/>
              </w:rPr>
              <w:t>约7万人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N1500m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大刘家</w:t>
            </w:r>
          </w:p>
        </w:tc>
        <w:tc>
          <w:tcPr>
            <w:tcW w:w="1559" w:type="dxa"/>
            <w:vAlign w:val="center"/>
          </w:tcPr>
          <w:p>
            <w:pPr>
              <w:pStyle w:val="63"/>
              <w:rPr>
                <w:color w:val="000000"/>
                <w:szCs w:val="21"/>
              </w:rPr>
            </w:pPr>
            <w:r>
              <w:rPr>
                <w:rFonts w:hint="eastAsia"/>
                <w:color w:val="000000"/>
                <w:szCs w:val="21"/>
              </w:rPr>
              <w:t>113°24′42.58601″</w:t>
            </w:r>
          </w:p>
        </w:tc>
        <w:tc>
          <w:tcPr>
            <w:tcW w:w="1559" w:type="dxa"/>
            <w:vAlign w:val="center"/>
          </w:tcPr>
          <w:p>
            <w:pPr>
              <w:pStyle w:val="63"/>
              <w:rPr>
                <w:color w:val="000000"/>
                <w:szCs w:val="21"/>
              </w:rPr>
            </w:pPr>
            <w:r>
              <w:rPr>
                <w:rFonts w:hint="eastAsia"/>
                <w:color w:val="000000"/>
                <w:szCs w:val="21"/>
              </w:rPr>
              <w:t>29°25′45.23468″</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6</w:t>
            </w:r>
            <w:r>
              <w:rPr>
                <w:szCs w:val="21"/>
              </w:rPr>
              <w:t>00人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SW1600m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szCs w:val="21"/>
              </w:rPr>
              <w:t>五尖山森林公园</w:t>
            </w:r>
          </w:p>
        </w:tc>
        <w:tc>
          <w:tcPr>
            <w:tcW w:w="1559" w:type="dxa"/>
            <w:vAlign w:val="center"/>
          </w:tcPr>
          <w:p>
            <w:pPr>
              <w:pStyle w:val="63"/>
              <w:rPr>
                <w:color w:val="000000"/>
                <w:szCs w:val="21"/>
              </w:rPr>
            </w:pPr>
            <w:r>
              <w:rPr>
                <w:rFonts w:hint="eastAsia"/>
                <w:szCs w:val="21"/>
              </w:rPr>
              <w:t>113°24′21.02116″</w:t>
            </w:r>
          </w:p>
        </w:tc>
        <w:tc>
          <w:tcPr>
            <w:tcW w:w="1559" w:type="dxa"/>
            <w:vAlign w:val="center"/>
          </w:tcPr>
          <w:p>
            <w:pPr>
              <w:pStyle w:val="63"/>
              <w:rPr>
                <w:color w:val="000000"/>
                <w:szCs w:val="21"/>
              </w:rPr>
            </w:pPr>
            <w:r>
              <w:rPr>
                <w:rFonts w:hint="eastAsia"/>
                <w:szCs w:val="21"/>
              </w:rPr>
              <w:t>29°28′17.27559″</w:t>
            </w:r>
          </w:p>
        </w:tc>
        <w:tc>
          <w:tcPr>
            <w:tcW w:w="2530" w:type="dxa"/>
            <w:vAlign w:val="center"/>
          </w:tcPr>
          <w:p>
            <w:pPr>
              <w:pStyle w:val="63"/>
              <w:rPr>
                <w:szCs w:val="21"/>
              </w:rPr>
            </w:pPr>
            <w:r>
              <w:rPr>
                <w:szCs w:val="21"/>
              </w:rPr>
              <w:t>公园</w:t>
            </w:r>
            <w:r>
              <w:rPr>
                <w:rFonts w:hint="eastAsia"/>
                <w:szCs w:val="21"/>
              </w:rPr>
              <w:t>，</w:t>
            </w:r>
            <w:r>
              <w:rPr>
                <w:szCs w:val="21"/>
              </w:rPr>
              <w:t>约1万公顷</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NW3500m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restart"/>
            <w:vAlign w:val="center"/>
          </w:tcPr>
          <w:p>
            <w:pPr>
              <w:pStyle w:val="63"/>
              <w:rPr>
                <w:szCs w:val="21"/>
              </w:rPr>
            </w:pPr>
            <w:r>
              <w:rPr>
                <w:rFonts w:hint="eastAsia"/>
                <w:szCs w:val="21"/>
              </w:rPr>
              <w:t>绿色建材产业园</w:t>
            </w:r>
          </w:p>
        </w:tc>
        <w:tc>
          <w:tcPr>
            <w:tcW w:w="1920" w:type="dxa"/>
            <w:vAlign w:val="center"/>
          </w:tcPr>
          <w:p>
            <w:pPr>
              <w:pStyle w:val="63"/>
              <w:rPr>
                <w:szCs w:val="21"/>
              </w:rPr>
            </w:pPr>
            <w:r>
              <w:rPr>
                <w:rFonts w:hint="eastAsia"/>
                <w:color w:val="000000"/>
                <w:szCs w:val="21"/>
              </w:rPr>
              <w:t>戴家冲</w:t>
            </w:r>
          </w:p>
        </w:tc>
        <w:tc>
          <w:tcPr>
            <w:tcW w:w="1559" w:type="dxa"/>
            <w:vAlign w:val="center"/>
          </w:tcPr>
          <w:p>
            <w:pPr>
              <w:pStyle w:val="63"/>
              <w:rPr>
                <w:szCs w:val="21"/>
              </w:rPr>
            </w:pPr>
            <w:r>
              <w:rPr>
                <w:rFonts w:hint="eastAsia"/>
                <w:color w:val="000000"/>
                <w:szCs w:val="21"/>
              </w:rPr>
              <w:t>113°25′3.80971″</w:t>
            </w:r>
          </w:p>
        </w:tc>
        <w:tc>
          <w:tcPr>
            <w:tcW w:w="1559" w:type="dxa"/>
            <w:vAlign w:val="center"/>
          </w:tcPr>
          <w:p>
            <w:pPr>
              <w:pStyle w:val="63"/>
              <w:rPr>
                <w:szCs w:val="21"/>
              </w:rPr>
            </w:pPr>
            <w:r>
              <w:rPr>
                <w:rFonts w:hint="eastAsia"/>
                <w:color w:val="000000"/>
                <w:szCs w:val="21"/>
              </w:rPr>
              <w:t>29°30′32.18070″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w:t>
            </w:r>
            <w:r>
              <w:rPr>
                <w:szCs w:val="21"/>
              </w:rPr>
              <w:t>0人</w:t>
            </w:r>
          </w:p>
        </w:tc>
        <w:tc>
          <w:tcPr>
            <w:tcW w:w="2231" w:type="dxa"/>
            <w:vMerge w:val="restart"/>
            <w:vAlign w:val="center"/>
          </w:tcPr>
          <w:p>
            <w:pPr>
              <w:pStyle w:val="63"/>
              <w:rPr>
                <w:szCs w:val="21"/>
              </w:rPr>
            </w:pPr>
            <w:r>
              <w:rPr>
                <w:rFonts w:hint="eastAsia"/>
                <w:szCs w:val="21"/>
              </w:rPr>
              <w:t>《环境空气质量标准》（GB3095-2012）中二级标准</w:t>
            </w:r>
          </w:p>
        </w:tc>
        <w:tc>
          <w:tcPr>
            <w:tcW w:w="1658" w:type="dxa"/>
            <w:vAlign w:val="center"/>
          </w:tcPr>
          <w:p>
            <w:pPr>
              <w:pStyle w:val="63"/>
              <w:rPr>
                <w:szCs w:val="21"/>
              </w:rPr>
            </w:pPr>
            <w:r>
              <w:rPr>
                <w:rFonts w:hint="eastAsia"/>
                <w:szCs w:val="21"/>
              </w:rPr>
              <w:t>E210m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五里牌</w:t>
            </w:r>
          </w:p>
        </w:tc>
        <w:tc>
          <w:tcPr>
            <w:tcW w:w="1559" w:type="dxa"/>
            <w:vAlign w:val="center"/>
          </w:tcPr>
          <w:p>
            <w:pPr>
              <w:pStyle w:val="63"/>
              <w:rPr>
                <w:szCs w:val="21"/>
              </w:rPr>
            </w:pPr>
            <w:r>
              <w:rPr>
                <w:rFonts w:hint="eastAsia"/>
                <w:color w:val="000000"/>
                <w:szCs w:val="21"/>
              </w:rPr>
              <w:t>113°24′12.53537″</w:t>
            </w:r>
          </w:p>
        </w:tc>
        <w:tc>
          <w:tcPr>
            <w:tcW w:w="1559" w:type="dxa"/>
            <w:vAlign w:val="center"/>
          </w:tcPr>
          <w:p>
            <w:pPr>
              <w:pStyle w:val="63"/>
              <w:rPr>
                <w:szCs w:val="21"/>
              </w:rPr>
            </w:pPr>
            <w:r>
              <w:rPr>
                <w:rFonts w:hint="eastAsia"/>
                <w:color w:val="000000"/>
                <w:szCs w:val="21"/>
              </w:rPr>
              <w:t>29°29′54.56471″</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40</w:t>
            </w:r>
            <w:r>
              <w:rPr>
                <w:szCs w:val="21"/>
              </w:rPr>
              <w:t>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S1000m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台上村</w:t>
            </w:r>
          </w:p>
        </w:tc>
        <w:tc>
          <w:tcPr>
            <w:tcW w:w="1559" w:type="dxa"/>
            <w:vAlign w:val="center"/>
          </w:tcPr>
          <w:p>
            <w:pPr>
              <w:pStyle w:val="63"/>
              <w:rPr>
                <w:szCs w:val="21"/>
              </w:rPr>
            </w:pPr>
            <w:r>
              <w:rPr>
                <w:rFonts w:hint="eastAsia"/>
                <w:color w:val="000000"/>
                <w:szCs w:val="21"/>
              </w:rPr>
              <w:t>113°24′32.83341″</w:t>
            </w:r>
          </w:p>
        </w:tc>
        <w:tc>
          <w:tcPr>
            <w:tcW w:w="1559" w:type="dxa"/>
            <w:vAlign w:val="center"/>
          </w:tcPr>
          <w:p>
            <w:pPr>
              <w:pStyle w:val="63"/>
              <w:rPr>
                <w:szCs w:val="21"/>
              </w:rPr>
            </w:pPr>
            <w:r>
              <w:rPr>
                <w:rFonts w:hint="eastAsia"/>
                <w:color w:val="000000"/>
                <w:szCs w:val="21"/>
              </w:rPr>
              <w:t>29°29′35.40370″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S1300m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路口铺村</w:t>
            </w:r>
          </w:p>
        </w:tc>
        <w:tc>
          <w:tcPr>
            <w:tcW w:w="1559" w:type="dxa"/>
            <w:vAlign w:val="center"/>
          </w:tcPr>
          <w:p>
            <w:pPr>
              <w:pStyle w:val="63"/>
              <w:rPr>
                <w:szCs w:val="21"/>
              </w:rPr>
            </w:pPr>
            <w:r>
              <w:rPr>
                <w:rFonts w:hint="eastAsia"/>
                <w:color w:val="000000"/>
                <w:szCs w:val="21"/>
              </w:rPr>
              <w:t>113°23′18.59845″</w:t>
            </w:r>
          </w:p>
        </w:tc>
        <w:tc>
          <w:tcPr>
            <w:tcW w:w="1559" w:type="dxa"/>
            <w:vAlign w:val="center"/>
          </w:tcPr>
          <w:p>
            <w:pPr>
              <w:pStyle w:val="63"/>
              <w:rPr>
                <w:szCs w:val="21"/>
              </w:rPr>
            </w:pPr>
            <w:r>
              <w:rPr>
                <w:rFonts w:hint="eastAsia"/>
                <w:color w:val="000000"/>
                <w:szCs w:val="21"/>
              </w:rPr>
              <w:t>29°30′16.03595″</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30</w:t>
            </w:r>
            <w:r>
              <w:rPr>
                <w:szCs w:val="21"/>
              </w:rPr>
              <w:t>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W1500m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新屋</w:t>
            </w:r>
          </w:p>
        </w:tc>
        <w:tc>
          <w:tcPr>
            <w:tcW w:w="1559" w:type="dxa"/>
            <w:vAlign w:val="center"/>
          </w:tcPr>
          <w:p>
            <w:pPr>
              <w:pStyle w:val="63"/>
              <w:rPr>
                <w:szCs w:val="21"/>
              </w:rPr>
            </w:pPr>
            <w:r>
              <w:rPr>
                <w:rFonts w:hint="eastAsia"/>
                <w:color w:val="000000"/>
                <w:szCs w:val="21"/>
              </w:rPr>
              <w:t>113°25′45.92774″</w:t>
            </w:r>
          </w:p>
        </w:tc>
        <w:tc>
          <w:tcPr>
            <w:tcW w:w="1559" w:type="dxa"/>
            <w:vAlign w:val="center"/>
          </w:tcPr>
          <w:p>
            <w:pPr>
              <w:pStyle w:val="63"/>
              <w:rPr>
                <w:szCs w:val="21"/>
              </w:rPr>
            </w:pPr>
            <w:r>
              <w:rPr>
                <w:rFonts w:hint="eastAsia"/>
                <w:color w:val="000000"/>
                <w:szCs w:val="21"/>
              </w:rPr>
              <w:t>29°30′1.51700″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60</w:t>
            </w:r>
            <w:r>
              <w:rPr>
                <w:szCs w:val="21"/>
              </w:rPr>
              <w:t>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E1500m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临湘市</w:t>
            </w:r>
          </w:p>
        </w:tc>
        <w:tc>
          <w:tcPr>
            <w:tcW w:w="1559" w:type="dxa"/>
            <w:vAlign w:val="center"/>
          </w:tcPr>
          <w:p>
            <w:pPr>
              <w:pStyle w:val="63"/>
              <w:rPr>
                <w:szCs w:val="21"/>
              </w:rPr>
            </w:pPr>
            <w:r>
              <w:rPr>
                <w:rFonts w:hint="eastAsia"/>
                <w:color w:val="000000"/>
                <w:szCs w:val="21"/>
              </w:rPr>
              <w:t>113°25′44.51921″</w:t>
            </w:r>
          </w:p>
        </w:tc>
        <w:tc>
          <w:tcPr>
            <w:tcW w:w="1559" w:type="dxa"/>
            <w:vAlign w:val="center"/>
          </w:tcPr>
          <w:p>
            <w:pPr>
              <w:pStyle w:val="63"/>
              <w:rPr>
                <w:szCs w:val="21"/>
              </w:rPr>
            </w:pPr>
            <w:r>
              <w:rPr>
                <w:rFonts w:hint="eastAsia"/>
                <w:color w:val="000000"/>
                <w:szCs w:val="21"/>
              </w:rPr>
              <w:t>29°29′12.38391″</w:t>
            </w:r>
          </w:p>
        </w:tc>
        <w:tc>
          <w:tcPr>
            <w:tcW w:w="2530" w:type="dxa"/>
            <w:vAlign w:val="center"/>
          </w:tcPr>
          <w:p>
            <w:pPr>
              <w:pStyle w:val="63"/>
              <w:rPr>
                <w:szCs w:val="21"/>
              </w:rPr>
            </w:pPr>
            <w:r>
              <w:rPr>
                <w:szCs w:val="21"/>
              </w:rPr>
              <w:t>居住区</w:t>
            </w:r>
            <w:r>
              <w:rPr>
                <w:rFonts w:hint="eastAsia"/>
                <w:szCs w:val="21"/>
              </w:rPr>
              <w:t>，</w:t>
            </w:r>
            <w:r>
              <w:rPr>
                <w:szCs w:val="21"/>
              </w:rPr>
              <w:t>约7万人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SE2400m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restart"/>
            <w:vAlign w:val="center"/>
          </w:tcPr>
          <w:p>
            <w:pPr>
              <w:pStyle w:val="63"/>
              <w:rPr>
                <w:szCs w:val="21"/>
              </w:rPr>
            </w:pPr>
            <w:r>
              <w:rPr>
                <w:rFonts w:hint="eastAsia"/>
                <w:szCs w:val="21"/>
              </w:rPr>
              <w:t>滨江片区绿色化工产业园</w:t>
            </w:r>
          </w:p>
        </w:tc>
        <w:tc>
          <w:tcPr>
            <w:tcW w:w="1920" w:type="dxa"/>
            <w:vAlign w:val="center"/>
          </w:tcPr>
          <w:p>
            <w:pPr>
              <w:pStyle w:val="63"/>
              <w:rPr>
                <w:szCs w:val="21"/>
              </w:rPr>
            </w:pPr>
            <w:r>
              <w:rPr>
                <w:rFonts w:hint="eastAsia"/>
                <w:color w:val="000000"/>
                <w:szCs w:val="21"/>
              </w:rPr>
              <w:t>谢家坳</w:t>
            </w:r>
          </w:p>
        </w:tc>
        <w:tc>
          <w:tcPr>
            <w:tcW w:w="1559" w:type="dxa"/>
            <w:vAlign w:val="center"/>
          </w:tcPr>
          <w:p>
            <w:pPr>
              <w:pStyle w:val="63"/>
              <w:rPr>
                <w:szCs w:val="21"/>
              </w:rPr>
            </w:pPr>
            <w:r>
              <w:rPr>
                <w:rFonts w:hint="eastAsia"/>
                <w:color w:val="000000"/>
                <w:szCs w:val="21"/>
              </w:rPr>
              <w:t>113°22′33.25343″</w:t>
            </w:r>
          </w:p>
        </w:tc>
        <w:tc>
          <w:tcPr>
            <w:tcW w:w="1559" w:type="dxa"/>
            <w:vAlign w:val="center"/>
          </w:tcPr>
          <w:p>
            <w:pPr>
              <w:pStyle w:val="63"/>
              <w:rPr>
                <w:szCs w:val="21"/>
              </w:rPr>
            </w:pPr>
            <w:r>
              <w:rPr>
                <w:rFonts w:hint="eastAsia"/>
                <w:color w:val="000000"/>
                <w:szCs w:val="21"/>
              </w:rPr>
              <w:t>29°36′34.48695″</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30</w:t>
            </w:r>
            <w:r>
              <w:rPr>
                <w:szCs w:val="21"/>
              </w:rPr>
              <w:t>人</w:t>
            </w:r>
          </w:p>
        </w:tc>
        <w:tc>
          <w:tcPr>
            <w:tcW w:w="2231" w:type="dxa"/>
            <w:vMerge w:val="restart"/>
            <w:vAlign w:val="center"/>
          </w:tcPr>
          <w:p>
            <w:pPr>
              <w:pStyle w:val="63"/>
              <w:rPr>
                <w:szCs w:val="21"/>
              </w:rPr>
            </w:pPr>
            <w:r>
              <w:rPr>
                <w:rFonts w:hint="eastAsia"/>
                <w:szCs w:val="21"/>
              </w:rPr>
              <w:t>《环境空气质量标准》（GB3095-2012）中二级标准</w:t>
            </w:r>
          </w:p>
        </w:tc>
        <w:tc>
          <w:tcPr>
            <w:tcW w:w="1658" w:type="dxa"/>
            <w:vAlign w:val="center"/>
          </w:tcPr>
          <w:p>
            <w:pPr>
              <w:pStyle w:val="63"/>
              <w:rPr>
                <w:szCs w:val="21"/>
              </w:rPr>
            </w:pPr>
            <w:r>
              <w:rPr>
                <w:rFonts w:hint="eastAsia"/>
                <w:szCs w:val="21"/>
              </w:rPr>
              <w:t>园区内南部</w:t>
            </w:r>
          </w:p>
        </w:tc>
        <w:tc>
          <w:tcPr>
            <w:tcW w:w="1977" w:type="dxa"/>
            <w:vAlign w:val="center"/>
          </w:tcPr>
          <w:p>
            <w:pPr>
              <w:pStyle w:val="63"/>
              <w:rPr>
                <w:szCs w:val="21"/>
              </w:rPr>
            </w:pPr>
            <w:r>
              <w:rPr>
                <w:rFonts w:hint="eastAsia"/>
                <w:szCs w:val="21"/>
              </w:rPr>
              <w:t>核准范围外</w:t>
            </w:r>
          </w:p>
          <w:p>
            <w:pPr>
              <w:pStyle w:val="63"/>
              <w:rPr>
                <w:szCs w:val="21"/>
              </w:rPr>
            </w:pPr>
            <w:r>
              <w:rPr>
                <w:rFonts w:hint="eastAsia"/>
                <w:szCs w:val="21"/>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杨家大屋</w:t>
            </w:r>
          </w:p>
        </w:tc>
        <w:tc>
          <w:tcPr>
            <w:tcW w:w="1559" w:type="dxa"/>
            <w:vAlign w:val="center"/>
          </w:tcPr>
          <w:p>
            <w:pPr>
              <w:pStyle w:val="63"/>
              <w:rPr>
                <w:szCs w:val="21"/>
              </w:rPr>
            </w:pPr>
            <w:r>
              <w:rPr>
                <w:rFonts w:hint="eastAsia"/>
                <w:color w:val="000000"/>
                <w:szCs w:val="21"/>
              </w:rPr>
              <w:t>113°22′2.77262″</w:t>
            </w:r>
          </w:p>
        </w:tc>
        <w:tc>
          <w:tcPr>
            <w:tcW w:w="1559" w:type="dxa"/>
            <w:vAlign w:val="center"/>
          </w:tcPr>
          <w:p>
            <w:pPr>
              <w:pStyle w:val="63"/>
              <w:rPr>
                <w:szCs w:val="21"/>
              </w:rPr>
            </w:pPr>
            <w:r>
              <w:rPr>
                <w:rFonts w:hint="eastAsia"/>
                <w:color w:val="000000"/>
                <w:szCs w:val="21"/>
              </w:rPr>
              <w:t>29°37′14.17436″</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20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园区内西部</w:t>
            </w:r>
          </w:p>
        </w:tc>
        <w:tc>
          <w:tcPr>
            <w:tcW w:w="1977" w:type="dxa"/>
            <w:vAlign w:val="center"/>
          </w:tcPr>
          <w:p>
            <w:pPr>
              <w:pStyle w:val="63"/>
              <w:rPr>
                <w:szCs w:val="21"/>
              </w:rPr>
            </w:pPr>
            <w:r>
              <w:rPr>
                <w:rFonts w:hint="eastAsia"/>
                <w:szCs w:val="21"/>
              </w:rPr>
              <w:t>核准范围外</w:t>
            </w:r>
          </w:p>
          <w:p>
            <w:pPr>
              <w:pStyle w:val="63"/>
              <w:rPr>
                <w:szCs w:val="21"/>
              </w:rPr>
            </w:pPr>
            <w:r>
              <w:rPr>
                <w:rFonts w:hint="eastAsia"/>
                <w:szCs w:val="21"/>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唐家冲</w:t>
            </w:r>
          </w:p>
        </w:tc>
        <w:tc>
          <w:tcPr>
            <w:tcW w:w="1559" w:type="dxa"/>
            <w:vAlign w:val="center"/>
          </w:tcPr>
          <w:p>
            <w:pPr>
              <w:pStyle w:val="63"/>
              <w:rPr>
                <w:szCs w:val="21"/>
              </w:rPr>
            </w:pPr>
            <w:r>
              <w:rPr>
                <w:rFonts w:hint="eastAsia"/>
                <w:color w:val="000000"/>
                <w:szCs w:val="21"/>
              </w:rPr>
              <w:t>113°23′9.20557″</w:t>
            </w:r>
          </w:p>
        </w:tc>
        <w:tc>
          <w:tcPr>
            <w:tcW w:w="1559" w:type="dxa"/>
            <w:vAlign w:val="center"/>
          </w:tcPr>
          <w:p>
            <w:pPr>
              <w:pStyle w:val="63"/>
              <w:rPr>
                <w:szCs w:val="21"/>
              </w:rPr>
            </w:pPr>
            <w:r>
              <w:rPr>
                <w:rFonts w:hint="eastAsia"/>
                <w:color w:val="000000"/>
                <w:szCs w:val="21"/>
              </w:rPr>
              <w:t>29°36′30.37496″</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园区内东部</w:t>
            </w:r>
          </w:p>
        </w:tc>
        <w:tc>
          <w:tcPr>
            <w:tcW w:w="1977" w:type="dxa"/>
            <w:vAlign w:val="center"/>
          </w:tcPr>
          <w:p>
            <w:pPr>
              <w:pStyle w:val="63"/>
              <w:rPr>
                <w:szCs w:val="21"/>
              </w:rPr>
            </w:pPr>
            <w:r>
              <w:rPr>
                <w:rFonts w:hint="eastAsia"/>
                <w:szCs w:val="21"/>
              </w:rPr>
              <w:t>核准范围外</w:t>
            </w:r>
          </w:p>
          <w:p>
            <w:pPr>
              <w:pStyle w:val="63"/>
              <w:rPr>
                <w:szCs w:val="21"/>
              </w:rPr>
            </w:pPr>
            <w:r>
              <w:rPr>
                <w:rFonts w:hint="eastAsia"/>
                <w:szCs w:val="21"/>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万家冲</w:t>
            </w:r>
          </w:p>
        </w:tc>
        <w:tc>
          <w:tcPr>
            <w:tcW w:w="1559" w:type="dxa"/>
            <w:vAlign w:val="center"/>
          </w:tcPr>
          <w:p>
            <w:pPr>
              <w:pStyle w:val="63"/>
              <w:rPr>
                <w:szCs w:val="21"/>
              </w:rPr>
            </w:pPr>
            <w:r>
              <w:rPr>
                <w:rFonts w:hint="eastAsia"/>
                <w:color w:val="000000"/>
                <w:szCs w:val="21"/>
              </w:rPr>
              <w:t>113°22′53.44705″</w:t>
            </w:r>
          </w:p>
        </w:tc>
        <w:tc>
          <w:tcPr>
            <w:tcW w:w="1559" w:type="dxa"/>
            <w:vAlign w:val="center"/>
          </w:tcPr>
          <w:p>
            <w:pPr>
              <w:pStyle w:val="63"/>
              <w:rPr>
                <w:szCs w:val="21"/>
              </w:rPr>
            </w:pPr>
            <w:r>
              <w:rPr>
                <w:rFonts w:hint="eastAsia"/>
                <w:color w:val="000000"/>
                <w:szCs w:val="21"/>
              </w:rPr>
              <w:t>29°37′49.24478″</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园区内北侧</w:t>
            </w:r>
          </w:p>
        </w:tc>
        <w:tc>
          <w:tcPr>
            <w:tcW w:w="1977" w:type="dxa"/>
            <w:vAlign w:val="center"/>
          </w:tcPr>
          <w:p>
            <w:pPr>
              <w:pStyle w:val="63"/>
              <w:rPr>
                <w:szCs w:val="21"/>
              </w:rPr>
            </w:pPr>
            <w:r>
              <w:rPr>
                <w:rFonts w:hint="eastAsia"/>
                <w:szCs w:val="21"/>
              </w:rPr>
              <w:t>核准范围外</w:t>
            </w:r>
          </w:p>
          <w:p>
            <w:pPr>
              <w:pStyle w:val="63"/>
              <w:rPr>
                <w:szCs w:val="21"/>
              </w:rPr>
            </w:pPr>
            <w:r>
              <w:rPr>
                <w:rFonts w:hint="eastAsia"/>
                <w:szCs w:val="21"/>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杨家集会</w:t>
            </w:r>
          </w:p>
        </w:tc>
        <w:tc>
          <w:tcPr>
            <w:tcW w:w="1559" w:type="dxa"/>
            <w:vAlign w:val="center"/>
          </w:tcPr>
          <w:p>
            <w:pPr>
              <w:pStyle w:val="63"/>
              <w:rPr>
                <w:szCs w:val="21"/>
              </w:rPr>
            </w:pPr>
            <w:r>
              <w:rPr>
                <w:rFonts w:hint="eastAsia"/>
                <w:color w:val="000000"/>
                <w:szCs w:val="21"/>
              </w:rPr>
              <w:t>113°23′32.68884″</w:t>
            </w:r>
          </w:p>
        </w:tc>
        <w:tc>
          <w:tcPr>
            <w:tcW w:w="1559" w:type="dxa"/>
            <w:vAlign w:val="center"/>
          </w:tcPr>
          <w:p>
            <w:pPr>
              <w:pStyle w:val="63"/>
              <w:rPr>
                <w:szCs w:val="21"/>
              </w:rPr>
            </w:pPr>
            <w:r>
              <w:rPr>
                <w:rFonts w:hint="eastAsia"/>
                <w:color w:val="000000"/>
                <w:szCs w:val="21"/>
              </w:rPr>
              <w:t>29°36′48.75990″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E160m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洋溪村</w:t>
            </w:r>
          </w:p>
        </w:tc>
        <w:tc>
          <w:tcPr>
            <w:tcW w:w="1559" w:type="dxa"/>
            <w:vAlign w:val="center"/>
          </w:tcPr>
          <w:p>
            <w:pPr>
              <w:pStyle w:val="63"/>
              <w:rPr>
                <w:color w:val="000000"/>
                <w:szCs w:val="21"/>
              </w:rPr>
            </w:pPr>
            <w:r>
              <w:rPr>
                <w:rFonts w:hint="eastAsia"/>
                <w:color w:val="000000"/>
                <w:szCs w:val="21"/>
              </w:rPr>
              <w:t>113°22′10.83683″</w:t>
            </w:r>
          </w:p>
        </w:tc>
        <w:tc>
          <w:tcPr>
            <w:tcW w:w="1559" w:type="dxa"/>
            <w:vAlign w:val="center"/>
          </w:tcPr>
          <w:p>
            <w:pPr>
              <w:pStyle w:val="63"/>
              <w:rPr>
                <w:color w:val="000000"/>
                <w:szCs w:val="21"/>
              </w:rPr>
            </w:pPr>
            <w:r>
              <w:rPr>
                <w:rFonts w:hint="eastAsia"/>
                <w:color w:val="000000"/>
                <w:szCs w:val="21"/>
              </w:rPr>
              <w:t>29°38′3.17567″</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300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N360m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儒溪中学</w:t>
            </w:r>
          </w:p>
        </w:tc>
        <w:tc>
          <w:tcPr>
            <w:tcW w:w="1559" w:type="dxa"/>
            <w:vAlign w:val="center"/>
          </w:tcPr>
          <w:p>
            <w:pPr>
              <w:pStyle w:val="63"/>
              <w:rPr>
                <w:color w:val="000000"/>
                <w:szCs w:val="21"/>
              </w:rPr>
            </w:pPr>
            <w:r>
              <w:rPr>
                <w:rFonts w:hint="eastAsia"/>
                <w:color w:val="000000"/>
                <w:szCs w:val="21"/>
              </w:rPr>
              <w:t>113°22′7.12894″</w:t>
            </w:r>
          </w:p>
        </w:tc>
        <w:tc>
          <w:tcPr>
            <w:tcW w:w="1559" w:type="dxa"/>
            <w:vAlign w:val="center"/>
          </w:tcPr>
          <w:p>
            <w:pPr>
              <w:pStyle w:val="63"/>
              <w:rPr>
                <w:color w:val="000000"/>
                <w:szCs w:val="21"/>
              </w:rPr>
            </w:pPr>
            <w:r>
              <w:rPr>
                <w:rFonts w:hint="eastAsia"/>
                <w:color w:val="000000"/>
                <w:szCs w:val="21"/>
              </w:rPr>
              <w:t>29°37′59.15879″</w:t>
            </w:r>
          </w:p>
        </w:tc>
        <w:tc>
          <w:tcPr>
            <w:tcW w:w="2530" w:type="dxa"/>
            <w:vAlign w:val="center"/>
          </w:tcPr>
          <w:p>
            <w:pPr>
              <w:pStyle w:val="63"/>
              <w:rPr>
                <w:szCs w:val="21"/>
              </w:rPr>
            </w:pPr>
            <w:r>
              <w:rPr>
                <w:rFonts w:hint="eastAsia"/>
                <w:szCs w:val="21"/>
              </w:rPr>
              <w:t>学校，</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N330m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方家门</w:t>
            </w:r>
          </w:p>
        </w:tc>
        <w:tc>
          <w:tcPr>
            <w:tcW w:w="1559" w:type="dxa"/>
            <w:vAlign w:val="center"/>
          </w:tcPr>
          <w:p>
            <w:pPr>
              <w:pStyle w:val="63"/>
              <w:rPr>
                <w:color w:val="000000"/>
                <w:szCs w:val="21"/>
              </w:rPr>
            </w:pPr>
            <w:r>
              <w:rPr>
                <w:rFonts w:hint="eastAsia"/>
                <w:color w:val="000000"/>
                <w:szCs w:val="21"/>
              </w:rPr>
              <w:t>113°21′58.12959″</w:t>
            </w:r>
          </w:p>
        </w:tc>
        <w:tc>
          <w:tcPr>
            <w:tcW w:w="1559" w:type="dxa"/>
            <w:vAlign w:val="center"/>
          </w:tcPr>
          <w:p>
            <w:pPr>
              <w:pStyle w:val="63"/>
              <w:rPr>
                <w:color w:val="000000"/>
                <w:szCs w:val="21"/>
              </w:rPr>
            </w:pPr>
            <w:r>
              <w:rPr>
                <w:rFonts w:hint="eastAsia"/>
                <w:color w:val="000000"/>
                <w:szCs w:val="21"/>
              </w:rPr>
              <w:t>29°36′22.48340″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50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SW560m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张家冲</w:t>
            </w:r>
          </w:p>
        </w:tc>
        <w:tc>
          <w:tcPr>
            <w:tcW w:w="1559" w:type="dxa"/>
            <w:vAlign w:val="center"/>
          </w:tcPr>
          <w:p>
            <w:pPr>
              <w:pStyle w:val="63"/>
              <w:rPr>
                <w:color w:val="000000"/>
                <w:szCs w:val="21"/>
              </w:rPr>
            </w:pPr>
            <w:r>
              <w:rPr>
                <w:rFonts w:hint="eastAsia"/>
                <w:color w:val="000000"/>
                <w:szCs w:val="21"/>
              </w:rPr>
              <w:t>113°23′34.22563″</w:t>
            </w:r>
          </w:p>
        </w:tc>
        <w:tc>
          <w:tcPr>
            <w:tcW w:w="1559" w:type="dxa"/>
            <w:vAlign w:val="center"/>
          </w:tcPr>
          <w:p>
            <w:pPr>
              <w:pStyle w:val="63"/>
              <w:rPr>
                <w:color w:val="000000"/>
                <w:szCs w:val="21"/>
              </w:rPr>
            </w:pPr>
            <w:r>
              <w:rPr>
                <w:rFonts w:hint="eastAsia"/>
                <w:color w:val="000000"/>
                <w:szCs w:val="21"/>
              </w:rPr>
              <w:t>29°36′13.83166″</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50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SE650m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陈家祠堂</w:t>
            </w:r>
          </w:p>
        </w:tc>
        <w:tc>
          <w:tcPr>
            <w:tcW w:w="1559" w:type="dxa"/>
            <w:vAlign w:val="center"/>
          </w:tcPr>
          <w:p>
            <w:pPr>
              <w:pStyle w:val="63"/>
              <w:rPr>
                <w:color w:val="000000"/>
                <w:szCs w:val="21"/>
              </w:rPr>
            </w:pPr>
            <w:r>
              <w:rPr>
                <w:rFonts w:hint="eastAsia"/>
                <w:color w:val="000000"/>
                <w:szCs w:val="21"/>
              </w:rPr>
              <w:t>113°23′50.75662″</w:t>
            </w:r>
          </w:p>
        </w:tc>
        <w:tc>
          <w:tcPr>
            <w:tcW w:w="1559" w:type="dxa"/>
            <w:vAlign w:val="center"/>
          </w:tcPr>
          <w:p>
            <w:pPr>
              <w:pStyle w:val="63"/>
              <w:rPr>
                <w:color w:val="000000"/>
                <w:szCs w:val="21"/>
              </w:rPr>
            </w:pPr>
            <w:r>
              <w:rPr>
                <w:rFonts w:hint="eastAsia"/>
                <w:color w:val="000000"/>
                <w:szCs w:val="21"/>
              </w:rPr>
              <w:t>29°37′44.98386″</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NE1200m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白荆村</w:t>
            </w:r>
          </w:p>
        </w:tc>
        <w:tc>
          <w:tcPr>
            <w:tcW w:w="1559" w:type="dxa"/>
            <w:vAlign w:val="center"/>
          </w:tcPr>
          <w:p>
            <w:pPr>
              <w:pStyle w:val="63"/>
              <w:rPr>
                <w:color w:val="000000"/>
                <w:szCs w:val="21"/>
              </w:rPr>
            </w:pPr>
            <w:r>
              <w:rPr>
                <w:rFonts w:hint="eastAsia"/>
                <w:color w:val="000000"/>
                <w:szCs w:val="21"/>
              </w:rPr>
              <w:t>113°24′1.73395″</w:t>
            </w:r>
          </w:p>
        </w:tc>
        <w:tc>
          <w:tcPr>
            <w:tcW w:w="1559" w:type="dxa"/>
            <w:vAlign w:val="center"/>
          </w:tcPr>
          <w:p>
            <w:pPr>
              <w:pStyle w:val="63"/>
              <w:rPr>
                <w:color w:val="000000"/>
                <w:szCs w:val="21"/>
              </w:rPr>
            </w:pPr>
            <w:r>
              <w:rPr>
                <w:rFonts w:hint="eastAsia"/>
                <w:color w:val="000000"/>
                <w:szCs w:val="21"/>
              </w:rPr>
              <w:t>29°36′9.82710″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200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SE1300m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赵家门</w:t>
            </w:r>
          </w:p>
        </w:tc>
        <w:tc>
          <w:tcPr>
            <w:tcW w:w="1559" w:type="dxa"/>
            <w:vAlign w:val="center"/>
          </w:tcPr>
          <w:p>
            <w:pPr>
              <w:pStyle w:val="63"/>
              <w:rPr>
                <w:color w:val="000000"/>
                <w:szCs w:val="21"/>
              </w:rPr>
            </w:pPr>
            <w:r>
              <w:rPr>
                <w:rFonts w:hint="eastAsia"/>
                <w:color w:val="000000"/>
                <w:szCs w:val="21"/>
              </w:rPr>
              <w:t>113°23′21.67290″</w:t>
            </w:r>
          </w:p>
        </w:tc>
        <w:tc>
          <w:tcPr>
            <w:tcW w:w="1559" w:type="dxa"/>
            <w:vAlign w:val="center"/>
          </w:tcPr>
          <w:p>
            <w:pPr>
              <w:pStyle w:val="63"/>
              <w:rPr>
                <w:color w:val="000000"/>
                <w:szCs w:val="21"/>
              </w:rPr>
            </w:pPr>
            <w:r>
              <w:rPr>
                <w:rFonts w:hint="eastAsia"/>
                <w:color w:val="000000"/>
                <w:szCs w:val="21"/>
              </w:rPr>
              <w:t>29°35′14.23513″</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SE2100m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姚家</w:t>
            </w:r>
          </w:p>
        </w:tc>
        <w:tc>
          <w:tcPr>
            <w:tcW w:w="1559" w:type="dxa"/>
            <w:vAlign w:val="center"/>
          </w:tcPr>
          <w:p>
            <w:pPr>
              <w:pStyle w:val="63"/>
              <w:rPr>
                <w:szCs w:val="21"/>
              </w:rPr>
            </w:pPr>
            <w:r>
              <w:rPr>
                <w:rFonts w:hint="eastAsia"/>
                <w:color w:val="000000"/>
                <w:szCs w:val="21"/>
              </w:rPr>
              <w:t>113°20′54.43893″</w:t>
            </w:r>
          </w:p>
        </w:tc>
        <w:tc>
          <w:tcPr>
            <w:tcW w:w="1559" w:type="dxa"/>
            <w:vAlign w:val="center"/>
          </w:tcPr>
          <w:p>
            <w:pPr>
              <w:pStyle w:val="63"/>
              <w:rPr>
                <w:szCs w:val="21"/>
              </w:rPr>
            </w:pPr>
            <w:r>
              <w:rPr>
                <w:rFonts w:hint="eastAsia"/>
                <w:color w:val="000000"/>
                <w:szCs w:val="21"/>
              </w:rPr>
              <w:t>29°36′2.97837″</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150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SW2300m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金家冲</w:t>
            </w:r>
          </w:p>
        </w:tc>
        <w:tc>
          <w:tcPr>
            <w:tcW w:w="1559" w:type="dxa"/>
            <w:vAlign w:val="center"/>
          </w:tcPr>
          <w:p>
            <w:pPr>
              <w:pStyle w:val="63"/>
              <w:rPr>
                <w:szCs w:val="21"/>
              </w:rPr>
            </w:pPr>
            <w:r>
              <w:rPr>
                <w:rFonts w:hint="eastAsia"/>
                <w:color w:val="000000"/>
                <w:szCs w:val="21"/>
              </w:rPr>
              <w:t>113°22′23.58268″</w:t>
            </w:r>
          </w:p>
        </w:tc>
        <w:tc>
          <w:tcPr>
            <w:tcW w:w="1559" w:type="dxa"/>
            <w:vAlign w:val="center"/>
          </w:tcPr>
          <w:p>
            <w:pPr>
              <w:pStyle w:val="63"/>
              <w:rPr>
                <w:szCs w:val="21"/>
              </w:rPr>
            </w:pPr>
            <w:r>
              <w:rPr>
                <w:rFonts w:hint="eastAsia"/>
                <w:color w:val="000000"/>
                <w:szCs w:val="21"/>
              </w:rPr>
              <w:t>29°34′55.69570″</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S2500m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军田畈</w:t>
            </w:r>
          </w:p>
        </w:tc>
        <w:tc>
          <w:tcPr>
            <w:tcW w:w="1559" w:type="dxa"/>
            <w:vAlign w:val="center"/>
          </w:tcPr>
          <w:p>
            <w:pPr>
              <w:pStyle w:val="63"/>
              <w:rPr>
                <w:szCs w:val="21"/>
              </w:rPr>
            </w:pPr>
            <w:r>
              <w:rPr>
                <w:rFonts w:hint="eastAsia"/>
                <w:color w:val="000000"/>
                <w:szCs w:val="21"/>
              </w:rPr>
              <w:t>113°24′40.92895″</w:t>
            </w:r>
          </w:p>
        </w:tc>
        <w:tc>
          <w:tcPr>
            <w:tcW w:w="1559" w:type="dxa"/>
            <w:vAlign w:val="center"/>
          </w:tcPr>
          <w:p>
            <w:pPr>
              <w:pStyle w:val="63"/>
              <w:rPr>
                <w:szCs w:val="21"/>
              </w:rPr>
            </w:pPr>
            <w:r>
              <w:rPr>
                <w:rFonts w:hint="eastAsia"/>
                <w:color w:val="000000"/>
                <w:szCs w:val="21"/>
              </w:rPr>
              <w:t>29°38′11.13217″</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NE2700m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restart"/>
            <w:vAlign w:val="center"/>
          </w:tcPr>
          <w:p>
            <w:pPr>
              <w:pStyle w:val="63"/>
              <w:rPr>
                <w:szCs w:val="21"/>
              </w:rPr>
            </w:pPr>
            <w:r>
              <w:rPr>
                <w:rFonts w:hint="eastAsia"/>
                <w:szCs w:val="21"/>
              </w:rPr>
              <w:t>滨江片区加工制造产业园</w:t>
            </w:r>
          </w:p>
        </w:tc>
        <w:tc>
          <w:tcPr>
            <w:tcW w:w="1920" w:type="dxa"/>
            <w:vAlign w:val="center"/>
          </w:tcPr>
          <w:p>
            <w:pPr>
              <w:pStyle w:val="63"/>
              <w:rPr>
                <w:szCs w:val="21"/>
              </w:rPr>
            </w:pPr>
            <w:r>
              <w:rPr>
                <w:rFonts w:hint="eastAsia"/>
                <w:color w:val="000000"/>
                <w:szCs w:val="21"/>
              </w:rPr>
              <w:t>旗杆小区</w:t>
            </w:r>
          </w:p>
        </w:tc>
        <w:tc>
          <w:tcPr>
            <w:tcW w:w="1559" w:type="dxa"/>
            <w:vAlign w:val="center"/>
          </w:tcPr>
          <w:p>
            <w:pPr>
              <w:pStyle w:val="63"/>
              <w:rPr>
                <w:szCs w:val="21"/>
              </w:rPr>
            </w:pPr>
            <w:r>
              <w:rPr>
                <w:rFonts w:hint="eastAsia"/>
                <w:color w:val="000000"/>
                <w:szCs w:val="21"/>
              </w:rPr>
              <w:t>113°21′46.96732″</w:t>
            </w:r>
          </w:p>
        </w:tc>
        <w:tc>
          <w:tcPr>
            <w:tcW w:w="1559" w:type="dxa"/>
            <w:vAlign w:val="center"/>
          </w:tcPr>
          <w:p>
            <w:pPr>
              <w:pStyle w:val="63"/>
              <w:rPr>
                <w:szCs w:val="21"/>
              </w:rPr>
            </w:pPr>
            <w:r>
              <w:rPr>
                <w:rFonts w:hint="eastAsia"/>
                <w:color w:val="000000"/>
                <w:szCs w:val="21"/>
              </w:rPr>
              <w:t>29°38′50.29671″</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restart"/>
            <w:vAlign w:val="center"/>
          </w:tcPr>
          <w:p>
            <w:pPr>
              <w:pStyle w:val="63"/>
              <w:rPr>
                <w:szCs w:val="21"/>
              </w:rPr>
            </w:pPr>
            <w:r>
              <w:rPr>
                <w:rFonts w:hint="eastAsia"/>
                <w:szCs w:val="21"/>
              </w:rPr>
              <w:t>《环境空气质量标准》（GB3095-2012）中二级标准</w:t>
            </w:r>
          </w:p>
        </w:tc>
        <w:tc>
          <w:tcPr>
            <w:tcW w:w="1658" w:type="dxa"/>
            <w:vAlign w:val="center"/>
          </w:tcPr>
          <w:p>
            <w:pPr>
              <w:pStyle w:val="63"/>
              <w:rPr>
                <w:szCs w:val="21"/>
              </w:rPr>
            </w:pPr>
            <w:r>
              <w:rPr>
                <w:rFonts w:hint="eastAsia"/>
                <w:szCs w:val="21"/>
              </w:rPr>
              <w:t>E30m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儒溪新村</w:t>
            </w:r>
          </w:p>
        </w:tc>
        <w:tc>
          <w:tcPr>
            <w:tcW w:w="1559" w:type="dxa"/>
            <w:vAlign w:val="center"/>
          </w:tcPr>
          <w:p>
            <w:pPr>
              <w:pStyle w:val="63"/>
              <w:rPr>
                <w:szCs w:val="21"/>
              </w:rPr>
            </w:pPr>
            <w:r>
              <w:rPr>
                <w:rFonts w:hint="eastAsia"/>
                <w:color w:val="000000"/>
                <w:szCs w:val="21"/>
              </w:rPr>
              <w:t>113°21′34.14421″</w:t>
            </w:r>
          </w:p>
        </w:tc>
        <w:tc>
          <w:tcPr>
            <w:tcW w:w="1559" w:type="dxa"/>
            <w:vAlign w:val="center"/>
          </w:tcPr>
          <w:p>
            <w:pPr>
              <w:pStyle w:val="63"/>
              <w:rPr>
                <w:szCs w:val="21"/>
              </w:rPr>
            </w:pPr>
            <w:r>
              <w:rPr>
                <w:rFonts w:hint="eastAsia"/>
                <w:color w:val="000000"/>
                <w:szCs w:val="21"/>
              </w:rPr>
              <w:t>29°39′0.18441″</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300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N50m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管委会</w:t>
            </w:r>
          </w:p>
        </w:tc>
        <w:tc>
          <w:tcPr>
            <w:tcW w:w="1559" w:type="dxa"/>
            <w:vAlign w:val="center"/>
          </w:tcPr>
          <w:p>
            <w:pPr>
              <w:pStyle w:val="63"/>
              <w:rPr>
                <w:szCs w:val="21"/>
              </w:rPr>
            </w:pPr>
            <w:r>
              <w:rPr>
                <w:rFonts w:hint="eastAsia"/>
                <w:color w:val="000000"/>
                <w:szCs w:val="21"/>
              </w:rPr>
              <w:t>113°21′45.96310″</w:t>
            </w:r>
          </w:p>
        </w:tc>
        <w:tc>
          <w:tcPr>
            <w:tcW w:w="1559" w:type="dxa"/>
            <w:vAlign w:val="center"/>
          </w:tcPr>
          <w:p>
            <w:pPr>
              <w:pStyle w:val="63"/>
              <w:rPr>
                <w:szCs w:val="21"/>
              </w:rPr>
            </w:pPr>
            <w:r>
              <w:rPr>
                <w:rFonts w:hint="eastAsia"/>
                <w:color w:val="000000"/>
                <w:szCs w:val="21"/>
              </w:rPr>
              <w:t>29°38′55.85855″</w:t>
            </w:r>
          </w:p>
        </w:tc>
        <w:tc>
          <w:tcPr>
            <w:tcW w:w="2530" w:type="dxa"/>
            <w:vAlign w:val="center"/>
          </w:tcPr>
          <w:p>
            <w:pPr>
              <w:pStyle w:val="63"/>
              <w:rPr>
                <w:szCs w:val="21"/>
              </w:rPr>
            </w:pPr>
            <w:r>
              <w:rPr>
                <w:szCs w:val="21"/>
              </w:rPr>
              <w:t>行政办公</w:t>
            </w:r>
            <w:r>
              <w:rPr>
                <w:rFonts w:hint="eastAsia"/>
                <w:szCs w:val="21"/>
              </w:rPr>
              <w:t>，约</w:t>
            </w:r>
            <w:r>
              <w:rPr>
                <w:szCs w:val="21"/>
              </w:rPr>
              <w:t>50人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NE60m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szCs w:val="21"/>
              </w:rPr>
            </w:pPr>
            <w:r>
              <w:rPr>
                <w:rFonts w:hint="eastAsia"/>
                <w:color w:val="000000"/>
                <w:szCs w:val="21"/>
              </w:rPr>
              <w:t>鸭栏村</w:t>
            </w:r>
          </w:p>
        </w:tc>
        <w:tc>
          <w:tcPr>
            <w:tcW w:w="1559" w:type="dxa"/>
            <w:vAlign w:val="center"/>
          </w:tcPr>
          <w:p>
            <w:pPr>
              <w:pStyle w:val="63"/>
              <w:rPr>
                <w:szCs w:val="21"/>
              </w:rPr>
            </w:pPr>
            <w:r>
              <w:rPr>
                <w:rFonts w:hint="eastAsia"/>
                <w:color w:val="000000"/>
                <w:szCs w:val="21"/>
              </w:rPr>
              <w:t>113°20′55.28865″</w:t>
            </w:r>
          </w:p>
        </w:tc>
        <w:tc>
          <w:tcPr>
            <w:tcW w:w="1559" w:type="dxa"/>
            <w:vAlign w:val="center"/>
          </w:tcPr>
          <w:p>
            <w:pPr>
              <w:pStyle w:val="63"/>
              <w:rPr>
                <w:szCs w:val="21"/>
              </w:rPr>
            </w:pPr>
            <w:r>
              <w:rPr>
                <w:rFonts w:hint="eastAsia"/>
                <w:color w:val="000000"/>
                <w:szCs w:val="21"/>
              </w:rPr>
              <w:t>29°39′50.24087″</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300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N1300m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restart"/>
            <w:vAlign w:val="center"/>
          </w:tcPr>
          <w:p>
            <w:pPr>
              <w:pStyle w:val="63"/>
              <w:rPr>
                <w:szCs w:val="21"/>
              </w:rPr>
            </w:pPr>
            <w:r>
              <w:rPr>
                <w:rFonts w:hint="eastAsia"/>
                <w:szCs w:val="21"/>
              </w:rPr>
              <w:t>滨江片区中非工贸产业园</w:t>
            </w:r>
          </w:p>
        </w:tc>
        <w:tc>
          <w:tcPr>
            <w:tcW w:w="1920" w:type="dxa"/>
            <w:vAlign w:val="center"/>
          </w:tcPr>
          <w:p>
            <w:pPr>
              <w:pStyle w:val="63"/>
              <w:rPr>
                <w:szCs w:val="21"/>
              </w:rPr>
            </w:pPr>
            <w:r>
              <w:rPr>
                <w:rFonts w:hint="eastAsia"/>
                <w:color w:val="000000"/>
                <w:szCs w:val="21"/>
              </w:rPr>
              <w:t>儒溪村</w:t>
            </w:r>
          </w:p>
        </w:tc>
        <w:tc>
          <w:tcPr>
            <w:tcW w:w="1559" w:type="dxa"/>
            <w:vAlign w:val="center"/>
          </w:tcPr>
          <w:p>
            <w:pPr>
              <w:pStyle w:val="63"/>
              <w:rPr>
                <w:szCs w:val="21"/>
              </w:rPr>
            </w:pPr>
            <w:r>
              <w:rPr>
                <w:rFonts w:hint="eastAsia"/>
                <w:color w:val="000000"/>
                <w:szCs w:val="21"/>
              </w:rPr>
              <w:t>113°19′34.98975″</w:t>
            </w:r>
          </w:p>
        </w:tc>
        <w:tc>
          <w:tcPr>
            <w:tcW w:w="1559" w:type="dxa"/>
            <w:vAlign w:val="center"/>
          </w:tcPr>
          <w:p>
            <w:pPr>
              <w:pStyle w:val="63"/>
              <w:rPr>
                <w:szCs w:val="21"/>
              </w:rPr>
            </w:pPr>
            <w:r>
              <w:rPr>
                <w:rFonts w:hint="eastAsia"/>
                <w:color w:val="000000"/>
                <w:szCs w:val="21"/>
              </w:rPr>
              <w:t>29°37′51.93614″</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20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园区内中部</w:t>
            </w:r>
          </w:p>
        </w:tc>
        <w:tc>
          <w:tcPr>
            <w:tcW w:w="1977" w:type="dxa"/>
            <w:vAlign w:val="center"/>
          </w:tcPr>
          <w:p>
            <w:pPr>
              <w:pStyle w:val="63"/>
              <w:rPr>
                <w:szCs w:val="21"/>
              </w:rPr>
            </w:pPr>
            <w:r>
              <w:rPr>
                <w:rFonts w:hint="eastAsia"/>
                <w:szCs w:val="21"/>
              </w:rPr>
              <w:t>核准范围内</w:t>
            </w:r>
          </w:p>
          <w:p>
            <w:pPr>
              <w:pStyle w:val="63"/>
              <w:rPr>
                <w:szCs w:val="21"/>
              </w:rPr>
            </w:pPr>
            <w:r>
              <w:rPr>
                <w:rFonts w:hint="eastAsia"/>
                <w:szCs w:val="21"/>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鸭栏</w:t>
            </w:r>
          </w:p>
        </w:tc>
        <w:tc>
          <w:tcPr>
            <w:tcW w:w="1559" w:type="dxa"/>
            <w:vAlign w:val="center"/>
          </w:tcPr>
          <w:p>
            <w:pPr>
              <w:pStyle w:val="63"/>
              <w:rPr>
                <w:color w:val="000000"/>
                <w:szCs w:val="21"/>
              </w:rPr>
            </w:pPr>
            <w:r>
              <w:rPr>
                <w:rFonts w:hint="eastAsia"/>
                <w:color w:val="000000"/>
                <w:szCs w:val="21"/>
              </w:rPr>
              <w:t>113°20′7.74275″</w:t>
            </w:r>
          </w:p>
        </w:tc>
        <w:tc>
          <w:tcPr>
            <w:tcW w:w="1559" w:type="dxa"/>
            <w:vAlign w:val="center"/>
          </w:tcPr>
          <w:p>
            <w:pPr>
              <w:pStyle w:val="63"/>
              <w:rPr>
                <w:color w:val="000000"/>
                <w:szCs w:val="21"/>
              </w:rPr>
            </w:pPr>
            <w:r>
              <w:rPr>
                <w:rFonts w:hint="eastAsia"/>
                <w:color w:val="000000"/>
                <w:szCs w:val="21"/>
              </w:rPr>
              <w:t>29°39′11.81018″</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N1200m</w:t>
            </w:r>
          </w:p>
        </w:tc>
        <w:tc>
          <w:tcPr>
            <w:tcW w:w="1977" w:type="dxa"/>
            <w:vAlign w:val="center"/>
          </w:tcPr>
          <w:p>
            <w:pPr>
              <w:pStyle w:val="63"/>
              <w:rPr>
                <w:szCs w:val="21"/>
              </w:rPr>
            </w:pPr>
            <w:r>
              <w:rPr>
                <w:rFonts w:hint="eastAsia"/>
                <w:szCs w:val="21"/>
              </w:rPr>
              <w:t>核准范围内</w:t>
            </w:r>
          </w:p>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周家冲</w:t>
            </w:r>
          </w:p>
        </w:tc>
        <w:tc>
          <w:tcPr>
            <w:tcW w:w="1559" w:type="dxa"/>
            <w:vAlign w:val="center"/>
          </w:tcPr>
          <w:p>
            <w:pPr>
              <w:pStyle w:val="63"/>
              <w:rPr>
                <w:color w:val="000000"/>
                <w:szCs w:val="21"/>
              </w:rPr>
            </w:pPr>
            <w:r>
              <w:rPr>
                <w:rFonts w:hint="eastAsia"/>
                <w:color w:val="000000"/>
                <w:szCs w:val="21"/>
              </w:rPr>
              <w:t>113°20′23.23089″</w:t>
            </w:r>
          </w:p>
        </w:tc>
        <w:tc>
          <w:tcPr>
            <w:tcW w:w="1559" w:type="dxa"/>
            <w:vAlign w:val="center"/>
          </w:tcPr>
          <w:p>
            <w:pPr>
              <w:pStyle w:val="63"/>
              <w:rPr>
                <w:color w:val="000000"/>
                <w:szCs w:val="21"/>
              </w:rPr>
            </w:pPr>
            <w:r>
              <w:rPr>
                <w:rFonts w:hint="eastAsia"/>
                <w:color w:val="000000"/>
                <w:szCs w:val="21"/>
              </w:rPr>
              <w:t>29°38′1.39898″</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50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E560m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王家门</w:t>
            </w:r>
          </w:p>
        </w:tc>
        <w:tc>
          <w:tcPr>
            <w:tcW w:w="1559" w:type="dxa"/>
            <w:vAlign w:val="center"/>
          </w:tcPr>
          <w:p>
            <w:pPr>
              <w:pStyle w:val="63"/>
              <w:rPr>
                <w:color w:val="000000"/>
                <w:szCs w:val="21"/>
              </w:rPr>
            </w:pPr>
            <w:r>
              <w:rPr>
                <w:rFonts w:hint="eastAsia"/>
                <w:color w:val="000000"/>
                <w:szCs w:val="21"/>
              </w:rPr>
              <w:t>113°18′58.21989″</w:t>
            </w:r>
          </w:p>
        </w:tc>
        <w:tc>
          <w:tcPr>
            <w:tcW w:w="1559" w:type="dxa"/>
            <w:vAlign w:val="center"/>
          </w:tcPr>
          <w:p>
            <w:pPr>
              <w:pStyle w:val="63"/>
              <w:rPr>
                <w:color w:val="000000"/>
                <w:szCs w:val="21"/>
              </w:rPr>
            </w:pPr>
            <w:r>
              <w:rPr>
                <w:rFonts w:hint="eastAsia"/>
                <w:color w:val="000000"/>
                <w:szCs w:val="21"/>
              </w:rPr>
              <w:t>29°37′0.64372″</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10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S680m</w:t>
            </w:r>
          </w:p>
        </w:tc>
        <w:tc>
          <w:tcPr>
            <w:tcW w:w="1977" w:type="dxa"/>
            <w:vAlign w:val="center"/>
          </w:tcPr>
          <w:p>
            <w:pPr>
              <w:pStyle w:val="63"/>
              <w:rPr>
                <w:szCs w:val="21"/>
              </w:rPr>
            </w:pPr>
            <w:r>
              <w:rPr>
                <w:rFonts w:hint="eastAsia"/>
                <w:szCs w:val="21"/>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1" w:type="dxa"/>
            <w:vMerge w:val="continue"/>
            <w:vAlign w:val="center"/>
          </w:tcPr>
          <w:p>
            <w:pPr>
              <w:pStyle w:val="63"/>
              <w:rPr>
                <w:szCs w:val="21"/>
              </w:rPr>
            </w:pPr>
          </w:p>
        </w:tc>
        <w:tc>
          <w:tcPr>
            <w:tcW w:w="1920" w:type="dxa"/>
            <w:vAlign w:val="center"/>
          </w:tcPr>
          <w:p>
            <w:pPr>
              <w:pStyle w:val="63"/>
              <w:rPr>
                <w:color w:val="000000"/>
                <w:szCs w:val="21"/>
              </w:rPr>
            </w:pPr>
            <w:r>
              <w:rPr>
                <w:rFonts w:hint="eastAsia"/>
                <w:color w:val="000000"/>
                <w:szCs w:val="21"/>
              </w:rPr>
              <w:t>新屋里</w:t>
            </w:r>
          </w:p>
        </w:tc>
        <w:tc>
          <w:tcPr>
            <w:tcW w:w="1559" w:type="dxa"/>
            <w:vAlign w:val="center"/>
          </w:tcPr>
          <w:p>
            <w:pPr>
              <w:pStyle w:val="63"/>
              <w:rPr>
                <w:color w:val="000000"/>
                <w:szCs w:val="21"/>
              </w:rPr>
            </w:pPr>
            <w:r>
              <w:rPr>
                <w:rFonts w:hint="eastAsia"/>
                <w:color w:val="000000"/>
                <w:szCs w:val="21"/>
              </w:rPr>
              <w:t>113°20′14.60131″</w:t>
            </w:r>
          </w:p>
        </w:tc>
        <w:tc>
          <w:tcPr>
            <w:tcW w:w="1559" w:type="dxa"/>
            <w:vAlign w:val="center"/>
          </w:tcPr>
          <w:p>
            <w:pPr>
              <w:pStyle w:val="63"/>
              <w:rPr>
                <w:color w:val="000000"/>
                <w:szCs w:val="21"/>
              </w:rPr>
            </w:pPr>
            <w:r>
              <w:rPr>
                <w:rFonts w:hint="eastAsia"/>
                <w:color w:val="000000"/>
                <w:szCs w:val="21"/>
              </w:rPr>
              <w:t>29°36′10.20671″</w:t>
            </w:r>
          </w:p>
        </w:tc>
        <w:tc>
          <w:tcPr>
            <w:tcW w:w="2530" w:type="dxa"/>
            <w:vAlign w:val="center"/>
          </w:tcPr>
          <w:p>
            <w:pPr>
              <w:pStyle w:val="63"/>
              <w:rPr>
                <w:szCs w:val="21"/>
              </w:rPr>
            </w:pPr>
            <w:r>
              <w:rPr>
                <w:szCs w:val="21"/>
              </w:rPr>
              <w:t>居住区</w:t>
            </w:r>
            <w:r>
              <w:rPr>
                <w:rFonts w:hint="eastAsia"/>
                <w:szCs w:val="21"/>
              </w:rPr>
              <w:t>，</w:t>
            </w:r>
            <w:r>
              <w:rPr>
                <w:szCs w:val="21"/>
              </w:rPr>
              <w:t>居民约</w:t>
            </w:r>
            <w:r>
              <w:rPr>
                <w:rFonts w:hint="eastAsia"/>
                <w:szCs w:val="21"/>
              </w:rPr>
              <w:t>50</w:t>
            </w:r>
            <w:r>
              <w:rPr>
                <w:szCs w:val="21"/>
              </w:rPr>
              <w:t>人</w:t>
            </w:r>
          </w:p>
        </w:tc>
        <w:tc>
          <w:tcPr>
            <w:tcW w:w="2231" w:type="dxa"/>
            <w:vMerge w:val="continue"/>
            <w:vAlign w:val="center"/>
          </w:tcPr>
          <w:p>
            <w:pPr>
              <w:pStyle w:val="63"/>
              <w:rPr>
                <w:szCs w:val="21"/>
              </w:rPr>
            </w:pPr>
          </w:p>
        </w:tc>
        <w:tc>
          <w:tcPr>
            <w:tcW w:w="1658" w:type="dxa"/>
            <w:vAlign w:val="center"/>
          </w:tcPr>
          <w:p>
            <w:pPr>
              <w:pStyle w:val="63"/>
              <w:rPr>
                <w:szCs w:val="21"/>
              </w:rPr>
            </w:pPr>
            <w:r>
              <w:rPr>
                <w:rFonts w:hint="eastAsia"/>
                <w:szCs w:val="21"/>
              </w:rPr>
              <w:t>SE2300m</w:t>
            </w:r>
          </w:p>
        </w:tc>
        <w:tc>
          <w:tcPr>
            <w:tcW w:w="1977" w:type="dxa"/>
            <w:vAlign w:val="center"/>
          </w:tcPr>
          <w:p>
            <w:pPr>
              <w:pStyle w:val="63"/>
              <w:rPr>
                <w:szCs w:val="21"/>
              </w:rPr>
            </w:pPr>
            <w:r>
              <w:rPr>
                <w:rFonts w:hint="eastAsia"/>
                <w:szCs w:val="21"/>
              </w:rPr>
              <w:t>规划范围外</w:t>
            </w:r>
          </w:p>
        </w:tc>
      </w:tr>
    </w:tbl>
    <w:p>
      <w:pPr>
        <w:sectPr>
          <w:pgSz w:w="16838" w:h="11906" w:orient="landscape"/>
          <w:pgMar w:top="1418" w:right="1418" w:bottom="1701" w:left="1418" w:header="851" w:footer="992" w:gutter="0"/>
          <w:paperSrc w:first="7" w:other="7"/>
          <w:cols w:space="425" w:num="1"/>
          <w:docGrid w:linePitch="326" w:charSpace="915"/>
        </w:sectPr>
      </w:pPr>
    </w:p>
    <w:p>
      <w:pPr>
        <w:pStyle w:val="6"/>
        <w:rPr>
          <w:rFonts w:ascii="Times New Roman" w:hAnsi="Times New Roman" w:cs="Times New Roman"/>
        </w:rPr>
      </w:pPr>
      <w:r>
        <w:rPr>
          <w:rFonts w:ascii="Times New Roman" w:hAnsi="Times New Roman" w:cs="Times New Roman"/>
        </w:rPr>
        <w:t>表1.6-</w:t>
      </w:r>
      <w:r>
        <w:rPr>
          <w:rFonts w:hint="eastAsia" w:ascii="Times New Roman" w:hAnsi="Times New Roman" w:cs="Times New Roman"/>
        </w:rPr>
        <w:t>2</w:t>
      </w:r>
      <w:r>
        <w:rPr>
          <w:rFonts w:ascii="Times New Roman" w:hAnsi="Times New Roman" w:cs="Times New Roman"/>
        </w:rPr>
        <w:t xml:space="preserve">  声环境保护目标</w:t>
      </w:r>
    </w:p>
    <w:tbl>
      <w:tblPr>
        <w:tblStyle w:val="36"/>
        <w:tblW w:w="141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01"/>
        <w:gridCol w:w="1559"/>
        <w:gridCol w:w="1559"/>
        <w:gridCol w:w="2530"/>
        <w:gridCol w:w="2231"/>
        <w:gridCol w:w="1658"/>
        <w:gridCol w:w="1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0" w:type="dxa"/>
            <w:vMerge w:val="restart"/>
            <w:vAlign w:val="center"/>
          </w:tcPr>
          <w:p>
            <w:pPr>
              <w:pStyle w:val="63"/>
            </w:pPr>
            <w:r>
              <w:t>类别</w:t>
            </w:r>
          </w:p>
        </w:tc>
        <w:tc>
          <w:tcPr>
            <w:tcW w:w="1701" w:type="dxa"/>
            <w:vMerge w:val="restart"/>
            <w:vAlign w:val="center"/>
          </w:tcPr>
          <w:p>
            <w:pPr>
              <w:pStyle w:val="63"/>
            </w:pPr>
            <w:r>
              <w:t>名称</w:t>
            </w:r>
          </w:p>
        </w:tc>
        <w:tc>
          <w:tcPr>
            <w:tcW w:w="3118" w:type="dxa"/>
            <w:gridSpan w:val="2"/>
            <w:vAlign w:val="center"/>
          </w:tcPr>
          <w:p>
            <w:pPr>
              <w:pStyle w:val="63"/>
            </w:pPr>
            <w:r>
              <w:t>坐标</w:t>
            </w:r>
          </w:p>
        </w:tc>
        <w:tc>
          <w:tcPr>
            <w:tcW w:w="2530" w:type="dxa"/>
            <w:vMerge w:val="restart"/>
            <w:vAlign w:val="center"/>
          </w:tcPr>
          <w:p>
            <w:pPr>
              <w:pStyle w:val="63"/>
            </w:pPr>
            <w:r>
              <w:t>保护内容</w:t>
            </w:r>
          </w:p>
        </w:tc>
        <w:tc>
          <w:tcPr>
            <w:tcW w:w="2231" w:type="dxa"/>
            <w:vMerge w:val="restart"/>
            <w:vAlign w:val="center"/>
          </w:tcPr>
          <w:p>
            <w:pPr>
              <w:pStyle w:val="63"/>
            </w:pPr>
            <w:r>
              <w:t>环境功能区</w:t>
            </w:r>
          </w:p>
        </w:tc>
        <w:tc>
          <w:tcPr>
            <w:tcW w:w="1658" w:type="dxa"/>
            <w:vMerge w:val="restart"/>
            <w:vAlign w:val="center"/>
          </w:tcPr>
          <w:p>
            <w:pPr>
              <w:pStyle w:val="63"/>
            </w:pPr>
            <w:r>
              <w:t>相对园区方位及距离</w:t>
            </w:r>
          </w:p>
        </w:tc>
        <w:tc>
          <w:tcPr>
            <w:tcW w:w="1977" w:type="dxa"/>
            <w:vMerge w:val="restart"/>
            <w:vAlign w:val="center"/>
          </w:tcPr>
          <w:p>
            <w:pPr>
              <w:pStyle w:val="63"/>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0" w:type="dxa"/>
            <w:vMerge w:val="continue"/>
            <w:vAlign w:val="center"/>
          </w:tcPr>
          <w:p>
            <w:pPr>
              <w:pStyle w:val="63"/>
            </w:pPr>
          </w:p>
        </w:tc>
        <w:tc>
          <w:tcPr>
            <w:tcW w:w="1701" w:type="dxa"/>
            <w:vMerge w:val="continue"/>
            <w:vAlign w:val="center"/>
          </w:tcPr>
          <w:p>
            <w:pPr>
              <w:pStyle w:val="63"/>
            </w:pPr>
          </w:p>
        </w:tc>
        <w:tc>
          <w:tcPr>
            <w:tcW w:w="1559" w:type="dxa"/>
            <w:vAlign w:val="center"/>
          </w:tcPr>
          <w:p>
            <w:pPr>
              <w:pStyle w:val="63"/>
            </w:pPr>
            <w:r>
              <w:t>东经（°）</w:t>
            </w:r>
          </w:p>
        </w:tc>
        <w:tc>
          <w:tcPr>
            <w:tcW w:w="1559" w:type="dxa"/>
            <w:vAlign w:val="center"/>
          </w:tcPr>
          <w:p>
            <w:pPr>
              <w:pStyle w:val="63"/>
            </w:pPr>
            <w:r>
              <w:t>北纬（°）</w:t>
            </w:r>
          </w:p>
        </w:tc>
        <w:tc>
          <w:tcPr>
            <w:tcW w:w="2530" w:type="dxa"/>
            <w:vMerge w:val="continue"/>
            <w:vAlign w:val="center"/>
          </w:tcPr>
          <w:p>
            <w:pPr>
              <w:pStyle w:val="63"/>
            </w:pPr>
          </w:p>
        </w:tc>
        <w:tc>
          <w:tcPr>
            <w:tcW w:w="2231" w:type="dxa"/>
            <w:vMerge w:val="continue"/>
            <w:vAlign w:val="center"/>
          </w:tcPr>
          <w:p>
            <w:pPr>
              <w:pStyle w:val="63"/>
            </w:pPr>
          </w:p>
        </w:tc>
        <w:tc>
          <w:tcPr>
            <w:tcW w:w="1658" w:type="dxa"/>
            <w:vMerge w:val="continue"/>
            <w:vAlign w:val="center"/>
          </w:tcPr>
          <w:p>
            <w:pPr>
              <w:pStyle w:val="63"/>
            </w:pPr>
          </w:p>
        </w:tc>
        <w:tc>
          <w:tcPr>
            <w:tcW w:w="1977" w:type="dxa"/>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restart"/>
            <w:vAlign w:val="center"/>
          </w:tcPr>
          <w:p>
            <w:pPr>
              <w:pStyle w:val="63"/>
            </w:pPr>
            <w:r>
              <w:rPr>
                <w:rFonts w:hint="eastAsia"/>
              </w:rPr>
              <w:t>三湾片区</w:t>
            </w:r>
          </w:p>
        </w:tc>
        <w:tc>
          <w:tcPr>
            <w:tcW w:w="1701" w:type="dxa"/>
            <w:vAlign w:val="center"/>
          </w:tcPr>
          <w:p>
            <w:pPr>
              <w:pStyle w:val="63"/>
            </w:pPr>
            <w:r>
              <w:t>三湾产业区管委会</w:t>
            </w:r>
          </w:p>
        </w:tc>
        <w:tc>
          <w:tcPr>
            <w:tcW w:w="1559" w:type="dxa"/>
            <w:vAlign w:val="center"/>
          </w:tcPr>
          <w:p>
            <w:pPr>
              <w:pStyle w:val="63"/>
            </w:pPr>
            <w:r>
              <w:rPr>
                <w:rFonts w:hint="eastAsia"/>
              </w:rPr>
              <w:t>113°25′52.24405″</w:t>
            </w:r>
          </w:p>
        </w:tc>
        <w:tc>
          <w:tcPr>
            <w:tcW w:w="1559" w:type="dxa"/>
            <w:vAlign w:val="center"/>
          </w:tcPr>
          <w:p>
            <w:pPr>
              <w:pStyle w:val="63"/>
            </w:pPr>
            <w:r>
              <w:rPr>
                <w:rFonts w:hint="eastAsia"/>
              </w:rPr>
              <w:t>29°26′20.42097″</w:t>
            </w:r>
          </w:p>
        </w:tc>
        <w:tc>
          <w:tcPr>
            <w:tcW w:w="2530" w:type="dxa"/>
            <w:vAlign w:val="center"/>
          </w:tcPr>
          <w:p>
            <w:pPr>
              <w:pStyle w:val="63"/>
            </w:pPr>
            <w:r>
              <w:t>行政办公</w:t>
            </w:r>
            <w:r>
              <w:rPr>
                <w:rFonts w:hint="eastAsia"/>
              </w:rPr>
              <w:t>，约</w:t>
            </w:r>
            <w:r>
              <w:t>50人</w:t>
            </w:r>
          </w:p>
        </w:tc>
        <w:tc>
          <w:tcPr>
            <w:tcW w:w="2231" w:type="dxa"/>
            <w:vMerge w:val="restart"/>
            <w:vAlign w:val="center"/>
          </w:tcPr>
          <w:p>
            <w:pPr>
              <w:pStyle w:val="63"/>
            </w:pPr>
            <w:r>
              <w:rPr>
                <w:rFonts w:hint="eastAsia"/>
              </w:rPr>
              <w:t>《声环境质量标准》(GB3096-2008)2类</w:t>
            </w:r>
          </w:p>
        </w:tc>
        <w:tc>
          <w:tcPr>
            <w:tcW w:w="1658" w:type="dxa"/>
            <w:vAlign w:val="center"/>
          </w:tcPr>
          <w:p>
            <w:pPr>
              <w:pStyle w:val="63"/>
            </w:pPr>
            <w:r>
              <w:rPr>
                <w:rFonts w:hint="eastAsia"/>
              </w:rPr>
              <w:t>园区内南侧</w:t>
            </w:r>
          </w:p>
        </w:tc>
        <w:tc>
          <w:tcPr>
            <w:tcW w:w="1977" w:type="dxa"/>
            <w:vAlign w:val="center"/>
          </w:tcPr>
          <w:p>
            <w:pPr>
              <w:pStyle w:val="63"/>
            </w:pPr>
            <w:r>
              <w:rPr>
                <w:rFonts w:hint="eastAsia"/>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庄上组</w:t>
            </w:r>
          </w:p>
        </w:tc>
        <w:tc>
          <w:tcPr>
            <w:tcW w:w="1559" w:type="dxa"/>
            <w:vAlign w:val="center"/>
          </w:tcPr>
          <w:p>
            <w:pPr>
              <w:pStyle w:val="63"/>
            </w:pPr>
            <w:r>
              <w:rPr>
                <w:rFonts w:hint="eastAsia"/>
                <w:color w:val="000000"/>
              </w:rPr>
              <w:t>113°25′45.04071″</w:t>
            </w:r>
          </w:p>
        </w:tc>
        <w:tc>
          <w:tcPr>
            <w:tcW w:w="1559" w:type="dxa"/>
            <w:vAlign w:val="center"/>
          </w:tcPr>
          <w:p>
            <w:pPr>
              <w:pStyle w:val="63"/>
            </w:pPr>
            <w:r>
              <w:rPr>
                <w:rFonts w:hint="eastAsia"/>
                <w:color w:val="000000"/>
              </w:rPr>
              <w:t>29°26′14.18323″</w:t>
            </w:r>
          </w:p>
        </w:tc>
        <w:tc>
          <w:tcPr>
            <w:tcW w:w="2530" w:type="dxa"/>
            <w:vAlign w:val="center"/>
          </w:tcPr>
          <w:p>
            <w:pPr>
              <w:pStyle w:val="63"/>
            </w:pPr>
            <w:r>
              <w:t>居住区</w:t>
            </w:r>
            <w:r>
              <w:rPr>
                <w:rFonts w:hint="eastAsia"/>
              </w:rPr>
              <w:t>，</w:t>
            </w:r>
            <w:r>
              <w:t>居民约150人</w:t>
            </w:r>
          </w:p>
        </w:tc>
        <w:tc>
          <w:tcPr>
            <w:tcW w:w="2231" w:type="dxa"/>
            <w:vMerge w:val="continue"/>
            <w:vAlign w:val="center"/>
          </w:tcPr>
          <w:p>
            <w:pPr>
              <w:pStyle w:val="63"/>
            </w:pPr>
          </w:p>
        </w:tc>
        <w:tc>
          <w:tcPr>
            <w:tcW w:w="1658" w:type="dxa"/>
            <w:vAlign w:val="center"/>
          </w:tcPr>
          <w:p>
            <w:pPr>
              <w:pStyle w:val="63"/>
            </w:pPr>
            <w:r>
              <w:rPr>
                <w:rFonts w:hint="eastAsia"/>
              </w:rPr>
              <w:t>SW40m</w:t>
            </w:r>
          </w:p>
        </w:tc>
        <w:tc>
          <w:tcPr>
            <w:tcW w:w="1977" w:type="dxa"/>
            <w:vAlign w:val="center"/>
          </w:tcPr>
          <w:p>
            <w:pPr>
              <w:pStyle w:val="63"/>
            </w:pPr>
            <w:r>
              <w:rPr>
                <w:rFonts w:hint="eastAsia"/>
              </w:rPr>
              <w:t>核准范围内，规划范围外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石塘冲</w:t>
            </w:r>
          </w:p>
        </w:tc>
        <w:tc>
          <w:tcPr>
            <w:tcW w:w="1559" w:type="dxa"/>
            <w:vAlign w:val="center"/>
          </w:tcPr>
          <w:p>
            <w:pPr>
              <w:pStyle w:val="63"/>
            </w:pPr>
            <w:r>
              <w:rPr>
                <w:rFonts w:hint="eastAsia"/>
                <w:color w:val="000000"/>
              </w:rPr>
              <w:t>113°25′50.29355″</w:t>
            </w:r>
          </w:p>
        </w:tc>
        <w:tc>
          <w:tcPr>
            <w:tcW w:w="1559" w:type="dxa"/>
            <w:vAlign w:val="center"/>
          </w:tcPr>
          <w:p>
            <w:pPr>
              <w:pStyle w:val="63"/>
            </w:pPr>
            <w:r>
              <w:rPr>
                <w:rFonts w:hint="eastAsia"/>
                <w:color w:val="000000"/>
              </w:rPr>
              <w:t>29°26′56.92047″</w:t>
            </w:r>
          </w:p>
        </w:tc>
        <w:tc>
          <w:tcPr>
            <w:tcW w:w="2530" w:type="dxa"/>
            <w:vAlign w:val="center"/>
          </w:tcPr>
          <w:p>
            <w:pPr>
              <w:pStyle w:val="63"/>
            </w:pPr>
            <w:r>
              <w:t>居住区</w:t>
            </w:r>
            <w:r>
              <w:rPr>
                <w:rFonts w:hint="eastAsia"/>
              </w:rPr>
              <w:t>，</w:t>
            </w:r>
            <w:r>
              <w:t>居民约200人</w:t>
            </w:r>
          </w:p>
        </w:tc>
        <w:tc>
          <w:tcPr>
            <w:tcW w:w="2231" w:type="dxa"/>
            <w:vMerge w:val="continue"/>
            <w:vAlign w:val="center"/>
          </w:tcPr>
          <w:p>
            <w:pPr>
              <w:pStyle w:val="63"/>
            </w:pPr>
          </w:p>
        </w:tc>
        <w:tc>
          <w:tcPr>
            <w:tcW w:w="1658" w:type="dxa"/>
            <w:vAlign w:val="center"/>
          </w:tcPr>
          <w:p>
            <w:pPr>
              <w:pStyle w:val="63"/>
            </w:pPr>
            <w:r>
              <w:rPr>
                <w:rFonts w:hint="eastAsia"/>
              </w:rPr>
              <w:t>N100m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rPr>
                <w:color w:val="000000"/>
              </w:rPr>
            </w:pPr>
            <w:r>
              <w:rPr>
                <w:rFonts w:hint="eastAsia"/>
                <w:color w:val="000000"/>
              </w:rPr>
              <w:t>陈家组</w:t>
            </w:r>
          </w:p>
        </w:tc>
        <w:tc>
          <w:tcPr>
            <w:tcW w:w="1559" w:type="dxa"/>
            <w:vAlign w:val="center"/>
          </w:tcPr>
          <w:p>
            <w:pPr>
              <w:pStyle w:val="63"/>
              <w:rPr>
                <w:color w:val="000000"/>
              </w:rPr>
            </w:pPr>
            <w:r>
              <w:rPr>
                <w:rFonts w:hint="eastAsia"/>
                <w:color w:val="000000"/>
              </w:rPr>
              <w:t>113°25′33.45357″</w:t>
            </w:r>
          </w:p>
        </w:tc>
        <w:tc>
          <w:tcPr>
            <w:tcW w:w="1559" w:type="dxa"/>
            <w:vAlign w:val="center"/>
          </w:tcPr>
          <w:p>
            <w:pPr>
              <w:pStyle w:val="63"/>
              <w:rPr>
                <w:color w:val="000000"/>
              </w:rPr>
            </w:pPr>
            <w:r>
              <w:rPr>
                <w:rFonts w:hint="eastAsia"/>
                <w:color w:val="000000"/>
              </w:rPr>
              <w:t>29°26′8.98833″</w:t>
            </w:r>
          </w:p>
        </w:tc>
        <w:tc>
          <w:tcPr>
            <w:tcW w:w="2530" w:type="dxa"/>
            <w:vAlign w:val="center"/>
          </w:tcPr>
          <w:p>
            <w:pPr>
              <w:pStyle w:val="63"/>
            </w:pPr>
            <w:r>
              <w:t>居住区</w:t>
            </w:r>
            <w:r>
              <w:rPr>
                <w:rFonts w:hint="eastAsia"/>
              </w:rPr>
              <w:t>，</w:t>
            </w:r>
            <w:r>
              <w:t>居民约370人</w:t>
            </w:r>
          </w:p>
        </w:tc>
        <w:tc>
          <w:tcPr>
            <w:tcW w:w="2231" w:type="dxa"/>
            <w:vMerge w:val="continue"/>
            <w:vAlign w:val="center"/>
          </w:tcPr>
          <w:p>
            <w:pPr>
              <w:pStyle w:val="63"/>
            </w:pPr>
          </w:p>
        </w:tc>
        <w:tc>
          <w:tcPr>
            <w:tcW w:w="1658" w:type="dxa"/>
            <w:vAlign w:val="center"/>
          </w:tcPr>
          <w:p>
            <w:pPr>
              <w:pStyle w:val="63"/>
            </w:pPr>
            <w:r>
              <w:rPr>
                <w:rFonts w:hint="eastAsia"/>
              </w:rPr>
              <w:t>S260m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Align w:val="center"/>
          </w:tcPr>
          <w:p>
            <w:pPr>
              <w:pStyle w:val="63"/>
            </w:pPr>
            <w:r>
              <w:rPr>
                <w:rFonts w:hint="eastAsia"/>
              </w:rPr>
              <w:t>绿色建材产业园</w:t>
            </w:r>
          </w:p>
        </w:tc>
        <w:tc>
          <w:tcPr>
            <w:tcW w:w="1701" w:type="dxa"/>
            <w:vAlign w:val="center"/>
          </w:tcPr>
          <w:p>
            <w:pPr>
              <w:pStyle w:val="63"/>
            </w:pPr>
            <w:r>
              <w:rPr>
                <w:rFonts w:hint="eastAsia"/>
                <w:color w:val="000000"/>
              </w:rPr>
              <w:t>戴家冲</w:t>
            </w:r>
          </w:p>
        </w:tc>
        <w:tc>
          <w:tcPr>
            <w:tcW w:w="1559" w:type="dxa"/>
            <w:vAlign w:val="center"/>
          </w:tcPr>
          <w:p>
            <w:pPr>
              <w:pStyle w:val="63"/>
            </w:pPr>
            <w:r>
              <w:rPr>
                <w:rFonts w:hint="eastAsia"/>
                <w:color w:val="000000"/>
              </w:rPr>
              <w:t>113°25′3.80971″</w:t>
            </w:r>
          </w:p>
        </w:tc>
        <w:tc>
          <w:tcPr>
            <w:tcW w:w="1559" w:type="dxa"/>
            <w:vAlign w:val="center"/>
          </w:tcPr>
          <w:p>
            <w:pPr>
              <w:pStyle w:val="63"/>
            </w:pPr>
            <w:r>
              <w:rPr>
                <w:rFonts w:hint="eastAsia"/>
                <w:color w:val="000000"/>
              </w:rPr>
              <w:t>29°30′32.18070″</w:t>
            </w:r>
          </w:p>
        </w:tc>
        <w:tc>
          <w:tcPr>
            <w:tcW w:w="2530" w:type="dxa"/>
            <w:vAlign w:val="center"/>
          </w:tcPr>
          <w:p>
            <w:pPr>
              <w:pStyle w:val="63"/>
            </w:pPr>
            <w:r>
              <w:t>居住区</w:t>
            </w:r>
            <w:r>
              <w:rPr>
                <w:rFonts w:hint="eastAsia"/>
              </w:rPr>
              <w:t>，</w:t>
            </w:r>
            <w:r>
              <w:t>居民约</w:t>
            </w:r>
            <w:r>
              <w:rPr>
                <w:rFonts w:hint="eastAsia"/>
              </w:rPr>
              <w:t>10</w:t>
            </w:r>
            <w:r>
              <w:t>0人</w:t>
            </w:r>
          </w:p>
        </w:tc>
        <w:tc>
          <w:tcPr>
            <w:tcW w:w="2231" w:type="dxa"/>
            <w:vMerge w:val="continue"/>
            <w:vAlign w:val="center"/>
          </w:tcPr>
          <w:p>
            <w:pPr>
              <w:pStyle w:val="63"/>
            </w:pPr>
          </w:p>
        </w:tc>
        <w:tc>
          <w:tcPr>
            <w:tcW w:w="1658" w:type="dxa"/>
            <w:vAlign w:val="center"/>
          </w:tcPr>
          <w:p>
            <w:pPr>
              <w:pStyle w:val="63"/>
            </w:pPr>
            <w:r>
              <w:rPr>
                <w:rFonts w:hint="eastAsia"/>
              </w:rPr>
              <w:t>E210m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restart"/>
            <w:vAlign w:val="center"/>
          </w:tcPr>
          <w:p>
            <w:pPr>
              <w:pStyle w:val="63"/>
            </w:pPr>
            <w:r>
              <w:rPr>
                <w:rFonts w:hint="eastAsia"/>
              </w:rPr>
              <w:t>滨江片区绿色化工产业园</w:t>
            </w:r>
          </w:p>
        </w:tc>
        <w:tc>
          <w:tcPr>
            <w:tcW w:w="1701" w:type="dxa"/>
            <w:vAlign w:val="center"/>
          </w:tcPr>
          <w:p>
            <w:pPr>
              <w:pStyle w:val="63"/>
            </w:pPr>
            <w:r>
              <w:rPr>
                <w:rFonts w:hint="eastAsia"/>
                <w:color w:val="000000"/>
              </w:rPr>
              <w:t>谢家坳</w:t>
            </w:r>
          </w:p>
        </w:tc>
        <w:tc>
          <w:tcPr>
            <w:tcW w:w="1559" w:type="dxa"/>
            <w:vAlign w:val="center"/>
          </w:tcPr>
          <w:p>
            <w:pPr>
              <w:pStyle w:val="63"/>
            </w:pPr>
            <w:r>
              <w:rPr>
                <w:rFonts w:hint="eastAsia"/>
                <w:color w:val="000000"/>
              </w:rPr>
              <w:t>113°22′33.25343″</w:t>
            </w:r>
          </w:p>
        </w:tc>
        <w:tc>
          <w:tcPr>
            <w:tcW w:w="1559" w:type="dxa"/>
            <w:vAlign w:val="center"/>
          </w:tcPr>
          <w:p>
            <w:pPr>
              <w:pStyle w:val="63"/>
            </w:pPr>
            <w:r>
              <w:rPr>
                <w:rFonts w:hint="eastAsia"/>
                <w:color w:val="000000"/>
              </w:rPr>
              <w:t>29°36′34.48695″</w:t>
            </w:r>
          </w:p>
        </w:tc>
        <w:tc>
          <w:tcPr>
            <w:tcW w:w="2530" w:type="dxa"/>
            <w:vAlign w:val="center"/>
          </w:tcPr>
          <w:p>
            <w:pPr>
              <w:pStyle w:val="63"/>
            </w:pPr>
            <w:r>
              <w:t>居住区</w:t>
            </w:r>
            <w:r>
              <w:rPr>
                <w:rFonts w:hint="eastAsia"/>
              </w:rPr>
              <w:t>，</w:t>
            </w:r>
            <w:r>
              <w:t>居民约</w:t>
            </w:r>
            <w:r>
              <w:rPr>
                <w:rFonts w:hint="eastAsia"/>
              </w:rPr>
              <w:t>30</w:t>
            </w:r>
            <w:r>
              <w:t>人</w:t>
            </w:r>
          </w:p>
        </w:tc>
        <w:tc>
          <w:tcPr>
            <w:tcW w:w="2231" w:type="dxa"/>
            <w:vMerge w:val="continue"/>
            <w:vAlign w:val="center"/>
          </w:tcPr>
          <w:p>
            <w:pPr>
              <w:pStyle w:val="63"/>
            </w:pPr>
          </w:p>
        </w:tc>
        <w:tc>
          <w:tcPr>
            <w:tcW w:w="1658" w:type="dxa"/>
            <w:vAlign w:val="center"/>
          </w:tcPr>
          <w:p>
            <w:pPr>
              <w:pStyle w:val="63"/>
            </w:pPr>
            <w:r>
              <w:rPr>
                <w:rFonts w:hint="eastAsia"/>
              </w:rPr>
              <w:t>园区内南部</w:t>
            </w:r>
          </w:p>
        </w:tc>
        <w:tc>
          <w:tcPr>
            <w:tcW w:w="1977" w:type="dxa"/>
            <w:vAlign w:val="center"/>
          </w:tcPr>
          <w:p>
            <w:pPr>
              <w:pStyle w:val="63"/>
            </w:pPr>
            <w:r>
              <w:rPr>
                <w:rFonts w:hint="eastAsia"/>
              </w:rPr>
              <w:t>核准范围外</w:t>
            </w:r>
          </w:p>
          <w:p>
            <w:pPr>
              <w:pStyle w:val="63"/>
            </w:pPr>
            <w:r>
              <w:rPr>
                <w:rFonts w:hint="eastAsia"/>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杨家大屋</w:t>
            </w:r>
          </w:p>
        </w:tc>
        <w:tc>
          <w:tcPr>
            <w:tcW w:w="1559" w:type="dxa"/>
            <w:vAlign w:val="center"/>
          </w:tcPr>
          <w:p>
            <w:pPr>
              <w:pStyle w:val="63"/>
            </w:pPr>
            <w:r>
              <w:rPr>
                <w:rFonts w:hint="eastAsia"/>
                <w:color w:val="000000"/>
              </w:rPr>
              <w:t>113°22′2.77262″</w:t>
            </w:r>
          </w:p>
        </w:tc>
        <w:tc>
          <w:tcPr>
            <w:tcW w:w="1559" w:type="dxa"/>
            <w:vAlign w:val="center"/>
          </w:tcPr>
          <w:p>
            <w:pPr>
              <w:pStyle w:val="63"/>
            </w:pPr>
            <w:r>
              <w:rPr>
                <w:rFonts w:hint="eastAsia"/>
                <w:color w:val="000000"/>
              </w:rPr>
              <w:t>29°37′14.17436″</w:t>
            </w:r>
          </w:p>
        </w:tc>
        <w:tc>
          <w:tcPr>
            <w:tcW w:w="2530" w:type="dxa"/>
            <w:vAlign w:val="center"/>
          </w:tcPr>
          <w:p>
            <w:pPr>
              <w:pStyle w:val="63"/>
            </w:pPr>
            <w:r>
              <w:t>居住区</w:t>
            </w:r>
            <w:r>
              <w:rPr>
                <w:rFonts w:hint="eastAsia"/>
              </w:rPr>
              <w:t>，</w:t>
            </w:r>
            <w:r>
              <w:t>居民约</w:t>
            </w:r>
            <w:r>
              <w:rPr>
                <w:rFonts w:hint="eastAsia"/>
              </w:rPr>
              <w:t>20</w:t>
            </w:r>
            <w:r>
              <w:t>人</w:t>
            </w:r>
          </w:p>
        </w:tc>
        <w:tc>
          <w:tcPr>
            <w:tcW w:w="2231" w:type="dxa"/>
            <w:vMerge w:val="continue"/>
            <w:vAlign w:val="center"/>
          </w:tcPr>
          <w:p>
            <w:pPr>
              <w:pStyle w:val="63"/>
            </w:pPr>
          </w:p>
        </w:tc>
        <w:tc>
          <w:tcPr>
            <w:tcW w:w="1658" w:type="dxa"/>
            <w:vAlign w:val="center"/>
          </w:tcPr>
          <w:p>
            <w:pPr>
              <w:pStyle w:val="63"/>
            </w:pPr>
            <w:r>
              <w:rPr>
                <w:rFonts w:hint="eastAsia"/>
              </w:rPr>
              <w:t>园区内西部</w:t>
            </w:r>
          </w:p>
        </w:tc>
        <w:tc>
          <w:tcPr>
            <w:tcW w:w="1977" w:type="dxa"/>
            <w:vAlign w:val="center"/>
          </w:tcPr>
          <w:p>
            <w:pPr>
              <w:pStyle w:val="63"/>
            </w:pPr>
            <w:r>
              <w:rPr>
                <w:rFonts w:hint="eastAsia"/>
              </w:rPr>
              <w:t>核准范围外</w:t>
            </w:r>
          </w:p>
          <w:p>
            <w:pPr>
              <w:pStyle w:val="63"/>
            </w:pPr>
            <w:r>
              <w:rPr>
                <w:rFonts w:hint="eastAsia"/>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唐家冲</w:t>
            </w:r>
          </w:p>
        </w:tc>
        <w:tc>
          <w:tcPr>
            <w:tcW w:w="1559" w:type="dxa"/>
            <w:vAlign w:val="center"/>
          </w:tcPr>
          <w:p>
            <w:pPr>
              <w:pStyle w:val="63"/>
            </w:pPr>
            <w:r>
              <w:rPr>
                <w:rFonts w:hint="eastAsia"/>
                <w:color w:val="000000"/>
              </w:rPr>
              <w:t>113°23′9.20557″</w:t>
            </w:r>
          </w:p>
        </w:tc>
        <w:tc>
          <w:tcPr>
            <w:tcW w:w="1559" w:type="dxa"/>
            <w:vAlign w:val="center"/>
          </w:tcPr>
          <w:p>
            <w:pPr>
              <w:pStyle w:val="63"/>
            </w:pPr>
            <w:r>
              <w:rPr>
                <w:rFonts w:hint="eastAsia"/>
                <w:color w:val="000000"/>
              </w:rPr>
              <w:t>29°36′30.37496″</w:t>
            </w:r>
          </w:p>
        </w:tc>
        <w:tc>
          <w:tcPr>
            <w:tcW w:w="2530" w:type="dxa"/>
            <w:vAlign w:val="center"/>
          </w:tcPr>
          <w:p>
            <w:pPr>
              <w:pStyle w:val="63"/>
            </w:pPr>
            <w:r>
              <w:t>居住区</w:t>
            </w:r>
            <w:r>
              <w:rPr>
                <w:rFonts w:hint="eastAsia"/>
              </w:rPr>
              <w:t>，</w:t>
            </w:r>
            <w:r>
              <w:t>居民约</w:t>
            </w:r>
            <w:r>
              <w:rPr>
                <w:rFonts w:hint="eastAsia"/>
              </w:rPr>
              <w:t>10</w:t>
            </w:r>
            <w:r>
              <w:t>人</w:t>
            </w:r>
          </w:p>
        </w:tc>
        <w:tc>
          <w:tcPr>
            <w:tcW w:w="2231" w:type="dxa"/>
            <w:vMerge w:val="continue"/>
            <w:vAlign w:val="center"/>
          </w:tcPr>
          <w:p>
            <w:pPr>
              <w:pStyle w:val="63"/>
            </w:pPr>
          </w:p>
        </w:tc>
        <w:tc>
          <w:tcPr>
            <w:tcW w:w="1658" w:type="dxa"/>
            <w:vAlign w:val="center"/>
          </w:tcPr>
          <w:p>
            <w:pPr>
              <w:pStyle w:val="63"/>
            </w:pPr>
            <w:r>
              <w:rPr>
                <w:rFonts w:hint="eastAsia"/>
              </w:rPr>
              <w:t>园区内东部</w:t>
            </w:r>
          </w:p>
        </w:tc>
        <w:tc>
          <w:tcPr>
            <w:tcW w:w="1977" w:type="dxa"/>
            <w:vAlign w:val="center"/>
          </w:tcPr>
          <w:p>
            <w:pPr>
              <w:pStyle w:val="63"/>
            </w:pPr>
            <w:r>
              <w:rPr>
                <w:rFonts w:hint="eastAsia"/>
              </w:rPr>
              <w:t>核准范围外</w:t>
            </w:r>
          </w:p>
          <w:p>
            <w:pPr>
              <w:pStyle w:val="63"/>
            </w:pPr>
            <w:r>
              <w:rPr>
                <w:rFonts w:hint="eastAsia"/>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万家冲</w:t>
            </w:r>
          </w:p>
        </w:tc>
        <w:tc>
          <w:tcPr>
            <w:tcW w:w="1559" w:type="dxa"/>
            <w:vAlign w:val="center"/>
          </w:tcPr>
          <w:p>
            <w:pPr>
              <w:pStyle w:val="63"/>
            </w:pPr>
            <w:r>
              <w:rPr>
                <w:rFonts w:hint="eastAsia"/>
                <w:color w:val="000000"/>
              </w:rPr>
              <w:t>113°22′53.44705″</w:t>
            </w:r>
          </w:p>
        </w:tc>
        <w:tc>
          <w:tcPr>
            <w:tcW w:w="1559" w:type="dxa"/>
            <w:vAlign w:val="center"/>
          </w:tcPr>
          <w:p>
            <w:pPr>
              <w:pStyle w:val="63"/>
            </w:pPr>
            <w:r>
              <w:rPr>
                <w:rFonts w:hint="eastAsia"/>
                <w:color w:val="000000"/>
              </w:rPr>
              <w:t>29°37′49.24478″</w:t>
            </w:r>
          </w:p>
        </w:tc>
        <w:tc>
          <w:tcPr>
            <w:tcW w:w="2530" w:type="dxa"/>
            <w:vAlign w:val="center"/>
          </w:tcPr>
          <w:p>
            <w:pPr>
              <w:pStyle w:val="63"/>
            </w:pPr>
            <w:r>
              <w:t>居住区</w:t>
            </w:r>
            <w:r>
              <w:rPr>
                <w:rFonts w:hint="eastAsia"/>
              </w:rPr>
              <w:t>，</w:t>
            </w:r>
            <w:r>
              <w:t>居民约</w:t>
            </w:r>
            <w:r>
              <w:rPr>
                <w:rFonts w:hint="eastAsia"/>
              </w:rPr>
              <w:t>10</w:t>
            </w:r>
            <w:r>
              <w:t>人</w:t>
            </w:r>
          </w:p>
        </w:tc>
        <w:tc>
          <w:tcPr>
            <w:tcW w:w="2231" w:type="dxa"/>
            <w:vMerge w:val="continue"/>
            <w:vAlign w:val="center"/>
          </w:tcPr>
          <w:p>
            <w:pPr>
              <w:pStyle w:val="63"/>
            </w:pPr>
          </w:p>
        </w:tc>
        <w:tc>
          <w:tcPr>
            <w:tcW w:w="1658" w:type="dxa"/>
            <w:vAlign w:val="center"/>
          </w:tcPr>
          <w:p>
            <w:pPr>
              <w:pStyle w:val="63"/>
            </w:pPr>
            <w:r>
              <w:rPr>
                <w:rFonts w:hint="eastAsia"/>
              </w:rPr>
              <w:t>园区内北侧</w:t>
            </w:r>
          </w:p>
        </w:tc>
        <w:tc>
          <w:tcPr>
            <w:tcW w:w="1977" w:type="dxa"/>
            <w:vAlign w:val="center"/>
          </w:tcPr>
          <w:p>
            <w:pPr>
              <w:pStyle w:val="63"/>
            </w:pPr>
            <w:r>
              <w:rPr>
                <w:rFonts w:hint="eastAsia"/>
              </w:rPr>
              <w:t>核准范围外</w:t>
            </w:r>
          </w:p>
          <w:p>
            <w:pPr>
              <w:pStyle w:val="63"/>
            </w:pPr>
            <w:r>
              <w:rPr>
                <w:rFonts w:hint="eastAsia"/>
              </w:rPr>
              <w:t>规划范围内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杨家集会</w:t>
            </w:r>
          </w:p>
        </w:tc>
        <w:tc>
          <w:tcPr>
            <w:tcW w:w="1559" w:type="dxa"/>
            <w:vAlign w:val="center"/>
          </w:tcPr>
          <w:p>
            <w:pPr>
              <w:pStyle w:val="63"/>
            </w:pPr>
            <w:r>
              <w:rPr>
                <w:rFonts w:hint="eastAsia"/>
                <w:color w:val="000000"/>
              </w:rPr>
              <w:t>113°23′32.68884″</w:t>
            </w:r>
          </w:p>
        </w:tc>
        <w:tc>
          <w:tcPr>
            <w:tcW w:w="1559" w:type="dxa"/>
            <w:vAlign w:val="center"/>
          </w:tcPr>
          <w:p>
            <w:pPr>
              <w:pStyle w:val="63"/>
            </w:pPr>
            <w:r>
              <w:rPr>
                <w:rFonts w:hint="eastAsia"/>
                <w:color w:val="000000"/>
              </w:rPr>
              <w:t>29°36′48.75990″</w:t>
            </w:r>
          </w:p>
        </w:tc>
        <w:tc>
          <w:tcPr>
            <w:tcW w:w="2530" w:type="dxa"/>
            <w:vAlign w:val="center"/>
          </w:tcPr>
          <w:p>
            <w:pPr>
              <w:pStyle w:val="63"/>
            </w:pPr>
            <w:r>
              <w:t>居住区</w:t>
            </w:r>
            <w:r>
              <w:rPr>
                <w:rFonts w:hint="eastAsia"/>
              </w:rPr>
              <w:t>，</w:t>
            </w:r>
            <w:r>
              <w:t>居民约</w:t>
            </w:r>
            <w:r>
              <w:rPr>
                <w:rFonts w:hint="eastAsia"/>
              </w:rPr>
              <w:t>100</w:t>
            </w:r>
            <w:r>
              <w:t>人</w:t>
            </w:r>
          </w:p>
        </w:tc>
        <w:tc>
          <w:tcPr>
            <w:tcW w:w="2231" w:type="dxa"/>
            <w:vMerge w:val="continue"/>
            <w:vAlign w:val="center"/>
          </w:tcPr>
          <w:p>
            <w:pPr>
              <w:pStyle w:val="63"/>
            </w:pPr>
          </w:p>
        </w:tc>
        <w:tc>
          <w:tcPr>
            <w:tcW w:w="1658" w:type="dxa"/>
            <w:vAlign w:val="center"/>
          </w:tcPr>
          <w:p>
            <w:pPr>
              <w:pStyle w:val="63"/>
            </w:pPr>
            <w:r>
              <w:rPr>
                <w:rFonts w:hint="eastAsia"/>
              </w:rPr>
              <w:t>E160m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rPr>
                <w:color w:val="000000"/>
              </w:rPr>
            </w:pPr>
            <w:r>
              <w:rPr>
                <w:rFonts w:hint="eastAsia"/>
                <w:color w:val="000000"/>
              </w:rPr>
              <w:t>洋溪村</w:t>
            </w:r>
          </w:p>
        </w:tc>
        <w:tc>
          <w:tcPr>
            <w:tcW w:w="1559" w:type="dxa"/>
            <w:vAlign w:val="center"/>
          </w:tcPr>
          <w:p>
            <w:pPr>
              <w:pStyle w:val="63"/>
              <w:rPr>
                <w:color w:val="000000"/>
              </w:rPr>
            </w:pPr>
            <w:r>
              <w:rPr>
                <w:rFonts w:hint="eastAsia"/>
                <w:color w:val="000000"/>
              </w:rPr>
              <w:t>113°22′10.83683″</w:t>
            </w:r>
          </w:p>
        </w:tc>
        <w:tc>
          <w:tcPr>
            <w:tcW w:w="1559" w:type="dxa"/>
            <w:vAlign w:val="center"/>
          </w:tcPr>
          <w:p>
            <w:pPr>
              <w:pStyle w:val="63"/>
              <w:rPr>
                <w:color w:val="000000"/>
              </w:rPr>
            </w:pPr>
            <w:r>
              <w:rPr>
                <w:rFonts w:hint="eastAsia"/>
                <w:color w:val="000000"/>
              </w:rPr>
              <w:t>29°38′3.17567″</w:t>
            </w:r>
          </w:p>
        </w:tc>
        <w:tc>
          <w:tcPr>
            <w:tcW w:w="2530" w:type="dxa"/>
            <w:vAlign w:val="center"/>
          </w:tcPr>
          <w:p>
            <w:pPr>
              <w:pStyle w:val="63"/>
            </w:pPr>
            <w:r>
              <w:t>居住区</w:t>
            </w:r>
            <w:r>
              <w:rPr>
                <w:rFonts w:hint="eastAsia"/>
              </w:rPr>
              <w:t>，</w:t>
            </w:r>
            <w:r>
              <w:t>居民约</w:t>
            </w:r>
            <w:r>
              <w:rPr>
                <w:rFonts w:hint="eastAsia"/>
              </w:rPr>
              <w:t>300</w:t>
            </w:r>
            <w:r>
              <w:t>人</w:t>
            </w:r>
          </w:p>
        </w:tc>
        <w:tc>
          <w:tcPr>
            <w:tcW w:w="2231" w:type="dxa"/>
            <w:vMerge w:val="continue"/>
            <w:vAlign w:val="center"/>
          </w:tcPr>
          <w:p>
            <w:pPr>
              <w:pStyle w:val="63"/>
            </w:pPr>
          </w:p>
        </w:tc>
        <w:tc>
          <w:tcPr>
            <w:tcW w:w="1658" w:type="dxa"/>
            <w:vAlign w:val="center"/>
          </w:tcPr>
          <w:p>
            <w:pPr>
              <w:pStyle w:val="63"/>
            </w:pPr>
            <w:r>
              <w:rPr>
                <w:rFonts w:hint="eastAsia"/>
              </w:rPr>
              <w:t>N360m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rPr>
                <w:color w:val="000000"/>
              </w:rPr>
            </w:pPr>
            <w:r>
              <w:rPr>
                <w:rFonts w:hint="eastAsia"/>
                <w:color w:val="000000"/>
              </w:rPr>
              <w:t>儒溪中学</w:t>
            </w:r>
          </w:p>
        </w:tc>
        <w:tc>
          <w:tcPr>
            <w:tcW w:w="1559" w:type="dxa"/>
            <w:vAlign w:val="center"/>
          </w:tcPr>
          <w:p>
            <w:pPr>
              <w:pStyle w:val="63"/>
              <w:rPr>
                <w:color w:val="000000"/>
              </w:rPr>
            </w:pPr>
            <w:r>
              <w:rPr>
                <w:rFonts w:hint="eastAsia"/>
                <w:color w:val="000000"/>
              </w:rPr>
              <w:t>113°22′7.12894″</w:t>
            </w:r>
          </w:p>
        </w:tc>
        <w:tc>
          <w:tcPr>
            <w:tcW w:w="1559" w:type="dxa"/>
            <w:vAlign w:val="center"/>
          </w:tcPr>
          <w:p>
            <w:pPr>
              <w:pStyle w:val="63"/>
              <w:rPr>
                <w:color w:val="000000"/>
              </w:rPr>
            </w:pPr>
            <w:r>
              <w:rPr>
                <w:rFonts w:hint="eastAsia"/>
                <w:color w:val="000000"/>
              </w:rPr>
              <w:t>29°37′59.15879″</w:t>
            </w:r>
          </w:p>
        </w:tc>
        <w:tc>
          <w:tcPr>
            <w:tcW w:w="2530" w:type="dxa"/>
            <w:vAlign w:val="center"/>
          </w:tcPr>
          <w:p>
            <w:pPr>
              <w:pStyle w:val="63"/>
            </w:pPr>
            <w:r>
              <w:rPr>
                <w:rFonts w:hint="eastAsia"/>
              </w:rPr>
              <w:t>学校，</w:t>
            </w:r>
            <w:r>
              <w:t>居民约</w:t>
            </w:r>
            <w:r>
              <w:rPr>
                <w:rFonts w:hint="eastAsia"/>
              </w:rPr>
              <w:t>100</w:t>
            </w:r>
            <w:r>
              <w:t>人</w:t>
            </w:r>
          </w:p>
        </w:tc>
        <w:tc>
          <w:tcPr>
            <w:tcW w:w="2231" w:type="dxa"/>
            <w:vMerge w:val="continue"/>
            <w:vAlign w:val="center"/>
          </w:tcPr>
          <w:p>
            <w:pPr>
              <w:pStyle w:val="63"/>
            </w:pPr>
          </w:p>
        </w:tc>
        <w:tc>
          <w:tcPr>
            <w:tcW w:w="1658" w:type="dxa"/>
            <w:vAlign w:val="center"/>
          </w:tcPr>
          <w:p>
            <w:pPr>
              <w:pStyle w:val="63"/>
            </w:pPr>
            <w:r>
              <w:rPr>
                <w:rFonts w:hint="eastAsia"/>
              </w:rPr>
              <w:t>N330m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restart"/>
            <w:vAlign w:val="center"/>
          </w:tcPr>
          <w:p>
            <w:pPr>
              <w:pStyle w:val="63"/>
            </w:pPr>
            <w:r>
              <w:rPr>
                <w:rFonts w:hint="eastAsia"/>
              </w:rPr>
              <w:t>滨江片区加工制造产业园</w:t>
            </w:r>
          </w:p>
        </w:tc>
        <w:tc>
          <w:tcPr>
            <w:tcW w:w="1701" w:type="dxa"/>
            <w:vAlign w:val="center"/>
          </w:tcPr>
          <w:p>
            <w:pPr>
              <w:pStyle w:val="63"/>
            </w:pPr>
            <w:r>
              <w:rPr>
                <w:rFonts w:hint="eastAsia"/>
                <w:color w:val="000000"/>
              </w:rPr>
              <w:t>旗杆小区</w:t>
            </w:r>
          </w:p>
        </w:tc>
        <w:tc>
          <w:tcPr>
            <w:tcW w:w="1559" w:type="dxa"/>
            <w:vAlign w:val="center"/>
          </w:tcPr>
          <w:p>
            <w:pPr>
              <w:pStyle w:val="63"/>
            </w:pPr>
            <w:r>
              <w:rPr>
                <w:rFonts w:hint="eastAsia"/>
                <w:color w:val="000000"/>
              </w:rPr>
              <w:t>113°21′46.96732″</w:t>
            </w:r>
          </w:p>
        </w:tc>
        <w:tc>
          <w:tcPr>
            <w:tcW w:w="1559" w:type="dxa"/>
            <w:vAlign w:val="center"/>
          </w:tcPr>
          <w:p>
            <w:pPr>
              <w:pStyle w:val="63"/>
            </w:pPr>
            <w:r>
              <w:rPr>
                <w:rFonts w:hint="eastAsia"/>
                <w:color w:val="000000"/>
              </w:rPr>
              <w:t>29°38′50.29671″</w:t>
            </w:r>
          </w:p>
        </w:tc>
        <w:tc>
          <w:tcPr>
            <w:tcW w:w="2530" w:type="dxa"/>
            <w:vAlign w:val="center"/>
          </w:tcPr>
          <w:p>
            <w:pPr>
              <w:pStyle w:val="63"/>
            </w:pPr>
            <w:r>
              <w:t>居住区</w:t>
            </w:r>
            <w:r>
              <w:rPr>
                <w:rFonts w:hint="eastAsia"/>
              </w:rPr>
              <w:t>，</w:t>
            </w:r>
            <w:r>
              <w:t>居民约</w:t>
            </w:r>
            <w:r>
              <w:rPr>
                <w:rFonts w:hint="eastAsia"/>
              </w:rPr>
              <w:t>100</w:t>
            </w:r>
            <w:r>
              <w:t>人</w:t>
            </w:r>
          </w:p>
        </w:tc>
        <w:tc>
          <w:tcPr>
            <w:tcW w:w="2231" w:type="dxa"/>
            <w:vMerge w:val="continue"/>
            <w:vAlign w:val="center"/>
          </w:tcPr>
          <w:p>
            <w:pPr>
              <w:pStyle w:val="63"/>
            </w:pPr>
          </w:p>
        </w:tc>
        <w:tc>
          <w:tcPr>
            <w:tcW w:w="1658" w:type="dxa"/>
            <w:vAlign w:val="center"/>
          </w:tcPr>
          <w:p>
            <w:pPr>
              <w:pStyle w:val="63"/>
            </w:pPr>
            <w:r>
              <w:rPr>
                <w:rFonts w:hint="eastAsia"/>
              </w:rPr>
              <w:t>E30m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儒溪新村</w:t>
            </w:r>
          </w:p>
        </w:tc>
        <w:tc>
          <w:tcPr>
            <w:tcW w:w="1559" w:type="dxa"/>
            <w:vAlign w:val="center"/>
          </w:tcPr>
          <w:p>
            <w:pPr>
              <w:pStyle w:val="63"/>
            </w:pPr>
            <w:r>
              <w:rPr>
                <w:rFonts w:hint="eastAsia"/>
                <w:color w:val="000000"/>
              </w:rPr>
              <w:t>113°21′34.14421″</w:t>
            </w:r>
          </w:p>
        </w:tc>
        <w:tc>
          <w:tcPr>
            <w:tcW w:w="1559" w:type="dxa"/>
            <w:vAlign w:val="center"/>
          </w:tcPr>
          <w:p>
            <w:pPr>
              <w:pStyle w:val="63"/>
            </w:pPr>
            <w:r>
              <w:rPr>
                <w:rFonts w:hint="eastAsia"/>
                <w:color w:val="000000"/>
              </w:rPr>
              <w:t>29°39′0.18441″</w:t>
            </w:r>
          </w:p>
        </w:tc>
        <w:tc>
          <w:tcPr>
            <w:tcW w:w="2530" w:type="dxa"/>
            <w:vAlign w:val="center"/>
          </w:tcPr>
          <w:p>
            <w:pPr>
              <w:pStyle w:val="63"/>
            </w:pPr>
            <w:r>
              <w:t>居住区</w:t>
            </w:r>
            <w:r>
              <w:rPr>
                <w:rFonts w:hint="eastAsia"/>
              </w:rPr>
              <w:t>，</w:t>
            </w:r>
            <w:r>
              <w:t>居民约</w:t>
            </w:r>
            <w:r>
              <w:rPr>
                <w:rFonts w:hint="eastAsia"/>
              </w:rPr>
              <w:t>300</w:t>
            </w:r>
            <w:r>
              <w:t>人</w:t>
            </w:r>
          </w:p>
        </w:tc>
        <w:tc>
          <w:tcPr>
            <w:tcW w:w="2231" w:type="dxa"/>
            <w:vMerge w:val="continue"/>
            <w:vAlign w:val="center"/>
          </w:tcPr>
          <w:p>
            <w:pPr>
              <w:pStyle w:val="63"/>
            </w:pPr>
          </w:p>
        </w:tc>
        <w:tc>
          <w:tcPr>
            <w:tcW w:w="1658" w:type="dxa"/>
            <w:vAlign w:val="center"/>
          </w:tcPr>
          <w:p>
            <w:pPr>
              <w:pStyle w:val="63"/>
            </w:pPr>
            <w:r>
              <w:rPr>
                <w:rFonts w:hint="eastAsia"/>
              </w:rPr>
              <w:t>N50m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Merge w:val="continue"/>
            <w:vAlign w:val="center"/>
          </w:tcPr>
          <w:p>
            <w:pPr>
              <w:pStyle w:val="63"/>
            </w:pPr>
          </w:p>
        </w:tc>
        <w:tc>
          <w:tcPr>
            <w:tcW w:w="1701" w:type="dxa"/>
            <w:vAlign w:val="center"/>
          </w:tcPr>
          <w:p>
            <w:pPr>
              <w:pStyle w:val="63"/>
            </w:pPr>
            <w:r>
              <w:rPr>
                <w:rFonts w:hint="eastAsia"/>
                <w:color w:val="000000"/>
              </w:rPr>
              <w:t>管委会</w:t>
            </w:r>
          </w:p>
        </w:tc>
        <w:tc>
          <w:tcPr>
            <w:tcW w:w="1559" w:type="dxa"/>
            <w:vAlign w:val="center"/>
          </w:tcPr>
          <w:p>
            <w:pPr>
              <w:pStyle w:val="63"/>
            </w:pPr>
            <w:r>
              <w:rPr>
                <w:rFonts w:hint="eastAsia"/>
                <w:color w:val="000000"/>
              </w:rPr>
              <w:t>113°21′45.96310″</w:t>
            </w:r>
          </w:p>
        </w:tc>
        <w:tc>
          <w:tcPr>
            <w:tcW w:w="1559" w:type="dxa"/>
            <w:vAlign w:val="center"/>
          </w:tcPr>
          <w:p>
            <w:pPr>
              <w:pStyle w:val="63"/>
            </w:pPr>
            <w:r>
              <w:rPr>
                <w:rFonts w:hint="eastAsia"/>
                <w:color w:val="000000"/>
              </w:rPr>
              <w:t>29°38′55.85855″</w:t>
            </w:r>
          </w:p>
        </w:tc>
        <w:tc>
          <w:tcPr>
            <w:tcW w:w="2530" w:type="dxa"/>
            <w:vAlign w:val="center"/>
          </w:tcPr>
          <w:p>
            <w:pPr>
              <w:pStyle w:val="63"/>
            </w:pPr>
            <w:r>
              <w:t>行政办公</w:t>
            </w:r>
            <w:r>
              <w:rPr>
                <w:rFonts w:hint="eastAsia"/>
              </w:rPr>
              <w:t>，约</w:t>
            </w:r>
            <w:r>
              <w:t>50人</w:t>
            </w:r>
          </w:p>
        </w:tc>
        <w:tc>
          <w:tcPr>
            <w:tcW w:w="2231" w:type="dxa"/>
            <w:vMerge w:val="continue"/>
            <w:vAlign w:val="center"/>
          </w:tcPr>
          <w:p>
            <w:pPr>
              <w:pStyle w:val="63"/>
            </w:pPr>
          </w:p>
        </w:tc>
        <w:tc>
          <w:tcPr>
            <w:tcW w:w="1658" w:type="dxa"/>
            <w:vAlign w:val="center"/>
          </w:tcPr>
          <w:p>
            <w:pPr>
              <w:pStyle w:val="63"/>
            </w:pPr>
            <w:r>
              <w:rPr>
                <w:rFonts w:hint="eastAsia"/>
              </w:rPr>
              <w:t>NE60m</w:t>
            </w:r>
          </w:p>
        </w:tc>
        <w:tc>
          <w:tcPr>
            <w:tcW w:w="1977" w:type="dxa"/>
            <w:vAlign w:val="center"/>
          </w:tcPr>
          <w:p>
            <w:pPr>
              <w:pStyle w:val="63"/>
            </w:pPr>
            <w:r>
              <w:rPr>
                <w:rFonts w:hint="eastAsia"/>
              </w:rPr>
              <w:t>规划范围外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0" w:type="dxa"/>
            <w:vAlign w:val="center"/>
          </w:tcPr>
          <w:p>
            <w:pPr>
              <w:pStyle w:val="63"/>
            </w:pPr>
            <w:r>
              <w:rPr>
                <w:rFonts w:hint="eastAsia"/>
              </w:rPr>
              <w:t>滨江片区中非工贸产业园</w:t>
            </w:r>
          </w:p>
        </w:tc>
        <w:tc>
          <w:tcPr>
            <w:tcW w:w="1701" w:type="dxa"/>
            <w:vAlign w:val="center"/>
          </w:tcPr>
          <w:p>
            <w:pPr>
              <w:pStyle w:val="63"/>
            </w:pPr>
            <w:r>
              <w:rPr>
                <w:rFonts w:hint="eastAsia"/>
                <w:color w:val="000000"/>
              </w:rPr>
              <w:t>儒溪村</w:t>
            </w:r>
          </w:p>
        </w:tc>
        <w:tc>
          <w:tcPr>
            <w:tcW w:w="1559" w:type="dxa"/>
            <w:vAlign w:val="center"/>
          </w:tcPr>
          <w:p>
            <w:pPr>
              <w:pStyle w:val="63"/>
            </w:pPr>
            <w:r>
              <w:rPr>
                <w:rFonts w:hint="eastAsia"/>
                <w:color w:val="000000"/>
              </w:rPr>
              <w:t>113°19′34.98975″</w:t>
            </w:r>
          </w:p>
        </w:tc>
        <w:tc>
          <w:tcPr>
            <w:tcW w:w="1559" w:type="dxa"/>
            <w:vAlign w:val="center"/>
          </w:tcPr>
          <w:p>
            <w:pPr>
              <w:pStyle w:val="63"/>
            </w:pPr>
            <w:r>
              <w:rPr>
                <w:rFonts w:hint="eastAsia"/>
                <w:color w:val="000000"/>
              </w:rPr>
              <w:t>29°37′51.93614″</w:t>
            </w:r>
          </w:p>
        </w:tc>
        <w:tc>
          <w:tcPr>
            <w:tcW w:w="2530" w:type="dxa"/>
            <w:vAlign w:val="center"/>
          </w:tcPr>
          <w:p>
            <w:pPr>
              <w:pStyle w:val="63"/>
            </w:pPr>
            <w:r>
              <w:t>居住区</w:t>
            </w:r>
            <w:r>
              <w:rPr>
                <w:rFonts w:hint="eastAsia"/>
              </w:rPr>
              <w:t>，</w:t>
            </w:r>
            <w:r>
              <w:t>居民约</w:t>
            </w:r>
            <w:r>
              <w:rPr>
                <w:rFonts w:hint="eastAsia"/>
              </w:rPr>
              <w:t>20</w:t>
            </w:r>
            <w:r>
              <w:t>人</w:t>
            </w:r>
          </w:p>
        </w:tc>
        <w:tc>
          <w:tcPr>
            <w:tcW w:w="2231" w:type="dxa"/>
            <w:vMerge w:val="continue"/>
            <w:vAlign w:val="center"/>
          </w:tcPr>
          <w:p>
            <w:pPr>
              <w:pStyle w:val="63"/>
            </w:pPr>
          </w:p>
        </w:tc>
        <w:tc>
          <w:tcPr>
            <w:tcW w:w="1658" w:type="dxa"/>
            <w:vAlign w:val="center"/>
          </w:tcPr>
          <w:p>
            <w:pPr>
              <w:pStyle w:val="63"/>
            </w:pPr>
            <w:r>
              <w:rPr>
                <w:rFonts w:hint="eastAsia"/>
              </w:rPr>
              <w:t>园区内中部</w:t>
            </w:r>
          </w:p>
        </w:tc>
        <w:tc>
          <w:tcPr>
            <w:tcW w:w="1977" w:type="dxa"/>
            <w:vAlign w:val="center"/>
          </w:tcPr>
          <w:p>
            <w:pPr>
              <w:pStyle w:val="63"/>
            </w:pPr>
            <w:r>
              <w:rPr>
                <w:rFonts w:hint="eastAsia"/>
              </w:rPr>
              <w:t>核准范围内</w:t>
            </w:r>
          </w:p>
          <w:p>
            <w:pPr>
              <w:pStyle w:val="63"/>
            </w:pPr>
            <w:r>
              <w:rPr>
                <w:rFonts w:hint="eastAsia"/>
              </w:rPr>
              <w:t>规划范围内</w:t>
            </w:r>
          </w:p>
        </w:tc>
      </w:tr>
      <w:bookmarkEnd w:id="38"/>
    </w:tbl>
    <w:p>
      <w:pPr>
        <w:sectPr>
          <w:pgSz w:w="16838" w:h="11906" w:orient="landscape"/>
          <w:pgMar w:top="1418" w:right="1418" w:bottom="1701" w:left="1418" w:header="851" w:footer="992" w:gutter="0"/>
          <w:paperSrc w:first="7" w:other="7"/>
          <w:cols w:space="425" w:num="1"/>
          <w:docGrid w:linePitch="326" w:charSpace="915"/>
        </w:sectPr>
      </w:pPr>
    </w:p>
    <w:p>
      <w:pPr>
        <w:pStyle w:val="6"/>
        <w:rPr>
          <w:rFonts w:ascii="Times New Roman" w:hAnsi="Times New Roman" w:cs="Times New Roman"/>
        </w:rPr>
      </w:pPr>
      <w:r>
        <w:rPr>
          <w:rFonts w:ascii="Times New Roman" w:hAnsi="Times New Roman" w:cs="Times New Roman"/>
        </w:rPr>
        <w:t>表1.6-</w:t>
      </w:r>
      <w:r>
        <w:rPr>
          <w:rFonts w:hint="eastAsia" w:ascii="Times New Roman" w:hAnsi="Times New Roman" w:cs="Times New Roman"/>
        </w:rPr>
        <w:t>3</w:t>
      </w:r>
      <w:r>
        <w:rPr>
          <w:rFonts w:ascii="Times New Roman" w:hAnsi="Times New Roman" w:cs="Times New Roman"/>
        </w:rPr>
        <w:t xml:space="preserve">  水环境保护目标</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7"/>
        <w:gridCol w:w="1226"/>
        <w:gridCol w:w="1416"/>
        <w:gridCol w:w="5812"/>
        <w:gridCol w:w="2667"/>
        <w:gridCol w:w="22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trPr>
        <w:tc>
          <w:tcPr>
            <w:tcW w:w="305" w:type="pct"/>
            <w:vAlign w:val="center"/>
          </w:tcPr>
          <w:p>
            <w:pPr>
              <w:pStyle w:val="63"/>
            </w:pPr>
            <w:r>
              <w:rPr>
                <w:rFonts w:hint="eastAsia"/>
              </w:rPr>
              <w:t>要素</w:t>
            </w:r>
          </w:p>
        </w:tc>
        <w:tc>
          <w:tcPr>
            <w:tcW w:w="431" w:type="pct"/>
            <w:vAlign w:val="center"/>
          </w:tcPr>
          <w:p>
            <w:pPr>
              <w:pStyle w:val="63"/>
            </w:pPr>
            <w:r>
              <w:t>片区</w:t>
            </w:r>
          </w:p>
        </w:tc>
        <w:tc>
          <w:tcPr>
            <w:tcW w:w="498" w:type="pct"/>
            <w:vAlign w:val="center"/>
          </w:tcPr>
          <w:p>
            <w:pPr>
              <w:pStyle w:val="63"/>
            </w:pPr>
            <w:r>
              <w:t>名称</w:t>
            </w:r>
          </w:p>
        </w:tc>
        <w:tc>
          <w:tcPr>
            <w:tcW w:w="2044" w:type="pct"/>
            <w:vAlign w:val="center"/>
          </w:tcPr>
          <w:p>
            <w:pPr>
              <w:pStyle w:val="63"/>
            </w:pPr>
            <w:r>
              <w:t>相对位置及最近距离</w:t>
            </w:r>
          </w:p>
        </w:tc>
        <w:tc>
          <w:tcPr>
            <w:tcW w:w="938" w:type="pct"/>
            <w:vAlign w:val="center"/>
          </w:tcPr>
          <w:p>
            <w:pPr>
              <w:pStyle w:val="63"/>
            </w:pPr>
            <w:r>
              <w:t>功能及规模</w:t>
            </w:r>
          </w:p>
        </w:tc>
        <w:tc>
          <w:tcPr>
            <w:tcW w:w="784" w:type="pct"/>
            <w:vAlign w:val="center"/>
          </w:tcPr>
          <w:p>
            <w:pPr>
              <w:pStyle w:val="63"/>
            </w:pPr>
            <w:r>
              <w:t>保护级别/要求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restart"/>
            <w:vAlign w:val="center"/>
          </w:tcPr>
          <w:p>
            <w:pPr>
              <w:pStyle w:val="63"/>
            </w:pPr>
            <w:r>
              <w:t>地表水</w:t>
            </w:r>
          </w:p>
          <w:p>
            <w:pPr>
              <w:pStyle w:val="63"/>
            </w:pPr>
            <w:r>
              <w:t>环境</w:t>
            </w:r>
          </w:p>
        </w:tc>
        <w:tc>
          <w:tcPr>
            <w:tcW w:w="431" w:type="pct"/>
            <w:vMerge w:val="restart"/>
            <w:vAlign w:val="center"/>
          </w:tcPr>
          <w:p>
            <w:pPr>
              <w:pStyle w:val="63"/>
            </w:pPr>
            <w:r>
              <w:rPr>
                <w:rFonts w:hint="eastAsia"/>
              </w:rPr>
              <w:t>三湾片区</w:t>
            </w:r>
          </w:p>
        </w:tc>
        <w:tc>
          <w:tcPr>
            <w:tcW w:w="498" w:type="pct"/>
            <w:vMerge w:val="restart"/>
            <w:vAlign w:val="center"/>
          </w:tcPr>
          <w:p>
            <w:pPr>
              <w:pStyle w:val="63"/>
            </w:pPr>
            <w:r>
              <w:t>源潭河</w:t>
            </w:r>
          </w:p>
        </w:tc>
        <w:tc>
          <w:tcPr>
            <w:tcW w:w="2044" w:type="pct"/>
            <w:vAlign w:val="center"/>
          </w:tcPr>
          <w:p>
            <w:pPr>
              <w:pStyle w:val="63"/>
            </w:pPr>
            <w:r>
              <w:rPr>
                <w:rFonts w:hint="eastAsia"/>
              </w:rPr>
              <w:t>三湾产业区段，位于区外</w:t>
            </w:r>
            <w:r>
              <w:t>东面200m</w:t>
            </w:r>
            <w:r>
              <w:rPr>
                <w:rFonts w:hint="eastAsia"/>
              </w:rPr>
              <w:t>，由南向北径流</w:t>
            </w:r>
          </w:p>
        </w:tc>
        <w:tc>
          <w:tcPr>
            <w:tcW w:w="938" w:type="pct"/>
            <w:vAlign w:val="center"/>
          </w:tcPr>
          <w:p>
            <w:pPr>
              <w:pStyle w:val="63"/>
            </w:pPr>
            <w:r>
              <w:rPr>
                <w:rFonts w:hint="eastAsia"/>
              </w:rPr>
              <w:t>景观娱乐用水区</w:t>
            </w:r>
          </w:p>
        </w:tc>
        <w:tc>
          <w:tcPr>
            <w:tcW w:w="784" w:type="pct"/>
            <w:vMerge w:val="restart"/>
            <w:vAlign w:val="center"/>
          </w:tcPr>
          <w:p>
            <w:pPr>
              <w:pStyle w:val="63"/>
            </w:pPr>
            <w:r>
              <w:t>《地表水环境质量标准》（GB3838-2002）</w:t>
            </w:r>
            <w:r>
              <w:rPr>
                <w:rFonts w:hint="eastAsia" w:ascii="宋体" w:hAnsi="宋体" w:cs="宋体"/>
                <w:spacing w:val="4"/>
              </w:rPr>
              <w:t>Ⅲ</w:t>
            </w:r>
            <w: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Merge w:val="continue"/>
            <w:vAlign w:val="center"/>
          </w:tcPr>
          <w:p>
            <w:pPr>
              <w:pStyle w:val="63"/>
            </w:pPr>
          </w:p>
        </w:tc>
        <w:tc>
          <w:tcPr>
            <w:tcW w:w="2044" w:type="pct"/>
            <w:vAlign w:val="center"/>
          </w:tcPr>
          <w:p>
            <w:pPr>
              <w:pStyle w:val="63"/>
            </w:pPr>
            <w:r>
              <w:rPr>
                <w:rFonts w:hint="eastAsia"/>
              </w:rPr>
              <w:t>临湘市污水净化中心段，位于区外北面5km，由南向北径流</w:t>
            </w:r>
          </w:p>
        </w:tc>
        <w:tc>
          <w:tcPr>
            <w:tcW w:w="938" w:type="pct"/>
            <w:vAlign w:val="center"/>
          </w:tcPr>
          <w:p>
            <w:pPr>
              <w:pStyle w:val="63"/>
            </w:pPr>
            <w:r>
              <w:rPr>
                <w:rFonts w:hint="eastAsia"/>
              </w:rPr>
              <w:t>渔业用水区</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rFonts w:hint="eastAsia"/>
              </w:rPr>
              <w:t>白云湖</w:t>
            </w:r>
          </w:p>
        </w:tc>
        <w:tc>
          <w:tcPr>
            <w:tcW w:w="2044" w:type="pct"/>
            <w:vAlign w:val="center"/>
          </w:tcPr>
          <w:p>
            <w:pPr>
              <w:pStyle w:val="63"/>
            </w:pPr>
            <w:r>
              <w:rPr>
                <w:rFonts w:hint="eastAsia"/>
              </w:rPr>
              <w:t>位于区外东北面1km</w:t>
            </w:r>
          </w:p>
        </w:tc>
        <w:tc>
          <w:tcPr>
            <w:tcW w:w="938" w:type="pct"/>
            <w:vAlign w:val="center"/>
          </w:tcPr>
          <w:p>
            <w:pPr>
              <w:pStyle w:val="63"/>
            </w:pPr>
            <w:r>
              <w:rPr>
                <w:rFonts w:hint="eastAsia"/>
              </w:rPr>
              <w:t>景观娱乐用水区</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rFonts w:hint="eastAsia"/>
              </w:rPr>
              <w:t>农灌渠</w:t>
            </w:r>
          </w:p>
        </w:tc>
        <w:tc>
          <w:tcPr>
            <w:tcW w:w="2044" w:type="pct"/>
            <w:vAlign w:val="center"/>
          </w:tcPr>
          <w:p>
            <w:pPr>
              <w:pStyle w:val="63"/>
            </w:pPr>
            <w:r>
              <w:rPr>
                <w:rFonts w:hint="eastAsia"/>
              </w:rPr>
              <w:t>三湾产业区段，位于园区南侧，由西向东径流，汇入</w:t>
            </w:r>
            <w:r>
              <w:t>源潭河</w:t>
            </w:r>
          </w:p>
        </w:tc>
        <w:tc>
          <w:tcPr>
            <w:tcW w:w="938" w:type="pct"/>
            <w:vAlign w:val="center"/>
          </w:tcPr>
          <w:p>
            <w:pPr>
              <w:pStyle w:val="63"/>
            </w:pPr>
            <w:r>
              <w:rPr>
                <w:rFonts w:hint="eastAsia"/>
              </w:rPr>
              <w:t>农灌</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rFonts w:hint="eastAsia"/>
              </w:rPr>
              <w:t>栗楠水库</w:t>
            </w:r>
          </w:p>
        </w:tc>
        <w:tc>
          <w:tcPr>
            <w:tcW w:w="2044" w:type="pct"/>
            <w:vAlign w:val="center"/>
          </w:tcPr>
          <w:p>
            <w:pPr>
              <w:pStyle w:val="63"/>
            </w:pPr>
            <w:r>
              <w:rPr>
                <w:rFonts w:hint="eastAsia"/>
              </w:rPr>
              <w:t>位于区外西面1700m</w:t>
            </w:r>
          </w:p>
        </w:tc>
        <w:tc>
          <w:tcPr>
            <w:tcW w:w="938" w:type="pct"/>
            <w:vAlign w:val="center"/>
          </w:tcPr>
          <w:p>
            <w:pPr>
              <w:pStyle w:val="63"/>
            </w:pPr>
            <w:r>
              <w:rPr>
                <w:rFonts w:hint="eastAsia"/>
              </w:rPr>
              <w:t>饮用水水源保护区，</w:t>
            </w:r>
          </w:p>
          <w:p>
            <w:pPr>
              <w:pStyle w:val="63"/>
            </w:pPr>
            <w:r>
              <w:rPr>
                <w:rFonts w:hint="eastAsia"/>
              </w:rPr>
              <w:t>库容4000万m</w:t>
            </w:r>
            <w:r>
              <w:rPr>
                <w:rFonts w:hint="eastAsia"/>
                <w:vertAlign w:val="superscript"/>
              </w:rPr>
              <w:t>3</w:t>
            </w:r>
            <w:r>
              <w:rPr>
                <w:rFonts w:hint="eastAsia"/>
              </w:rPr>
              <w:t>。</w:t>
            </w:r>
          </w:p>
        </w:tc>
        <w:tc>
          <w:tcPr>
            <w:tcW w:w="784" w:type="pct"/>
            <w:vAlign w:val="center"/>
          </w:tcPr>
          <w:p>
            <w:pPr>
              <w:pStyle w:val="63"/>
            </w:pPr>
            <w:r>
              <w:rPr>
                <w:rFonts w:hint="eastAsia"/>
              </w:rPr>
              <w:t>一级水域执行Ⅱ类，</w:t>
            </w:r>
          </w:p>
          <w:p>
            <w:pPr>
              <w:pStyle w:val="63"/>
            </w:pPr>
            <w:r>
              <w:rPr>
                <w:rFonts w:hint="eastAsia"/>
              </w:rPr>
              <w:t>二级水域执行III类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Align w:val="center"/>
          </w:tcPr>
          <w:p>
            <w:pPr>
              <w:pStyle w:val="63"/>
            </w:pPr>
            <w:r>
              <w:rPr>
                <w:rFonts w:hint="eastAsia"/>
              </w:rPr>
              <w:t>绿色建材产业园</w:t>
            </w:r>
          </w:p>
        </w:tc>
        <w:tc>
          <w:tcPr>
            <w:tcW w:w="498" w:type="pct"/>
            <w:vAlign w:val="center"/>
          </w:tcPr>
          <w:p>
            <w:pPr>
              <w:pStyle w:val="63"/>
            </w:pPr>
            <w:r>
              <w:rPr>
                <w:rFonts w:hint="eastAsia"/>
              </w:rPr>
              <w:t>农灌渠</w:t>
            </w:r>
          </w:p>
        </w:tc>
        <w:tc>
          <w:tcPr>
            <w:tcW w:w="2044" w:type="pct"/>
            <w:vAlign w:val="center"/>
          </w:tcPr>
          <w:p>
            <w:pPr>
              <w:pStyle w:val="63"/>
            </w:pPr>
            <w:r>
              <w:rPr>
                <w:rFonts w:hint="eastAsia"/>
              </w:rPr>
              <w:t>位于区外西北面600m</w:t>
            </w:r>
          </w:p>
        </w:tc>
        <w:tc>
          <w:tcPr>
            <w:tcW w:w="938" w:type="pct"/>
            <w:vAlign w:val="center"/>
          </w:tcPr>
          <w:p>
            <w:pPr>
              <w:pStyle w:val="63"/>
            </w:pPr>
            <w:r>
              <w:rPr>
                <w:rFonts w:hint="eastAsia"/>
              </w:rPr>
              <w:t>农业用水区</w:t>
            </w:r>
          </w:p>
        </w:tc>
        <w:tc>
          <w:tcPr>
            <w:tcW w:w="784" w:type="pct"/>
            <w:vMerge w:val="restart"/>
            <w:vAlign w:val="center"/>
          </w:tcPr>
          <w:p>
            <w:pPr>
              <w:pStyle w:val="63"/>
            </w:pPr>
            <w:r>
              <w:t>《地表水环境质量标准》（GB3838-2002）</w:t>
            </w:r>
            <w:r>
              <w:rPr>
                <w:rFonts w:hint="eastAsia" w:ascii="宋体" w:hAnsi="宋体" w:cs="宋体"/>
                <w:spacing w:val="4"/>
              </w:rPr>
              <w:t>Ⅲ</w:t>
            </w:r>
            <w: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restart"/>
            <w:vAlign w:val="center"/>
          </w:tcPr>
          <w:p>
            <w:pPr>
              <w:pStyle w:val="63"/>
            </w:pPr>
            <w:r>
              <w:rPr>
                <w:rFonts w:hint="eastAsia"/>
              </w:rPr>
              <w:t>滨江片区</w:t>
            </w:r>
          </w:p>
        </w:tc>
        <w:tc>
          <w:tcPr>
            <w:tcW w:w="498" w:type="pct"/>
            <w:vAlign w:val="center"/>
          </w:tcPr>
          <w:p>
            <w:pPr>
              <w:pStyle w:val="63"/>
            </w:pPr>
            <w:r>
              <w:rPr>
                <w:rFonts w:hint="eastAsia"/>
              </w:rPr>
              <w:t>长江</w:t>
            </w:r>
          </w:p>
        </w:tc>
        <w:tc>
          <w:tcPr>
            <w:tcW w:w="2044" w:type="pct"/>
            <w:vAlign w:val="center"/>
          </w:tcPr>
          <w:p>
            <w:pPr>
              <w:pStyle w:val="63"/>
            </w:pPr>
            <w:r>
              <w:rPr>
                <w:rFonts w:hint="eastAsia"/>
              </w:rPr>
              <w:t>城陵矶至黄盖湖段，位于滨江片区中非工贸产业园区外西侧100m</w:t>
            </w:r>
          </w:p>
        </w:tc>
        <w:tc>
          <w:tcPr>
            <w:tcW w:w="938" w:type="pct"/>
            <w:vAlign w:val="center"/>
          </w:tcPr>
          <w:p>
            <w:pPr>
              <w:pStyle w:val="63"/>
            </w:pPr>
            <w:r>
              <w:rPr>
                <w:rFonts w:hint="eastAsia"/>
              </w:rPr>
              <w:t>渔业用水区</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rFonts w:hint="eastAsia"/>
              </w:rPr>
              <w:t>泾港</w:t>
            </w:r>
          </w:p>
        </w:tc>
        <w:tc>
          <w:tcPr>
            <w:tcW w:w="2044" w:type="pct"/>
            <w:vAlign w:val="center"/>
          </w:tcPr>
          <w:p>
            <w:pPr>
              <w:pStyle w:val="63"/>
            </w:pPr>
            <w:r>
              <w:rPr>
                <w:rFonts w:hint="eastAsia"/>
              </w:rPr>
              <w:t>位于滨江片区中非工贸产业园区外东侧100m</w:t>
            </w:r>
          </w:p>
        </w:tc>
        <w:tc>
          <w:tcPr>
            <w:tcW w:w="938" w:type="pct"/>
            <w:vAlign w:val="center"/>
          </w:tcPr>
          <w:p>
            <w:pPr>
              <w:pStyle w:val="63"/>
            </w:pPr>
            <w:r>
              <w:rPr>
                <w:rFonts w:hint="eastAsia"/>
              </w:rPr>
              <w:t>渔业用水区</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color w:val="000000"/>
              </w:rPr>
              <w:t>洋溪湖</w:t>
            </w:r>
          </w:p>
        </w:tc>
        <w:tc>
          <w:tcPr>
            <w:tcW w:w="2044" w:type="pct"/>
            <w:vAlign w:val="center"/>
          </w:tcPr>
          <w:p>
            <w:pPr>
              <w:pStyle w:val="63"/>
            </w:pPr>
            <w:r>
              <w:rPr>
                <w:rFonts w:hint="eastAsia"/>
                <w:color w:val="000000"/>
              </w:rPr>
              <w:t>位于区外南侧100m</w:t>
            </w:r>
          </w:p>
        </w:tc>
        <w:tc>
          <w:tcPr>
            <w:tcW w:w="938" w:type="pct"/>
            <w:vAlign w:val="center"/>
          </w:tcPr>
          <w:p>
            <w:pPr>
              <w:pStyle w:val="63"/>
            </w:pPr>
            <w:r>
              <w:rPr>
                <w:rFonts w:hint="eastAsia"/>
              </w:rPr>
              <w:t>渔业用水区</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rFonts w:hint="eastAsia"/>
              </w:rPr>
              <w:t>肖田湖</w:t>
            </w:r>
          </w:p>
        </w:tc>
        <w:tc>
          <w:tcPr>
            <w:tcW w:w="2044" w:type="pct"/>
            <w:vAlign w:val="center"/>
          </w:tcPr>
          <w:p>
            <w:pPr>
              <w:pStyle w:val="63"/>
            </w:pPr>
            <w:r>
              <w:rPr>
                <w:rFonts w:hint="eastAsia"/>
                <w:color w:val="000000"/>
              </w:rPr>
              <w:t>位于滨江片区中非工贸产业园区外南侧1600m</w:t>
            </w:r>
          </w:p>
        </w:tc>
        <w:tc>
          <w:tcPr>
            <w:tcW w:w="938" w:type="pct"/>
            <w:vAlign w:val="center"/>
          </w:tcPr>
          <w:p>
            <w:pPr>
              <w:pStyle w:val="63"/>
            </w:pPr>
            <w:r>
              <w:rPr>
                <w:rFonts w:hint="eastAsia"/>
              </w:rPr>
              <w:t>渔业用水区</w:t>
            </w:r>
          </w:p>
        </w:tc>
        <w:tc>
          <w:tcPr>
            <w:tcW w:w="784"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05" w:type="pct"/>
            <w:vMerge w:val="continue"/>
            <w:vAlign w:val="center"/>
          </w:tcPr>
          <w:p>
            <w:pPr>
              <w:pStyle w:val="63"/>
            </w:pPr>
          </w:p>
        </w:tc>
        <w:tc>
          <w:tcPr>
            <w:tcW w:w="431" w:type="pct"/>
            <w:vMerge w:val="continue"/>
            <w:vAlign w:val="center"/>
          </w:tcPr>
          <w:p>
            <w:pPr>
              <w:pStyle w:val="63"/>
            </w:pPr>
          </w:p>
        </w:tc>
        <w:tc>
          <w:tcPr>
            <w:tcW w:w="498" w:type="pct"/>
            <w:vAlign w:val="center"/>
          </w:tcPr>
          <w:p>
            <w:pPr>
              <w:pStyle w:val="63"/>
            </w:pPr>
            <w:r>
              <w:rPr>
                <w:rFonts w:hint="eastAsia"/>
              </w:rPr>
              <w:t>南干渠</w:t>
            </w:r>
          </w:p>
        </w:tc>
        <w:tc>
          <w:tcPr>
            <w:tcW w:w="2044" w:type="pct"/>
            <w:vAlign w:val="center"/>
          </w:tcPr>
          <w:p>
            <w:pPr>
              <w:pStyle w:val="63"/>
            </w:pPr>
            <w:r>
              <w:rPr>
                <w:rFonts w:hint="eastAsia"/>
              </w:rPr>
              <w:t>位于滨江片区绿色化工产业园北侧，</w:t>
            </w:r>
          </w:p>
        </w:tc>
        <w:tc>
          <w:tcPr>
            <w:tcW w:w="938" w:type="pct"/>
            <w:vAlign w:val="center"/>
          </w:tcPr>
          <w:p>
            <w:pPr>
              <w:pStyle w:val="63"/>
            </w:pPr>
            <w:r>
              <w:rPr>
                <w:rFonts w:hint="eastAsia"/>
              </w:rPr>
              <w:t>排洪、农灌渠</w:t>
            </w:r>
          </w:p>
        </w:tc>
        <w:tc>
          <w:tcPr>
            <w:tcW w:w="784" w:type="pct"/>
            <w:vAlign w:val="center"/>
          </w:tcPr>
          <w:p>
            <w:pPr>
              <w:pStyle w:val="63"/>
            </w:pPr>
            <w:r>
              <w:t>《地表水环境质量标准》（GB3838-2002）</w:t>
            </w:r>
            <w:r>
              <w:rPr>
                <w:rFonts w:hint="eastAsia" w:ascii="宋体" w:hAnsi="宋体" w:cs="宋体"/>
                <w:spacing w:val="4"/>
              </w:rPr>
              <w:t>Ⅳ</w:t>
            </w:r>
            <w: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36" w:type="pct"/>
            <w:gridSpan w:val="2"/>
            <w:vAlign w:val="center"/>
          </w:tcPr>
          <w:p>
            <w:pPr>
              <w:pStyle w:val="63"/>
            </w:pPr>
            <w:r>
              <w:t>地下水环境</w:t>
            </w:r>
          </w:p>
        </w:tc>
        <w:tc>
          <w:tcPr>
            <w:tcW w:w="2542" w:type="pct"/>
            <w:gridSpan w:val="2"/>
            <w:vAlign w:val="center"/>
          </w:tcPr>
          <w:p>
            <w:pPr>
              <w:pStyle w:val="63"/>
            </w:pPr>
            <w:r>
              <w:rPr>
                <w:rFonts w:hint="eastAsia"/>
              </w:rPr>
              <w:t>目前规划区内有多个自然村，村内设有水井，该部分水井已不再作为饮用水功能，根据调查，自然村村民全部使用自来水</w:t>
            </w:r>
          </w:p>
        </w:tc>
        <w:tc>
          <w:tcPr>
            <w:tcW w:w="938" w:type="pct"/>
            <w:vAlign w:val="center"/>
          </w:tcPr>
          <w:p>
            <w:pPr>
              <w:pStyle w:val="63"/>
            </w:pPr>
            <w:r>
              <w:rPr>
                <w:rFonts w:hint="eastAsia"/>
              </w:rPr>
              <w:t>/</w:t>
            </w:r>
          </w:p>
        </w:tc>
        <w:tc>
          <w:tcPr>
            <w:tcW w:w="784" w:type="pct"/>
            <w:vAlign w:val="center"/>
          </w:tcPr>
          <w:p>
            <w:pPr>
              <w:pStyle w:val="63"/>
            </w:pPr>
            <w:r>
              <w:rPr>
                <w:spacing w:val="4"/>
              </w:rPr>
              <w:t>《地下水环境质量标准》（GB/T14848-2017）</w:t>
            </w:r>
            <w:r>
              <w:rPr>
                <w:rFonts w:hint="eastAsia" w:ascii="宋体" w:hAnsi="宋体" w:cs="宋体"/>
                <w:spacing w:val="4"/>
              </w:rPr>
              <w:t>Ⅲ</w:t>
            </w:r>
            <w:r>
              <w:rPr>
                <w:spacing w:val="4"/>
              </w:rPr>
              <w:t>类</w:t>
            </w:r>
            <w:r>
              <w:t>标准</w:t>
            </w:r>
          </w:p>
        </w:tc>
      </w:tr>
    </w:tbl>
    <w:p>
      <w:pPr>
        <w:spacing w:line="360" w:lineRule="auto"/>
        <w:ind w:firstLine="489"/>
        <w:rPr>
          <w:rFonts w:ascii="Times New Roman" w:hAnsi="Times New Roman" w:cs="Times New Roman"/>
        </w:rPr>
        <w:sectPr>
          <w:pgSz w:w="16838" w:h="11906" w:orient="landscape"/>
          <w:pgMar w:top="1418" w:right="1418" w:bottom="1701" w:left="1418" w:header="851" w:footer="992" w:gutter="0"/>
          <w:paperSrc w:first="7" w:other="7"/>
          <w:cols w:space="425" w:num="1"/>
          <w:docGrid w:linePitch="326" w:charSpace="915"/>
        </w:sectPr>
      </w:pPr>
    </w:p>
    <w:p>
      <w:pPr>
        <w:pStyle w:val="6"/>
        <w:rPr>
          <w:rFonts w:ascii="Times New Roman" w:hAnsi="Times New Roman" w:cs="Times New Roman"/>
        </w:rPr>
      </w:pPr>
      <w:r>
        <w:rPr>
          <w:rFonts w:ascii="Times New Roman" w:hAnsi="Times New Roman" w:cs="Times New Roman"/>
        </w:rPr>
        <w:t>表1.6-</w:t>
      </w:r>
      <w:r>
        <w:rPr>
          <w:rFonts w:hint="eastAsia" w:ascii="Times New Roman" w:hAnsi="Times New Roman" w:cs="Times New Roman"/>
        </w:rPr>
        <w:t>4</w:t>
      </w:r>
      <w:r>
        <w:rPr>
          <w:rFonts w:ascii="Times New Roman" w:hAnsi="Times New Roman" w:cs="Times New Roman"/>
        </w:rPr>
        <w:t xml:space="preserve">  土壤环境保护目标</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7"/>
        <w:gridCol w:w="2977"/>
        <w:gridCol w:w="2411"/>
        <w:gridCol w:w="1985"/>
        <w:gridCol w:w="53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Align w:val="center"/>
          </w:tcPr>
          <w:p>
            <w:pPr>
              <w:pStyle w:val="63"/>
              <w:rPr>
                <w:rFonts w:eastAsiaTheme="minorEastAsia"/>
              </w:rPr>
            </w:pPr>
            <w:r>
              <w:t>片区</w:t>
            </w:r>
          </w:p>
        </w:tc>
        <w:tc>
          <w:tcPr>
            <w:tcW w:w="1047" w:type="pct"/>
            <w:vAlign w:val="center"/>
          </w:tcPr>
          <w:p>
            <w:pPr>
              <w:pStyle w:val="63"/>
            </w:pPr>
            <w:r>
              <w:rPr>
                <w:rFonts w:hint="eastAsia"/>
              </w:rPr>
              <w:t>保护目标</w:t>
            </w:r>
          </w:p>
        </w:tc>
        <w:tc>
          <w:tcPr>
            <w:tcW w:w="848" w:type="pct"/>
            <w:vAlign w:val="center"/>
          </w:tcPr>
          <w:p>
            <w:pPr>
              <w:pStyle w:val="63"/>
              <w:rPr>
                <w:rFonts w:eastAsiaTheme="minorEastAsia"/>
              </w:rPr>
            </w:pPr>
            <w:r>
              <w:rPr>
                <w:rFonts w:hint="eastAsia"/>
              </w:rPr>
              <w:t>相对位置</w:t>
            </w:r>
          </w:p>
        </w:tc>
        <w:tc>
          <w:tcPr>
            <w:tcW w:w="698" w:type="pct"/>
            <w:vAlign w:val="center"/>
          </w:tcPr>
          <w:p>
            <w:pPr>
              <w:pStyle w:val="63"/>
              <w:rPr>
                <w:rFonts w:eastAsiaTheme="minorEastAsia"/>
              </w:rPr>
            </w:pPr>
            <w:r>
              <w:rPr>
                <w:rFonts w:eastAsiaTheme="minorEastAsia"/>
              </w:rPr>
              <w:t>保护内容</w:t>
            </w:r>
          </w:p>
        </w:tc>
        <w:tc>
          <w:tcPr>
            <w:tcW w:w="1870" w:type="pct"/>
            <w:vAlign w:val="center"/>
          </w:tcPr>
          <w:p>
            <w:pPr>
              <w:pStyle w:val="63"/>
              <w:rPr>
                <w:rFonts w:eastAsiaTheme="minorEastAsia"/>
              </w:rPr>
            </w:pPr>
            <w:r>
              <w:rPr>
                <w:rFonts w:eastAsiaTheme="minorEastAsia"/>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37" w:type="pct"/>
            <w:vMerge w:val="restart"/>
            <w:vAlign w:val="center"/>
          </w:tcPr>
          <w:p>
            <w:pPr>
              <w:pStyle w:val="63"/>
              <w:rPr>
                <w:rFonts w:eastAsiaTheme="minorEastAsia"/>
              </w:rPr>
            </w:pPr>
            <w:r>
              <w:rPr>
                <w:rFonts w:hint="eastAsia"/>
              </w:rPr>
              <w:t>三湾片区</w:t>
            </w:r>
          </w:p>
        </w:tc>
        <w:tc>
          <w:tcPr>
            <w:tcW w:w="1047" w:type="pct"/>
            <w:vAlign w:val="center"/>
          </w:tcPr>
          <w:p>
            <w:pPr>
              <w:pStyle w:val="63"/>
              <w:rPr>
                <w:rFonts w:eastAsiaTheme="minorEastAsia"/>
              </w:rPr>
            </w:pPr>
            <w:r>
              <w:rPr>
                <w:rFonts w:hint="eastAsia" w:eastAsiaTheme="minorEastAsia"/>
              </w:rPr>
              <w:t>庄上组</w:t>
            </w:r>
            <w:r>
              <w:rPr>
                <w:rFonts w:hint="eastAsia"/>
                <w:szCs w:val="24"/>
              </w:rPr>
              <w:t>居住用地</w:t>
            </w:r>
          </w:p>
        </w:tc>
        <w:tc>
          <w:tcPr>
            <w:tcW w:w="848" w:type="pct"/>
            <w:vAlign w:val="center"/>
          </w:tcPr>
          <w:p>
            <w:pPr>
              <w:pStyle w:val="63"/>
              <w:rPr>
                <w:rFonts w:eastAsiaTheme="minorEastAsia"/>
              </w:rPr>
            </w:pPr>
            <w:r>
              <w:rPr>
                <w:rFonts w:hint="eastAsia" w:eastAsiaTheme="minorEastAsia"/>
              </w:rPr>
              <w:t>规划范围外南侧紧邻</w:t>
            </w:r>
          </w:p>
        </w:tc>
        <w:tc>
          <w:tcPr>
            <w:tcW w:w="698" w:type="pct"/>
            <w:vMerge w:val="restart"/>
            <w:vAlign w:val="center"/>
          </w:tcPr>
          <w:p>
            <w:pPr>
              <w:pStyle w:val="63"/>
              <w:rPr>
                <w:rFonts w:eastAsiaTheme="minorEastAsia"/>
              </w:rPr>
            </w:pPr>
            <w:r>
              <w:rPr>
                <w:rFonts w:eastAsiaTheme="minorEastAsia"/>
              </w:rPr>
              <w:t>农用地满足《土壤环境质量农用地土壤污染风险管控标准（试行）》（GB15618-2018）限值</w:t>
            </w:r>
          </w:p>
          <w:p>
            <w:pPr>
              <w:pStyle w:val="63"/>
              <w:rPr>
                <w:rFonts w:eastAsiaTheme="minorEastAsia"/>
              </w:rPr>
            </w:pPr>
            <w:r>
              <w:rPr>
                <w:rFonts w:eastAsiaTheme="minorEastAsia"/>
              </w:rPr>
              <w:t>建设用地满足《土壤环境质量建设用地土壤污染风险管控标准（试行）》（GB366 00-2018）标准限值。</w:t>
            </w:r>
          </w:p>
        </w:tc>
        <w:tc>
          <w:tcPr>
            <w:tcW w:w="1870" w:type="pct"/>
            <w:vMerge w:val="restart"/>
            <w:vAlign w:val="center"/>
          </w:tcPr>
          <w:p>
            <w:pPr>
              <w:pStyle w:val="63"/>
              <w:rPr>
                <w:rFonts w:eastAsiaTheme="minorEastAsia"/>
              </w:rPr>
            </w:pPr>
            <w:r>
              <w:rPr>
                <w:rFonts w:hint="eastAsia"/>
                <w:szCs w:val="24"/>
              </w:rPr>
              <w:t>避免工业生产造成污染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陈家组</w:t>
            </w:r>
            <w:r>
              <w:rPr>
                <w:rFonts w:hint="eastAsia"/>
                <w:szCs w:val="24"/>
              </w:rPr>
              <w:t>居住用地</w:t>
            </w:r>
          </w:p>
        </w:tc>
        <w:tc>
          <w:tcPr>
            <w:tcW w:w="848" w:type="pct"/>
            <w:vAlign w:val="center"/>
          </w:tcPr>
          <w:p>
            <w:pPr>
              <w:pStyle w:val="63"/>
              <w:rPr>
                <w:rFonts w:eastAsiaTheme="minorEastAsia"/>
              </w:rPr>
            </w:pPr>
            <w:r>
              <w:rPr>
                <w:rFonts w:hint="eastAsia" w:eastAsiaTheme="minorEastAsia"/>
              </w:rPr>
              <w:t>规划范围外南侧200m</w:t>
            </w:r>
          </w:p>
        </w:tc>
        <w:tc>
          <w:tcPr>
            <w:tcW w:w="698" w:type="pct"/>
            <w:vMerge w:val="continue"/>
            <w:vAlign w:val="center"/>
          </w:tcPr>
          <w:p>
            <w:pPr>
              <w:pStyle w:val="63"/>
              <w:rPr>
                <w:rFonts w:eastAsiaTheme="minorEastAsia"/>
              </w:rPr>
            </w:pPr>
          </w:p>
        </w:tc>
        <w:tc>
          <w:tcPr>
            <w:tcW w:w="1870" w:type="pct"/>
            <w:vMerge w:val="continue"/>
            <w:vAlign w:val="center"/>
          </w:tcPr>
          <w:p>
            <w:pPr>
              <w:pStyle w:val="63"/>
              <w:rPr>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石塘冲</w:t>
            </w:r>
            <w:r>
              <w:rPr>
                <w:rFonts w:hint="eastAsia"/>
                <w:szCs w:val="24"/>
              </w:rPr>
              <w:t>居住用地</w:t>
            </w:r>
          </w:p>
        </w:tc>
        <w:tc>
          <w:tcPr>
            <w:tcW w:w="848" w:type="pct"/>
            <w:vAlign w:val="center"/>
          </w:tcPr>
          <w:p>
            <w:pPr>
              <w:pStyle w:val="63"/>
              <w:rPr>
                <w:rFonts w:eastAsiaTheme="minorEastAsia"/>
              </w:rPr>
            </w:pPr>
            <w:r>
              <w:rPr>
                <w:rFonts w:hint="eastAsia" w:eastAsiaTheme="minorEastAsia"/>
              </w:rPr>
              <w:t>规划范围外北侧150m</w:t>
            </w:r>
          </w:p>
        </w:tc>
        <w:tc>
          <w:tcPr>
            <w:tcW w:w="698" w:type="pct"/>
            <w:vMerge w:val="continue"/>
            <w:vAlign w:val="center"/>
          </w:tcPr>
          <w:p>
            <w:pPr>
              <w:pStyle w:val="63"/>
              <w:rPr>
                <w:rFonts w:eastAsiaTheme="minorEastAsia"/>
              </w:rPr>
            </w:pPr>
          </w:p>
        </w:tc>
        <w:tc>
          <w:tcPr>
            <w:tcW w:w="1870" w:type="pct"/>
            <w:vMerge w:val="continue"/>
            <w:vAlign w:val="center"/>
          </w:tcPr>
          <w:p>
            <w:pPr>
              <w:pStyle w:val="63"/>
              <w:rPr>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联合村居住用地</w:t>
            </w:r>
          </w:p>
        </w:tc>
        <w:tc>
          <w:tcPr>
            <w:tcW w:w="848" w:type="pct"/>
            <w:vAlign w:val="center"/>
          </w:tcPr>
          <w:p>
            <w:pPr>
              <w:pStyle w:val="63"/>
              <w:rPr>
                <w:rFonts w:eastAsiaTheme="minorEastAsia"/>
              </w:rPr>
            </w:pPr>
            <w:r>
              <w:rPr>
                <w:rFonts w:hint="eastAsia" w:eastAsiaTheme="minorEastAsia"/>
              </w:rPr>
              <w:t>规划范围外西侧260m</w:t>
            </w:r>
          </w:p>
        </w:tc>
        <w:tc>
          <w:tcPr>
            <w:tcW w:w="698" w:type="pct"/>
            <w:vMerge w:val="continue"/>
            <w:vAlign w:val="center"/>
          </w:tcPr>
          <w:p>
            <w:pPr>
              <w:pStyle w:val="63"/>
              <w:rPr>
                <w:rFonts w:eastAsiaTheme="minorEastAsia"/>
              </w:rPr>
            </w:pPr>
          </w:p>
        </w:tc>
        <w:tc>
          <w:tcPr>
            <w:tcW w:w="1870" w:type="pct"/>
            <w:vMerge w:val="continue"/>
            <w:vAlign w:val="center"/>
          </w:tcPr>
          <w:p>
            <w:pPr>
              <w:pStyle w:val="63"/>
              <w:rPr>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庄上组农田</w:t>
            </w:r>
          </w:p>
        </w:tc>
        <w:tc>
          <w:tcPr>
            <w:tcW w:w="848" w:type="pct"/>
            <w:vAlign w:val="center"/>
          </w:tcPr>
          <w:p>
            <w:pPr>
              <w:pStyle w:val="63"/>
              <w:rPr>
                <w:rFonts w:eastAsiaTheme="minorEastAsia"/>
              </w:rPr>
            </w:pPr>
            <w:r>
              <w:rPr>
                <w:rFonts w:hint="eastAsia" w:eastAsiaTheme="minorEastAsia"/>
              </w:rPr>
              <w:t>规划范围外南侧100m</w:t>
            </w:r>
          </w:p>
        </w:tc>
        <w:tc>
          <w:tcPr>
            <w:tcW w:w="698" w:type="pct"/>
            <w:vMerge w:val="continue"/>
            <w:vAlign w:val="center"/>
          </w:tcPr>
          <w:p>
            <w:pPr>
              <w:pStyle w:val="63"/>
              <w:rPr>
                <w:rFonts w:eastAsiaTheme="minorEastAsia"/>
              </w:rPr>
            </w:pPr>
          </w:p>
        </w:tc>
        <w:tc>
          <w:tcPr>
            <w:tcW w:w="1870" w:type="pct"/>
            <w:vMerge w:val="restart"/>
            <w:vAlign w:val="center"/>
          </w:tcPr>
          <w:p>
            <w:pPr>
              <w:pStyle w:val="63"/>
              <w:rPr>
                <w:rFonts w:eastAsiaTheme="minorEastAsia"/>
              </w:rPr>
            </w:pPr>
            <w:r>
              <w:rPr>
                <w:rFonts w:hint="eastAsia"/>
                <w:szCs w:val="21"/>
              </w:rPr>
              <w:t>土壤环境质量不下降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陈家组农田</w:t>
            </w:r>
          </w:p>
        </w:tc>
        <w:tc>
          <w:tcPr>
            <w:tcW w:w="848" w:type="pct"/>
            <w:vAlign w:val="center"/>
          </w:tcPr>
          <w:p>
            <w:pPr>
              <w:pStyle w:val="63"/>
              <w:rPr>
                <w:rFonts w:eastAsiaTheme="minorEastAsia"/>
              </w:rPr>
            </w:pPr>
            <w:r>
              <w:rPr>
                <w:rFonts w:hint="eastAsia" w:eastAsiaTheme="minorEastAsia"/>
              </w:rPr>
              <w:t>规划范围外南侧300m</w:t>
            </w:r>
          </w:p>
        </w:tc>
        <w:tc>
          <w:tcPr>
            <w:tcW w:w="698" w:type="pct"/>
            <w:vMerge w:val="continue"/>
            <w:vAlign w:val="center"/>
          </w:tcPr>
          <w:p>
            <w:pPr>
              <w:pStyle w:val="63"/>
              <w:rPr>
                <w:rFonts w:eastAsiaTheme="minorEastAsia"/>
              </w:rPr>
            </w:pPr>
          </w:p>
        </w:tc>
        <w:tc>
          <w:tcPr>
            <w:tcW w:w="1870" w:type="pct"/>
            <w:vMerge w:val="continue"/>
            <w:vAlign w:val="center"/>
          </w:tcPr>
          <w:p>
            <w:pPr>
              <w:pStyle w:val="63"/>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林地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szCs w:val="24"/>
              </w:rPr>
              <w:t>区外农林地不受破坏</w:t>
            </w:r>
            <w:r>
              <w:rPr>
                <w:rFonts w:hint="eastAsia"/>
                <w:szCs w:val="24"/>
              </w:rPr>
              <w:t>，</w:t>
            </w:r>
            <w:r>
              <w:rPr>
                <w:szCs w:val="24"/>
              </w:rPr>
              <w:t>施工临时占地尽量少破坏植被。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restart"/>
            <w:vAlign w:val="center"/>
          </w:tcPr>
          <w:p>
            <w:pPr>
              <w:pStyle w:val="63"/>
            </w:pPr>
            <w:r>
              <w:rPr>
                <w:rFonts w:hint="eastAsia"/>
              </w:rPr>
              <w:t>绿色建材产业园</w:t>
            </w:r>
          </w:p>
        </w:tc>
        <w:tc>
          <w:tcPr>
            <w:tcW w:w="1047" w:type="pct"/>
            <w:vAlign w:val="center"/>
          </w:tcPr>
          <w:p>
            <w:pPr>
              <w:pStyle w:val="63"/>
              <w:rPr>
                <w:rFonts w:eastAsiaTheme="minorEastAsia"/>
              </w:rPr>
            </w:pPr>
            <w:r>
              <w:rPr>
                <w:rFonts w:hint="eastAsia"/>
                <w:color w:val="000000"/>
                <w:szCs w:val="21"/>
              </w:rPr>
              <w:t>戴家冲</w:t>
            </w:r>
            <w:r>
              <w:rPr>
                <w:rFonts w:hint="eastAsia"/>
                <w:szCs w:val="24"/>
              </w:rPr>
              <w:t>居住用地</w:t>
            </w:r>
          </w:p>
        </w:tc>
        <w:tc>
          <w:tcPr>
            <w:tcW w:w="848" w:type="pct"/>
            <w:vAlign w:val="center"/>
          </w:tcPr>
          <w:p>
            <w:pPr>
              <w:pStyle w:val="63"/>
              <w:rPr>
                <w:rFonts w:eastAsiaTheme="minorEastAsia"/>
              </w:rPr>
            </w:pPr>
            <w:r>
              <w:rPr>
                <w:rFonts w:hint="eastAsia" w:eastAsiaTheme="minorEastAsia"/>
              </w:rPr>
              <w:t>规划范围外西侧210m</w:t>
            </w:r>
          </w:p>
        </w:tc>
        <w:tc>
          <w:tcPr>
            <w:tcW w:w="698" w:type="pct"/>
            <w:vMerge w:val="continue"/>
            <w:vAlign w:val="center"/>
          </w:tcPr>
          <w:p>
            <w:pPr>
              <w:pStyle w:val="63"/>
              <w:rPr>
                <w:rFonts w:eastAsiaTheme="minorEastAsia"/>
              </w:rPr>
            </w:pPr>
          </w:p>
        </w:tc>
        <w:tc>
          <w:tcPr>
            <w:tcW w:w="1870" w:type="pct"/>
            <w:vAlign w:val="center"/>
          </w:tcPr>
          <w:p>
            <w:pPr>
              <w:pStyle w:val="63"/>
              <w:rPr>
                <w:szCs w:val="24"/>
              </w:rPr>
            </w:pPr>
            <w:r>
              <w:rPr>
                <w:rFonts w:hint="eastAsia"/>
                <w:szCs w:val="24"/>
              </w:rPr>
              <w:t>避免工业生产造成污染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rPr>
                <w:rFonts w:eastAsiaTheme="minorEastAsia"/>
              </w:rPr>
            </w:pPr>
          </w:p>
        </w:tc>
        <w:tc>
          <w:tcPr>
            <w:tcW w:w="1047" w:type="pct"/>
            <w:vAlign w:val="center"/>
          </w:tcPr>
          <w:p>
            <w:pPr>
              <w:pStyle w:val="63"/>
              <w:rPr>
                <w:rFonts w:eastAsiaTheme="minorEastAsia"/>
              </w:rPr>
            </w:pPr>
            <w:r>
              <w:rPr>
                <w:rFonts w:hint="eastAsia"/>
                <w:color w:val="000000"/>
                <w:szCs w:val="21"/>
              </w:rPr>
              <w:t>农田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rFonts w:hint="eastAsia"/>
                <w:szCs w:val="21"/>
              </w:rPr>
              <w:t>土壤环境质量不下降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rPr>
                <w:rFonts w:eastAsiaTheme="minorEastAsia"/>
              </w:rPr>
            </w:pPr>
          </w:p>
        </w:tc>
        <w:tc>
          <w:tcPr>
            <w:tcW w:w="1047" w:type="pct"/>
            <w:vAlign w:val="center"/>
          </w:tcPr>
          <w:p>
            <w:pPr>
              <w:pStyle w:val="63"/>
              <w:rPr>
                <w:rFonts w:eastAsiaTheme="minorEastAsia"/>
              </w:rPr>
            </w:pPr>
            <w:r>
              <w:rPr>
                <w:rFonts w:hint="eastAsia" w:eastAsiaTheme="minorEastAsia"/>
              </w:rPr>
              <w:t>林地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szCs w:val="24"/>
              </w:rPr>
              <w:t>区外农林地不受破坏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restart"/>
            <w:vAlign w:val="center"/>
          </w:tcPr>
          <w:p>
            <w:pPr>
              <w:pStyle w:val="63"/>
              <w:rPr>
                <w:rFonts w:eastAsiaTheme="minorEastAsia"/>
              </w:rPr>
            </w:pPr>
            <w:r>
              <w:rPr>
                <w:rFonts w:hint="eastAsia" w:eastAsiaTheme="minorEastAsia"/>
              </w:rPr>
              <w:t>滨江片区中非工贸产业园</w:t>
            </w:r>
          </w:p>
        </w:tc>
        <w:tc>
          <w:tcPr>
            <w:tcW w:w="1047" w:type="pct"/>
            <w:vAlign w:val="center"/>
          </w:tcPr>
          <w:p>
            <w:pPr>
              <w:pStyle w:val="63"/>
              <w:rPr>
                <w:rFonts w:eastAsiaTheme="minorEastAsia"/>
              </w:rPr>
            </w:pPr>
            <w:r>
              <w:rPr>
                <w:rFonts w:hint="eastAsia"/>
                <w:color w:val="000000"/>
                <w:szCs w:val="21"/>
              </w:rPr>
              <w:t>农田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rFonts w:hint="eastAsia"/>
                <w:szCs w:val="21"/>
              </w:rPr>
              <w:t>土壤环境质量不下降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rPr>
                <w:rFonts w:eastAsiaTheme="minorEastAsia"/>
              </w:rPr>
            </w:pPr>
          </w:p>
        </w:tc>
        <w:tc>
          <w:tcPr>
            <w:tcW w:w="1047" w:type="pct"/>
            <w:vAlign w:val="center"/>
          </w:tcPr>
          <w:p>
            <w:pPr>
              <w:pStyle w:val="63"/>
              <w:rPr>
                <w:color w:val="000000"/>
                <w:szCs w:val="21"/>
              </w:rPr>
            </w:pPr>
            <w:r>
              <w:rPr>
                <w:rFonts w:hint="eastAsia" w:eastAsiaTheme="minorEastAsia"/>
              </w:rPr>
              <w:t>林地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szCs w:val="24"/>
              </w:rPr>
              <w:t>区外农林地不受破坏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restart"/>
            <w:vAlign w:val="center"/>
          </w:tcPr>
          <w:p>
            <w:pPr>
              <w:pStyle w:val="63"/>
            </w:pPr>
            <w:r>
              <w:rPr>
                <w:rFonts w:hint="eastAsia" w:eastAsiaTheme="minorEastAsia"/>
              </w:rPr>
              <w:t>滨江片区加工制造产业园</w:t>
            </w:r>
          </w:p>
        </w:tc>
        <w:tc>
          <w:tcPr>
            <w:tcW w:w="1047" w:type="pct"/>
            <w:vAlign w:val="center"/>
          </w:tcPr>
          <w:p>
            <w:pPr>
              <w:pStyle w:val="63"/>
              <w:rPr>
                <w:rFonts w:eastAsiaTheme="minorEastAsia"/>
              </w:rPr>
            </w:pPr>
            <w:r>
              <w:rPr>
                <w:rFonts w:hint="eastAsia" w:eastAsiaTheme="minorEastAsia"/>
              </w:rPr>
              <w:t>儒溪新村、旗杆小区</w:t>
            </w:r>
            <w:r>
              <w:rPr>
                <w:rFonts w:hint="eastAsia"/>
                <w:szCs w:val="24"/>
              </w:rPr>
              <w:t>居住用地</w:t>
            </w:r>
          </w:p>
        </w:tc>
        <w:tc>
          <w:tcPr>
            <w:tcW w:w="848" w:type="pct"/>
            <w:vAlign w:val="center"/>
          </w:tcPr>
          <w:p>
            <w:pPr>
              <w:pStyle w:val="63"/>
              <w:rPr>
                <w:rFonts w:eastAsiaTheme="minorEastAsia"/>
              </w:rPr>
            </w:pPr>
            <w:r>
              <w:rPr>
                <w:rFonts w:hint="eastAsia" w:eastAsiaTheme="minorEastAsia"/>
              </w:rPr>
              <w:t>等规划范围外</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rFonts w:hint="eastAsia"/>
                <w:szCs w:val="24"/>
              </w:rPr>
              <w:t>避免工业生产造成污染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rPr>
                <w:rFonts w:eastAsiaTheme="minorEastAsia"/>
              </w:rPr>
            </w:pPr>
          </w:p>
        </w:tc>
        <w:tc>
          <w:tcPr>
            <w:tcW w:w="1047" w:type="pct"/>
            <w:vAlign w:val="center"/>
          </w:tcPr>
          <w:p>
            <w:pPr>
              <w:pStyle w:val="63"/>
              <w:rPr>
                <w:szCs w:val="24"/>
              </w:rPr>
            </w:pPr>
            <w:r>
              <w:rPr>
                <w:rFonts w:hint="eastAsia"/>
                <w:color w:val="000000"/>
                <w:szCs w:val="21"/>
              </w:rPr>
              <w:t>农田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rFonts w:hint="eastAsia"/>
                <w:szCs w:val="21"/>
              </w:rPr>
              <w:t>土壤环境质量不下降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continue"/>
            <w:vAlign w:val="center"/>
          </w:tcPr>
          <w:p>
            <w:pPr>
              <w:pStyle w:val="63"/>
              <w:rPr>
                <w:rFonts w:eastAsiaTheme="minorEastAsia"/>
              </w:rPr>
            </w:pPr>
          </w:p>
        </w:tc>
        <w:tc>
          <w:tcPr>
            <w:tcW w:w="1047" w:type="pct"/>
            <w:vAlign w:val="center"/>
          </w:tcPr>
          <w:p>
            <w:pPr>
              <w:pStyle w:val="63"/>
              <w:rPr>
                <w:szCs w:val="24"/>
              </w:rPr>
            </w:pPr>
            <w:r>
              <w:rPr>
                <w:rFonts w:hint="eastAsia" w:eastAsiaTheme="minorEastAsia"/>
              </w:rPr>
              <w:t>林地</w:t>
            </w:r>
          </w:p>
        </w:tc>
        <w:tc>
          <w:tcPr>
            <w:tcW w:w="848" w:type="pct"/>
            <w:vAlign w:val="center"/>
          </w:tcPr>
          <w:p>
            <w:pPr>
              <w:pStyle w:val="63"/>
              <w:rPr>
                <w:rFonts w:eastAsiaTheme="minorEastAsia"/>
              </w:rPr>
            </w:pPr>
            <w:r>
              <w:rPr>
                <w:rFonts w:hint="eastAsia" w:eastAsiaTheme="minorEastAsia"/>
              </w:rPr>
              <w:t>规划范围外周边</w:t>
            </w:r>
          </w:p>
        </w:tc>
        <w:tc>
          <w:tcPr>
            <w:tcW w:w="698" w:type="pct"/>
            <w:vMerge w:val="continue"/>
            <w:vAlign w:val="center"/>
          </w:tcPr>
          <w:p>
            <w:pPr>
              <w:pStyle w:val="63"/>
              <w:rPr>
                <w:rFonts w:eastAsiaTheme="minorEastAsia"/>
              </w:rPr>
            </w:pPr>
          </w:p>
        </w:tc>
        <w:tc>
          <w:tcPr>
            <w:tcW w:w="1870" w:type="pct"/>
            <w:vAlign w:val="center"/>
          </w:tcPr>
          <w:p>
            <w:pPr>
              <w:pStyle w:val="63"/>
              <w:rPr>
                <w:rFonts w:eastAsiaTheme="minorEastAsia"/>
              </w:rPr>
            </w:pPr>
            <w:r>
              <w:rPr>
                <w:szCs w:val="24"/>
              </w:rPr>
              <w:t>区外农林地不受破坏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pct"/>
            <w:vMerge w:val="restart"/>
            <w:vAlign w:val="center"/>
          </w:tcPr>
          <w:p>
            <w:pPr>
              <w:pStyle w:val="63"/>
            </w:pPr>
            <w:r>
              <w:rPr>
                <w:rFonts w:hint="eastAsia" w:eastAsiaTheme="minorEastAsia"/>
              </w:rPr>
              <w:t>滨江片区绿色化工产业园</w:t>
            </w:r>
          </w:p>
        </w:tc>
        <w:tc>
          <w:tcPr>
            <w:tcW w:w="1047" w:type="pct"/>
            <w:vAlign w:val="center"/>
          </w:tcPr>
          <w:p>
            <w:pPr>
              <w:pStyle w:val="63"/>
              <w:rPr>
                <w:rFonts w:eastAsiaTheme="minorEastAsia"/>
              </w:rPr>
            </w:pPr>
            <w:r>
              <w:rPr>
                <w:rFonts w:hint="eastAsia"/>
                <w:color w:val="000000"/>
                <w:szCs w:val="21"/>
              </w:rPr>
              <w:t>农田</w:t>
            </w:r>
          </w:p>
        </w:tc>
        <w:tc>
          <w:tcPr>
            <w:tcW w:w="848" w:type="pct"/>
            <w:vAlign w:val="center"/>
          </w:tcPr>
          <w:p>
            <w:pPr>
              <w:pStyle w:val="63"/>
              <w:rPr>
                <w:rFonts w:eastAsiaTheme="minorEastAsia"/>
              </w:rPr>
            </w:pPr>
            <w:r>
              <w:rPr>
                <w:rFonts w:hint="eastAsia" w:eastAsiaTheme="minorEastAsia"/>
              </w:rPr>
              <w:t>规划范围内、外</w:t>
            </w:r>
          </w:p>
        </w:tc>
        <w:tc>
          <w:tcPr>
            <w:tcW w:w="698" w:type="pct"/>
            <w:vMerge w:val="continue"/>
            <w:vAlign w:val="center"/>
          </w:tcPr>
          <w:p>
            <w:pPr>
              <w:pStyle w:val="63"/>
              <w:rPr>
                <w:rFonts w:eastAsiaTheme="minorEastAsia"/>
              </w:rPr>
            </w:pPr>
          </w:p>
        </w:tc>
        <w:tc>
          <w:tcPr>
            <w:tcW w:w="1870" w:type="pct"/>
            <w:vMerge w:val="restart"/>
            <w:vAlign w:val="center"/>
          </w:tcPr>
          <w:p>
            <w:pPr>
              <w:pStyle w:val="63"/>
              <w:rPr>
                <w:rFonts w:eastAsiaTheme="minorEastAsia"/>
              </w:rPr>
            </w:pPr>
            <w:r>
              <w:rPr>
                <w:rFonts w:hint="eastAsia"/>
                <w:szCs w:val="24"/>
              </w:rPr>
              <w:t>未征收前，</w:t>
            </w:r>
            <w:r>
              <w:rPr>
                <w:szCs w:val="24"/>
              </w:rPr>
              <w:t>建设开发严格限定在</w:t>
            </w:r>
            <w:r>
              <w:rPr>
                <w:rFonts w:hint="eastAsia"/>
                <w:szCs w:val="24"/>
              </w:rPr>
              <w:t>开发</w:t>
            </w:r>
            <w:r>
              <w:rPr>
                <w:szCs w:val="24"/>
              </w:rPr>
              <w:t>范围内，严禁企业废水排放至农田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37" w:type="pct"/>
            <w:vMerge w:val="continue"/>
            <w:vAlign w:val="center"/>
          </w:tcPr>
          <w:p>
            <w:pPr>
              <w:pStyle w:val="63"/>
            </w:pPr>
          </w:p>
        </w:tc>
        <w:tc>
          <w:tcPr>
            <w:tcW w:w="1047" w:type="pct"/>
            <w:vAlign w:val="center"/>
          </w:tcPr>
          <w:p>
            <w:pPr>
              <w:pStyle w:val="63"/>
              <w:rPr>
                <w:rFonts w:eastAsiaTheme="minorEastAsia"/>
              </w:rPr>
            </w:pPr>
            <w:r>
              <w:rPr>
                <w:rFonts w:hint="eastAsia" w:eastAsiaTheme="minorEastAsia"/>
              </w:rPr>
              <w:t>林地</w:t>
            </w:r>
          </w:p>
        </w:tc>
        <w:tc>
          <w:tcPr>
            <w:tcW w:w="848" w:type="pct"/>
            <w:vAlign w:val="center"/>
          </w:tcPr>
          <w:p>
            <w:pPr>
              <w:pStyle w:val="63"/>
              <w:rPr>
                <w:rFonts w:eastAsiaTheme="minorEastAsia"/>
              </w:rPr>
            </w:pPr>
            <w:r>
              <w:rPr>
                <w:rFonts w:hint="eastAsia" w:eastAsiaTheme="minorEastAsia"/>
              </w:rPr>
              <w:t>规划范围内、外</w:t>
            </w:r>
          </w:p>
        </w:tc>
        <w:tc>
          <w:tcPr>
            <w:tcW w:w="698" w:type="pct"/>
            <w:vMerge w:val="continue"/>
            <w:vAlign w:val="center"/>
          </w:tcPr>
          <w:p>
            <w:pPr>
              <w:pStyle w:val="63"/>
              <w:rPr>
                <w:rFonts w:eastAsiaTheme="minorEastAsia"/>
              </w:rPr>
            </w:pPr>
          </w:p>
        </w:tc>
        <w:tc>
          <w:tcPr>
            <w:tcW w:w="1870" w:type="pct"/>
            <w:vMerge w:val="continue"/>
            <w:vAlign w:val="center"/>
          </w:tcPr>
          <w:p>
            <w:pPr>
              <w:pStyle w:val="63"/>
              <w:rPr>
                <w:rFonts w:eastAsiaTheme="minorEastAsia"/>
              </w:rPr>
            </w:pPr>
          </w:p>
        </w:tc>
      </w:tr>
    </w:tbl>
    <w:p>
      <w:pPr>
        <w:spacing w:line="360" w:lineRule="auto"/>
        <w:ind w:firstLine="489"/>
        <w:rPr>
          <w:rFonts w:ascii="Times New Roman" w:hAnsi="Times New Roman" w:cs="Times New Roman"/>
        </w:rPr>
        <w:sectPr>
          <w:pgSz w:w="16838" w:h="11906" w:orient="landscape"/>
          <w:pgMar w:top="1418" w:right="1418" w:bottom="1701" w:left="1418" w:header="851" w:footer="992" w:gutter="0"/>
          <w:paperSrc w:first="7" w:other="7"/>
          <w:cols w:space="425" w:num="1"/>
          <w:docGrid w:linePitch="326" w:charSpace="915"/>
        </w:sectPr>
      </w:pPr>
    </w:p>
    <w:p>
      <w:pPr>
        <w:pStyle w:val="6"/>
        <w:rPr>
          <w:rFonts w:ascii="Times New Roman" w:hAnsi="Times New Roman" w:cs="Times New Roman"/>
        </w:rPr>
      </w:pPr>
      <w:r>
        <w:rPr>
          <w:rFonts w:ascii="Times New Roman" w:hAnsi="Times New Roman" w:cs="Times New Roman"/>
        </w:rPr>
        <w:t>表1.6-</w:t>
      </w:r>
      <w:r>
        <w:rPr>
          <w:rFonts w:hint="eastAsia" w:ascii="Times New Roman" w:hAnsi="Times New Roman" w:cs="Times New Roman"/>
        </w:rPr>
        <w:t>5</w:t>
      </w:r>
      <w:r>
        <w:rPr>
          <w:rFonts w:ascii="Times New Roman" w:hAnsi="Times New Roman" w:cs="Times New Roman"/>
        </w:rPr>
        <w:t xml:space="preserve">  生态环境保护目标</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693"/>
        <w:gridCol w:w="3402"/>
        <w:gridCol w:w="5148"/>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l2br w:val="nil"/>
              <w:tr2bl w:val="nil"/>
            </w:tcBorders>
            <w:vAlign w:val="center"/>
          </w:tcPr>
          <w:p>
            <w:pPr>
              <w:jc w:val="center"/>
              <w:rPr>
                <w:rFonts w:ascii="Times New Roman" w:hAnsi="Times New Roman" w:eastAsia="宋体" w:cs="Times New Roman"/>
                <w:sz w:val="21"/>
                <w:szCs w:val="21"/>
              </w:rPr>
            </w:pPr>
            <w:r>
              <w:rPr>
                <w:rFonts w:hint="eastAsia"/>
              </w:rPr>
              <w:t>要素</w:t>
            </w:r>
          </w:p>
        </w:tc>
        <w:tc>
          <w:tcPr>
            <w:tcW w:w="947"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保护目标</w:t>
            </w:r>
          </w:p>
        </w:tc>
        <w:tc>
          <w:tcPr>
            <w:tcW w:w="1196" w:type="pct"/>
            <w:tcBorders>
              <w:tl2br w:val="nil"/>
              <w:tr2bl w:val="nil"/>
            </w:tcBorders>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4"/>
              </w:rPr>
              <w:t>与高新区边界相对位置</w:t>
            </w:r>
          </w:p>
        </w:tc>
        <w:tc>
          <w:tcPr>
            <w:tcW w:w="1810"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保护内容</w:t>
            </w:r>
          </w:p>
        </w:tc>
        <w:tc>
          <w:tcPr>
            <w:tcW w:w="609" w:type="pct"/>
            <w:tcBorders>
              <w:tl2br w:val="nil"/>
              <w:tr2bl w:val="nil"/>
            </w:tcBorders>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4"/>
              </w:rPr>
              <w:t>保护要求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restar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rPr>
              <w:t>生态环境保护目标</w:t>
            </w:r>
          </w:p>
        </w:tc>
        <w:tc>
          <w:tcPr>
            <w:tcW w:w="947"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各片区规划范围内及周边的陆生动植物资源</w:t>
            </w:r>
          </w:p>
        </w:tc>
        <w:tc>
          <w:tcPr>
            <w:tcW w:w="1196" w:type="pct"/>
            <w:tcBorders>
              <w:tl2br w:val="nil"/>
              <w:tr2bl w:val="nil"/>
            </w:tcBorders>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kern w:val="0"/>
                <w:sz w:val="21"/>
                <w:szCs w:val="21"/>
              </w:rPr>
              <w:t>各片区</w:t>
            </w:r>
            <w:r>
              <w:rPr>
                <w:rFonts w:ascii="Times New Roman" w:hAnsi="Times New Roman" w:eastAsia="宋体" w:cs="Times New Roman"/>
                <w:kern w:val="0"/>
                <w:sz w:val="21"/>
                <w:szCs w:val="21"/>
              </w:rPr>
              <w:t>内、边界外1km范围</w:t>
            </w:r>
          </w:p>
        </w:tc>
        <w:tc>
          <w:tcPr>
            <w:tcW w:w="1810"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区域植被类型单一，主要为马尾松林、杉木林、竹林、樟木林和灌草丛；野生动物较少，多为鸟类、蛇类、青蛙、鼠类等常见物种，无珍稀濒危物种。</w:t>
            </w:r>
          </w:p>
        </w:tc>
        <w:tc>
          <w:tcPr>
            <w:tcW w:w="609" w:type="pct"/>
            <w:vMerge w:val="restart"/>
            <w:tcBorders>
              <w:tl2br w:val="nil"/>
              <w:tr2bl w:val="nil"/>
            </w:tcBorders>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区域生态环境整体不下降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Borders>
              <w:tl2br w:val="nil"/>
              <w:tr2bl w:val="nil"/>
            </w:tcBorders>
            <w:vAlign w:val="center"/>
          </w:tcPr>
          <w:p>
            <w:pPr>
              <w:jc w:val="center"/>
              <w:rPr>
                <w:rFonts w:ascii="Times New Roman" w:hAnsi="Times New Roman" w:eastAsia="宋体" w:cs="Times New Roman"/>
                <w:sz w:val="21"/>
                <w:szCs w:val="21"/>
              </w:rPr>
            </w:pPr>
          </w:p>
        </w:tc>
        <w:tc>
          <w:tcPr>
            <w:tcW w:w="947"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五尖山森林公园</w:t>
            </w:r>
          </w:p>
        </w:tc>
        <w:tc>
          <w:tcPr>
            <w:tcW w:w="1196" w:type="pct"/>
            <w:tcBorders>
              <w:tl2br w:val="nil"/>
              <w:tr2bl w:val="nil"/>
            </w:tcBorders>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sz w:val="21"/>
                <w:szCs w:val="21"/>
              </w:rPr>
              <w:t>规划范围外，</w:t>
            </w:r>
            <w:r>
              <w:rPr>
                <w:rFonts w:ascii="Times New Roman" w:hAnsi="Times New Roman" w:eastAsia="宋体" w:cs="Times New Roman"/>
                <w:kern w:val="0"/>
                <w:sz w:val="21"/>
                <w:szCs w:val="21"/>
              </w:rPr>
              <w:t>3500m</w:t>
            </w:r>
          </w:p>
        </w:tc>
        <w:tc>
          <w:tcPr>
            <w:tcW w:w="1810"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国家森林公园，总面积为28.79km2，核心景区面积7.0km</w:t>
            </w:r>
            <w:r>
              <w:rPr>
                <w:rFonts w:hint="eastAsia" w:ascii="Times New Roman" w:hAnsi="Times New Roman" w:eastAsia="宋体" w:cs="Times New Roman"/>
                <w:sz w:val="21"/>
                <w:szCs w:val="21"/>
                <w:vertAlign w:val="superscript"/>
              </w:rPr>
              <w:t>2</w:t>
            </w:r>
          </w:p>
        </w:tc>
        <w:tc>
          <w:tcPr>
            <w:tcW w:w="609" w:type="pct"/>
            <w:vMerge w:val="continue"/>
            <w:tcBorders>
              <w:tl2br w:val="nil"/>
              <w:tr2bl w:val="nil"/>
            </w:tcBorders>
            <w:vAlign w:val="center"/>
          </w:tcPr>
          <w:p>
            <w:pPr>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Borders>
              <w:tl2br w:val="nil"/>
              <w:tr2bl w:val="nil"/>
            </w:tcBorders>
            <w:vAlign w:val="center"/>
          </w:tcPr>
          <w:p>
            <w:pPr>
              <w:jc w:val="center"/>
              <w:rPr>
                <w:rFonts w:ascii="Times New Roman" w:hAnsi="Times New Roman" w:eastAsia="宋体" w:cs="Times New Roman"/>
                <w:sz w:val="21"/>
                <w:szCs w:val="21"/>
              </w:rPr>
            </w:pPr>
          </w:p>
        </w:tc>
        <w:tc>
          <w:tcPr>
            <w:tcW w:w="947"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白云湖公园</w:t>
            </w:r>
          </w:p>
        </w:tc>
        <w:tc>
          <w:tcPr>
            <w:tcW w:w="1196" w:type="pct"/>
            <w:tcBorders>
              <w:tl2br w:val="nil"/>
              <w:tr2bl w:val="nil"/>
            </w:tcBorders>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sz w:val="21"/>
                <w:szCs w:val="21"/>
              </w:rPr>
              <w:t>规划范围外，</w:t>
            </w:r>
            <w:r>
              <w:rPr>
                <w:rFonts w:ascii="Times New Roman" w:hAnsi="Times New Roman" w:eastAsia="宋体" w:cs="Times New Roman"/>
                <w:kern w:val="0"/>
                <w:sz w:val="21"/>
                <w:szCs w:val="21"/>
              </w:rPr>
              <w:t>1300m</w:t>
            </w:r>
          </w:p>
        </w:tc>
        <w:tc>
          <w:tcPr>
            <w:tcW w:w="1810"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市级景观公园，临湘市重点民生工程，总面积1.13km</w:t>
            </w:r>
            <w:r>
              <w:rPr>
                <w:rFonts w:hint="eastAsia" w:ascii="Times New Roman" w:hAnsi="Times New Roman" w:eastAsia="宋体" w:cs="Times New Roman"/>
                <w:sz w:val="21"/>
                <w:szCs w:val="21"/>
                <w:vertAlign w:val="superscript"/>
              </w:rPr>
              <w:t>2</w:t>
            </w:r>
          </w:p>
        </w:tc>
        <w:tc>
          <w:tcPr>
            <w:tcW w:w="609" w:type="pct"/>
            <w:vMerge w:val="continue"/>
            <w:tcBorders>
              <w:tl2br w:val="nil"/>
              <w:tr2bl w:val="nil"/>
            </w:tcBorders>
            <w:vAlign w:val="center"/>
          </w:tcPr>
          <w:p>
            <w:pPr>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Borders>
              <w:tl2br w:val="nil"/>
              <w:tr2bl w:val="nil"/>
            </w:tcBorders>
            <w:vAlign w:val="center"/>
          </w:tcPr>
          <w:p>
            <w:pPr>
              <w:jc w:val="center"/>
              <w:rPr>
                <w:rFonts w:ascii="Times New Roman" w:hAnsi="Times New Roman" w:eastAsia="宋体" w:cs="Times New Roman"/>
                <w:sz w:val="21"/>
                <w:szCs w:val="21"/>
              </w:rPr>
            </w:pPr>
          </w:p>
        </w:tc>
        <w:tc>
          <w:tcPr>
            <w:tcW w:w="947"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白鳍豚国家级自然保护区</w:t>
            </w:r>
          </w:p>
        </w:tc>
        <w:tc>
          <w:tcPr>
            <w:tcW w:w="1196" w:type="pct"/>
            <w:tcBorders>
              <w:tl2br w:val="nil"/>
              <w:tr2bl w:val="nil"/>
            </w:tcBorders>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本园区现状排污口在其保护区的试验区内, 本园区现状排污口在其保护区的试验区内，排污口位于试验区上边界下游3.1km，距离下游螺山缓冲区3.1km，距离螺山核心区3.3km。</w:t>
            </w:r>
          </w:p>
        </w:tc>
        <w:tc>
          <w:tcPr>
            <w:tcW w:w="1810" w:type="pct"/>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为国家级自然保护区，位于湖北省洪湖市、赤壁市、嘉鱼县和湖南省临湘市4市县的交界处。该区范围长135.5km，宽1000~2500m，其中湖南境内临湘段长33.3km。</w:t>
            </w:r>
          </w:p>
        </w:tc>
        <w:tc>
          <w:tcPr>
            <w:tcW w:w="609" w:type="pct"/>
            <w:vMerge w:val="continue"/>
            <w:tcBorders>
              <w:tl2br w:val="nil"/>
              <w:tr2bl w:val="nil"/>
            </w:tcBorders>
            <w:vAlign w:val="center"/>
          </w:tcPr>
          <w:p>
            <w:pPr>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Borders>
              <w:tl2br w:val="nil"/>
              <w:tr2bl w:val="nil"/>
            </w:tcBorders>
            <w:vAlign w:val="center"/>
          </w:tcPr>
          <w:p>
            <w:pPr>
              <w:jc w:val="center"/>
              <w:rPr>
                <w:rFonts w:ascii="Times New Roman" w:hAnsi="Times New Roman" w:eastAsia="宋体" w:cs="Times New Roman"/>
                <w:sz w:val="21"/>
                <w:szCs w:val="24"/>
              </w:rPr>
            </w:pPr>
          </w:p>
        </w:tc>
        <w:tc>
          <w:tcPr>
            <w:tcW w:w="947" w:type="pct"/>
            <w:tcBorders>
              <w:tl2br w:val="nil"/>
              <w:tr2bl w:val="nil"/>
            </w:tcBorders>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4"/>
              </w:rPr>
              <w:t>保留山体</w:t>
            </w:r>
          </w:p>
        </w:tc>
        <w:tc>
          <w:tcPr>
            <w:tcW w:w="1196" w:type="pct"/>
            <w:tcBorders>
              <w:tl2br w:val="nil"/>
              <w:tr2bl w:val="nil"/>
            </w:tcBorders>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各个片区边界外1km范围</w:t>
            </w:r>
          </w:p>
        </w:tc>
        <w:tc>
          <w:tcPr>
            <w:tcW w:w="1810" w:type="pct"/>
            <w:tcBorders>
              <w:tl2br w:val="nil"/>
              <w:tr2bl w:val="nil"/>
            </w:tcBorders>
            <w:vAlign w:val="center"/>
          </w:tcPr>
          <w:p>
            <w:pPr>
              <w:jc w:val="center"/>
              <w:rPr>
                <w:rFonts w:ascii="Times New Roman" w:hAnsi="Times New Roman" w:eastAsia="宋体" w:cs="Times New Roman"/>
                <w:sz w:val="21"/>
                <w:szCs w:val="21"/>
              </w:rPr>
            </w:pPr>
            <w:r>
              <w:rPr>
                <w:sz w:val="21"/>
                <w:szCs w:val="24"/>
                <w:u w:val="single"/>
              </w:rPr>
              <w:t>景观山地</w:t>
            </w:r>
          </w:p>
        </w:tc>
        <w:tc>
          <w:tcPr>
            <w:tcW w:w="609" w:type="pct"/>
            <w:tcBorders>
              <w:tl2br w:val="nil"/>
              <w:tr2bl w:val="nil"/>
            </w:tcBorders>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严禁侵占、损毁</w:t>
            </w:r>
          </w:p>
        </w:tc>
      </w:tr>
    </w:tbl>
    <w:p>
      <w:pPr>
        <w:spacing w:line="360" w:lineRule="auto"/>
        <w:ind w:firstLine="489"/>
        <w:rPr>
          <w:rFonts w:ascii="Times New Roman" w:hAnsi="Times New Roman" w:cs="Times New Roman"/>
        </w:rPr>
      </w:pPr>
    </w:p>
    <w:p>
      <w:pPr>
        <w:spacing w:line="360" w:lineRule="auto"/>
        <w:ind w:firstLine="489"/>
        <w:rPr>
          <w:rFonts w:ascii="Times New Roman" w:hAnsi="Times New Roman" w:cs="Times New Roman"/>
        </w:rPr>
        <w:sectPr>
          <w:pgSz w:w="16838" w:h="11906" w:orient="landscape"/>
          <w:pgMar w:top="1418" w:right="1418" w:bottom="1701" w:left="1418" w:header="851" w:footer="992" w:gutter="0"/>
          <w:paperSrc w:first="7" w:other="7"/>
          <w:cols w:space="425" w:num="1"/>
          <w:docGrid w:linePitch="326" w:charSpace="915"/>
        </w:sectPr>
      </w:pPr>
    </w:p>
    <w:p>
      <w:pPr>
        <w:pStyle w:val="3"/>
        <w:rPr>
          <w:rFonts w:ascii="Times New Roman" w:hAnsi="Times New Roman" w:cs="Times New Roman" w:eastAsiaTheme="minorEastAsia"/>
        </w:rPr>
      </w:pPr>
      <w:bookmarkStart w:id="39" w:name="_Toc134088428"/>
      <w:bookmarkStart w:id="40" w:name="_Toc146091868"/>
      <w:r>
        <w:rPr>
          <w:rFonts w:ascii="Times New Roman" w:hAnsi="Times New Roman" w:cs="Times New Roman" w:eastAsiaTheme="minorEastAsia"/>
        </w:rPr>
        <w:t>1.7 评价标准</w:t>
      </w:r>
      <w:bookmarkEnd w:id="39"/>
      <w:bookmarkEnd w:id="40"/>
    </w:p>
    <w:p>
      <w:pPr>
        <w:pStyle w:val="4"/>
        <w:rPr>
          <w:rFonts w:ascii="Times New Roman" w:hAnsi="Times New Roman" w:cs="Times New Roman"/>
        </w:rPr>
      </w:pPr>
      <w:bookmarkStart w:id="41" w:name="_Toc134088429"/>
      <w:bookmarkStart w:id="42" w:name="_Toc146091869"/>
      <w:r>
        <w:rPr>
          <w:rFonts w:ascii="Times New Roman" w:hAnsi="Times New Roman" w:cs="Times New Roman"/>
        </w:rPr>
        <w:t>1.7.1 环境质量标准</w:t>
      </w:r>
      <w:bookmarkEnd w:id="41"/>
      <w:bookmarkEnd w:id="42"/>
    </w:p>
    <w:p>
      <w:pPr>
        <w:spacing w:line="360" w:lineRule="auto"/>
        <w:ind w:firstLine="480" w:firstLineChars="200"/>
        <w:rPr>
          <w:rFonts w:ascii="Times New Roman" w:hAnsi="Times New Roman" w:cs="Times New Roman"/>
        </w:rPr>
      </w:pPr>
      <w:r>
        <w:rPr>
          <w:rFonts w:ascii="Times New Roman" w:hAnsi="Times New Roman" w:cs="Times New Roman"/>
        </w:rPr>
        <w:t>（1）大气环境质量标准</w:t>
      </w:r>
    </w:p>
    <w:p>
      <w:pPr>
        <w:spacing w:line="360" w:lineRule="auto"/>
        <w:ind w:firstLine="480" w:firstLineChars="200"/>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、O</w:t>
      </w:r>
      <w:r>
        <w:rPr>
          <w:rFonts w:hint="eastAsia" w:ascii="Times New Roman" w:hAnsi="Times New Roman" w:cs="Times New Roman"/>
          <w:vertAlign w:val="subscript"/>
        </w:rPr>
        <w:t>3</w:t>
      </w:r>
      <w:r>
        <w:rPr>
          <w:rFonts w:hint="eastAsia" w:ascii="Times New Roman" w:hAnsi="Times New Roman" w:cs="Times New Roman"/>
        </w:rPr>
        <w:t>、CO、氟化物</w:t>
      </w:r>
      <w:r>
        <w:rPr>
          <w:rFonts w:ascii="Times New Roman" w:hAnsi="Times New Roman" w:cs="Times New Roman"/>
        </w:rPr>
        <w:t>执行《环境空气质量标准》（GB3095-2012）二级标准；二甲苯、甲苯、硫酸雾、H</w:t>
      </w:r>
      <w:r>
        <w:rPr>
          <w:rFonts w:ascii="Times New Roman" w:hAnsi="Times New Roman" w:cs="Times New Roman"/>
          <w:vertAlign w:val="subscript"/>
        </w:rPr>
        <w:t>2</w:t>
      </w:r>
      <w:r>
        <w:rPr>
          <w:rFonts w:ascii="Times New Roman" w:hAnsi="Times New Roman" w:cs="Times New Roman"/>
        </w:rPr>
        <w:t>S、NH</w:t>
      </w:r>
      <w:r>
        <w:rPr>
          <w:rFonts w:ascii="Times New Roman" w:hAnsi="Times New Roman" w:cs="Times New Roman"/>
          <w:vertAlign w:val="subscript"/>
        </w:rPr>
        <w:t>3</w:t>
      </w:r>
      <w:r>
        <w:rPr>
          <w:rFonts w:ascii="Times New Roman" w:hAnsi="Times New Roman" w:cs="Times New Roman"/>
        </w:rPr>
        <w:t>、HCl、TVOC等参照执行《环境影响评价技术导则大气环境》（HJ2.2-2018）附录D浓度限值要求</w:t>
      </w:r>
      <w:r>
        <w:rPr>
          <w:rFonts w:hint="eastAsia" w:ascii="Times New Roman" w:hAnsi="Times New Roman" w:cs="Times New Roman"/>
        </w:rPr>
        <w:t>，非甲烷总烃执行《大气污染物综合排放标准详解》的制定标准。</w:t>
      </w:r>
    </w:p>
    <w:p>
      <w:pPr>
        <w:spacing w:line="360" w:lineRule="auto"/>
        <w:ind w:firstLine="480" w:firstLineChars="200"/>
        <w:rPr>
          <w:rFonts w:ascii="Times New Roman" w:hAnsi="Times New Roman" w:cs="Times New Roman"/>
        </w:rPr>
      </w:pPr>
      <w:r>
        <w:rPr>
          <w:rFonts w:ascii="Times New Roman" w:hAnsi="Times New Roman" w:cs="Times New Roman"/>
        </w:rPr>
        <w:t>（2）水环境质量标准</w:t>
      </w:r>
    </w:p>
    <w:p>
      <w:pPr>
        <w:spacing w:line="360" w:lineRule="auto"/>
        <w:ind w:firstLine="480" w:firstLineChars="200"/>
        <w:rPr>
          <w:rFonts w:ascii="Times New Roman" w:hAnsi="Times New Roman" w:cs="Times New Roman"/>
        </w:rPr>
      </w:pPr>
      <w:r>
        <w:rPr>
          <w:rFonts w:ascii="Times New Roman" w:hAnsi="Times New Roman" w:cs="Times New Roman"/>
        </w:rPr>
        <w:t>三湾片区地表水为</w:t>
      </w:r>
      <w:r>
        <w:rPr>
          <w:rFonts w:hint="eastAsia" w:ascii="Times New Roman" w:hAnsi="Times New Roman" w:cs="Times New Roman"/>
        </w:rPr>
        <w:t>源潭河、白云湖、农灌渠、栗楠水库，其中</w:t>
      </w:r>
      <w:r>
        <w:rPr>
          <w:rFonts w:ascii="Times New Roman" w:hAnsi="Times New Roman" w:cs="Times New Roman"/>
        </w:rPr>
        <w:t>源潭河</w:t>
      </w:r>
      <w:r>
        <w:rPr>
          <w:rFonts w:hint="eastAsia" w:ascii="Times New Roman" w:hAnsi="Times New Roman" w:cs="Times New Roman"/>
        </w:rPr>
        <w:t>、白云湖、农灌渠</w:t>
      </w:r>
      <w:r>
        <w:rPr>
          <w:rFonts w:ascii="Times New Roman" w:hAnsi="Times New Roman" w:cs="Times New Roman"/>
        </w:rPr>
        <w:t>执行《地表水环境质量标准》（GB3838-2002）</w:t>
      </w:r>
      <w:r>
        <w:rPr>
          <w:rFonts w:hint="eastAsia" w:ascii="宋体" w:hAnsi="宋体" w:eastAsia="宋体" w:cs="宋体"/>
        </w:rPr>
        <w:t>Ⅲ</w:t>
      </w:r>
      <w:r>
        <w:rPr>
          <w:rFonts w:ascii="Times New Roman" w:hAnsi="Times New Roman" w:cs="Times New Roman"/>
        </w:rPr>
        <w:t>类标准，</w:t>
      </w:r>
      <w:r>
        <w:rPr>
          <w:rFonts w:hint="eastAsia" w:ascii="Times New Roman" w:hAnsi="Times New Roman" w:cs="Times New Roman"/>
        </w:rPr>
        <w:t>栗楠水库一级饮用水源保护区水域执行</w:t>
      </w:r>
      <w:r>
        <w:rPr>
          <w:rFonts w:ascii="Times New Roman" w:hAnsi="Times New Roman" w:cs="Times New Roman"/>
        </w:rPr>
        <w:t>《地表水环境质量标准》（GB3838-2002）</w:t>
      </w:r>
      <w:r>
        <w:rPr>
          <w:rFonts w:hint="eastAsia" w:ascii="Times New Roman" w:hAnsi="Times New Roman" w:cs="Times New Roman"/>
        </w:rPr>
        <w:t>Ⅱ类</w:t>
      </w:r>
      <w:r>
        <w:rPr>
          <w:rFonts w:ascii="Times New Roman" w:hAnsi="Times New Roman" w:cs="Times New Roman"/>
        </w:rPr>
        <w:t>标准</w:t>
      </w:r>
      <w:r>
        <w:rPr>
          <w:rFonts w:hint="eastAsia" w:ascii="Times New Roman" w:hAnsi="Times New Roman" w:cs="Times New Roman"/>
        </w:rPr>
        <w:t>，其他水域执行</w:t>
      </w:r>
      <w:r>
        <w:rPr>
          <w:rFonts w:ascii="Times New Roman" w:hAnsi="Times New Roman" w:cs="Times New Roman"/>
        </w:rPr>
        <w:t>《地表水环境质量标准》（GB3838-2002）</w:t>
      </w:r>
      <w:r>
        <w:rPr>
          <w:rFonts w:hint="eastAsia" w:ascii="宋体" w:hAnsi="宋体" w:eastAsia="宋体" w:cs="宋体"/>
        </w:rPr>
        <w:t>Ⅲ</w:t>
      </w:r>
      <w:r>
        <w:rPr>
          <w:rFonts w:ascii="Times New Roman" w:hAnsi="Times New Roman" w:cs="Times New Roman"/>
        </w:rPr>
        <w:t>类标准</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滨江片区涉及地表水为长江（城陵矶至黄盖湖段）、</w:t>
      </w:r>
      <w:r>
        <w:rPr>
          <w:rFonts w:hint="eastAsia" w:ascii="Times New Roman" w:hAnsi="Times New Roman" w:cs="Times New Roman"/>
        </w:rPr>
        <w:t>泾港、</w:t>
      </w:r>
      <w:r>
        <w:rPr>
          <w:rFonts w:ascii="Times New Roman" w:hAnsi="Times New Roman" w:cs="Times New Roman"/>
        </w:rPr>
        <w:t>洋溪湖</w:t>
      </w:r>
      <w:r>
        <w:rPr>
          <w:rFonts w:hint="eastAsia" w:ascii="Times New Roman" w:hAnsi="Times New Roman" w:cs="Times New Roman"/>
        </w:rPr>
        <w:t>、肖田湖、南干渠，其中</w:t>
      </w:r>
      <w:r>
        <w:rPr>
          <w:rFonts w:ascii="Times New Roman" w:hAnsi="Times New Roman" w:cs="Times New Roman"/>
        </w:rPr>
        <w:t>长江（城陵矶至黄盖湖段）、</w:t>
      </w:r>
      <w:r>
        <w:rPr>
          <w:rFonts w:hint="eastAsia" w:ascii="Times New Roman" w:hAnsi="Times New Roman" w:cs="Times New Roman"/>
        </w:rPr>
        <w:t>泾港、</w:t>
      </w:r>
      <w:r>
        <w:rPr>
          <w:rFonts w:ascii="Times New Roman" w:hAnsi="Times New Roman" w:cs="Times New Roman"/>
        </w:rPr>
        <w:t>洋溪湖</w:t>
      </w:r>
      <w:r>
        <w:rPr>
          <w:rFonts w:hint="eastAsia" w:ascii="Times New Roman" w:hAnsi="Times New Roman" w:cs="Times New Roman"/>
        </w:rPr>
        <w:t>、肖田湖执行</w:t>
      </w:r>
      <w:r>
        <w:rPr>
          <w:rFonts w:ascii="Times New Roman" w:hAnsi="Times New Roman" w:cs="Times New Roman"/>
        </w:rPr>
        <w:t>《地表水环境质量标准》（GB3838-2002）</w:t>
      </w:r>
      <w:r>
        <w:rPr>
          <w:rFonts w:hint="eastAsia" w:ascii="宋体" w:hAnsi="宋体" w:eastAsia="宋体" w:cs="宋体"/>
        </w:rPr>
        <w:t>Ⅲ</w:t>
      </w:r>
      <w:r>
        <w:rPr>
          <w:rFonts w:ascii="Times New Roman" w:hAnsi="Times New Roman" w:cs="Times New Roman"/>
        </w:rPr>
        <w:t>类标准</w:t>
      </w:r>
      <w:r>
        <w:rPr>
          <w:rFonts w:hint="eastAsia" w:ascii="Times New Roman" w:hAnsi="Times New Roman" w:cs="Times New Roman"/>
        </w:rPr>
        <w:t>，南干渠执行</w:t>
      </w:r>
      <w:r>
        <w:rPr>
          <w:rFonts w:ascii="Times New Roman" w:hAnsi="Times New Roman" w:cs="Times New Roman"/>
        </w:rPr>
        <w:t>《地表水环境质量标准》（GB3838-2002）</w:t>
      </w:r>
      <w:r>
        <w:rPr>
          <w:rFonts w:hint="eastAsia" w:ascii="宋体" w:hAnsi="宋体" w:eastAsia="宋体" w:cs="宋体"/>
        </w:rPr>
        <w:t>Ⅳ</w:t>
      </w:r>
      <w:r>
        <w:rPr>
          <w:rFonts w:ascii="Times New Roman" w:hAnsi="Times New Roman" w:cs="Times New Roman"/>
        </w:rPr>
        <w:t>类标准</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（3）地下水环境</w:t>
      </w:r>
    </w:p>
    <w:p>
      <w:pPr>
        <w:spacing w:line="360" w:lineRule="auto"/>
        <w:ind w:firstLine="480" w:firstLineChars="200"/>
        <w:rPr>
          <w:rFonts w:ascii="Times New Roman" w:hAnsi="Times New Roman" w:cs="Times New Roman"/>
        </w:rPr>
      </w:pPr>
      <w:r>
        <w:rPr>
          <w:rFonts w:ascii="Times New Roman" w:hAnsi="Times New Roman" w:cs="Times New Roman"/>
        </w:rPr>
        <w:t>区域地下水执行《地下水质量标准》（GB/T14848-2017）中</w:t>
      </w:r>
      <w:r>
        <w:rPr>
          <w:rFonts w:hint="eastAsia" w:ascii="宋体" w:hAnsi="宋体" w:eastAsia="宋体" w:cs="宋体"/>
        </w:rPr>
        <w:t>Ⅲ</w:t>
      </w:r>
      <w:r>
        <w:rPr>
          <w:rFonts w:ascii="Times New Roman" w:hAnsi="Times New Roman" w:cs="Times New Roman"/>
        </w:rPr>
        <w:t>类标准。</w:t>
      </w:r>
    </w:p>
    <w:p>
      <w:pPr>
        <w:spacing w:line="360" w:lineRule="auto"/>
        <w:ind w:firstLine="480" w:firstLineChars="200"/>
        <w:rPr>
          <w:rFonts w:ascii="Times New Roman" w:hAnsi="Times New Roman" w:cs="Times New Roman"/>
        </w:rPr>
      </w:pPr>
      <w:r>
        <w:rPr>
          <w:rFonts w:ascii="Times New Roman" w:hAnsi="Times New Roman" w:cs="Times New Roman"/>
        </w:rPr>
        <w:t>（4）声环境环境</w:t>
      </w:r>
    </w:p>
    <w:p>
      <w:pPr>
        <w:spacing w:line="360" w:lineRule="auto"/>
        <w:ind w:firstLine="480" w:firstLineChars="200"/>
        <w:rPr>
          <w:rFonts w:ascii="Times New Roman" w:hAnsi="Times New Roman" w:cs="Times New Roman"/>
        </w:rPr>
      </w:pPr>
      <w:r>
        <w:rPr>
          <w:rFonts w:ascii="Times New Roman" w:hAnsi="Times New Roman" w:cs="Times New Roman"/>
        </w:rPr>
        <w:t>园区内规划行政办公、居住商业区执行《声环境质量标准》（GB3096-2008）中的2类标准；工业、仓储物流区声环境质量执行《声环境质量标准》（G83096-2008）3类标准；交通干线临近2类区的，两侧35m内执行执行《声环境质量标准》（GB3096-2008）4a类标准；交通干线临近3类区的，两侧25m执行执行《声环境质量标准》（GB3096-2008）4a类标准。</w:t>
      </w:r>
    </w:p>
    <w:p>
      <w:pPr>
        <w:spacing w:line="360" w:lineRule="auto"/>
        <w:ind w:firstLine="480"/>
        <w:rPr>
          <w:rFonts w:ascii="Times New Roman" w:hAnsi="Times New Roman" w:cs="Times New Roman"/>
        </w:rPr>
      </w:pPr>
      <w:r>
        <w:rPr>
          <w:rFonts w:ascii="Times New Roman" w:hAnsi="Times New Roman" w:cs="Times New Roman"/>
        </w:rPr>
        <w:t>（5）土壤环境</w:t>
      </w:r>
    </w:p>
    <w:p>
      <w:pPr>
        <w:spacing w:line="360" w:lineRule="auto"/>
        <w:ind w:firstLine="480" w:firstLineChars="200"/>
        <w:rPr>
          <w:rFonts w:ascii="Times New Roman" w:hAnsi="Times New Roman" w:cs="Times New Roman"/>
        </w:rPr>
      </w:pPr>
      <w:r>
        <w:rPr>
          <w:rFonts w:ascii="Times New Roman" w:hAnsi="Times New Roman" w:cs="Times New Roman"/>
        </w:rPr>
        <w:t>农用地土壤执行《土壤环境质量农用地土壤污染风险管控标准（试行）》（GB15618-2018）中表1筛选值；建设用地土壤执行《土壤环境质量建设用地土壤污染风险管控标准（试行）》（GB36600-2018）第一类、第二类用地筛选值。</w:t>
      </w:r>
    </w:p>
    <w:p>
      <w:pPr>
        <w:pStyle w:val="6"/>
        <w:rPr>
          <w:rFonts w:ascii="Times New Roman" w:hAnsi="Times New Roman" w:cs="Times New Roman"/>
        </w:rPr>
      </w:pPr>
      <w:r>
        <w:rPr>
          <w:rFonts w:ascii="Times New Roman" w:hAnsi="Times New Roman" w:cs="Times New Roman"/>
        </w:rPr>
        <w:t>表1.7-1  环境空气污染物浓度限值单位：ug/m</w:t>
      </w:r>
      <w:r>
        <w:rPr>
          <w:rFonts w:ascii="Times New Roman" w:hAnsi="Times New Roman" w:cs="Times New Roman"/>
          <w:vertAlign w:val="superscript"/>
        </w:rPr>
        <w:t>3</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38"/>
        <w:gridCol w:w="2430"/>
        <w:gridCol w:w="1981"/>
        <w:gridCol w:w="1007"/>
        <w:gridCol w:w="877"/>
        <w:gridCol w:w="87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restart"/>
            <w:vAlign w:val="center"/>
          </w:tcPr>
          <w:p>
            <w:pPr>
              <w:pStyle w:val="63"/>
              <w:rPr>
                <w:rFonts w:eastAsiaTheme="minorEastAsia"/>
              </w:rPr>
            </w:pPr>
            <w:r>
              <w:rPr>
                <w:rFonts w:eastAsiaTheme="minorEastAsia"/>
              </w:rPr>
              <w:t>标准名称</w:t>
            </w:r>
          </w:p>
        </w:tc>
        <w:tc>
          <w:tcPr>
            <w:tcW w:w="1350" w:type="pct"/>
            <w:vMerge w:val="restart"/>
            <w:vAlign w:val="center"/>
          </w:tcPr>
          <w:p>
            <w:pPr>
              <w:pStyle w:val="63"/>
              <w:rPr>
                <w:rFonts w:eastAsiaTheme="minorEastAsia"/>
              </w:rPr>
            </w:pPr>
            <w:r>
              <w:rPr>
                <w:rFonts w:eastAsiaTheme="minorEastAsia"/>
              </w:rPr>
              <w:t>污染物项目</w:t>
            </w:r>
          </w:p>
        </w:tc>
        <w:tc>
          <w:tcPr>
            <w:tcW w:w="1100" w:type="pct"/>
            <w:vMerge w:val="restart"/>
            <w:vAlign w:val="center"/>
          </w:tcPr>
          <w:p>
            <w:pPr>
              <w:pStyle w:val="63"/>
              <w:rPr>
                <w:rFonts w:eastAsiaTheme="minorEastAsia"/>
              </w:rPr>
            </w:pPr>
            <w:r>
              <w:rPr>
                <w:rFonts w:eastAsiaTheme="minorEastAsia"/>
              </w:rPr>
              <w:t>平均时间</w:t>
            </w:r>
          </w:p>
        </w:tc>
        <w:tc>
          <w:tcPr>
            <w:tcW w:w="1529" w:type="pct"/>
            <w:gridSpan w:val="3"/>
            <w:vAlign w:val="center"/>
          </w:tcPr>
          <w:p>
            <w:pPr>
              <w:pStyle w:val="63"/>
              <w:rPr>
                <w:rFonts w:eastAsiaTheme="minorEastAsia"/>
              </w:rPr>
            </w:pPr>
            <w:r>
              <w:rPr>
                <w:rFonts w:eastAsiaTheme="minorEastAsia"/>
              </w:rPr>
              <w:t>浓度限值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Merge w:val="continue"/>
            <w:vAlign w:val="center"/>
          </w:tcPr>
          <w:p>
            <w:pPr>
              <w:pStyle w:val="63"/>
              <w:rPr>
                <w:rFonts w:eastAsiaTheme="minorEastAsia"/>
              </w:rPr>
            </w:pPr>
          </w:p>
        </w:tc>
        <w:tc>
          <w:tcPr>
            <w:tcW w:w="559" w:type="pct"/>
            <w:vAlign w:val="center"/>
          </w:tcPr>
          <w:p>
            <w:pPr>
              <w:pStyle w:val="63"/>
              <w:rPr>
                <w:rFonts w:eastAsiaTheme="minorEastAsia"/>
              </w:rPr>
            </w:pPr>
            <w:r>
              <w:rPr>
                <w:rFonts w:eastAsiaTheme="minorEastAsia"/>
              </w:rPr>
              <w:t>一级</w:t>
            </w:r>
          </w:p>
        </w:tc>
        <w:tc>
          <w:tcPr>
            <w:tcW w:w="487" w:type="pct"/>
            <w:vAlign w:val="center"/>
          </w:tcPr>
          <w:p>
            <w:pPr>
              <w:pStyle w:val="63"/>
              <w:rPr>
                <w:rFonts w:eastAsiaTheme="minorEastAsia"/>
              </w:rPr>
            </w:pPr>
            <w:r>
              <w:rPr>
                <w:rFonts w:eastAsiaTheme="minorEastAsia"/>
              </w:rPr>
              <w:t>二级</w:t>
            </w:r>
          </w:p>
        </w:tc>
        <w:tc>
          <w:tcPr>
            <w:tcW w:w="483" w:type="pct"/>
            <w:vAlign w:val="center"/>
          </w:tcPr>
          <w:p>
            <w:pPr>
              <w:pStyle w:val="63"/>
              <w:rPr>
                <w:rFonts w:eastAsiaTheme="minorEastAsia"/>
              </w:rPr>
            </w:pPr>
            <w:r>
              <w:rPr>
                <w:rFonts w:eastAsiaTheme="minorEastAsia"/>
              </w:rPr>
              <w:t>标准值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restart"/>
            <w:vAlign w:val="center"/>
          </w:tcPr>
          <w:p>
            <w:pPr>
              <w:pStyle w:val="63"/>
              <w:rPr>
                <w:rFonts w:eastAsiaTheme="minorEastAsia"/>
              </w:rPr>
            </w:pPr>
            <w:r>
              <w:rPr>
                <w:rFonts w:eastAsiaTheme="minorEastAsia"/>
              </w:rPr>
              <w:t>《环境空气质量标准》</w:t>
            </w:r>
          </w:p>
          <w:p>
            <w:pPr>
              <w:pStyle w:val="63"/>
              <w:rPr>
                <w:rFonts w:eastAsiaTheme="minorEastAsia"/>
              </w:rPr>
            </w:pPr>
            <w:r>
              <w:rPr>
                <w:rFonts w:eastAsiaTheme="minorEastAsia"/>
              </w:rPr>
              <w:t>（GB3095-2012）</w:t>
            </w:r>
          </w:p>
        </w:tc>
        <w:tc>
          <w:tcPr>
            <w:tcW w:w="1350" w:type="pct"/>
            <w:vMerge w:val="restart"/>
            <w:vAlign w:val="center"/>
          </w:tcPr>
          <w:p>
            <w:pPr>
              <w:pStyle w:val="63"/>
              <w:rPr>
                <w:rFonts w:eastAsiaTheme="minorEastAsia"/>
              </w:rPr>
            </w:pPr>
            <w:r>
              <w:rPr>
                <w:rFonts w:eastAsiaTheme="minorEastAsia"/>
              </w:rPr>
              <w:t>二氧化硫</w:t>
            </w:r>
          </w:p>
        </w:tc>
        <w:tc>
          <w:tcPr>
            <w:tcW w:w="1100" w:type="pct"/>
            <w:vAlign w:val="center"/>
          </w:tcPr>
          <w:p>
            <w:pPr>
              <w:pStyle w:val="63"/>
              <w:rPr>
                <w:rFonts w:eastAsiaTheme="minorEastAsia"/>
              </w:rPr>
            </w:pPr>
            <w:r>
              <w:rPr>
                <w:rFonts w:eastAsiaTheme="minorEastAsia"/>
              </w:rPr>
              <w:t>年平均</w:t>
            </w:r>
          </w:p>
        </w:tc>
        <w:tc>
          <w:tcPr>
            <w:tcW w:w="559" w:type="pct"/>
            <w:vAlign w:val="center"/>
          </w:tcPr>
          <w:p>
            <w:pPr>
              <w:pStyle w:val="63"/>
              <w:rPr>
                <w:rFonts w:eastAsiaTheme="minorEastAsia"/>
              </w:rPr>
            </w:pPr>
            <w:r>
              <w:rPr>
                <w:rFonts w:eastAsiaTheme="minorEastAsia"/>
              </w:rPr>
              <w:t>20</w:t>
            </w:r>
          </w:p>
        </w:tc>
        <w:tc>
          <w:tcPr>
            <w:tcW w:w="487" w:type="pct"/>
            <w:vAlign w:val="center"/>
          </w:tcPr>
          <w:p>
            <w:pPr>
              <w:pStyle w:val="63"/>
              <w:rPr>
                <w:rFonts w:eastAsiaTheme="minorEastAsia"/>
              </w:rPr>
            </w:pPr>
            <w:r>
              <w:rPr>
                <w:rFonts w:eastAsiaTheme="minorEastAsia"/>
              </w:rPr>
              <w:t>60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24小时平均</w:t>
            </w:r>
          </w:p>
        </w:tc>
        <w:tc>
          <w:tcPr>
            <w:tcW w:w="559" w:type="pct"/>
            <w:vAlign w:val="center"/>
          </w:tcPr>
          <w:p>
            <w:pPr>
              <w:pStyle w:val="63"/>
              <w:rPr>
                <w:rFonts w:eastAsiaTheme="minorEastAsia"/>
              </w:rPr>
            </w:pPr>
            <w:r>
              <w:rPr>
                <w:rFonts w:eastAsiaTheme="minorEastAsia"/>
              </w:rPr>
              <w:t>50</w:t>
            </w:r>
          </w:p>
        </w:tc>
        <w:tc>
          <w:tcPr>
            <w:tcW w:w="487" w:type="pct"/>
            <w:vAlign w:val="center"/>
          </w:tcPr>
          <w:p>
            <w:pPr>
              <w:pStyle w:val="63"/>
              <w:rPr>
                <w:rFonts w:eastAsiaTheme="minorEastAsia"/>
              </w:rPr>
            </w:pPr>
            <w:r>
              <w:rPr>
                <w:rFonts w:eastAsiaTheme="minorEastAsia"/>
              </w:rPr>
              <w:t>150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150</w:t>
            </w:r>
          </w:p>
        </w:tc>
        <w:tc>
          <w:tcPr>
            <w:tcW w:w="487" w:type="pct"/>
            <w:vAlign w:val="center"/>
          </w:tcPr>
          <w:p>
            <w:pPr>
              <w:pStyle w:val="63"/>
              <w:rPr>
                <w:rFonts w:eastAsiaTheme="minorEastAsia"/>
              </w:rPr>
            </w:pPr>
            <w:r>
              <w:rPr>
                <w:rFonts w:eastAsiaTheme="minorEastAsia"/>
              </w:rPr>
              <w:t>500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二氧化氮</w:t>
            </w:r>
          </w:p>
        </w:tc>
        <w:tc>
          <w:tcPr>
            <w:tcW w:w="1100" w:type="pct"/>
            <w:vAlign w:val="center"/>
          </w:tcPr>
          <w:p>
            <w:pPr>
              <w:pStyle w:val="63"/>
              <w:rPr>
                <w:rFonts w:eastAsiaTheme="minorEastAsia"/>
              </w:rPr>
            </w:pPr>
            <w:r>
              <w:rPr>
                <w:rFonts w:eastAsiaTheme="minorEastAsia"/>
              </w:rPr>
              <w:t>年平均</w:t>
            </w:r>
          </w:p>
        </w:tc>
        <w:tc>
          <w:tcPr>
            <w:tcW w:w="559" w:type="pct"/>
            <w:vAlign w:val="center"/>
          </w:tcPr>
          <w:p>
            <w:pPr>
              <w:pStyle w:val="63"/>
              <w:rPr>
                <w:rFonts w:eastAsiaTheme="minorEastAsia"/>
              </w:rPr>
            </w:pPr>
            <w:r>
              <w:rPr>
                <w:rFonts w:eastAsiaTheme="minorEastAsia"/>
              </w:rPr>
              <w:t>40</w:t>
            </w:r>
          </w:p>
        </w:tc>
        <w:tc>
          <w:tcPr>
            <w:tcW w:w="487" w:type="pct"/>
            <w:vAlign w:val="center"/>
          </w:tcPr>
          <w:p>
            <w:pPr>
              <w:pStyle w:val="63"/>
              <w:rPr>
                <w:rFonts w:eastAsiaTheme="minorEastAsia"/>
              </w:rPr>
            </w:pPr>
            <w:r>
              <w:rPr>
                <w:rFonts w:eastAsiaTheme="minorEastAsia"/>
              </w:rPr>
              <w:t>40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24小时平均</w:t>
            </w:r>
          </w:p>
        </w:tc>
        <w:tc>
          <w:tcPr>
            <w:tcW w:w="559" w:type="pct"/>
            <w:vAlign w:val="center"/>
          </w:tcPr>
          <w:p>
            <w:pPr>
              <w:pStyle w:val="63"/>
              <w:rPr>
                <w:rFonts w:eastAsiaTheme="minorEastAsia"/>
              </w:rPr>
            </w:pPr>
            <w:r>
              <w:rPr>
                <w:rFonts w:eastAsiaTheme="minorEastAsia"/>
              </w:rPr>
              <w:t>80</w:t>
            </w:r>
          </w:p>
        </w:tc>
        <w:tc>
          <w:tcPr>
            <w:tcW w:w="487" w:type="pct"/>
            <w:vAlign w:val="center"/>
          </w:tcPr>
          <w:p>
            <w:pPr>
              <w:pStyle w:val="63"/>
              <w:rPr>
                <w:rFonts w:eastAsiaTheme="minorEastAsia"/>
              </w:rPr>
            </w:pPr>
            <w:r>
              <w:rPr>
                <w:rFonts w:eastAsiaTheme="minorEastAsia"/>
              </w:rPr>
              <w:t>80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200</w:t>
            </w:r>
          </w:p>
        </w:tc>
        <w:tc>
          <w:tcPr>
            <w:tcW w:w="487" w:type="pct"/>
            <w:vAlign w:val="center"/>
          </w:tcPr>
          <w:p>
            <w:pPr>
              <w:pStyle w:val="63"/>
              <w:rPr>
                <w:rFonts w:eastAsiaTheme="minorEastAsia"/>
              </w:rPr>
            </w:pPr>
            <w:r>
              <w:rPr>
                <w:rFonts w:eastAsiaTheme="minorEastAsia"/>
              </w:rPr>
              <w:t>200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一氧化碳</w:t>
            </w:r>
          </w:p>
          <w:p>
            <w:pPr>
              <w:pStyle w:val="63"/>
              <w:rPr>
                <w:rFonts w:eastAsiaTheme="minorEastAsia"/>
              </w:rPr>
            </w:pPr>
            <w:r>
              <w:rPr>
                <w:rFonts w:eastAsiaTheme="minorEastAsia"/>
              </w:rPr>
              <w:t>（mg/m</w:t>
            </w:r>
            <w:r>
              <w:rPr>
                <w:rFonts w:eastAsiaTheme="minorEastAsia"/>
                <w:vertAlign w:val="superscript"/>
              </w:rPr>
              <w:t>3</w:t>
            </w:r>
            <w:r>
              <w:rPr>
                <w:rFonts w:eastAsiaTheme="minorEastAsia"/>
              </w:rPr>
              <w:t>）</w:t>
            </w:r>
          </w:p>
        </w:tc>
        <w:tc>
          <w:tcPr>
            <w:tcW w:w="1100" w:type="pct"/>
            <w:vAlign w:val="center"/>
          </w:tcPr>
          <w:p>
            <w:pPr>
              <w:pStyle w:val="63"/>
              <w:rPr>
                <w:rFonts w:eastAsiaTheme="minorEastAsia"/>
              </w:rPr>
            </w:pPr>
            <w:r>
              <w:rPr>
                <w:rFonts w:eastAsiaTheme="minorEastAsia"/>
              </w:rPr>
              <w:t>24小时平均</w:t>
            </w:r>
          </w:p>
        </w:tc>
        <w:tc>
          <w:tcPr>
            <w:tcW w:w="559" w:type="pct"/>
            <w:vAlign w:val="center"/>
          </w:tcPr>
          <w:p>
            <w:pPr>
              <w:pStyle w:val="63"/>
              <w:rPr>
                <w:rFonts w:eastAsiaTheme="minorEastAsia"/>
              </w:rPr>
            </w:pPr>
            <w:r>
              <w:rPr>
                <w:rFonts w:eastAsiaTheme="minorEastAsia"/>
              </w:rPr>
              <w:t>4</w:t>
            </w:r>
          </w:p>
        </w:tc>
        <w:tc>
          <w:tcPr>
            <w:tcW w:w="487" w:type="pct"/>
            <w:vAlign w:val="center"/>
          </w:tcPr>
          <w:p>
            <w:pPr>
              <w:pStyle w:val="63"/>
              <w:rPr>
                <w:rFonts w:eastAsiaTheme="minorEastAsia"/>
              </w:rPr>
            </w:pPr>
            <w:r>
              <w:rPr>
                <w:rFonts w:eastAsiaTheme="minorEastAsia"/>
              </w:rPr>
              <w:t>4</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10</w:t>
            </w:r>
          </w:p>
        </w:tc>
        <w:tc>
          <w:tcPr>
            <w:tcW w:w="487" w:type="pct"/>
            <w:vAlign w:val="center"/>
          </w:tcPr>
          <w:p>
            <w:pPr>
              <w:pStyle w:val="63"/>
              <w:rPr>
                <w:rFonts w:eastAsiaTheme="minorEastAsia"/>
              </w:rPr>
            </w:pPr>
            <w:r>
              <w:rPr>
                <w:rFonts w:eastAsiaTheme="minorEastAsia"/>
              </w:rPr>
              <w:t>10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臭氧（O</w:t>
            </w:r>
            <w:r>
              <w:rPr>
                <w:rFonts w:eastAsiaTheme="minorEastAsia"/>
                <w:vertAlign w:val="subscript"/>
              </w:rPr>
              <w:t>3</w:t>
            </w:r>
            <w:r>
              <w:rPr>
                <w:rFonts w:eastAsiaTheme="minorEastAsia"/>
              </w:rPr>
              <w:t>）</w:t>
            </w:r>
          </w:p>
        </w:tc>
        <w:tc>
          <w:tcPr>
            <w:tcW w:w="1100" w:type="pct"/>
            <w:vAlign w:val="center"/>
          </w:tcPr>
          <w:p>
            <w:pPr>
              <w:pStyle w:val="63"/>
              <w:rPr>
                <w:rFonts w:eastAsiaTheme="minorEastAsia"/>
              </w:rPr>
            </w:pPr>
            <w:r>
              <w:rPr>
                <w:rFonts w:eastAsiaTheme="minorEastAsia"/>
              </w:rPr>
              <w:t>日最大8小时平均</w:t>
            </w:r>
          </w:p>
        </w:tc>
        <w:tc>
          <w:tcPr>
            <w:tcW w:w="559" w:type="pct"/>
            <w:vAlign w:val="center"/>
          </w:tcPr>
          <w:p>
            <w:pPr>
              <w:pStyle w:val="63"/>
              <w:rPr>
                <w:rFonts w:eastAsiaTheme="minorEastAsia"/>
              </w:rPr>
            </w:pPr>
            <w:r>
              <w:rPr>
                <w:rFonts w:eastAsiaTheme="minorEastAsia"/>
              </w:rPr>
              <w:t>100</w:t>
            </w:r>
          </w:p>
        </w:tc>
        <w:tc>
          <w:tcPr>
            <w:tcW w:w="487" w:type="pct"/>
            <w:vAlign w:val="center"/>
          </w:tcPr>
          <w:p>
            <w:pPr>
              <w:pStyle w:val="63"/>
              <w:rPr>
                <w:rFonts w:eastAsiaTheme="minorEastAsia"/>
              </w:rPr>
            </w:pPr>
            <w:r>
              <w:rPr>
                <w:rFonts w:eastAsiaTheme="minorEastAsia"/>
              </w:rPr>
              <w:t>160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160</w:t>
            </w:r>
          </w:p>
        </w:tc>
        <w:tc>
          <w:tcPr>
            <w:tcW w:w="487" w:type="pct"/>
            <w:vAlign w:val="center"/>
          </w:tcPr>
          <w:p>
            <w:pPr>
              <w:pStyle w:val="63"/>
              <w:rPr>
                <w:rFonts w:eastAsiaTheme="minorEastAsia"/>
              </w:rPr>
            </w:pPr>
            <w:r>
              <w:rPr>
                <w:rFonts w:eastAsiaTheme="minorEastAsia"/>
              </w:rPr>
              <w:t>200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颗粒物</w:t>
            </w:r>
          </w:p>
          <w:p>
            <w:pPr>
              <w:pStyle w:val="63"/>
              <w:rPr>
                <w:rFonts w:eastAsiaTheme="minorEastAsia"/>
              </w:rPr>
            </w:pPr>
            <w:r>
              <w:rPr>
                <w:rFonts w:eastAsiaTheme="minorEastAsia"/>
              </w:rPr>
              <w:t>（粒径小于等于10mm）</w:t>
            </w:r>
          </w:p>
        </w:tc>
        <w:tc>
          <w:tcPr>
            <w:tcW w:w="1100" w:type="pct"/>
            <w:vAlign w:val="center"/>
          </w:tcPr>
          <w:p>
            <w:pPr>
              <w:pStyle w:val="63"/>
              <w:rPr>
                <w:rFonts w:eastAsiaTheme="minorEastAsia"/>
              </w:rPr>
            </w:pPr>
            <w:r>
              <w:rPr>
                <w:rFonts w:eastAsiaTheme="minorEastAsia"/>
              </w:rPr>
              <w:t>年平均</w:t>
            </w:r>
          </w:p>
        </w:tc>
        <w:tc>
          <w:tcPr>
            <w:tcW w:w="559" w:type="pct"/>
            <w:vAlign w:val="center"/>
          </w:tcPr>
          <w:p>
            <w:pPr>
              <w:pStyle w:val="63"/>
              <w:rPr>
                <w:rFonts w:eastAsiaTheme="minorEastAsia"/>
              </w:rPr>
            </w:pPr>
            <w:r>
              <w:rPr>
                <w:rFonts w:eastAsiaTheme="minorEastAsia"/>
              </w:rPr>
              <w:t>40</w:t>
            </w:r>
          </w:p>
        </w:tc>
        <w:tc>
          <w:tcPr>
            <w:tcW w:w="487" w:type="pct"/>
            <w:vAlign w:val="center"/>
          </w:tcPr>
          <w:p>
            <w:pPr>
              <w:pStyle w:val="63"/>
              <w:rPr>
                <w:rFonts w:eastAsiaTheme="minorEastAsia"/>
              </w:rPr>
            </w:pPr>
            <w:r>
              <w:rPr>
                <w:rFonts w:eastAsiaTheme="minorEastAsia"/>
              </w:rPr>
              <w:t>70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24小时平均</w:t>
            </w:r>
          </w:p>
        </w:tc>
        <w:tc>
          <w:tcPr>
            <w:tcW w:w="559" w:type="pct"/>
            <w:vAlign w:val="center"/>
          </w:tcPr>
          <w:p>
            <w:pPr>
              <w:pStyle w:val="63"/>
              <w:rPr>
                <w:rFonts w:eastAsiaTheme="minorEastAsia"/>
              </w:rPr>
            </w:pPr>
            <w:r>
              <w:rPr>
                <w:rFonts w:eastAsiaTheme="minorEastAsia"/>
              </w:rPr>
              <w:t>50</w:t>
            </w:r>
          </w:p>
        </w:tc>
        <w:tc>
          <w:tcPr>
            <w:tcW w:w="487" w:type="pct"/>
            <w:vAlign w:val="center"/>
          </w:tcPr>
          <w:p>
            <w:pPr>
              <w:pStyle w:val="63"/>
              <w:rPr>
                <w:rFonts w:eastAsiaTheme="minorEastAsia"/>
              </w:rPr>
            </w:pPr>
            <w:r>
              <w:rPr>
                <w:rFonts w:eastAsiaTheme="minorEastAsia"/>
              </w:rPr>
              <w:t>150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颗粒物</w:t>
            </w:r>
          </w:p>
          <w:p>
            <w:pPr>
              <w:pStyle w:val="63"/>
              <w:rPr>
                <w:rFonts w:eastAsiaTheme="minorEastAsia"/>
              </w:rPr>
            </w:pPr>
            <w:r>
              <w:rPr>
                <w:rFonts w:eastAsiaTheme="minorEastAsia"/>
              </w:rPr>
              <w:t>（粒径小于等于2.5mm）</w:t>
            </w:r>
          </w:p>
        </w:tc>
        <w:tc>
          <w:tcPr>
            <w:tcW w:w="1100" w:type="pct"/>
            <w:vAlign w:val="center"/>
          </w:tcPr>
          <w:p>
            <w:pPr>
              <w:pStyle w:val="63"/>
              <w:rPr>
                <w:rFonts w:eastAsiaTheme="minorEastAsia"/>
              </w:rPr>
            </w:pPr>
            <w:r>
              <w:rPr>
                <w:rFonts w:eastAsiaTheme="minorEastAsia"/>
              </w:rPr>
              <w:t>年平均</w:t>
            </w:r>
          </w:p>
        </w:tc>
        <w:tc>
          <w:tcPr>
            <w:tcW w:w="559" w:type="pct"/>
            <w:vAlign w:val="center"/>
          </w:tcPr>
          <w:p>
            <w:pPr>
              <w:pStyle w:val="63"/>
              <w:rPr>
                <w:rFonts w:eastAsiaTheme="minorEastAsia"/>
              </w:rPr>
            </w:pPr>
            <w:r>
              <w:rPr>
                <w:rFonts w:eastAsiaTheme="minorEastAsia"/>
              </w:rPr>
              <w:t>15</w:t>
            </w:r>
          </w:p>
        </w:tc>
        <w:tc>
          <w:tcPr>
            <w:tcW w:w="487" w:type="pct"/>
            <w:vAlign w:val="center"/>
          </w:tcPr>
          <w:p>
            <w:pPr>
              <w:pStyle w:val="63"/>
              <w:rPr>
                <w:rFonts w:eastAsiaTheme="minorEastAsia"/>
              </w:rPr>
            </w:pPr>
            <w:r>
              <w:rPr>
                <w:rFonts w:eastAsiaTheme="minorEastAsia"/>
              </w:rPr>
              <w:t>35</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24小时平均</w:t>
            </w:r>
          </w:p>
        </w:tc>
        <w:tc>
          <w:tcPr>
            <w:tcW w:w="559" w:type="pct"/>
            <w:vAlign w:val="center"/>
          </w:tcPr>
          <w:p>
            <w:pPr>
              <w:pStyle w:val="63"/>
              <w:rPr>
                <w:rFonts w:eastAsiaTheme="minorEastAsia"/>
              </w:rPr>
            </w:pPr>
            <w:r>
              <w:rPr>
                <w:rFonts w:eastAsiaTheme="minorEastAsia"/>
              </w:rPr>
              <w:t>35</w:t>
            </w:r>
          </w:p>
        </w:tc>
        <w:tc>
          <w:tcPr>
            <w:tcW w:w="487" w:type="pct"/>
            <w:vAlign w:val="center"/>
          </w:tcPr>
          <w:p>
            <w:pPr>
              <w:pStyle w:val="63"/>
              <w:rPr>
                <w:rFonts w:eastAsiaTheme="minorEastAsia"/>
              </w:rPr>
            </w:pPr>
            <w:r>
              <w:rPr>
                <w:rFonts w:eastAsiaTheme="minorEastAsia"/>
              </w:rPr>
              <w:t>75</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氟化物（F）</w:t>
            </w: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20</w:t>
            </w:r>
          </w:p>
        </w:tc>
        <w:tc>
          <w:tcPr>
            <w:tcW w:w="483" w:type="pct"/>
            <w:vAlign w:val="center"/>
          </w:tcPr>
          <w:p>
            <w:pPr>
              <w:pStyle w:val="63"/>
              <w:rPr>
                <w:rFonts w:eastAsiaTheme="minorEastAsia"/>
              </w:rPr>
            </w:pPr>
            <w:r>
              <w:rPr>
                <w:rFonts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24小时平均</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7</w:t>
            </w:r>
          </w:p>
        </w:tc>
        <w:tc>
          <w:tcPr>
            <w:tcW w:w="483" w:type="pct"/>
            <w:vAlign w:val="center"/>
          </w:tcPr>
          <w:p>
            <w:pPr>
              <w:pStyle w:val="63"/>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restart"/>
            <w:vAlign w:val="center"/>
          </w:tcPr>
          <w:p>
            <w:pPr>
              <w:pStyle w:val="63"/>
              <w:rPr>
                <w:rFonts w:eastAsiaTheme="minorEastAsia"/>
              </w:rPr>
            </w:pPr>
            <w:r>
              <w:rPr>
                <w:rFonts w:eastAsiaTheme="minorEastAsia"/>
              </w:rPr>
              <w:t>环境影响评价技术导则大气环境》（HJ2.2-2018）附录D</w:t>
            </w:r>
          </w:p>
        </w:tc>
        <w:tc>
          <w:tcPr>
            <w:tcW w:w="1350" w:type="pct"/>
            <w:vAlign w:val="center"/>
          </w:tcPr>
          <w:p>
            <w:pPr>
              <w:pStyle w:val="63"/>
              <w:rPr>
                <w:rFonts w:eastAsiaTheme="minorEastAsia"/>
              </w:rPr>
            </w:pPr>
            <w:r>
              <w:rPr>
                <w:rFonts w:eastAsiaTheme="minorEastAsia"/>
              </w:rPr>
              <w:t>氨</w:t>
            </w:r>
          </w:p>
        </w:tc>
        <w:tc>
          <w:tcPr>
            <w:tcW w:w="1100" w:type="pct"/>
            <w:vAlign w:val="center"/>
          </w:tcPr>
          <w:p>
            <w:pPr>
              <w:pStyle w:val="63"/>
              <w:rPr>
                <w:rFonts w:eastAsiaTheme="minorEastAsia"/>
              </w:rPr>
            </w:pPr>
            <w:r>
              <w:rPr>
                <w:rFonts w:eastAsiaTheme="minorEastAsia"/>
              </w:rPr>
              <w:t>一次浓度</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w:t>
            </w:r>
          </w:p>
        </w:tc>
        <w:tc>
          <w:tcPr>
            <w:tcW w:w="483" w:type="pct"/>
            <w:vAlign w:val="center"/>
          </w:tcPr>
          <w:p>
            <w:pPr>
              <w:pStyle w:val="63"/>
              <w:rPr>
                <w:rFonts w:eastAsiaTheme="minorEastAsia"/>
              </w:rPr>
            </w:pPr>
            <w:r>
              <w:rPr>
                <w:rFonts w:eastAsiaTheme="minorEastAsia"/>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Align w:val="center"/>
          </w:tcPr>
          <w:p>
            <w:pPr>
              <w:pStyle w:val="63"/>
              <w:rPr>
                <w:rFonts w:eastAsiaTheme="minorEastAsia"/>
              </w:rPr>
            </w:pPr>
            <w:r>
              <w:rPr>
                <w:rFonts w:eastAsiaTheme="minorEastAsia"/>
              </w:rPr>
              <w:t>硫化氢</w:t>
            </w:r>
          </w:p>
        </w:tc>
        <w:tc>
          <w:tcPr>
            <w:tcW w:w="1100" w:type="pct"/>
            <w:vAlign w:val="center"/>
          </w:tcPr>
          <w:p>
            <w:pPr>
              <w:pStyle w:val="63"/>
              <w:rPr>
                <w:rFonts w:eastAsiaTheme="minorEastAsia"/>
              </w:rPr>
            </w:pPr>
            <w:r>
              <w:rPr>
                <w:rFonts w:eastAsiaTheme="minorEastAsia"/>
              </w:rPr>
              <w:t>一次浓度</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w:t>
            </w:r>
          </w:p>
        </w:tc>
        <w:tc>
          <w:tcPr>
            <w:tcW w:w="483" w:type="pct"/>
            <w:vAlign w:val="center"/>
          </w:tcPr>
          <w:p>
            <w:pPr>
              <w:pStyle w:val="63"/>
              <w:rPr>
                <w:rFonts w:eastAsiaTheme="minorEastAsia"/>
              </w:rPr>
            </w:pPr>
            <w:r>
              <w:rPr>
                <w:rFonts w:eastAsiaTheme="minorEastAsia"/>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color w:val="000000"/>
                <w:szCs w:val="21"/>
              </w:rPr>
              <w:t>氯化氢</w:t>
            </w:r>
          </w:p>
        </w:tc>
        <w:tc>
          <w:tcPr>
            <w:tcW w:w="1100" w:type="pct"/>
            <w:vAlign w:val="center"/>
          </w:tcPr>
          <w:p>
            <w:pPr>
              <w:pStyle w:val="63"/>
              <w:rPr>
                <w:rFonts w:eastAsiaTheme="minorEastAsia"/>
              </w:rPr>
            </w:pPr>
            <w:r>
              <w:rPr>
                <w:color w:val="000000"/>
                <w:szCs w:val="21"/>
              </w:rPr>
              <w:t>日平均</w:t>
            </w:r>
          </w:p>
        </w:tc>
        <w:tc>
          <w:tcPr>
            <w:tcW w:w="559" w:type="pct"/>
            <w:vAlign w:val="center"/>
          </w:tcPr>
          <w:p>
            <w:pPr>
              <w:pStyle w:val="63"/>
              <w:rPr>
                <w:rFonts w:eastAsiaTheme="minorEastAsia"/>
              </w:rPr>
            </w:pPr>
            <w:r>
              <w:rPr>
                <w:color w:val="000000"/>
                <w:szCs w:val="21"/>
              </w:rPr>
              <w:t>15</w:t>
            </w:r>
          </w:p>
        </w:tc>
        <w:tc>
          <w:tcPr>
            <w:tcW w:w="487" w:type="pct"/>
            <w:vAlign w:val="center"/>
          </w:tcPr>
          <w:p>
            <w:pPr>
              <w:pStyle w:val="63"/>
              <w:rPr>
                <w:rFonts w:eastAsiaTheme="minorEastAsia"/>
              </w:rPr>
            </w:pPr>
          </w:p>
        </w:tc>
        <w:tc>
          <w:tcPr>
            <w:tcW w:w="483" w:type="pct"/>
            <w:vAlign w:val="center"/>
          </w:tcPr>
          <w:p>
            <w:pPr>
              <w:pStyle w:val="63"/>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color w:val="000000"/>
                <w:szCs w:val="21"/>
              </w:rPr>
              <w:t>1小时平均</w:t>
            </w:r>
          </w:p>
        </w:tc>
        <w:tc>
          <w:tcPr>
            <w:tcW w:w="559" w:type="pct"/>
            <w:vAlign w:val="center"/>
          </w:tcPr>
          <w:p>
            <w:pPr>
              <w:pStyle w:val="63"/>
              <w:rPr>
                <w:rFonts w:eastAsiaTheme="minorEastAsia"/>
              </w:rPr>
            </w:pPr>
            <w:r>
              <w:rPr>
                <w:color w:val="000000"/>
                <w:szCs w:val="21"/>
              </w:rPr>
              <w:t>50</w:t>
            </w:r>
          </w:p>
        </w:tc>
        <w:tc>
          <w:tcPr>
            <w:tcW w:w="487" w:type="pct"/>
            <w:vAlign w:val="center"/>
          </w:tcPr>
          <w:p>
            <w:pPr>
              <w:pStyle w:val="63"/>
              <w:rPr>
                <w:rFonts w:eastAsiaTheme="minorEastAsia"/>
              </w:rPr>
            </w:pPr>
          </w:p>
        </w:tc>
        <w:tc>
          <w:tcPr>
            <w:tcW w:w="483" w:type="pct"/>
            <w:vAlign w:val="center"/>
          </w:tcPr>
          <w:p>
            <w:pPr>
              <w:pStyle w:val="63"/>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restart"/>
            <w:vAlign w:val="center"/>
          </w:tcPr>
          <w:p>
            <w:pPr>
              <w:pStyle w:val="63"/>
              <w:rPr>
                <w:rFonts w:eastAsiaTheme="minorEastAsia"/>
              </w:rPr>
            </w:pPr>
            <w:r>
              <w:rPr>
                <w:rFonts w:eastAsiaTheme="minorEastAsia"/>
              </w:rPr>
              <w:t>硫酸</w:t>
            </w:r>
          </w:p>
        </w:tc>
        <w:tc>
          <w:tcPr>
            <w:tcW w:w="1100" w:type="pct"/>
            <w:vAlign w:val="center"/>
          </w:tcPr>
          <w:p>
            <w:pPr>
              <w:pStyle w:val="63"/>
              <w:rPr>
                <w:rFonts w:eastAsiaTheme="minorEastAsia"/>
              </w:rPr>
            </w:pPr>
            <w:r>
              <w:rPr>
                <w:rFonts w:eastAsiaTheme="minorEastAsia"/>
              </w:rPr>
              <w:t>一次浓度</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p>
        </w:tc>
        <w:tc>
          <w:tcPr>
            <w:tcW w:w="483" w:type="pct"/>
            <w:vAlign w:val="center"/>
          </w:tcPr>
          <w:p>
            <w:pPr>
              <w:pStyle w:val="63"/>
              <w:rPr>
                <w:rFonts w:eastAsiaTheme="minorEastAsia"/>
              </w:rPr>
            </w:pPr>
            <w:r>
              <w:rPr>
                <w:rFonts w:eastAsiaTheme="minorEastAsia"/>
              </w:rPr>
              <w:t>300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Merge w:val="continue"/>
            <w:vAlign w:val="center"/>
          </w:tcPr>
          <w:p>
            <w:pPr>
              <w:pStyle w:val="63"/>
              <w:rPr>
                <w:rFonts w:eastAsiaTheme="minorEastAsia"/>
              </w:rPr>
            </w:pPr>
          </w:p>
        </w:tc>
        <w:tc>
          <w:tcPr>
            <w:tcW w:w="1100" w:type="pct"/>
            <w:vAlign w:val="center"/>
          </w:tcPr>
          <w:p>
            <w:pPr>
              <w:pStyle w:val="63"/>
              <w:rPr>
                <w:rFonts w:eastAsiaTheme="minorEastAsia"/>
              </w:rPr>
            </w:pPr>
            <w:r>
              <w:rPr>
                <w:rFonts w:eastAsiaTheme="minorEastAsia"/>
              </w:rPr>
              <w:t>日均值</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w:t>
            </w:r>
          </w:p>
        </w:tc>
        <w:tc>
          <w:tcPr>
            <w:tcW w:w="483" w:type="pct"/>
            <w:vAlign w:val="center"/>
          </w:tcPr>
          <w:p>
            <w:pPr>
              <w:pStyle w:val="63"/>
              <w:rPr>
                <w:rFonts w:eastAsiaTheme="minorEastAsia"/>
              </w:rPr>
            </w:pPr>
            <w:r>
              <w:rPr>
                <w:rFonts w:eastAsiaTheme="minor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Align w:val="center"/>
          </w:tcPr>
          <w:p>
            <w:pPr>
              <w:pStyle w:val="63"/>
              <w:rPr>
                <w:rFonts w:eastAsiaTheme="minorEastAsia"/>
              </w:rPr>
            </w:pPr>
            <w:r>
              <w:rPr>
                <w:rFonts w:eastAsiaTheme="minorEastAsia"/>
              </w:rPr>
              <w:t>甲苯</w:t>
            </w: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w:t>
            </w:r>
          </w:p>
        </w:tc>
        <w:tc>
          <w:tcPr>
            <w:tcW w:w="483" w:type="pct"/>
            <w:vAlign w:val="center"/>
          </w:tcPr>
          <w:p>
            <w:pPr>
              <w:pStyle w:val="63"/>
              <w:rPr>
                <w:rFonts w:eastAsiaTheme="minorEastAsia"/>
              </w:rPr>
            </w:pPr>
            <w:r>
              <w:rPr>
                <w:rFonts w:eastAsiaTheme="minorEastAsia"/>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Align w:val="center"/>
          </w:tcPr>
          <w:p>
            <w:pPr>
              <w:pStyle w:val="63"/>
              <w:rPr>
                <w:rFonts w:eastAsiaTheme="minorEastAsia"/>
              </w:rPr>
            </w:pPr>
            <w:r>
              <w:rPr>
                <w:rFonts w:eastAsiaTheme="minorEastAsia"/>
              </w:rPr>
              <w:t>二甲苯</w:t>
            </w:r>
          </w:p>
        </w:tc>
        <w:tc>
          <w:tcPr>
            <w:tcW w:w="1100" w:type="pct"/>
            <w:vAlign w:val="center"/>
          </w:tcPr>
          <w:p>
            <w:pPr>
              <w:pStyle w:val="63"/>
              <w:rPr>
                <w:rFonts w:eastAsiaTheme="minorEastAsia"/>
              </w:rPr>
            </w:pPr>
            <w:r>
              <w:rPr>
                <w:rFonts w:eastAsiaTheme="minorEastAsia"/>
              </w:rPr>
              <w:t>1小时平均</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w:t>
            </w:r>
          </w:p>
        </w:tc>
        <w:tc>
          <w:tcPr>
            <w:tcW w:w="483" w:type="pct"/>
            <w:vAlign w:val="center"/>
          </w:tcPr>
          <w:p>
            <w:pPr>
              <w:pStyle w:val="63"/>
              <w:rPr>
                <w:rFonts w:eastAsiaTheme="minorEastAsia"/>
              </w:rPr>
            </w:pPr>
            <w:r>
              <w:rPr>
                <w:rFonts w:eastAsiaTheme="minorEastAsia"/>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Merge w:val="continue"/>
            <w:vAlign w:val="center"/>
          </w:tcPr>
          <w:p>
            <w:pPr>
              <w:pStyle w:val="63"/>
              <w:rPr>
                <w:rFonts w:eastAsiaTheme="minorEastAsia"/>
              </w:rPr>
            </w:pPr>
          </w:p>
        </w:tc>
        <w:tc>
          <w:tcPr>
            <w:tcW w:w="1350" w:type="pct"/>
            <w:vAlign w:val="center"/>
          </w:tcPr>
          <w:p>
            <w:pPr>
              <w:pStyle w:val="63"/>
              <w:rPr>
                <w:rFonts w:eastAsiaTheme="minorEastAsia"/>
              </w:rPr>
            </w:pPr>
            <w:r>
              <w:rPr>
                <w:rFonts w:eastAsiaTheme="minorEastAsia"/>
              </w:rPr>
              <w:t>TVOC</w:t>
            </w:r>
          </w:p>
        </w:tc>
        <w:tc>
          <w:tcPr>
            <w:tcW w:w="1100" w:type="pct"/>
            <w:vAlign w:val="center"/>
          </w:tcPr>
          <w:p>
            <w:pPr>
              <w:pStyle w:val="63"/>
              <w:rPr>
                <w:rFonts w:eastAsiaTheme="minorEastAsia"/>
              </w:rPr>
            </w:pPr>
            <w:r>
              <w:rPr>
                <w:rFonts w:eastAsiaTheme="minorEastAsia"/>
              </w:rPr>
              <w:t>8小时均值</w:t>
            </w:r>
          </w:p>
        </w:tc>
        <w:tc>
          <w:tcPr>
            <w:tcW w:w="559" w:type="pct"/>
            <w:vAlign w:val="center"/>
          </w:tcPr>
          <w:p>
            <w:pPr>
              <w:pStyle w:val="63"/>
              <w:rPr>
                <w:rFonts w:eastAsiaTheme="minorEastAsia"/>
              </w:rPr>
            </w:pPr>
            <w:r>
              <w:rPr>
                <w:rFonts w:eastAsiaTheme="minorEastAsia"/>
              </w:rPr>
              <w:t>/</w:t>
            </w:r>
          </w:p>
        </w:tc>
        <w:tc>
          <w:tcPr>
            <w:tcW w:w="487" w:type="pct"/>
            <w:vAlign w:val="center"/>
          </w:tcPr>
          <w:p>
            <w:pPr>
              <w:pStyle w:val="63"/>
              <w:rPr>
                <w:rFonts w:eastAsiaTheme="minorEastAsia"/>
              </w:rPr>
            </w:pPr>
            <w:r>
              <w:rPr>
                <w:rFonts w:eastAsiaTheme="minorEastAsia"/>
              </w:rPr>
              <w:t>/</w:t>
            </w:r>
          </w:p>
        </w:tc>
        <w:tc>
          <w:tcPr>
            <w:tcW w:w="483" w:type="pct"/>
            <w:vAlign w:val="center"/>
          </w:tcPr>
          <w:p>
            <w:pPr>
              <w:pStyle w:val="63"/>
              <w:rPr>
                <w:rFonts w:eastAsiaTheme="minorEastAsia"/>
              </w:rPr>
            </w:pPr>
            <w:r>
              <w:rPr>
                <w:rFonts w:eastAsiaTheme="minorEastAsia"/>
              </w:rPr>
              <w:t>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21" w:type="pct"/>
            <w:vAlign w:val="center"/>
          </w:tcPr>
          <w:p>
            <w:pPr>
              <w:pStyle w:val="63"/>
              <w:rPr>
                <w:rFonts w:eastAsiaTheme="minorEastAsia"/>
              </w:rPr>
            </w:pPr>
            <w:r>
              <w:rPr>
                <w:color w:val="000000"/>
                <w:szCs w:val="21"/>
              </w:rPr>
              <w:t>《大气污染物综合排放标准详解》(1997年)</w:t>
            </w:r>
          </w:p>
        </w:tc>
        <w:tc>
          <w:tcPr>
            <w:tcW w:w="1350" w:type="pct"/>
            <w:vAlign w:val="center"/>
          </w:tcPr>
          <w:p>
            <w:pPr>
              <w:pStyle w:val="63"/>
              <w:rPr>
                <w:rFonts w:eastAsiaTheme="minorEastAsia"/>
              </w:rPr>
            </w:pPr>
            <w:r>
              <w:rPr>
                <w:color w:val="000000"/>
                <w:szCs w:val="21"/>
              </w:rPr>
              <w:t>非甲烷总烃</w:t>
            </w:r>
          </w:p>
        </w:tc>
        <w:tc>
          <w:tcPr>
            <w:tcW w:w="1100" w:type="pct"/>
            <w:vAlign w:val="center"/>
          </w:tcPr>
          <w:p>
            <w:pPr>
              <w:pStyle w:val="63"/>
              <w:rPr>
                <w:rFonts w:eastAsiaTheme="minorEastAsia"/>
              </w:rPr>
            </w:pPr>
            <w:r>
              <w:rPr>
                <w:color w:val="000000"/>
                <w:szCs w:val="21"/>
              </w:rPr>
              <w:t>一次值</w:t>
            </w:r>
          </w:p>
        </w:tc>
        <w:tc>
          <w:tcPr>
            <w:tcW w:w="559" w:type="pct"/>
            <w:vAlign w:val="center"/>
          </w:tcPr>
          <w:p>
            <w:pPr>
              <w:pStyle w:val="63"/>
              <w:rPr>
                <w:rFonts w:eastAsiaTheme="minorEastAsia"/>
              </w:rPr>
            </w:pPr>
            <w:r>
              <w:rPr>
                <w:color w:val="000000"/>
                <w:szCs w:val="21"/>
              </w:rPr>
              <w:t>200</w:t>
            </w:r>
          </w:p>
        </w:tc>
        <w:tc>
          <w:tcPr>
            <w:tcW w:w="487" w:type="pct"/>
            <w:vAlign w:val="center"/>
          </w:tcPr>
          <w:p>
            <w:pPr>
              <w:pStyle w:val="63"/>
              <w:rPr>
                <w:rFonts w:eastAsiaTheme="minorEastAsia"/>
              </w:rPr>
            </w:pPr>
          </w:p>
        </w:tc>
        <w:tc>
          <w:tcPr>
            <w:tcW w:w="483" w:type="pct"/>
            <w:vAlign w:val="center"/>
          </w:tcPr>
          <w:p>
            <w:pPr>
              <w:pStyle w:val="63"/>
              <w:rPr>
                <w:rFonts w:eastAsiaTheme="minorEastAsia"/>
              </w:rPr>
            </w:pPr>
          </w:p>
        </w:tc>
      </w:tr>
    </w:tbl>
    <w:p>
      <w:pPr>
        <w:pStyle w:val="6"/>
        <w:rPr>
          <w:rFonts w:ascii="Times New Roman" w:hAnsi="Times New Roman" w:cs="Times New Roman"/>
        </w:rPr>
      </w:pPr>
      <w:r>
        <w:rPr>
          <w:rFonts w:ascii="Times New Roman" w:hAnsi="Times New Roman" w:cs="Times New Roman"/>
        </w:rPr>
        <w:t>表1.7-2  地表水环境质量执行标准限值（摘录）单位：mg/L</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5"/>
        <w:gridCol w:w="2402"/>
        <w:gridCol w:w="2809"/>
        <w:gridCol w:w="28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项目</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（GB3838-2002）</w:t>
            </w:r>
            <w:r>
              <w:rPr>
                <w:rFonts w:ascii="Times New Roman" w:hAnsi="Times New Roman" w:eastAsia="宋体" w:cs="Times New Roman"/>
                <w:sz w:val="21"/>
                <w:szCs w:val="24"/>
              </w:rPr>
              <w:fldChar w:fldCharType="begin"/>
            </w:r>
            <w:r>
              <w:rPr>
                <w:rFonts w:ascii="Times New Roman" w:hAnsi="Times New Roman" w:eastAsia="宋体" w:cs="Times New Roman"/>
                <w:sz w:val="21"/>
                <w:szCs w:val="24"/>
              </w:rPr>
              <w:instrText xml:space="preserve"> = 3 \* ROMAN </w:instrText>
            </w:r>
            <w:r>
              <w:rPr>
                <w:rFonts w:ascii="Times New Roman" w:hAnsi="Times New Roman" w:eastAsia="宋体" w:cs="Times New Roman"/>
                <w:sz w:val="21"/>
                <w:szCs w:val="24"/>
              </w:rPr>
              <w:fldChar w:fldCharType="separate"/>
            </w:r>
            <w:r>
              <w:rPr>
                <w:rFonts w:ascii="Times New Roman" w:hAnsi="Times New Roman" w:eastAsia="宋体" w:cs="Times New Roman"/>
                <w:sz w:val="21"/>
                <w:szCs w:val="24"/>
              </w:rPr>
              <w:t>III</w:t>
            </w:r>
            <w:r>
              <w:rPr>
                <w:rFonts w:ascii="Times New Roman" w:hAnsi="Times New Roman" w:eastAsia="宋体" w:cs="Times New Roman"/>
                <w:sz w:val="21"/>
                <w:szCs w:val="24"/>
              </w:rPr>
              <w:fldChar w:fldCharType="end"/>
            </w:r>
            <w:r>
              <w:rPr>
                <w:rFonts w:ascii="Times New Roman" w:hAnsi="Times New Roman" w:eastAsia="宋体" w:cs="Times New Roman"/>
                <w:sz w:val="21"/>
                <w:szCs w:val="24"/>
              </w:rPr>
              <w:t>类</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（GB3838-2002）</w:t>
            </w:r>
            <w:r>
              <w:rPr>
                <w:rFonts w:hint="eastAsia" w:ascii="Times New Roman" w:hAnsi="Times New Roman" w:eastAsia="宋体" w:cs="Times New Roman"/>
                <w:sz w:val="21"/>
                <w:szCs w:val="24"/>
              </w:rPr>
              <w:t>Ⅳ</w:t>
            </w:r>
            <w:r>
              <w:rPr>
                <w:rFonts w:ascii="Times New Roman" w:hAnsi="Times New Roman" w:eastAsia="宋体" w:cs="Times New Roman"/>
                <w:sz w:val="21"/>
                <w:szCs w:val="24"/>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pH值（无量纲）</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6-9</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溶解氧</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高锰酸盐指数</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化学需氧量</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五日生化需氧量</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氨氮</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7</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总磷</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0.2（湖、库0.05）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0.3（湖、库0.1）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8</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铜</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9</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锌</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氟化物</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11</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砷</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12</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汞</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0.0001</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13</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镉</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14</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铬（六价）</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铅</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16</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氰化物</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0.2</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17</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挥发酚</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18</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石油类</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0.05</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19</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LAS</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0.2</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33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硫化物</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0.2</w:t>
            </w:r>
          </w:p>
        </w:tc>
        <w:tc>
          <w:tcPr>
            <w:tcW w:w="1560"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0.5</w:t>
            </w:r>
          </w:p>
        </w:tc>
      </w:tr>
    </w:tbl>
    <w:p>
      <w:pPr>
        <w:pStyle w:val="6"/>
        <w:rPr>
          <w:rFonts w:ascii="Times New Roman" w:hAnsi="Times New Roman" w:cs="Times New Roman"/>
        </w:rPr>
      </w:pPr>
      <w:r>
        <w:rPr>
          <w:rFonts w:ascii="Times New Roman" w:hAnsi="Times New Roman" w:cs="Times New Roman"/>
        </w:rPr>
        <w:t>表1.7-3   地下水质量执行标准限值（摘录）</w:t>
      </w:r>
    </w:p>
    <w:tbl>
      <w:tblPr>
        <w:tblStyle w:val="36"/>
        <w:tblW w:w="48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2753"/>
        <w:gridCol w:w="1758"/>
        <w:gridCol w:w="30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序号</w:t>
            </w:r>
          </w:p>
        </w:tc>
        <w:tc>
          <w:tcPr>
            <w:tcW w:w="1564" w:type="pct"/>
            <w:vAlign w:val="center"/>
          </w:tcPr>
          <w:p>
            <w:pPr>
              <w:pStyle w:val="63"/>
              <w:rPr>
                <w:rFonts w:eastAsiaTheme="minorEastAsia"/>
              </w:rPr>
            </w:pPr>
            <w:r>
              <w:rPr>
                <w:rFonts w:eastAsiaTheme="minorEastAsia"/>
              </w:rPr>
              <w:t>项目</w:t>
            </w:r>
          </w:p>
        </w:tc>
        <w:tc>
          <w:tcPr>
            <w:tcW w:w="999" w:type="pct"/>
            <w:vAlign w:val="center"/>
          </w:tcPr>
          <w:p>
            <w:pPr>
              <w:pStyle w:val="63"/>
              <w:rPr>
                <w:rFonts w:eastAsiaTheme="minorEastAsia"/>
              </w:rPr>
            </w:pPr>
            <w:r>
              <w:rPr>
                <w:rFonts w:eastAsiaTheme="minorEastAsia"/>
              </w:rPr>
              <w:t>单位</w:t>
            </w:r>
          </w:p>
        </w:tc>
        <w:tc>
          <w:tcPr>
            <w:tcW w:w="1731" w:type="pct"/>
            <w:vAlign w:val="center"/>
          </w:tcPr>
          <w:p>
            <w:pPr>
              <w:pStyle w:val="63"/>
              <w:rPr>
                <w:rFonts w:eastAsiaTheme="minorEastAsia"/>
              </w:rPr>
            </w:pPr>
            <w:r>
              <w:rPr>
                <w:rFonts w:eastAsiaTheme="minorEastAsia"/>
              </w:rPr>
              <w:t>GB/T14848-2017</w:t>
            </w:r>
            <w:r>
              <w:rPr>
                <w:rFonts w:hint="eastAsia" w:ascii="宋体" w:hAnsi="宋体" w:cs="宋体"/>
              </w:rPr>
              <w:t>Ⅲ</w:t>
            </w:r>
            <w:r>
              <w:rPr>
                <w:rFonts w:eastAsiaTheme="minorEastAsia"/>
              </w:rPr>
              <w:t>类标准值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center"/>
        </w:trPr>
        <w:tc>
          <w:tcPr>
            <w:tcW w:w="706" w:type="pct"/>
            <w:vAlign w:val="center"/>
          </w:tcPr>
          <w:p>
            <w:pPr>
              <w:pStyle w:val="63"/>
              <w:rPr>
                <w:rFonts w:eastAsiaTheme="minorEastAsia"/>
              </w:rPr>
            </w:pPr>
            <w:r>
              <w:rPr>
                <w:rFonts w:eastAsiaTheme="minorEastAsia"/>
              </w:rPr>
              <w:t>1</w:t>
            </w:r>
          </w:p>
        </w:tc>
        <w:tc>
          <w:tcPr>
            <w:tcW w:w="1564" w:type="pct"/>
            <w:vAlign w:val="center"/>
          </w:tcPr>
          <w:p>
            <w:pPr>
              <w:pStyle w:val="63"/>
              <w:rPr>
                <w:rFonts w:eastAsiaTheme="minorEastAsia"/>
              </w:rPr>
            </w:pPr>
            <w:r>
              <w:rPr>
                <w:rFonts w:eastAsiaTheme="minorEastAsia"/>
              </w:rPr>
              <w:t>pH</w:t>
            </w:r>
          </w:p>
        </w:tc>
        <w:tc>
          <w:tcPr>
            <w:tcW w:w="999" w:type="pct"/>
            <w:vAlign w:val="center"/>
          </w:tcPr>
          <w:p>
            <w:pPr>
              <w:pStyle w:val="63"/>
              <w:rPr>
                <w:rFonts w:eastAsiaTheme="minorEastAsia"/>
              </w:rPr>
            </w:pPr>
            <w:r>
              <w:rPr>
                <w:rFonts w:eastAsiaTheme="minorEastAsia"/>
              </w:rPr>
              <w:t>无量纲</w:t>
            </w:r>
          </w:p>
        </w:tc>
        <w:tc>
          <w:tcPr>
            <w:tcW w:w="1731" w:type="pct"/>
            <w:vAlign w:val="center"/>
          </w:tcPr>
          <w:p>
            <w:pPr>
              <w:pStyle w:val="63"/>
              <w:rPr>
                <w:rFonts w:eastAsiaTheme="minorEastAsia"/>
              </w:rPr>
            </w:pPr>
            <w:r>
              <w:rPr>
                <w:rFonts w:eastAsiaTheme="minorEastAsia"/>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2</w:t>
            </w:r>
          </w:p>
        </w:tc>
        <w:tc>
          <w:tcPr>
            <w:tcW w:w="1564" w:type="pct"/>
            <w:vAlign w:val="center"/>
          </w:tcPr>
          <w:p>
            <w:pPr>
              <w:pStyle w:val="63"/>
              <w:rPr>
                <w:rFonts w:eastAsiaTheme="minorEastAsia"/>
              </w:rPr>
            </w:pPr>
            <w:r>
              <w:rPr>
                <w:rFonts w:eastAsiaTheme="minorEastAsia"/>
              </w:rPr>
              <w:t>氨氮</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3</w:t>
            </w:r>
          </w:p>
        </w:tc>
        <w:tc>
          <w:tcPr>
            <w:tcW w:w="1564" w:type="pct"/>
            <w:vAlign w:val="center"/>
          </w:tcPr>
          <w:p>
            <w:pPr>
              <w:pStyle w:val="63"/>
              <w:rPr>
                <w:rFonts w:eastAsiaTheme="minorEastAsia"/>
              </w:rPr>
            </w:pPr>
            <w:r>
              <w:rPr>
                <w:rFonts w:eastAsiaTheme="minorEastAsia"/>
              </w:rPr>
              <w:t>耗氧量</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4</w:t>
            </w:r>
          </w:p>
        </w:tc>
        <w:tc>
          <w:tcPr>
            <w:tcW w:w="1564" w:type="pct"/>
            <w:vAlign w:val="center"/>
          </w:tcPr>
          <w:p>
            <w:pPr>
              <w:pStyle w:val="63"/>
              <w:rPr>
                <w:rFonts w:eastAsiaTheme="minorEastAsia"/>
              </w:rPr>
            </w:pPr>
            <w:r>
              <w:rPr>
                <w:rFonts w:eastAsiaTheme="minorEastAsia"/>
              </w:rPr>
              <w:t>总硬度（以CaCO</w:t>
            </w:r>
            <w:r>
              <w:rPr>
                <w:rFonts w:eastAsiaTheme="minorEastAsia"/>
                <w:vertAlign w:val="subscript"/>
              </w:rPr>
              <w:t>3</w:t>
            </w:r>
            <w:r>
              <w:rPr>
                <w:rFonts w:eastAsiaTheme="minorEastAsia"/>
              </w:rPr>
              <w:t>计）</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5</w:t>
            </w:r>
          </w:p>
        </w:tc>
        <w:tc>
          <w:tcPr>
            <w:tcW w:w="1564" w:type="pct"/>
            <w:vAlign w:val="center"/>
          </w:tcPr>
          <w:p>
            <w:pPr>
              <w:pStyle w:val="63"/>
              <w:rPr>
                <w:rFonts w:eastAsiaTheme="minorEastAsia"/>
              </w:rPr>
            </w:pPr>
            <w:r>
              <w:rPr>
                <w:rFonts w:eastAsiaTheme="minorEastAsia"/>
              </w:rPr>
              <w:t>溶解性总固体</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6</w:t>
            </w:r>
          </w:p>
        </w:tc>
        <w:tc>
          <w:tcPr>
            <w:tcW w:w="1564" w:type="pct"/>
            <w:vAlign w:val="center"/>
          </w:tcPr>
          <w:p>
            <w:pPr>
              <w:pStyle w:val="63"/>
              <w:rPr>
                <w:rFonts w:eastAsiaTheme="minorEastAsia"/>
              </w:rPr>
            </w:pPr>
            <w:r>
              <w:rPr>
                <w:rFonts w:eastAsiaTheme="minorEastAsia"/>
              </w:rPr>
              <w:t>硫酸盐</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7</w:t>
            </w:r>
          </w:p>
        </w:tc>
        <w:tc>
          <w:tcPr>
            <w:tcW w:w="1564" w:type="pct"/>
            <w:vAlign w:val="center"/>
          </w:tcPr>
          <w:p>
            <w:pPr>
              <w:pStyle w:val="63"/>
              <w:rPr>
                <w:rFonts w:eastAsiaTheme="minorEastAsia"/>
              </w:rPr>
            </w:pPr>
            <w:r>
              <w:rPr>
                <w:rFonts w:eastAsiaTheme="minorEastAsia"/>
              </w:rPr>
              <w:t>氯化物</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8</w:t>
            </w:r>
          </w:p>
        </w:tc>
        <w:tc>
          <w:tcPr>
            <w:tcW w:w="1564" w:type="pct"/>
            <w:vAlign w:val="center"/>
          </w:tcPr>
          <w:p>
            <w:pPr>
              <w:pStyle w:val="63"/>
              <w:rPr>
                <w:rFonts w:eastAsiaTheme="minorEastAsia"/>
              </w:rPr>
            </w:pPr>
            <w:r>
              <w:rPr>
                <w:rFonts w:eastAsiaTheme="minorEastAsia"/>
              </w:rPr>
              <w:t>氟化物</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9</w:t>
            </w:r>
          </w:p>
        </w:tc>
        <w:tc>
          <w:tcPr>
            <w:tcW w:w="1564" w:type="pct"/>
            <w:vAlign w:val="center"/>
          </w:tcPr>
          <w:p>
            <w:pPr>
              <w:pStyle w:val="63"/>
              <w:rPr>
                <w:rFonts w:eastAsiaTheme="minorEastAsia"/>
              </w:rPr>
            </w:pPr>
            <w:r>
              <w:rPr>
                <w:rFonts w:eastAsiaTheme="minorEastAsia"/>
              </w:rPr>
              <w:t>氰化物</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10</w:t>
            </w:r>
          </w:p>
        </w:tc>
        <w:tc>
          <w:tcPr>
            <w:tcW w:w="1564" w:type="pct"/>
            <w:vAlign w:val="center"/>
          </w:tcPr>
          <w:p>
            <w:pPr>
              <w:pStyle w:val="63"/>
              <w:rPr>
                <w:rFonts w:eastAsiaTheme="minorEastAsia"/>
              </w:rPr>
            </w:pPr>
            <w:r>
              <w:rPr>
                <w:rFonts w:eastAsiaTheme="minorEastAsia"/>
              </w:rPr>
              <w:t>挥发酚</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11</w:t>
            </w:r>
          </w:p>
        </w:tc>
        <w:tc>
          <w:tcPr>
            <w:tcW w:w="1564" w:type="pct"/>
            <w:vAlign w:val="center"/>
          </w:tcPr>
          <w:p>
            <w:pPr>
              <w:pStyle w:val="63"/>
              <w:rPr>
                <w:rFonts w:eastAsiaTheme="minorEastAsia"/>
              </w:rPr>
            </w:pPr>
            <w:r>
              <w:rPr>
                <w:rFonts w:eastAsiaTheme="minorEastAsia"/>
              </w:rPr>
              <w:t>汞</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12</w:t>
            </w:r>
          </w:p>
        </w:tc>
        <w:tc>
          <w:tcPr>
            <w:tcW w:w="1564" w:type="pct"/>
            <w:vAlign w:val="center"/>
          </w:tcPr>
          <w:p>
            <w:pPr>
              <w:pStyle w:val="63"/>
              <w:rPr>
                <w:rFonts w:eastAsiaTheme="minorEastAsia"/>
              </w:rPr>
            </w:pPr>
            <w:r>
              <w:rPr>
                <w:rFonts w:eastAsiaTheme="minorEastAsia"/>
              </w:rPr>
              <w:t>铅</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center"/>
        </w:trPr>
        <w:tc>
          <w:tcPr>
            <w:tcW w:w="706" w:type="pct"/>
            <w:vAlign w:val="center"/>
          </w:tcPr>
          <w:p>
            <w:pPr>
              <w:pStyle w:val="63"/>
              <w:rPr>
                <w:rFonts w:eastAsiaTheme="minorEastAsia"/>
              </w:rPr>
            </w:pPr>
            <w:r>
              <w:rPr>
                <w:rFonts w:eastAsiaTheme="minorEastAsia"/>
              </w:rPr>
              <w:t>13</w:t>
            </w:r>
          </w:p>
        </w:tc>
        <w:tc>
          <w:tcPr>
            <w:tcW w:w="1564" w:type="pct"/>
            <w:vAlign w:val="center"/>
          </w:tcPr>
          <w:p>
            <w:pPr>
              <w:pStyle w:val="63"/>
              <w:rPr>
                <w:rFonts w:eastAsiaTheme="minorEastAsia"/>
              </w:rPr>
            </w:pPr>
            <w:r>
              <w:rPr>
                <w:rFonts w:eastAsiaTheme="minorEastAsia"/>
              </w:rPr>
              <w:t>镉</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14</w:t>
            </w:r>
          </w:p>
        </w:tc>
        <w:tc>
          <w:tcPr>
            <w:tcW w:w="1564" w:type="pct"/>
            <w:vAlign w:val="center"/>
          </w:tcPr>
          <w:p>
            <w:pPr>
              <w:pStyle w:val="63"/>
              <w:rPr>
                <w:rFonts w:eastAsiaTheme="minorEastAsia"/>
              </w:rPr>
            </w:pPr>
            <w:r>
              <w:rPr>
                <w:rFonts w:eastAsiaTheme="minorEastAsia"/>
              </w:rPr>
              <w:t>砷</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15</w:t>
            </w:r>
          </w:p>
        </w:tc>
        <w:tc>
          <w:tcPr>
            <w:tcW w:w="1564" w:type="pct"/>
            <w:vAlign w:val="center"/>
          </w:tcPr>
          <w:p>
            <w:pPr>
              <w:pStyle w:val="63"/>
              <w:rPr>
                <w:rFonts w:eastAsiaTheme="minorEastAsia"/>
              </w:rPr>
            </w:pPr>
            <w:r>
              <w:rPr>
                <w:rFonts w:eastAsiaTheme="minorEastAsia"/>
              </w:rPr>
              <w:t>六价铬</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16</w:t>
            </w:r>
          </w:p>
        </w:tc>
        <w:tc>
          <w:tcPr>
            <w:tcW w:w="1564" w:type="pct"/>
            <w:vAlign w:val="center"/>
          </w:tcPr>
          <w:p>
            <w:pPr>
              <w:pStyle w:val="63"/>
              <w:rPr>
                <w:rFonts w:eastAsiaTheme="minorEastAsia"/>
              </w:rPr>
            </w:pPr>
            <w:r>
              <w:rPr>
                <w:rFonts w:eastAsiaTheme="minorEastAsia"/>
              </w:rPr>
              <w:t>铜</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6" w:type="pct"/>
            <w:vAlign w:val="center"/>
          </w:tcPr>
          <w:p>
            <w:pPr>
              <w:pStyle w:val="63"/>
              <w:rPr>
                <w:rFonts w:eastAsiaTheme="minorEastAsia"/>
              </w:rPr>
            </w:pPr>
            <w:r>
              <w:rPr>
                <w:rFonts w:eastAsiaTheme="minorEastAsia"/>
              </w:rPr>
              <w:t>17</w:t>
            </w:r>
          </w:p>
        </w:tc>
        <w:tc>
          <w:tcPr>
            <w:tcW w:w="1564" w:type="pct"/>
            <w:vAlign w:val="center"/>
          </w:tcPr>
          <w:p>
            <w:pPr>
              <w:pStyle w:val="63"/>
              <w:rPr>
                <w:rFonts w:eastAsiaTheme="minorEastAsia"/>
              </w:rPr>
            </w:pPr>
            <w:r>
              <w:rPr>
                <w:rFonts w:eastAsiaTheme="minorEastAsia"/>
              </w:rPr>
              <w:t>锌</w:t>
            </w:r>
          </w:p>
        </w:tc>
        <w:tc>
          <w:tcPr>
            <w:tcW w:w="999" w:type="pct"/>
            <w:vAlign w:val="center"/>
          </w:tcPr>
          <w:p>
            <w:pPr>
              <w:pStyle w:val="63"/>
              <w:rPr>
                <w:rFonts w:eastAsiaTheme="minorEastAsia"/>
              </w:rPr>
            </w:pPr>
            <w:r>
              <w:rPr>
                <w:rFonts w:eastAsiaTheme="minorEastAsia"/>
              </w:rPr>
              <w:t>mg/L</w:t>
            </w:r>
          </w:p>
        </w:tc>
        <w:tc>
          <w:tcPr>
            <w:tcW w:w="1731" w:type="pct"/>
            <w:vAlign w:val="center"/>
          </w:tcPr>
          <w:p>
            <w:pPr>
              <w:pStyle w:val="63"/>
              <w:rPr>
                <w:rFonts w:eastAsiaTheme="minorEastAsia"/>
              </w:rPr>
            </w:pPr>
            <w:r>
              <w:rPr>
                <w:rFonts w:eastAsiaTheme="minorEastAsia"/>
              </w:rPr>
              <w:t>≤1.0</w:t>
            </w:r>
          </w:p>
        </w:tc>
      </w:tr>
    </w:tbl>
    <w:p>
      <w:pPr>
        <w:pStyle w:val="6"/>
        <w:rPr>
          <w:rFonts w:ascii="Times New Roman" w:hAnsi="Times New Roman" w:cs="Times New Roman"/>
        </w:rPr>
      </w:pPr>
      <w:r>
        <w:rPr>
          <w:rFonts w:ascii="Times New Roman" w:hAnsi="Times New Roman" w:cs="Times New Roman"/>
        </w:rPr>
        <w:t>表1.7-4   声环境质量标准</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583"/>
        <w:gridCol w:w="2335"/>
        <w:gridCol w:w="1613"/>
        <w:gridCol w:w="23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461" w:type="pct"/>
            <w:tcMar>
              <w:left w:w="28" w:type="dxa"/>
              <w:right w:w="28" w:type="dxa"/>
            </w:tcMar>
            <w:vAlign w:val="center"/>
          </w:tcPr>
          <w:p>
            <w:pPr>
              <w:pStyle w:val="63"/>
              <w:rPr>
                <w:rFonts w:eastAsiaTheme="minorEastAsia"/>
              </w:rPr>
            </w:pPr>
            <w:r>
              <w:rPr>
                <w:rFonts w:eastAsiaTheme="minorEastAsia"/>
              </w:rPr>
              <w:t>标准名称</w:t>
            </w:r>
          </w:p>
        </w:tc>
        <w:tc>
          <w:tcPr>
            <w:tcW w:w="3539" w:type="pct"/>
            <w:gridSpan w:val="3"/>
            <w:tcMar>
              <w:left w:w="28" w:type="dxa"/>
              <w:right w:w="28" w:type="dxa"/>
            </w:tcMar>
            <w:vAlign w:val="center"/>
          </w:tcPr>
          <w:p>
            <w:pPr>
              <w:pStyle w:val="63"/>
              <w:rPr>
                <w:rFonts w:eastAsiaTheme="minorEastAsia"/>
              </w:rPr>
            </w:pPr>
            <w:r>
              <w:rPr>
                <w:rFonts w:eastAsiaTheme="minorEastAsia"/>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461" w:type="pct"/>
            <w:vMerge w:val="restart"/>
            <w:tcMar>
              <w:left w:w="28" w:type="dxa"/>
              <w:right w:w="28" w:type="dxa"/>
            </w:tcMar>
            <w:vAlign w:val="center"/>
          </w:tcPr>
          <w:p>
            <w:pPr>
              <w:pStyle w:val="63"/>
              <w:rPr>
                <w:rFonts w:eastAsiaTheme="minorEastAsia"/>
              </w:rPr>
            </w:pPr>
            <w:r>
              <w:rPr>
                <w:rFonts w:eastAsiaTheme="minorEastAsia"/>
              </w:rPr>
              <w:t>《声环境质量标准》</w:t>
            </w:r>
          </w:p>
          <w:p>
            <w:pPr>
              <w:pStyle w:val="63"/>
              <w:rPr>
                <w:rFonts w:eastAsiaTheme="minorEastAsia"/>
              </w:rPr>
            </w:pPr>
            <w:r>
              <w:rPr>
                <w:rFonts w:eastAsiaTheme="minorEastAsia"/>
              </w:rPr>
              <w:t>（GB 3096-2008）</w:t>
            </w:r>
          </w:p>
        </w:tc>
        <w:tc>
          <w:tcPr>
            <w:tcW w:w="1320" w:type="pct"/>
            <w:tcMar>
              <w:left w:w="28" w:type="dxa"/>
              <w:right w:w="28" w:type="dxa"/>
            </w:tcMar>
            <w:vAlign w:val="center"/>
          </w:tcPr>
          <w:p>
            <w:pPr>
              <w:pStyle w:val="63"/>
              <w:rPr>
                <w:rFonts w:eastAsiaTheme="minorEastAsia"/>
              </w:rPr>
            </w:pPr>
            <w:r>
              <w:rPr>
                <w:rFonts w:eastAsiaTheme="minorEastAsia"/>
              </w:rPr>
              <w:t>类别</w:t>
            </w:r>
          </w:p>
        </w:tc>
        <w:tc>
          <w:tcPr>
            <w:tcW w:w="912" w:type="pct"/>
            <w:vAlign w:val="center"/>
          </w:tcPr>
          <w:p>
            <w:pPr>
              <w:pStyle w:val="63"/>
              <w:rPr>
                <w:rFonts w:eastAsiaTheme="minorEastAsia"/>
              </w:rPr>
            </w:pPr>
            <w:r>
              <w:rPr>
                <w:rFonts w:eastAsiaTheme="minorEastAsia"/>
              </w:rPr>
              <w:t>昼间</w:t>
            </w:r>
          </w:p>
        </w:tc>
        <w:tc>
          <w:tcPr>
            <w:tcW w:w="1307" w:type="pct"/>
            <w:tcMar>
              <w:left w:w="28" w:type="dxa"/>
              <w:right w:w="28" w:type="dxa"/>
            </w:tcMar>
            <w:vAlign w:val="center"/>
          </w:tcPr>
          <w:p>
            <w:pPr>
              <w:pStyle w:val="63"/>
              <w:rPr>
                <w:rFonts w:eastAsiaTheme="minorEastAsia"/>
              </w:rPr>
            </w:pPr>
            <w:r>
              <w:rPr>
                <w:rFonts w:eastAsiaTheme="minor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461" w:type="pct"/>
            <w:vMerge w:val="continue"/>
            <w:tcMar>
              <w:left w:w="28" w:type="dxa"/>
              <w:right w:w="28" w:type="dxa"/>
            </w:tcMar>
            <w:vAlign w:val="center"/>
          </w:tcPr>
          <w:p>
            <w:pPr>
              <w:pStyle w:val="63"/>
              <w:rPr>
                <w:rFonts w:eastAsiaTheme="minorEastAsia"/>
              </w:rPr>
            </w:pPr>
          </w:p>
        </w:tc>
        <w:tc>
          <w:tcPr>
            <w:tcW w:w="1320" w:type="pct"/>
            <w:tcMar>
              <w:left w:w="28" w:type="dxa"/>
              <w:right w:w="28" w:type="dxa"/>
            </w:tcMar>
            <w:vAlign w:val="center"/>
          </w:tcPr>
          <w:p>
            <w:pPr>
              <w:pStyle w:val="63"/>
              <w:rPr>
                <w:rFonts w:eastAsiaTheme="minorEastAsia"/>
              </w:rPr>
            </w:pPr>
            <w:r>
              <w:rPr>
                <w:rFonts w:eastAsiaTheme="minorEastAsia"/>
              </w:rPr>
              <w:t>2类</w:t>
            </w:r>
          </w:p>
        </w:tc>
        <w:tc>
          <w:tcPr>
            <w:tcW w:w="912" w:type="pct"/>
            <w:vAlign w:val="center"/>
          </w:tcPr>
          <w:p>
            <w:pPr>
              <w:pStyle w:val="63"/>
              <w:rPr>
                <w:rFonts w:eastAsiaTheme="minorEastAsia"/>
              </w:rPr>
            </w:pPr>
            <w:r>
              <w:rPr>
                <w:rFonts w:eastAsiaTheme="minorEastAsia"/>
              </w:rPr>
              <w:t>60dB（A）</w:t>
            </w:r>
          </w:p>
        </w:tc>
        <w:tc>
          <w:tcPr>
            <w:tcW w:w="1307" w:type="pct"/>
            <w:tcMar>
              <w:left w:w="28" w:type="dxa"/>
              <w:right w:w="28" w:type="dxa"/>
            </w:tcMar>
            <w:vAlign w:val="center"/>
          </w:tcPr>
          <w:p>
            <w:pPr>
              <w:pStyle w:val="63"/>
              <w:rPr>
                <w:rFonts w:eastAsiaTheme="minorEastAsia"/>
              </w:rPr>
            </w:pPr>
            <w:r>
              <w:rPr>
                <w:rFonts w:eastAsiaTheme="minorEastAsia"/>
              </w:rPr>
              <w:t>50dB（A）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461" w:type="pct"/>
            <w:vMerge w:val="continue"/>
            <w:tcMar>
              <w:left w:w="28" w:type="dxa"/>
              <w:right w:w="28" w:type="dxa"/>
            </w:tcMar>
            <w:vAlign w:val="center"/>
          </w:tcPr>
          <w:p>
            <w:pPr>
              <w:pStyle w:val="63"/>
              <w:rPr>
                <w:rFonts w:eastAsiaTheme="minorEastAsia"/>
              </w:rPr>
            </w:pPr>
          </w:p>
        </w:tc>
        <w:tc>
          <w:tcPr>
            <w:tcW w:w="1320" w:type="pct"/>
            <w:tcMar>
              <w:left w:w="28" w:type="dxa"/>
              <w:right w:w="28" w:type="dxa"/>
            </w:tcMar>
            <w:vAlign w:val="center"/>
          </w:tcPr>
          <w:p>
            <w:pPr>
              <w:pStyle w:val="63"/>
              <w:rPr>
                <w:rFonts w:eastAsiaTheme="minorEastAsia"/>
              </w:rPr>
            </w:pPr>
            <w:r>
              <w:rPr>
                <w:rFonts w:eastAsiaTheme="minorEastAsia"/>
              </w:rPr>
              <w:t>3类</w:t>
            </w:r>
          </w:p>
        </w:tc>
        <w:tc>
          <w:tcPr>
            <w:tcW w:w="912" w:type="pct"/>
            <w:vAlign w:val="center"/>
          </w:tcPr>
          <w:p>
            <w:pPr>
              <w:pStyle w:val="63"/>
              <w:rPr>
                <w:rFonts w:eastAsiaTheme="minorEastAsia"/>
              </w:rPr>
            </w:pPr>
            <w:r>
              <w:rPr>
                <w:rFonts w:eastAsiaTheme="minorEastAsia"/>
              </w:rPr>
              <w:t>65dB（A）</w:t>
            </w:r>
          </w:p>
        </w:tc>
        <w:tc>
          <w:tcPr>
            <w:tcW w:w="1307" w:type="pct"/>
            <w:tcMar>
              <w:left w:w="28" w:type="dxa"/>
              <w:right w:w="28" w:type="dxa"/>
            </w:tcMar>
            <w:vAlign w:val="center"/>
          </w:tcPr>
          <w:p>
            <w:pPr>
              <w:pStyle w:val="63"/>
              <w:rPr>
                <w:rFonts w:eastAsiaTheme="minorEastAsia"/>
              </w:rPr>
            </w:pPr>
            <w:r>
              <w:rPr>
                <w:rFonts w:eastAsiaTheme="minorEastAsia"/>
              </w:rPr>
              <w:t>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461" w:type="pct"/>
            <w:vMerge w:val="continue"/>
            <w:tcMar>
              <w:left w:w="28" w:type="dxa"/>
              <w:right w:w="28" w:type="dxa"/>
            </w:tcMar>
            <w:vAlign w:val="center"/>
          </w:tcPr>
          <w:p>
            <w:pPr>
              <w:pStyle w:val="63"/>
              <w:rPr>
                <w:rFonts w:eastAsiaTheme="minorEastAsia"/>
              </w:rPr>
            </w:pPr>
          </w:p>
        </w:tc>
        <w:tc>
          <w:tcPr>
            <w:tcW w:w="1320" w:type="pct"/>
            <w:tcMar>
              <w:left w:w="28" w:type="dxa"/>
              <w:right w:w="28" w:type="dxa"/>
            </w:tcMar>
            <w:vAlign w:val="center"/>
          </w:tcPr>
          <w:p>
            <w:pPr>
              <w:pStyle w:val="63"/>
              <w:rPr>
                <w:rFonts w:eastAsiaTheme="minorEastAsia"/>
              </w:rPr>
            </w:pPr>
            <w:r>
              <w:rPr>
                <w:rFonts w:eastAsiaTheme="minorEastAsia"/>
              </w:rPr>
              <w:t>4a类</w:t>
            </w:r>
          </w:p>
        </w:tc>
        <w:tc>
          <w:tcPr>
            <w:tcW w:w="912" w:type="pct"/>
            <w:vAlign w:val="center"/>
          </w:tcPr>
          <w:p>
            <w:pPr>
              <w:pStyle w:val="63"/>
              <w:rPr>
                <w:rFonts w:eastAsiaTheme="minorEastAsia"/>
              </w:rPr>
            </w:pPr>
            <w:r>
              <w:rPr>
                <w:rFonts w:eastAsiaTheme="minorEastAsia"/>
              </w:rPr>
              <w:t>70dB（A）</w:t>
            </w:r>
          </w:p>
        </w:tc>
        <w:tc>
          <w:tcPr>
            <w:tcW w:w="1307" w:type="pct"/>
            <w:tcMar>
              <w:left w:w="28" w:type="dxa"/>
              <w:right w:w="28" w:type="dxa"/>
            </w:tcMar>
            <w:vAlign w:val="center"/>
          </w:tcPr>
          <w:p>
            <w:pPr>
              <w:pStyle w:val="63"/>
              <w:rPr>
                <w:rFonts w:eastAsiaTheme="minorEastAsia"/>
              </w:rPr>
            </w:pPr>
            <w:r>
              <w:rPr>
                <w:rFonts w:eastAsiaTheme="minorEastAsia"/>
              </w:rPr>
              <w:t>55dB（A）</w:t>
            </w:r>
          </w:p>
        </w:tc>
      </w:tr>
    </w:tbl>
    <w:p>
      <w:pPr>
        <w:pStyle w:val="6"/>
        <w:rPr>
          <w:rFonts w:ascii="Times New Roman" w:hAnsi="Times New Roman" w:cs="Times New Roman"/>
        </w:rPr>
      </w:pPr>
      <w:r>
        <w:rPr>
          <w:rFonts w:ascii="Times New Roman" w:hAnsi="Times New Roman" w:cs="Times New Roman"/>
        </w:rPr>
        <w:t>表1.7-5  农用地土壤污染风险筛选值（基本项目，mg/kg）</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3"/>
        <w:gridCol w:w="1186"/>
        <w:gridCol w:w="1900"/>
        <w:gridCol w:w="1792"/>
        <w:gridCol w:w="1711"/>
        <w:gridCol w:w="1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150" w:type="pct"/>
            <w:gridSpan w:val="2"/>
            <w:vMerge w:val="restart"/>
            <w:vAlign w:val="center"/>
          </w:tcPr>
          <w:p>
            <w:pPr>
              <w:pStyle w:val="63"/>
              <w:rPr>
                <w:rFonts w:eastAsiaTheme="minorEastAsia"/>
              </w:rPr>
            </w:pPr>
            <w:r>
              <w:rPr>
                <w:rFonts w:eastAsiaTheme="minorEastAsia"/>
              </w:rPr>
              <w:t>污染项目</w:t>
            </w:r>
          </w:p>
        </w:tc>
        <w:tc>
          <w:tcPr>
            <w:tcW w:w="3850" w:type="pct"/>
            <w:gridSpan w:val="4"/>
            <w:vAlign w:val="center"/>
          </w:tcPr>
          <w:p>
            <w:pPr>
              <w:pStyle w:val="63"/>
              <w:rPr>
                <w:rFonts w:eastAsiaTheme="minorEastAsia"/>
              </w:rPr>
            </w:pPr>
            <w:r>
              <w:rPr>
                <w:rFonts w:eastAsiaTheme="minorEastAsia"/>
              </w:rPr>
              <w:t>风险筛选值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150" w:type="pct"/>
            <w:gridSpan w:val="2"/>
            <w:vMerge w:val="continue"/>
            <w:vAlign w:val="center"/>
          </w:tcPr>
          <w:p>
            <w:pPr>
              <w:pStyle w:val="63"/>
              <w:rPr>
                <w:rFonts w:eastAsiaTheme="minorEastAsia"/>
              </w:rPr>
            </w:pPr>
          </w:p>
        </w:tc>
        <w:tc>
          <w:tcPr>
            <w:tcW w:w="1055" w:type="pct"/>
            <w:vAlign w:val="center"/>
          </w:tcPr>
          <w:p>
            <w:pPr>
              <w:pStyle w:val="63"/>
              <w:rPr>
                <w:rFonts w:eastAsiaTheme="minorEastAsia"/>
              </w:rPr>
            </w:pPr>
            <w:r>
              <w:rPr>
                <w:rFonts w:eastAsiaTheme="minorEastAsia"/>
              </w:rPr>
              <w:t>pH≤5.5</w:t>
            </w:r>
          </w:p>
        </w:tc>
        <w:tc>
          <w:tcPr>
            <w:tcW w:w="995" w:type="pct"/>
            <w:vAlign w:val="center"/>
          </w:tcPr>
          <w:p>
            <w:pPr>
              <w:pStyle w:val="63"/>
              <w:rPr>
                <w:rFonts w:eastAsiaTheme="minorEastAsia"/>
              </w:rPr>
            </w:pPr>
            <w:r>
              <w:rPr>
                <w:rFonts w:eastAsiaTheme="minorEastAsia"/>
              </w:rPr>
              <w:t>5.5＜pH≤6.5</w:t>
            </w:r>
          </w:p>
        </w:tc>
        <w:tc>
          <w:tcPr>
            <w:tcW w:w="950" w:type="pct"/>
            <w:tcBorders>
              <w:right w:val="single" w:color="auto" w:sz="4" w:space="0"/>
            </w:tcBorders>
            <w:vAlign w:val="center"/>
          </w:tcPr>
          <w:p>
            <w:pPr>
              <w:pStyle w:val="63"/>
              <w:rPr>
                <w:rFonts w:eastAsiaTheme="minorEastAsia"/>
              </w:rPr>
            </w:pPr>
            <w:r>
              <w:rPr>
                <w:rFonts w:eastAsiaTheme="minorEastAsia"/>
              </w:rPr>
              <w:t>6.5＜pH≤7.5</w:t>
            </w:r>
          </w:p>
        </w:tc>
        <w:tc>
          <w:tcPr>
            <w:tcW w:w="851" w:type="pct"/>
            <w:tcBorders>
              <w:left w:val="single" w:color="auto" w:sz="4" w:space="0"/>
            </w:tcBorders>
            <w:vAlign w:val="center"/>
          </w:tcPr>
          <w:p>
            <w:pPr>
              <w:pStyle w:val="63"/>
              <w:rPr>
                <w:rFonts w:eastAsiaTheme="minorEastAsia"/>
              </w:rPr>
            </w:pPr>
            <w:r>
              <w:rPr>
                <w:rFonts w:eastAsiaTheme="minorEastAsia"/>
              </w:rPr>
              <w:t>pH＞7.5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restart"/>
            <w:tcBorders>
              <w:right w:val="single" w:color="auto" w:sz="4" w:space="0"/>
            </w:tcBorders>
            <w:vAlign w:val="center"/>
          </w:tcPr>
          <w:p>
            <w:pPr>
              <w:pStyle w:val="63"/>
              <w:rPr>
                <w:rFonts w:eastAsiaTheme="minorEastAsia"/>
              </w:rPr>
            </w:pPr>
            <w:r>
              <w:rPr>
                <w:rFonts w:eastAsiaTheme="minorEastAsia"/>
              </w:rPr>
              <w:t>镉</w:t>
            </w:r>
          </w:p>
        </w:tc>
        <w:tc>
          <w:tcPr>
            <w:tcW w:w="658" w:type="pct"/>
            <w:tcBorders>
              <w:left w:val="single" w:color="auto" w:sz="4" w:space="0"/>
            </w:tcBorders>
            <w:vAlign w:val="center"/>
          </w:tcPr>
          <w:p>
            <w:pPr>
              <w:pStyle w:val="63"/>
              <w:rPr>
                <w:rFonts w:eastAsiaTheme="minorEastAsia"/>
              </w:rPr>
            </w:pPr>
            <w:r>
              <w:rPr>
                <w:rFonts w:eastAsiaTheme="minorEastAsia"/>
              </w:rPr>
              <w:t>水田</w:t>
            </w:r>
          </w:p>
        </w:tc>
        <w:tc>
          <w:tcPr>
            <w:tcW w:w="1055" w:type="pct"/>
            <w:vAlign w:val="center"/>
          </w:tcPr>
          <w:p>
            <w:pPr>
              <w:pStyle w:val="63"/>
              <w:rPr>
                <w:rFonts w:eastAsiaTheme="minorEastAsia"/>
              </w:rPr>
            </w:pPr>
            <w:r>
              <w:rPr>
                <w:rFonts w:eastAsiaTheme="minorEastAsia"/>
              </w:rPr>
              <w:t>0.3</w:t>
            </w:r>
          </w:p>
        </w:tc>
        <w:tc>
          <w:tcPr>
            <w:tcW w:w="995" w:type="pct"/>
            <w:vAlign w:val="center"/>
          </w:tcPr>
          <w:p>
            <w:pPr>
              <w:pStyle w:val="63"/>
              <w:rPr>
                <w:rFonts w:eastAsiaTheme="minorEastAsia"/>
              </w:rPr>
            </w:pPr>
            <w:r>
              <w:rPr>
                <w:rFonts w:eastAsiaTheme="minorEastAsia"/>
              </w:rPr>
              <w:t>0.4</w:t>
            </w:r>
          </w:p>
        </w:tc>
        <w:tc>
          <w:tcPr>
            <w:tcW w:w="950" w:type="pct"/>
            <w:tcBorders>
              <w:right w:val="single" w:color="auto" w:sz="4" w:space="0"/>
            </w:tcBorders>
            <w:vAlign w:val="center"/>
          </w:tcPr>
          <w:p>
            <w:pPr>
              <w:pStyle w:val="63"/>
              <w:rPr>
                <w:rFonts w:eastAsiaTheme="minorEastAsia"/>
              </w:rPr>
            </w:pPr>
            <w:r>
              <w:rPr>
                <w:rFonts w:eastAsiaTheme="minorEastAsia"/>
              </w:rPr>
              <w:t>0.6</w:t>
            </w:r>
          </w:p>
        </w:tc>
        <w:tc>
          <w:tcPr>
            <w:tcW w:w="851" w:type="pct"/>
            <w:tcBorders>
              <w:left w:val="single" w:color="auto" w:sz="4" w:space="0"/>
            </w:tcBorders>
            <w:vAlign w:val="center"/>
          </w:tcPr>
          <w:p>
            <w:pPr>
              <w:pStyle w:val="63"/>
              <w:rPr>
                <w:rFonts w:eastAsiaTheme="minorEastAsia"/>
              </w:rPr>
            </w:pPr>
            <w:r>
              <w:rPr>
                <w:rFonts w:eastAsiaTheme="minorEastAsia"/>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continue"/>
            <w:tcBorders>
              <w:right w:val="single" w:color="auto" w:sz="4" w:space="0"/>
            </w:tcBorders>
            <w:vAlign w:val="center"/>
          </w:tcPr>
          <w:p>
            <w:pPr>
              <w:pStyle w:val="63"/>
              <w:rPr>
                <w:rFonts w:eastAsiaTheme="minorEastAsia"/>
              </w:rPr>
            </w:pPr>
          </w:p>
        </w:tc>
        <w:tc>
          <w:tcPr>
            <w:tcW w:w="658" w:type="pct"/>
            <w:tcBorders>
              <w:left w:val="single" w:color="auto" w:sz="4" w:space="0"/>
            </w:tcBorders>
            <w:vAlign w:val="center"/>
          </w:tcPr>
          <w:p>
            <w:pPr>
              <w:pStyle w:val="63"/>
              <w:rPr>
                <w:rFonts w:eastAsiaTheme="minorEastAsia"/>
              </w:rPr>
            </w:pPr>
            <w:r>
              <w:rPr>
                <w:rFonts w:eastAsiaTheme="minorEastAsia"/>
              </w:rPr>
              <w:t>其他</w:t>
            </w:r>
          </w:p>
        </w:tc>
        <w:tc>
          <w:tcPr>
            <w:tcW w:w="1055" w:type="pct"/>
            <w:vAlign w:val="center"/>
          </w:tcPr>
          <w:p>
            <w:pPr>
              <w:pStyle w:val="63"/>
              <w:rPr>
                <w:rFonts w:eastAsiaTheme="minorEastAsia"/>
              </w:rPr>
            </w:pPr>
            <w:r>
              <w:rPr>
                <w:rFonts w:eastAsiaTheme="minorEastAsia"/>
              </w:rPr>
              <w:t>0.3</w:t>
            </w:r>
          </w:p>
        </w:tc>
        <w:tc>
          <w:tcPr>
            <w:tcW w:w="995" w:type="pct"/>
            <w:vAlign w:val="center"/>
          </w:tcPr>
          <w:p>
            <w:pPr>
              <w:pStyle w:val="63"/>
              <w:rPr>
                <w:rFonts w:eastAsiaTheme="minorEastAsia"/>
              </w:rPr>
            </w:pPr>
            <w:r>
              <w:rPr>
                <w:rFonts w:eastAsiaTheme="minorEastAsia"/>
              </w:rPr>
              <w:t>0.3</w:t>
            </w:r>
          </w:p>
        </w:tc>
        <w:tc>
          <w:tcPr>
            <w:tcW w:w="950" w:type="pct"/>
            <w:tcBorders>
              <w:right w:val="single" w:color="auto" w:sz="4" w:space="0"/>
            </w:tcBorders>
            <w:vAlign w:val="center"/>
          </w:tcPr>
          <w:p>
            <w:pPr>
              <w:pStyle w:val="63"/>
              <w:rPr>
                <w:rFonts w:eastAsiaTheme="minorEastAsia"/>
              </w:rPr>
            </w:pPr>
            <w:r>
              <w:rPr>
                <w:rFonts w:eastAsiaTheme="minorEastAsia"/>
              </w:rPr>
              <w:t>0.3</w:t>
            </w:r>
          </w:p>
        </w:tc>
        <w:tc>
          <w:tcPr>
            <w:tcW w:w="851" w:type="pct"/>
            <w:tcBorders>
              <w:left w:val="single" w:color="auto" w:sz="4" w:space="0"/>
            </w:tcBorders>
            <w:vAlign w:val="center"/>
          </w:tcPr>
          <w:p>
            <w:pPr>
              <w:pStyle w:val="63"/>
              <w:rPr>
                <w:rFonts w:eastAsiaTheme="minorEastAsia"/>
              </w:rPr>
            </w:pPr>
            <w:r>
              <w:rPr>
                <w:rFonts w:eastAsiaTheme="minorEastAsia"/>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restart"/>
            <w:tcBorders>
              <w:right w:val="single" w:color="auto" w:sz="4" w:space="0"/>
            </w:tcBorders>
            <w:vAlign w:val="center"/>
          </w:tcPr>
          <w:p>
            <w:pPr>
              <w:pStyle w:val="63"/>
              <w:rPr>
                <w:rFonts w:eastAsiaTheme="minorEastAsia"/>
              </w:rPr>
            </w:pPr>
            <w:r>
              <w:rPr>
                <w:rFonts w:eastAsiaTheme="minorEastAsia"/>
              </w:rPr>
              <w:t>汞</w:t>
            </w:r>
          </w:p>
        </w:tc>
        <w:tc>
          <w:tcPr>
            <w:tcW w:w="658" w:type="pct"/>
            <w:tcBorders>
              <w:left w:val="single" w:color="auto" w:sz="4" w:space="0"/>
            </w:tcBorders>
            <w:vAlign w:val="center"/>
          </w:tcPr>
          <w:p>
            <w:pPr>
              <w:pStyle w:val="63"/>
              <w:rPr>
                <w:rFonts w:eastAsiaTheme="minorEastAsia"/>
              </w:rPr>
            </w:pPr>
            <w:r>
              <w:rPr>
                <w:rFonts w:eastAsiaTheme="minorEastAsia"/>
              </w:rPr>
              <w:t>水田</w:t>
            </w:r>
          </w:p>
        </w:tc>
        <w:tc>
          <w:tcPr>
            <w:tcW w:w="1055" w:type="pct"/>
            <w:vAlign w:val="center"/>
          </w:tcPr>
          <w:p>
            <w:pPr>
              <w:pStyle w:val="63"/>
              <w:rPr>
                <w:rFonts w:eastAsiaTheme="minorEastAsia"/>
              </w:rPr>
            </w:pPr>
            <w:r>
              <w:rPr>
                <w:rFonts w:eastAsiaTheme="minorEastAsia"/>
              </w:rPr>
              <w:t>0.5</w:t>
            </w:r>
          </w:p>
        </w:tc>
        <w:tc>
          <w:tcPr>
            <w:tcW w:w="995" w:type="pct"/>
            <w:vAlign w:val="center"/>
          </w:tcPr>
          <w:p>
            <w:pPr>
              <w:pStyle w:val="63"/>
              <w:rPr>
                <w:rFonts w:eastAsiaTheme="minorEastAsia"/>
              </w:rPr>
            </w:pPr>
            <w:r>
              <w:rPr>
                <w:rFonts w:eastAsiaTheme="minorEastAsia"/>
              </w:rPr>
              <w:t>0.5</w:t>
            </w:r>
          </w:p>
        </w:tc>
        <w:tc>
          <w:tcPr>
            <w:tcW w:w="950" w:type="pct"/>
            <w:tcBorders>
              <w:right w:val="single" w:color="auto" w:sz="4" w:space="0"/>
            </w:tcBorders>
            <w:vAlign w:val="center"/>
          </w:tcPr>
          <w:p>
            <w:pPr>
              <w:pStyle w:val="63"/>
              <w:rPr>
                <w:rFonts w:eastAsiaTheme="minorEastAsia"/>
              </w:rPr>
            </w:pPr>
            <w:r>
              <w:rPr>
                <w:rFonts w:eastAsiaTheme="minorEastAsia"/>
              </w:rPr>
              <w:t>0.6</w:t>
            </w:r>
          </w:p>
        </w:tc>
        <w:tc>
          <w:tcPr>
            <w:tcW w:w="851" w:type="pct"/>
            <w:tcBorders>
              <w:left w:val="single" w:color="auto" w:sz="4" w:space="0"/>
            </w:tcBorders>
            <w:vAlign w:val="center"/>
          </w:tcPr>
          <w:p>
            <w:pPr>
              <w:pStyle w:val="63"/>
              <w:rPr>
                <w:rFonts w:eastAsiaTheme="minorEastAsia"/>
              </w:rPr>
            </w:pPr>
            <w:r>
              <w:rPr>
                <w:rFonts w:eastAsiaTheme="minor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continue"/>
            <w:tcBorders>
              <w:right w:val="single" w:color="auto" w:sz="4" w:space="0"/>
            </w:tcBorders>
            <w:vAlign w:val="center"/>
          </w:tcPr>
          <w:p>
            <w:pPr>
              <w:pStyle w:val="63"/>
              <w:rPr>
                <w:rFonts w:eastAsiaTheme="minorEastAsia"/>
              </w:rPr>
            </w:pPr>
          </w:p>
        </w:tc>
        <w:tc>
          <w:tcPr>
            <w:tcW w:w="658" w:type="pct"/>
            <w:tcBorders>
              <w:left w:val="single" w:color="auto" w:sz="4" w:space="0"/>
            </w:tcBorders>
            <w:vAlign w:val="center"/>
          </w:tcPr>
          <w:p>
            <w:pPr>
              <w:pStyle w:val="63"/>
              <w:rPr>
                <w:rFonts w:eastAsiaTheme="minorEastAsia"/>
              </w:rPr>
            </w:pPr>
            <w:r>
              <w:rPr>
                <w:rFonts w:eastAsiaTheme="minorEastAsia"/>
              </w:rPr>
              <w:t>其他</w:t>
            </w:r>
          </w:p>
        </w:tc>
        <w:tc>
          <w:tcPr>
            <w:tcW w:w="1055" w:type="pct"/>
            <w:vAlign w:val="center"/>
          </w:tcPr>
          <w:p>
            <w:pPr>
              <w:pStyle w:val="63"/>
              <w:rPr>
                <w:rFonts w:eastAsiaTheme="minorEastAsia"/>
              </w:rPr>
            </w:pPr>
            <w:r>
              <w:rPr>
                <w:rFonts w:eastAsiaTheme="minorEastAsia"/>
              </w:rPr>
              <w:t>1.3</w:t>
            </w:r>
          </w:p>
        </w:tc>
        <w:tc>
          <w:tcPr>
            <w:tcW w:w="995" w:type="pct"/>
            <w:vAlign w:val="center"/>
          </w:tcPr>
          <w:p>
            <w:pPr>
              <w:pStyle w:val="63"/>
              <w:rPr>
                <w:rFonts w:eastAsiaTheme="minorEastAsia"/>
              </w:rPr>
            </w:pPr>
            <w:r>
              <w:rPr>
                <w:rFonts w:eastAsiaTheme="minorEastAsia"/>
              </w:rPr>
              <w:t>1.8</w:t>
            </w:r>
          </w:p>
        </w:tc>
        <w:tc>
          <w:tcPr>
            <w:tcW w:w="950" w:type="pct"/>
            <w:tcBorders>
              <w:right w:val="single" w:color="auto" w:sz="4" w:space="0"/>
            </w:tcBorders>
            <w:vAlign w:val="center"/>
          </w:tcPr>
          <w:p>
            <w:pPr>
              <w:pStyle w:val="63"/>
              <w:rPr>
                <w:rFonts w:eastAsiaTheme="minorEastAsia"/>
              </w:rPr>
            </w:pPr>
            <w:r>
              <w:rPr>
                <w:rFonts w:eastAsiaTheme="minorEastAsia"/>
              </w:rPr>
              <w:t>2.4</w:t>
            </w:r>
          </w:p>
        </w:tc>
        <w:tc>
          <w:tcPr>
            <w:tcW w:w="851" w:type="pct"/>
            <w:tcBorders>
              <w:left w:val="single" w:color="auto" w:sz="4" w:space="0"/>
            </w:tcBorders>
            <w:vAlign w:val="center"/>
          </w:tcPr>
          <w:p>
            <w:pPr>
              <w:pStyle w:val="63"/>
              <w:rPr>
                <w:rFonts w:eastAsiaTheme="minorEastAsia"/>
              </w:rPr>
            </w:pPr>
            <w:r>
              <w:rPr>
                <w:rFonts w:eastAsiaTheme="minorEastAsia"/>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restart"/>
            <w:tcBorders>
              <w:right w:val="single" w:color="auto" w:sz="4" w:space="0"/>
            </w:tcBorders>
            <w:vAlign w:val="center"/>
          </w:tcPr>
          <w:p>
            <w:pPr>
              <w:pStyle w:val="63"/>
              <w:rPr>
                <w:rFonts w:eastAsiaTheme="minorEastAsia"/>
              </w:rPr>
            </w:pPr>
            <w:r>
              <w:rPr>
                <w:rFonts w:eastAsiaTheme="minorEastAsia"/>
              </w:rPr>
              <w:t>砷</w:t>
            </w:r>
          </w:p>
        </w:tc>
        <w:tc>
          <w:tcPr>
            <w:tcW w:w="658" w:type="pct"/>
            <w:tcBorders>
              <w:left w:val="single" w:color="auto" w:sz="4" w:space="0"/>
            </w:tcBorders>
            <w:vAlign w:val="center"/>
          </w:tcPr>
          <w:p>
            <w:pPr>
              <w:pStyle w:val="63"/>
              <w:rPr>
                <w:rFonts w:eastAsiaTheme="minorEastAsia"/>
              </w:rPr>
            </w:pPr>
            <w:r>
              <w:rPr>
                <w:rFonts w:eastAsiaTheme="minorEastAsia"/>
              </w:rPr>
              <w:t>水田</w:t>
            </w:r>
          </w:p>
        </w:tc>
        <w:tc>
          <w:tcPr>
            <w:tcW w:w="1055" w:type="pct"/>
            <w:vAlign w:val="center"/>
          </w:tcPr>
          <w:p>
            <w:pPr>
              <w:pStyle w:val="63"/>
              <w:rPr>
                <w:rFonts w:eastAsiaTheme="minorEastAsia"/>
              </w:rPr>
            </w:pPr>
            <w:r>
              <w:rPr>
                <w:rFonts w:eastAsiaTheme="minorEastAsia"/>
              </w:rPr>
              <w:t>30</w:t>
            </w:r>
          </w:p>
        </w:tc>
        <w:tc>
          <w:tcPr>
            <w:tcW w:w="995" w:type="pct"/>
            <w:vAlign w:val="center"/>
          </w:tcPr>
          <w:p>
            <w:pPr>
              <w:pStyle w:val="63"/>
              <w:rPr>
                <w:rFonts w:eastAsiaTheme="minorEastAsia"/>
              </w:rPr>
            </w:pPr>
            <w:r>
              <w:rPr>
                <w:rFonts w:eastAsiaTheme="minorEastAsia"/>
              </w:rPr>
              <w:t>30</w:t>
            </w:r>
          </w:p>
        </w:tc>
        <w:tc>
          <w:tcPr>
            <w:tcW w:w="950" w:type="pct"/>
            <w:tcBorders>
              <w:right w:val="single" w:color="auto" w:sz="4" w:space="0"/>
            </w:tcBorders>
            <w:vAlign w:val="center"/>
          </w:tcPr>
          <w:p>
            <w:pPr>
              <w:pStyle w:val="63"/>
              <w:rPr>
                <w:rFonts w:eastAsiaTheme="minorEastAsia"/>
              </w:rPr>
            </w:pPr>
            <w:r>
              <w:rPr>
                <w:rFonts w:eastAsiaTheme="minorEastAsia"/>
              </w:rPr>
              <w:t>25</w:t>
            </w:r>
          </w:p>
        </w:tc>
        <w:tc>
          <w:tcPr>
            <w:tcW w:w="851" w:type="pct"/>
            <w:tcBorders>
              <w:left w:val="single" w:color="auto" w:sz="4" w:space="0"/>
            </w:tcBorders>
            <w:vAlign w:val="center"/>
          </w:tcPr>
          <w:p>
            <w:pPr>
              <w:pStyle w:val="63"/>
              <w:rPr>
                <w:rFonts w:eastAsiaTheme="minorEastAsia"/>
              </w:rPr>
            </w:pPr>
            <w:r>
              <w:rPr>
                <w:rFonts w:eastAsiaTheme="minorEastAsi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continue"/>
            <w:tcBorders>
              <w:right w:val="single" w:color="auto" w:sz="4" w:space="0"/>
            </w:tcBorders>
            <w:vAlign w:val="center"/>
          </w:tcPr>
          <w:p>
            <w:pPr>
              <w:pStyle w:val="63"/>
              <w:rPr>
                <w:rFonts w:eastAsiaTheme="minorEastAsia"/>
              </w:rPr>
            </w:pPr>
          </w:p>
        </w:tc>
        <w:tc>
          <w:tcPr>
            <w:tcW w:w="658" w:type="pct"/>
            <w:tcBorders>
              <w:left w:val="single" w:color="auto" w:sz="4" w:space="0"/>
            </w:tcBorders>
            <w:vAlign w:val="center"/>
          </w:tcPr>
          <w:p>
            <w:pPr>
              <w:pStyle w:val="63"/>
              <w:rPr>
                <w:rFonts w:eastAsiaTheme="minorEastAsia"/>
              </w:rPr>
            </w:pPr>
            <w:r>
              <w:rPr>
                <w:rFonts w:eastAsiaTheme="minorEastAsia"/>
              </w:rPr>
              <w:t>其他</w:t>
            </w:r>
          </w:p>
        </w:tc>
        <w:tc>
          <w:tcPr>
            <w:tcW w:w="1055" w:type="pct"/>
            <w:vAlign w:val="center"/>
          </w:tcPr>
          <w:p>
            <w:pPr>
              <w:pStyle w:val="63"/>
              <w:rPr>
                <w:rFonts w:eastAsiaTheme="minorEastAsia"/>
              </w:rPr>
            </w:pPr>
            <w:r>
              <w:rPr>
                <w:rFonts w:eastAsiaTheme="minorEastAsia"/>
              </w:rPr>
              <w:t>40</w:t>
            </w:r>
          </w:p>
        </w:tc>
        <w:tc>
          <w:tcPr>
            <w:tcW w:w="995" w:type="pct"/>
            <w:vAlign w:val="center"/>
          </w:tcPr>
          <w:p>
            <w:pPr>
              <w:pStyle w:val="63"/>
              <w:rPr>
                <w:rFonts w:eastAsiaTheme="minorEastAsia"/>
              </w:rPr>
            </w:pPr>
            <w:r>
              <w:rPr>
                <w:rFonts w:eastAsiaTheme="minorEastAsia"/>
              </w:rPr>
              <w:t>40</w:t>
            </w:r>
          </w:p>
        </w:tc>
        <w:tc>
          <w:tcPr>
            <w:tcW w:w="950" w:type="pct"/>
            <w:tcBorders>
              <w:right w:val="single" w:color="auto" w:sz="4" w:space="0"/>
            </w:tcBorders>
            <w:vAlign w:val="center"/>
          </w:tcPr>
          <w:p>
            <w:pPr>
              <w:pStyle w:val="63"/>
              <w:rPr>
                <w:rFonts w:eastAsiaTheme="minorEastAsia"/>
              </w:rPr>
            </w:pPr>
            <w:r>
              <w:rPr>
                <w:rFonts w:eastAsiaTheme="minorEastAsia"/>
              </w:rPr>
              <w:t>30</w:t>
            </w:r>
          </w:p>
        </w:tc>
        <w:tc>
          <w:tcPr>
            <w:tcW w:w="851" w:type="pct"/>
            <w:tcBorders>
              <w:left w:val="single" w:color="auto" w:sz="4" w:space="0"/>
            </w:tcBorders>
            <w:vAlign w:val="center"/>
          </w:tcPr>
          <w:p>
            <w:pPr>
              <w:pStyle w:val="63"/>
              <w:rPr>
                <w:rFonts w:eastAsiaTheme="minorEastAsia"/>
              </w:rPr>
            </w:pPr>
            <w:r>
              <w:rPr>
                <w:rFonts w:eastAsiaTheme="minorEastAsi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491" w:type="pct"/>
            <w:vMerge w:val="restart"/>
            <w:tcBorders>
              <w:right w:val="single" w:color="auto" w:sz="4" w:space="0"/>
            </w:tcBorders>
            <w:vAlign w:val="center"/>
          </w:tcPr>
          <w:p>
            <w:pPr>
              <w:pStyle w:val="63"/>
              <w:rPr>
                <w:rFonts w:eastAsiaTheme="minorEastAsia"/>
              </w:rPr>
            </w:pPr>
            <w:r>
              <w:rPr>
                <w:rFonts w:eastAsiaTheme="minorEastAsia"/>
              </w:rPr>
              <w:t>铅</w:t>
            </w:r>
          </w:p>
        </w:tc>
        <w:tc>
          <w:tcPr>
            <w:tcW w:w="658" w:type="pct"/>
            <w:tcBorders>
              <w:left w:val="single" w:color="auto" w:sz="4" w:space="0"/>
            </w:tcBorders>
            <w:vAlign w:val="center"/>
          </w:tcPr>
          <w:p>
            <w:pPr>
              <w:pStyle w:val="63"/>
              <w:rPr>
                <w:rFonts w:eastAsiaTheme="minorEastAsia"/>
              </w:rPr>
            </w:pPr>
            <w:r>
              <w:rPr>
                <w:rFonts w:eastAsiaTheme="minorEastAsia"/>
              </w:rPr>
              <w:t>水田</w:t>
            </w:r>
          </w:p>
        </w:tc>
        <w:tc>
          <w:tcPr>
            <w:tcW w:w="1055" w:type="pct"/>
            <w:vAlign w:val="center"/>
          </w:tcPr>
          <w:p>
            <w:pPr>
              <w:pStyle w:val="63"/>
              <w:rPr>
                <w:rFonts w:eastAsiaTheme="minorEastAsia"/>
              </w:rPr>
            </w:pPr>
            <w:r>
              <w:rPr>
                <w:rFonts w:eastAsiaTheme="minorEastAsia"/>
              </w:rPr>
              <w:t>80</w:t>
            </w:r>
          </w:p>
        </w:tc>
        <w:tc>
          <w:tcPr>
            <w:tcW w:w="995" w:type="pct"/>
            <w:vAlign w:val="center"/>
          </w:tcPr>
          <w:p>
            <w:pPr>
              <w:pStyle w:val="63"/>
              <w:rPr>
                <w:rFonts w:eastAsiaTheme="minorEastAsia"/>
              </w:rPr>
            </w:pPr>
            <w:r>
              <w:rPr>
                <w:rFonts w:eastAsiaTheme="minorEastAsia"/>
              </w:rPr>
              <w:t>100</w:t>
            </w:r>
          </w:p>
        </w:tc>
        <w:tc>
          <w:tcPr>
            <w:tcW w:w="950" w:type="pct"/>
            <w:tcBorders>
              <w:right w:val="single" w:color="auto" w:sz="4" w:space="0"/>
            </w:tcBorders>
            <w:vAlign w:val="center"/>
          </w:tcPr>
          <w:p>
            <w:pPr>
              <w:pStyle w:val="63"/>
              <w:rPr>
                <w:rFonts w:eastAsiaTheme="minorEastAsia"/>
              </w:rPr>
            </w:pPr>
            <w:r>
              <w:rPr>
                <w:rFonts w:eastAsiaTheme="minorEastAsia"/>
              </w:rPr>
              <w:t>140</w:t>
            </w:r>
          </w:p>
        </w:tc>
        <w:tc>
          <w:tcPr>
            <w:tcW w:w="851" w:type="pct"/>
            <w:tcBorders>
              <w:left w:val="single" w:color="auto" w:sz="4" w:space="0"/>
            </w:tcBorders>
            <w:vAlign w:val="center"/>
          </w:tcPr>
          <w:p>
            <w:pPr>
              <w:pStyle w:val="63"/>
              <w:rPr>
                <w:rFonts w:eastAsiaTheme="minorEastAsia"/>
              </w:rPr>
            </w:pPr>
            <w:r>
              <w:rPr>
                <w:rFonts w:eastAsiaTheme="minorEastAsia"/>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491" w:type="pct"/>
            <w:vMerge w:val="continue"/>
            <w:tcBorders>
              <w:right w:val="single" w:color="auto" w:sz="4" w:space="0"/>
            </w:tcBorders>
            <w:vAlign w:val="center"/>
          </w:tcPr>
          <w:p>
            <w:pPr>
              <w:pStyle w:val="63"/>
              <w:rPr>
                <w:rFonts w:eastAsiaTheme="minorEastAsia"/>
              </w:rPr>
            </w:pPr>
          </w:p>
        </w:tc>
        <w:tc>
          <w:tcPr>
            <w:tcW w:w="658" w:type="pct"/>
            <w:tcBorders>
              <w:left w:val="single" w:color="auto" w:sz="4" w:space="0"/>
            </w:tcBorders>
            <w:vAlign w:val="center"/>
          </w:tcPr>
          <w:p>
            <w:pPr>
              <w:pStyle w:val="63"/>
              <w:rPr>
                <w:rFonts w:eastAsiaTheme="minorEastAsia"/>
              </w:rPr>
            </w:pPr>
            <w:r>
              <w:rPr>
                <w:rFonts w:eastAsiaTheme="minorEastAsia"/>
              </w:rPr>
              <w:t>其他</w:t>
            </w:r>
          </w:p>
        </w:tc>
        <w:tc>
          <w:tcPr>
            <w:tcW w:w="1055" w:type="pct"/>
            <w:vAlign w:val="center"/>
          </w:tcPr>
          <w:p>
            <w:pPr>
              <w:pStyle w:val="63"/>
              <w:rPr>
                <w:rFonts w:eastAsiaTheme="minorEastAsia"/>
              </w:rPr>
            </w:pPr>
            <w:r>
              <w:rPr>
                <w:rFonts w:eastAsiaTheme="minorEastAsia"/>
              </w:rPr>
              <w:t>70</w:t>
            </w:r>
          </w:p>
        </w:tc>
        <w:tc>
          <w:tcPr>
            <w:tcW w:w="995" w:type="pct"/>
            <w:vAlign w:val="center"/>
          </w:tcPr>
          <w:p>
            <w:pPr>
              <w:pStyle w:val="63"/>
              <w:rPr>
                <w:rFonts w:eastAsiaTheme="minorEastAsia"/>
              </w:rPr>
            </w:pPr>
            <w:r>
              <w:rPr>
                <w:rFonts w:eastAsiaTheme="minorEastAsia"/>
              </w:rPr>
              <w:t>90</w:t>
            </w:r>
          </w:p>
        </w:tc>
        <w:tc>
          <w:tcPr>
            <w:tcW w:w="950" w:type="pct"/>
            <w:tcBorders>
              <w:right w:val="single" w:color="auto" w:sz="4" w:space="0"/>
            </w:tcBorders>
            <w:vAlign w:val="center"/>
          </w:tcPr>
          <w:p>
            <w:pPr>
              <w:pStyle w:val="63"/>
              <w:rPr>
                <w:rFonts w:eastAsiaTheme="minorEastAsia"/>
              </w:rPr>
            </w:pPr>
            <w:r>
              <w:rPr>
                <w:rFonts w:eastAsiaTheme="minorEastAsia"/>
              </w:rPr>
              <w:t>120</w:t>
            </w:r>
          </w:p>
        </w:tc>
        <w:tc>
          <w:tcPr>
            <w:tcW w:w="851" w:type="pct"/>
            <w:tcBorders>
              <w:left w:val="single" w:color="auto" w:sz="4" w:space="0"/>
            </w:tcBorders>
            <w:vAlign w:val="center"/>
          </w:tcPr>
          <w:p>
            <w:pPr>
              <w:pStyle w:val="63"/>
              <w:rPr>
                <w:rFonts w:eastAsiaTheme="minorEastAsia"/>
              </w:rPr>
            </w:pPr>
            <w:r>
              <w:rPr>
                <w:rFonts w:eastAsiaTheme="minorEastAsia"/>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restart"/>
            <w:tcBorders>
              <w:right w:val="single" w:color="auto" w:sz="4" w:space="0"/>
            </w:tcBorders>
            <w:vAlign w:val="center"/>
          </w:tcPr>
          <w:p>
            <w:pPr>
              <w:pStyle w:val="63"/>
              <w:rPr>
                <w:rFonts w:eastAsiaTheme="minorEastAsia"/>
              </w:rPr>
            </w:pPr>
            <w:r>
              <w:rPr>
                <w:rFonts w:eastAsiaTheme="minorEastAsia"/>
              </w:rPr>
              <w:t>铬</w:t>
            </w:r>
          </w:p>
        </w:tc>
        <w:tc>
          <w:tcPr>
            <w:tcW w:w="658" w:type="pct"/>
            <w:tcBorders>
              <w:left w:val="single" w:color="auto" w:sz="4" w:space="0"/>
            </w:tcBorders>
            <w:vAlign w:val="center"/>
          </w:tcPr>
          <w:p>
            <w:pPr>
              <w:pStyle w:val="63"/>
              <w:rPr>
                <w:rFonts w:eastAsiaTheme="minorEastAsia"/>
              </w:rPr>
            </w:pPr>
            <w:r>
              <w:rPr>
                <w:rFonts w:eastAsiaTheme="minorEastAsia"/>
              </w:rPr>
              <w:t>水田</w:t>
            </w:r>
          </w:p>
        </w:tc>
        <w:tc>
          <w:tcPr>
            <w:tcW w:w="1055" w:type="pct"/>
            <w:vAlign w:val="center"/>
          </w:tcPr>
          <w:p>
            <w:pPr>
              <w:pStyle w:val="63"/>
              <w:rPr>
                <w:rFonts w:eastAsiaTheme="minorEastAsia"/>
              </w:rPr>
            </w:pPr>
            <w:r>
              <w:rPr>
                <w:rFonts w:eastAsiaTheme="minorEastAsia"/>
              </w:rPr>
              <w:t>250</w:t>
            </w:r>
          </w:p>
        </w:tc>
        <w:tc>
          <w:tcPr>
            <w:tcW w:w="995" w:type="pct"/>
            <w:vAlign w:val="center"/>
          </w:tcPr>
          <w:p>
            <w:pPr>
              <w:pStyle w:val="63"/>
              <w:rPr>
                <w:rFonts w:eastAsiaTheme="minorEastAsia"/>
              </w:rPr>
            </w:pPr>
            <w:r>
              <w:rPr>
                <w:rFonts w:eastAsiaTheme="minorEastAsia"/>
              </w:rPr>
              <w:t>250</w:t>
            </w:r>
          </w:p>
        </w:tc>
        <w:tc>
          <w:tcPr>
            <w:tcW w:w="950" w:type="pct"/>
            <w:tcBorders>
              <w:right w:val="single" w:color="auto" w:sz="4" w:space="0"/>
            </w:tcBorders>
            <w:vAlign w:val="center"/>
          </w:tcPr>
          <w:p>
            <w:pPr>
              <w:pStyle w:val="63"/>
              <w:rPr>
                <w:rFonts w:eastAsiaTheme="minorEastAsia"/>
              </w:rPr>
            </w:pPr>
            <w:r>
              <w:rPr>
                <w:rFonts w:eastAsiaTheme="minorEastAsia"/>
              </w:rPr>
              <w:t>300</w:t>
            </w:r>
          </w:p>
        </w:tc>
        <w:tc>
          <w:tcPr>
            <w:tcW w:w="851" w:type="pct"/>
            <w:tcBorders>
              <w:left w:val="single" w:color="auto" w:sz="4" w:space="0"/>
            </w:tcBorders>
            <w:vAlign w:val="center"/>
          </w:tcPr>
          <w:p>
            <w:pPr>
              <w:pStyle w:val="63"/>
              <w:rPr>
                <w:rFonts w:eastAsiaTheme="minorEastAsia"/>
              </w:rPr>
            </w:pPr>
            <w:r>
              <w:rPr>
                <w:rFonts w:eastAsiaTheme="minorEastAsia"/>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continue"/>
            <w:tcBorders>
              <w:right w:val="single" w:color="auto" w:sz="4" w:space="0"/>
            </w:tcBorders>
            <w:vAlign w:val="center"/>
          </w:tcPr>
          <w:p>
            <w:pPr>
              <w:pStyle w:val="63"/>
              <w:rPr>
                <w:rFonts w:eastAsiaTheme="minorEastAsia"/>
              </w:rPr>
            </w:pPr>
          </w:p>
        </w:tc>
        <w:tc>
          <w:tcPr>
            <w:tcW w:w="658" w:type="pct"/>
            <w:tcBorders>
              <w:left w:val="single" w:color="auto" w:sz="4" w:space="0"/>
            </w:tcBorders>
            <w:vAlign w:val="center"/>
          </w:tcPr>
          <w:p>
            <w:pPr>
              <w:pStyle w:val="63"/>
              <w:rPr>
                <w:rFonts w:eastAsiaTheme="minorEastAsia"/>
              </w:rPr>
            </w:pPr>
            <w:r>
              <w:rPr>
                <w:rFonts w:eastAsiaTheme="minorEastAsia"/>
              </w:rPr>
              <w:t>其他</w:t>
            </w:r>
          </w:p>
        </w:tc>
        <w:tc>
          <w:tcPr>
            <w:tcW w:w="1055" w:type="pct"/>
            <w:vAlign w:val="center"/>
          </w:tcPr>
          <w:p>
            <w:pPr>
              <w:pStyle w:val="63"/>
              <w:rPr>
                <w:rFonts w:eastAsiaTheme="minorEastAsia"/>
              </w:rPr>
            </w:pPr>
            <w:r>
              <w:rPr>
                <w:rFonts w:eastAsiaTheme="minorEastAsia"/>
              </w:rPr>
              <w:t>150</w:t>
            </w:r>
          </w:p>
        </w:tc>
        <w:tc>
          <w:tcPr>
            <w:tcW w:w="995" w:type="pct"/>
            <w:vAlign w:val="center"/>
          </w:tcPr>
          <w:p>
            <w:pPr>
              <w:pStyle w:val="63"/>
              <w:rPr>
                <w:rFonts w:eastAsiaTheme="minorEastAsia"/>
              </w:rPr>
            </w:pPr>
            <w:r>
              <w:rPr>
                <w:rFonts w:eastAsiaTheme="minorEastAsia"/>
              </w:rPr>
              <w:t>150</w:t>
            </w:r>
          </w:p>
        </w:tc>
        <w:tc>
          <w:tcPr>
            <w:tcW w:w="950" w:type="pct"/>
            <w:tcBorders>
              <w:right w:val="single" w:color="auto" w:sz="4" w:space="0"/>
            </w:tcBorders>
            <w:vAlign w:val="center"/>
          </w:tcPr>
          <w:p>
            <w:pPr>
              <w:pStyle w:val="63"/>
              <w:rPr>
                <w:rFonts w:eastAsiaTheme="minorEastAsia"/>
              </w:rPr>
            </w:pPr>
            <w:r>
              <w:rPr>
                <w:rFonts w:eastAsiaTheme="minorEastAsia"/>
              </w:rPr>
              <w:t>200</w:t>
            </w:r>
          </w:p>
        </w:tc>
        <w:tc>
          <w:tcPr>
            <w:tcW w:w="851" w:type="pct"/>
            <w:tcBorders>
              <w:left w:val="single" w:color="auto" w:sz="4" w:space="0"/>
            </w:tcBorders>
            <w:vAlign w:val="center"/>
          </w:tcPr>
          <w:p>
            <w:pPr>
              <w:pStyle w:val="63"/>
              <w:rPr>
                <w:rFonts w:eastAsiaTheme="minorEastAsia"/>
              </w:rPr>
            </w:pPr>
            <w:r>
              <w:rPr>
                <w:rFonts w:eastAsiaTheme="minorEastAsia"/>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restart"/>
            <w:tcBorders>
              <w:right w:val="single" w:color="auto" w:sz="4" w:space="0"/>
            </w:tcBorders>
            <w:vAlign w:val="center"/>
          </w:tcPr>
          <w:p>
            <w:pPr>
              <w:pStyle w:val="63"/>
              <w:rPr>
                <w:rFonts w:eastAsiaTheme="minorEastAsia"/>
              </w:rPr>
            </w:pPr>
            <w:r>
              <w:rPr>
                <w:rFonts w:eastAsiaTheme="minorEastAsia"/>
              </w:rPr>
              <w:t>铜</w:t>
            </w:r>
          </w:p>
        </w:tc>
        <w:tc>
          <w:tcPr>
            <w:tcW w:w="658" w:type="pct"/>
            <w:tcBorders>
              <w:left w:val="single" w:color="auto" w:sz="4" w:space="0"/>
            </w:tcBorders>
            <w:vAlign w:val="center"/>
          </w:tcPr>
          <w:p>
            <w:pPr>
              <w:pStyle w:val="63"/>
              <w:rPr>
                <w:rFonts w:eastAsiaTheme="minorEastAsia"/>
              </w:rPr>
            </w:pPr>
            <w:r>
              <w:rPr>
                <w:rFonts w:eastAsiaTheme="minorEastAsia"/>
              </w:rPr>
              <w:t>水田</w:t>
            </w:r>
          </w:p>
        </w:tc>
        <w:tc>
          <w:tcPr>
            <w:tcW w:w="1055" w:type="pct"/>
            <w:vAlign w:val="center"/>
          </w:tcPr>
          <w:p>
            <w:pPr>
              <w:pStyle w:val="63"/>
              <w:rPr>
                <w:rFonts w:eastAsiaTheme="minorEastAsia"/>
              </w:rPr>
            </w:pPr>
            <w:r>
              <w:rPr>
                <w:rFonts w:eastAsiaTheme="minorEastAsia"/>
              </w:rPr>
              <w:t>150</w:t>
            </w:r>
          </w:p>
        </w:tc>
        <w:tc>
          <w:tcPr>
            <w:tcW w:w="995" w:type="pct"/>
            <w:vAlign w:val="center"/>
          </w:tcPr>
          <w:p>
            <w:pPr>
              <w:pStyle w:val="63"/>
              <w:rPr>
                <w:rFonts w:eastAsiaTheme="minorEastAsia"/>
              </w:rPr>
            </w:pPr>
            <w:r>
              <w:rPr>
                <w:rFonts w:eastAsiaTheme="minorEastAsia"/>
              </w:rPr>
              <w:t>150</w:t>
            </w:r>
          </w:p>
        </w:tc>
        <w:tc>
          <w:tcPr>
            <w:tcW w:w="950" w:type="pct"/>
            <w:tcBorders>
              <w:right w:val="single" w:color="auto" w:sz="4" w:space="0"/>
            </w:tcBorders>
            <w:vAlign w:val="center"/>
          </w:tcPr>
          <w:p>
            <w:pPr>
              <w:pStyle w:val="63"/>
              <w:rPr>
                <w:rFonts w:eastAsiaTheme="minorEastAsia"/>
              </w:rPr>
            </w:pPr>
            <w:r>
              <w:rPr>
                <w:rFonts w:eastAsiaTheme="minorEastAsia"/>
              </w:rPr>
              <w:t>200</w:t>
            </w:r>
          </w:p>
        </w:tc>
        <w:tc>
          <w:tcPr>
            <w:tcW w:w="851" w:type="pct"/>
            <w:tcBorders>
              <w:left w:val="single" w:color="auto" w:sz="4" w:space="0"/>
            </w:tcBorders>
            <w:vAlign w:val="center"/>
          </w:tcPr>
          <w:p>
            <w:pPr>
              <w:pStyle w:val="63"/>
              <w:rPr>
                <w:rFonts w:eastAsiaTheme="minorEastAsia"/>
              </w:rPr>
            </w:pPr>
            <w:r>
              <w:rPr>
                <w:rFonts w:eastAsiaTheme="minorEastAsi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91" w:type="pct"/>
            <w:vMerge w:val="continue"/>
            <w:tcBorders>
              <w:right w:val="single" w:color="auto" w:sz="4" w:space="0"/>
            </w:tcBorders>
            <w:vAlign w:val="center"/>
          </w:tcPr>
          <w:p>
            <w:pPr>
              <w:pStyle w:val="63"/>
              <w:rPr>
                <w:rFonts w:eastAsiaTheme="minorEastAsia"/>
              </w:rPr>
            </w:pPr>
          </w:p>
        </w:tc>
        <w:tc>
          <w:tcPr>
            <w:tcW w:w="658" w:type="pct"/>
            <w:tcBorders>
              <w:left w:val="single" w:color="auto" w:sz="4" w:space="0"/>
            </w:tcBorders>
            <w:vAlign w:val="center"/>
          </w:tcPr>
          <w:p>
            <w:pPr>
              <w:pStyle w:val="63"/>
              <w:rPr>
                <w:rFonts w:eastAsiaTheme="minorEastAsia"/>
              </w:rPr>
            </w:pPr>
            <w:r>
              <w:rPr>
                <w:rFonts w:eastAsiaTheme="minorEastAsia"/>
              </w:rPr>
              <w:t>其他</w:t>
            </w:r>
          </w:p>
        </w:tc>
        <w:tc>
          <w:tcPr>
            <w:tcW w:w="1055" w:type="pct"/>
            <w:vAlign w:val="center"/>
          </w:tcPr>
          <w:p>
            <w:pPr>
              <w:pStyle w:val="63"/>
              <w:rPr>
                <w:rFonts w:eastAsiaTheme="minorEastAsia"/>
              </w:rPr>
            </w:pPr>
            <w:r>
              <w:rPr>
                <w:rFonts w:eastAsiaTheme="minorEastAsia"/>
              </w:rPr>
              <w:t>50</w:t>
            </w:r>
          </w:p>
        </w:tc>
        <w:tc>
          <w:tcPr>
            <w:tcW w:w="995" w:type="pct"/>
            <w:vAlign w:val="center"/>
          </w:tcPr>
          <w:p>
            <w:pPr>
              <w:pStyle w:val="63"/>
              <w:rPr>
                <w:rFonts w:eastAsiaTheme="minorEastAsia"/>
              </w:rPr>
            </w:pPr>
            <w:r>
              <w:rPr>
                <w:rFonts w:eastAsiaTheme="minorEastAsia"/>
              </w:rPr>
              <w:t>50</w:t>
            </w:r>
          </w:p>
        </w:tc>
        <w:tc>
          <w:tcPr>
            <w:tcW w:w="950" w:type="pct"/>
            <w:tcBorders>
              <w:right w:val="single" w:color="auto" w:sz="4" w:space="0"/>
            </w:tcBorders>
            <w:vAlign w:val="center"/>
          </w:tcPr>
          <w:p>
            <w:pPr>
              <w:pStyle w:val="63"/>
              <w:rPr>
                <w:rFonts w:eastAsiaTheme="minorEastAsia"/>
              </w:rPr>
            </w:pPr>
            <w:r>
              <w:rPr>
                <w:rFonts w:eastAsiaTheme="minorEastAsia"/>
              </w:rPr>
              <w:t>100</w:t>
            </w:r>
          </w:p>
        </w:tc>
        <w:tc>
          <w:tcPr>
            <w:tcW w:w="851" w:type="pct"/>
            <w:tcBorders>
              <w:left w:val="single" w:color="auto" w:sz="4" w:space="0"/>
            </w:tcBorders>
            <w:vAlign w:val="center"/>
          </w:tcPr>
          <w:p>
            <w:pPr>
              <w:pStyle w:val="63"/>
              <w:rPr>
                <w:rFonts w:eastAsiaTheme="minorEastAsia"/>
              </w:rPr>
            </w:pPr>
            <w:r>
              <w:rPr>
                <w:rFonts w:eastAsiaTheme="minor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150" w:type="pct"/>
            <w:gridSpan w:val="2"/>
            <w:vAlign w:val="center"/>
          </w:tcPr>
          <w:p>
            <w:pPr>
              <w:pStyle w:val="63"/>
              <w:rPr>
                <w:rFonts w:eastAsiaTheme="minorEastAsia"/>
              </w:rPr>
            </w:pPr>
            <w:r>
              <w:rPr>
                <w:rFonts w:eastAsiaTheme="minorEastAsia"/>
              </w:rPr>
              <w:t>镍</w:t>
            </w:r>
          </w:p>
        </w:tc>
        <w:tc>
          <w:tcPr>
            <w:tcW w:w="1055" w:type="pct"/>
            <w:vAlign w:val="center"/>
          </w:tcPr>
          <w:p>
            <w:pPr>
              <w:pStyle w:val="63"/>
              <w:rPr>
                <w:rFonts w:eastAsiaTheme="minorEastAsia"/>
              </w:rPr>
            </w:pPr>
            <w:r>
              <w:rPr>
                <w:rFonts w:eastAsiaTheme="minorEastAsia"/>
              </w:rPr>
              <w:t>60</w:t>
            </w:r>
          </w:p>
        </w:tc>
        <w:tc>
          <w:tcPr>
            <w:tcW w:w="995" w:type="pct"/>
            <w:vAlign w:val="center"/>
          </w:tcPr>
          <w:p>
            <w:pPr>
              <w:pStyle w:val="63"/>
              <w:rPr>
                <w:rFonts w:eastAsiaTheme="minorEastAsia"/>
              </w:rPr>
            </w:pPr>
            <w:r>
              <w:rPr>
                <w:rFonts w:eastAsiaTheme="minorEastAsia"/>
              </w:rPr>
              <w:t>70</w:t>
            </w:r>
          </w:p>
        </w:tc>
        <w:tc>
          <w:tcPr>
            <w:tcW w:w="950" w:type="pct"/>
            <w:tcBorders>
              <w:right w:val="single" w:color="auto" w:sz="4" w:space="0"/>
            </w:tcBorders>
            <w:vAlign w:val="center"/>
          </w:tcPr>
          <w:p>
            <w:pPr>
              <w:pStyle w:val="63"/>
              <w:rPr>
                <w:rFonts w:eastAsiaTheme="minorEastAsia"/>
              </w:rPr>
            </w:pPr>
            <w:r>
              <w:rPr>
                <w:rFonts w:eastAsiaTheme="minorEastAsia"/>
              </w:rPr>
              <w:t>100</w:t>
            </w:r>
          </w:p>
        </w:tc>
        <w:tc>
          <w:tcPr>
            <w:tcW w:w="851" w:type="pct"/>
            <w:tcBorders>
              <w:left w:val="single" w:color="auto" w:sz="4" w:space="0"/>
            </w:tcBorders>
            <w:vAlign w:val="center"/>
          </w:tcPr>
          <w:p>
            <w:pPr>
              <w:pStyle w:val="63"/>
              <w:rPr>
                <w:rFonts w:eastAsiaTheme="minorEastAsia"/>
              </w:rPr>
            </w:pPr>
            <w:r>
              <w:rPr>
                <w:rFonts w:eastAsiaTheme="minorEastAsia"/>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150" w:type="pct"/>
            <w:gridSpan w:val="2"/>
            <w:vAlign w:val="center"/>
          </w:tcPr>
          <w:p>
            <w:pPr>
              <w:pStyle w:val="63"/>
              <w:rPr>
                <w:rFonts w:eastAsiaTheme="minorEastAsia"/>
              </w:rPr>
            </w:pPr>
            <w:r>
              <w:rPr>
                <w:rFonts w:eastAsiaTheme="minorEastAsia"/>
              </w:rPr>
              <w:t>锌</w:t>
            </w:r>
          </w:p>
        </w:tc>
        <w:tc>
          <w:tcPr>
            <w:tcW w:w="1055" w:type="pct"/>
            <w:vAlign w:val="center"/>
          </w:tcPr>
          <w:p>
            <w:pPr>
              <w:pStyle w:val="63"/>
              <w:rPr>
                <w:rFonts w:eastAsiaTheme="minorEastAsia"/>
              </w:rPr>
            </w:pPr>
            <w:r>
              <w:rPr>
                <w:rFonts w:eastAsiaTheme="minorEastAsia"/>
              </w:rPr>
              <w:t>200</w:t>
            </w:r>
          </w:p>
        </w:tc>
        <w:tc>
          <w:tcPr>
            <w:tcW w:w="995" w:type="pct"/>
            <w:vAlign w:val="center"/>
          </w:tcPr>
          <w:p>
            <w:pPr>
              <w:pStyle w:val="63"/>
              <w:rPr>
                <w:rFonts w:eastAsiaTheme="minorEastAsia"/>
              </w:rPr>
            </w:pPr>
            <w:r>
              <w:rPr>
                <w:rFonts w:eastAsiaTheme="minorEastAsia"/>
              </w:rPr>
              <w:t>200</w:t>
            </w:r>
          </w:p>
        </w:tc>
        <w:tc>
          <w:tcPr>
            <w:tcW w:w="950" w:type="pct"/>
            <w:tcBorders>
              <w:right w:val="single" w:color="auto" w:sz="4" w:space="0"/>
            </w:tcBorders>
            <w:vAlign w:val="center"/>
          </w:tcPr>
          <w:p>
            <w:pPr>
              <w:pStyle w:val="63"/>
              <w:rPr>
                <w:rFonts w:eastAsiaTheme="minorEastAsia"/>
              </w:rPr>
            </w:pPr>
            <w:r>
              <w:rPr>
                <w:rFonts w:eastAsiaTheme="minorEastAsia"/>
              </w:rPr>
              <w:t>250</w:t>
            </w:r>
          </w:p>
        </w:tc>
        <w:tc>
          <w:tcPr>
            <w:tcW w:w="851" w:type="pct"/>
            <w:tcBorders>
              <w:left w:val="single" w:color="auto" w:sz="4" w:space="0"/>
            </w:tcBorders>
            <w:vAlign w:val="center"/>
          </w:tcPr>
          <w:p>
            <w:pPr>
              <w:pStyle w:val="63"/>
              <w:rPr>
                <w:rFonts w:eastAsiaTheme="minorEastAsia"/>
              </w:rPr>
            </w:pPr>
            <w:r>
              <w:rPr>
                <w:rFonts w:eastAsiaTheme="minorEastAsia"/>
              </w:rPr>
              <w:t>300</w:t>
            </w:r>
          </w:p>
        </w:tc>
      </w:tr>
    </w:tbl>
    <w:p>
      <w:pPr>
        <w:pStyle w:val="6"/>
        <w:rPr>
          <w:rFonts w:ascii="Times New Roman" w:hAnsi="Times New Roman" w:cs="Times New Roman"/>
        </w:rPr>
      </w:pPr>
      <w:r>
        <w:rPr>
          <w:rFonts w:ascii="Times New Roman" w:hAnsi="Times New Roman" w:cs="Times New Roman"/>
        </w:rPr>
        <w:t>表1.7-6  建设用地土壤污染风险筛选值和管控值（基本项目，mg/kg）</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6"/>
        <w:gridCol w:w="2510"/>
        <w:gridCol w:w="1390"/>
        <w:gridCol w:w="1480"/>
        <w:gridCol w:w="1523"/>
        <w:gridCol w:w="15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Merge w:val="restart"/>
            <w:vAlign w:val="center"/>
          </w:tcPr>
          <w:p>
            <w:pPr>
              <w:pStyle w:val="63"/>
              <w:rPr>
                <w:rFonts w:eastAsiaTheme="minorEastAsia"/>
              </w:rPr>
            </w:pPr>
            <w:r>
              <w:rPr>
                <w:rFonts w:eastAsiaTheme="minorEastAsia"/>
              </w:rPr>
              <w:t>序号</w:t>
            </w:r>
          </w:p>
        </w:tc>
        <w:tc>
          <w:tcPr>
            <w:tcW w:w="1394" w:type="pct"/>
            <w:vMerge w:val="restart"/>
            <w:vAlign w:val="center"/>
          </w:tcPr>
          <w:p>
            <w:pPr>
              <w:pStyle w:val="63"/>
              <w:rPr>
                <w:rFonts w:eastAsiaTheme="minorEastAsia"/>
              </w:rPr>
            </w:pPr>
            <w:r>
              <w:rPr>
                <w:rFonts w:eastAsiaTheme="minorEastAsia"/>
              </w:rPr>
              <w:t>污染物名称</w:t>
            </w:r>
          </w:p>
        </w:tc>
        <w:tc>
          <w:tcPr>
            <w:tcW w:w="1594" w:type="pct"/>
            <w:gridSpan w:val="2"/>
            <w:vAlign w:val="center"/>
          </w:tcPr>
          <w:p>
            <w:pPr>
              <w:pStyle w:val="63"/>
              <w:rPr>
                <w:rFonts w:eastAsiaTheme="minorEastAsia"/>
              </w:rPr>
            </w:pPr>
            <w:r>
              <w:rPr>
                <w:rFonts w:eastAsiaTheme="minorEastAsia"/>
              </w:rPr>
              <w:t>筛选值</w:t>
            </w:r>
          </w:p>
        </w:tc>
        <w:tc>
          <w:tcPr>
            <w:tcW w:w="1703" w:type="pct"/>
            <w:gridSpan w:val="2"/>
            <w:vAlign w:val="center"/>
          </w:tcPr>
          <w:p>
            <w:pPr>
              <w:pStyle w:val="63"/>
              <w:rPr>
                <w:rFonts w:eastAsiaTheme="minorEastAsia"/>
              </w:rPr>
            </w:pPr>
            <w:r>
              <w:rPr>
                <w:rFonts w:eastAsiaTheme="minorEastAsia"/>
              </w:rPr>
              <w:t>管控值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Merge w:val="continue"/>
            <w:vAlign w:val="center"/>
          </w:tcPr>
          <w:p>
            <w:pPr>
              <w:pStyle w:val="63"/>
              <w:rPr>
                <w:rFonts w:eastAsiaTheme="minorEastAsia"/>
              </w:rPr>
            </w:pPr>
          </w:p>
        </w:tc>
        <w:tc>
          <w:tcPr>
            <w:tcW w:w="1394" w:type="pct"/>
            <w:vMerge w:val="continue"/>
            <w:vAlign w:val="center"/>
          </w:tcPr>
          <w:p>
            <w:pPr>
              <w:pStyle w:val="63"/>
              <w:rPr>
                <w:rFonts w:eastAsiaTheme="minorEastAsia"/>
              </w:rPr>
            </w:pPr>
          </w:p>
        </w:tc>
        <w:tc>
          <w:tcPr>
            <w:tcW w:w="772" w:type="pct"/>
            <w:vAlign w:val="center"/>
          </w:tcPr>
          <w:p>
            <w:pPr>
              <w:pStyle w:val="63"/>
              <w:rPr>
                <w:rFonts w:eastAsiaTheme="minorEastAsia"/>
              </w:rPr>
            </w:pPr>
            <w:r>
              <w:rPr>
                <w:rFonts w:eastAsiaTheme="minorEastAsia"/>
              </w:rPr>
              <w:t>第一类用地</w:t>
            </w:r>
          </w:p>
        </w:tc>
        <w:tc>
          <w:tcPr>
            <w:tcW w:w="822" w:type="pct"/>
            <w:vAlign w:val="center"/>
          </w:tcPr>
          <w:p>
            <w:pPr>
              <w:pStyle w:val="63"/>
              <w:rPr>
                <w:rFonts w:eastAsiaTheme="minorEastAsia"/>
              </w:rPr>
            </w:pPr>
            <w:r>
              <w:rPr>
                <w:rFonts w:eastAsiaTheme="minorEastAsia"/>
              </w:rPr>
              <w:t>第二类用地</w:t>
            </w:r>
          </w:p>
        </w:tc>
        <w:tc>
          <w:tcPr>
            <w:tcW w:w="846" w:type="pct"/>
            <w:vAlign w:val="center"/>
          </w:tcPr>
          <w:p>
            <w:pPr>
              <w:pStyle w:val="63"/>
              <w:rPr>
                <w:rFonts w:eastAsiaTheme="minorEastAsia"/>
              </w:rPr>
            </w:pPr>
            <w:r>
              <w:rPr>
                <w:rFonts w:eastAsiaTheme="minorEastAsia"/>
              </w:rPr>
              <w:t>第一类用地</w:t>
            </w:r>
          </w:p>
        </w:tc>
        <w:tc>
          <w:tcPr>
            <w:tcW w:w="857" w:type="pct"/>
            <w:vAlign w:val="center"/>
          </w:tcPr>
          <w:p>
            <w:pPr>
              <w:pStyle w:val="63"/>
              <w:rPr>
                <w:rFonts w:eastAsiaTheme="minorEastAsia"/>
              </w:rPr>
            </w:pPr>
            <w:r>
              <w:rPr>
                <w:rFonts w:eastAsiaTheme="minorEastAsia"/>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63"/>
              <w:rPr>
                <w:rFonts w:eastAsiaTheme="minorEastAsia"/>
              </w:rPr>
            </w:pPr>
            <w:r>
              <w:rPr>
                <w:rFonts w:eastAsiaTheme="minorEastAsia"/>
              </w:rPr>
              <w:t>重金属和无机物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w:t>
            </w:r>
          </w:p>
        </w:tc>
        <w:tc>
          <w:tcPr>
            <w:tcW w:w="1394" w:type="pct"/>
            <w:vAlign w:val="center"/>
          </w:tcPr>
          <w:p>
            <w:pPr>
              <w:pStyle w:val="63"/>
              <w:rPr>
                <w:rFonts w:eastAsiaTheme="minorEastAsia"/>
              </w:rPr>
            </w:pPr>
            <w:r>
              <w:rPr>
                <w:rFonts w:eastAsiaTheme="minorEastAsia"/>
              </w:rPr>
              <w:t>砷</w:t>
            </w:r>
          </w:p>
        </w:tc>
        <w:tc>
          <w:tcPr>
            <w:tcW w:w="772" w:type="pct"/>
            <w:vAlign w:val="center"/>
          </w:tcPr>
          <w:p>
            <w:pPr>
              <w:pStyle w:val="63"/>
              <w:rPr>
                <w:rFonts w:eastAsiaTheme="minorEastAsia"/>
              </w:rPr>
            </w:pPr>
            <w:r>
              <w:rPr>
                <w:rFonts w:eastAsiaTheme="minorEastAsia"/>
              </w:rPr>
              <w:t>20</w:t>
            </w:r>
          </w:p>
        </w:tc>
        <w:tc>
          <w:tcPr>
            <w:tcW w:w="822" w:type="pct"/>
            <w:vAlign w:val="center"/>
          </w:tcPr>
          <w:p>
            <w:pPr>
              <w:pStyle w:val="63"/>
              <w:rPr>
                <w:rFonts w:eastAsiaTheme="minorEastAsia"/>
              </w:rPr>
            </w:pPr>
            <w:r>
              <w:rPr>
                <w:rFonts w:eastAsiaTheme="minorEastAsia"/>
              </w:rPr>
              <w:t>60</w:t>
            </w:r>
          </w:p>
        </w:tc>
        <w:tc>
          <w:tcPr>
            <w:tcW w:w="846" w:type="pct"/>
            <w:vAlign w:val="center"/>
          </w:tcPr>
          <w:p>
            <w:pPr>
              <w:pStyle w:val="63"/>
              <w:rPr>
                <w:rFonts w:eastAsiaTheme="minorEastAsia"/>
              </w:rPr>
            </w:pPr>
            <w:r>
              <w:rPr>
                <w:rFonts w:eastAsiaTheme="minorEastAsia"/>
              </w:rPr>
              <w:t>120</w:t>
            </w:r>
          </w:p>
        </w:tc>
        <w:tc>
          <w:tcPr>
            <w:tcW w:w="857" w:type="pct"/>
            <w:vAlign w:val="center"/>
          </w:tcPr>
          <w:p>
            <w:pPr>
              <w:pStyle w:val="63"/>
              <w:rPr>
                <w:rFonts w:eastAsiaTheme="minorEastAsia"/>
              </w:rPr>
            </w:pPr>
            <w:r>
              <w:rPr>
                <w:rFonts w:eastAsiaTheme="minorEastAsia"/>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w:t>
            </w:r>
          </w:p>
        </w:tc>
        <w:tc>
          <w:tcPr>
            <w:tcW w:w="1394" w:type="pct"/>
            <w:vAlign w:val="center"/>
          </w:tcPr>
          <w:p>
            <w:pPr>
              <w:pStyle w:val="63"/>
              <w:rPr>
                <w:rFonts w:eastAsiaTheme="minorEastAsia"/>
              </w:rPr>
            </w:pPr>
            <w:r>
              <w:rPr>
                <w:rFonts w:eastAsiaTheme="minorEastAsia"/>
              </w:rPr>
              <w:t>镉</w:t>
            </w:r>
          </w:p>
        </w:tc>
        <w:tc>
          <w:tcPr>
            <w:tcW w:w="772" w:type="pct"/>
            <w:vAlign w:val="center"/>
          </w:tcPr>
          <w:p>
            <w:pPr>
              <w:pStyle w:val="63"/>
              <w:rPr>
                <w:rFonts w:eastAsiaTheme="minorEastAsia"/>
              </w:rPr>
            </w:pPr>
            <w:r>
              <w:rPr>
                <w:rFonts w:eastAsiaTheme="minorEastAsia"/>
              </w:rPr>
              <w:t>20</w:t>
            </w:r>
          </w:p>
        </w:tc>
        <w:tc>
          <w:tcPr>
            <w:tcW w:w="822" w:type="pct"/>
            <w:vAlign w:val="center"/>
          </w:tcPr>
          <w:p>
            <w:pPr>
              <w:pStyle w:val="63"/>
              <w:rPr>
                <w:rFonts w:eastAsiaTheme="minorEastAsia"/>
              </w:rPr>
            </w:pPr>
            <w:r>
              <w:rPr>
                <w:rFonts w:eastAsiaTheme="minorEastAsia"/>
              </w:rPr>
              <w:t>65</w:t>
            </w:r>
          </w:p>
        </w:tc>
        <w:tc>
          <w:tcPr>
            <w:tcW w:w="846" w:type="pct"/>
            <w:vAlign w:val="center"/>
          </w:tcPr>
          <w:p>
            <w:pPr>
              <w:pStyle w:val="63"/>
              <w:rPr>
                <w:rFonts w:eastAsiaTheme="minorEastAsia"/>
              </w:rPr>
            </w:pPr>
            <w:r>
              <w:rPr>
                <w:rFonts w:eastAsiaTheme="minorEastAsia"/>
              </w:rPr>
              <w:t>47</w:t>
            </w:r>
          </w:p>
        </w:tc>
        <w:tc>
          <w:tcPr>
            <w:tcW w:w="857" w:type="pct"/>
            <w:vAlign w:val="center"/>
          </w:tcPr>
          <w:p>
            <w:pPr>
              <w:pStyle w:val="63"/>
              <w:rPr>
                <w:rFonts w:eastAsiaTheme="minorEastAsia"/>
              </w:rPr>
            </w:pPr>
            <w:r>
              <w:rPr>
                <w:rFonts w:eastAsiaTheme="minorEastAsia"/>
              </w:rPr>
              <w:t>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09" w:type="pct"/>
            <w:vAlign w:val="center"/>
          </w:tcPr>
          <w:p>
            <w:pPr>
              <w:pStyle w:val="63"/>
              <w:rPr>
                <w:rFonts w:eastAsiaTheme="minorEastAsia"/>
              </w:rPr>
            </w:pPr>
            <w:r>
              <w:rPr>
                <w:rFonts w:eastAsiaTheme="minorEastAsia"/>
              </w:rPr>
              <w:t>3</w:t>
            </w:r>
          </w:p>
        </w:tc>
        <w:tc>
          <w:tcPr>
            <w:tcW w:w="1394" w:type="pct"/>
            <w:vAlign w:val="center"/>
          </w:tcPr>
          <w:p>
            <w:pPr>
              <w:pStyle w:val="63"/>
              <w:rPr>
                <w:rFonts w:eastAsiaTheme="minorEastAsia"/>
              </w:rPr>
            </w:pPr>
            <w:r>
              <w:rPr>
                <w:rFonts w:eastAsiaTheme="minorEastAsia"/>
              </w:rPr>
              <w:t>六价铬</w:t>
            </w:r>
          </w:p>
        </w:tc>
        <w:tc>
          <w:tcPr>
            <w:tcW w:w="772" w:type="pct"/>
            <w:vAlign w:val="center"/>
          </w:tcPr>
          <w:p>
            <w:pPr>
              <w:pStyle w:val="63"/>
              <w:rPr>
                <w:rFonts w:eastAsiaTheme="minorEastAsia"/>
              </w:rPr>
            </w:pPr>
            <w:r>
              <w:rPr>
                <w:rFonts w:eastAsiaTheme="minorEastAsia"/>
              </w:rPr>
              <w:t>3.0</w:t>
            </w:r>
          </w:p>
        </w:tc>
        <w:tc>
          <w:tcPr>
            <w:tcW w:w="822" w:type="pct"/>
            <w:vAlign w:val="center"/>
          </w:tcPr>
          <w:p>
            <w:pPr>
              <w:pStyle w:val="63"/>
              <w:rPr>
                <w:rFonts w:eastAsiaTheme="minorEastAsia"/>
              </w:rPr>
            </w:pPr>
            <w:r>
              <w:rPr>
                <w:rFonts w:eastAsiaTheme="minorEastAsia"/>
              </w:rPr>
              <w:t>5.7</w:t>
            </w:r>
          </w:p>
        </w:tc>
        <w:tc>
          <w:tcPr>
            <w:tcW w:w="846" w:type="pct"/>
            <w:vAlign w:val="center"/>
          </w:tcPr>
          <w:p>
            <w:pPr>
              <w:pStyle w:val="63"/>
              <w:rPr>
                <w:rFonts w:eastAsiaTheme="minorEastAsia"/>
              </w:rPr>
            </w:pPr>
            <w:r>
              <w:rPr>
                <w:rFonts w:eastAsiaTheme="minorEastAsia"/>
              </w:rPr>
              <w:t>30</w:t>
            </w:r>
          </w:p>
        </w:tc>
        <w:tc>
          <w:tcPr>
            <w:tcW w:w="857" w:type="pct"/>
            <w:vAlign w:val="center"/>
          </w:tcPr>
          <w:p>
            <w:pPr>
              <w:pStyle w:val="63"/>
              <w:rPr>
                <w:rFonts w:eastAsiaTheme="minorEastAsia"/>
              </w:rPr>
            </w:pPr>
            <w:r>
              <w:rPr>
                <w:rFonts w:eastAsiaTheme="minorEastAsia"/>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w:t>
            </w:r>
          </w:p>
        </w:tc>
        <w:tc>
          <w:tcPr>
            <w:tcW w:w="1394" w:type="pct"/>
            <w:vAlign w:val="center"/>
          </w:tcPr>
          <w:p>
            <w:pPr>
              <w:pStyle w:val="63"/>
              <w:rPr>
                <w:rFonts w:eastAsiaTheme="minorEastAsia"/>
              </w:rPr>
            </w:pPr>
            <w:r>
              <w:rPr>
                <w:rFonts w:eastAsiaTheme="minorEastAsia"/>
              </w:rPr>
              <w:t>铜</w:t>
            </w:r>
          </w:p>
        </w:tc>
        <w:tc>
          <w:tcPr>
            <w:tcW w:w="772" w:type="pct"/>
            <w:vAlign w:val="center"/>
          </w:tcPr>
          <w:p>
            <w:pPr>
              <w:pStyle w:val="63"/>
              <w:rPr>
                <w:rFonts w:eastAsiaTheme="minorEastAsia"/>
              </w:rPr>
            </w:pPr>
            <w:r>
              <w:rPr>
                <w:rFonts w:eastAsiaTheme="minorEastAsia"/>
              </w:rPr>
              <w:t>2000</w:t>
            </w:r>
          </w:p>
        </w:tc>
        <w:tc>
          <w:tcPr>
            <w:tcW w:w="822" w:type="pct"/>
            <w:vAlign w:val="center"/>
          </w:tcPr>
          <w:p>
            <w:pPr>
              <w:pStyle w:val="63"/>
              <w:rPr>
                <w:rFonts w:eastAsiaTheme="minorEastAsia"/>
              </w:rPr>
            </w:pPr>
            <w:r>
              <w:rPr>
                <w:rFonts w:eastAsiaTheme="minorEastAsia"/>
              </w:rPr>
              <w:t>18000</w:t>
            </w:r>
          </w:p>
        </w:tc>
        <w:tc>
          <w:tcPr>
            <w:tcW w:w="846" w:type="pct"/>
            <w:vAlign w:val="center"/>
          </w:tcPr>
          <w:p>
            <w:pPr>
              <w:pStyle w:val="63"/>
              <w:rPr>
                <w:rFonts w:eastAsiaTheme="minorEastAsia"/>
              </w:rPr>
            </w:pPr>
            <w:r>
              <w:rPr>
                <w:rFonts w:eastAsiaTheme="minorEastAsia"/>
              </w:rPr>
              <w:t>8000</w:t>
            </w:r>
          </w:p>
        </w:tc>
        <w:tc>
          <w:tcPr>
            <w:tcW w:w="857" w:type="pct"/>
            <w:vAlign w:val="center"/>
          </w:tcPr>
          <w:p>
            <w:pPr>
              <w:pStyle w:val="63"/>
              <w:rPr>
                <w:rFonts w:eastAsiaTheme="minorEastAsia"/>
              </w:rPr>
            </w:pPr>
            <w:r>
              <w:rPr>
                <w:rFonts w:eastAsiaTheme="minorEastAsia"/>
              </w:rPr>
              <w:t>36000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5</w:t>
            </w:r>
          </w:p>
        </w:tc>
        <w:tc>
          <w:tcPr>
            <w:tcW w:w="1394" w:type="pct"/>
            <w:vAlign w:val="center"/>
          </w:tcPr>
          <w:p>
            <w:pPr>
              <w:pStyle w:val="63"/>
              <w:rPr>
                <w:rFonts w:eastAsiaTheme="minorEastAsia"/>
              </w:rPr>
            </w:pPr>
            <w:r>
              <w:rPr>
                <w:rFonts w:eastAsiaTheme="minorEastAsia"/>
              </w:rPr>
              <w:t>铅</w:t>
            </w:r>
          </w:p>
        </w:tc>
        <w:tc>
          <w:tcPr>
            <w:tcW w:w="772" w:type="pct"/>
            <w:vAlign w:val="center"/>
          </w:tcPr>
          <w:p>
            <w:pPr>
              <w:pStyle w:val="63"/>
              <w:rPr>
                <w:rFonts w:eastAsiaTheme="minorEastAsia"/>
              </w:rPr>
            </w:pPr>
            <w:r>
              <w:rPr>
                <w:rFonts w:eastAsiaTheme="minorEastAsia"/>
              </w:rPr>
              <w:t>400</w:t>
            </w:r>
          </w:p>
        </w:tc>
        <w:tc>
          <w:tcPr>
            <w:tcW w:w="822" w:type="pct"/>
            <w:vAlign w:val="center"/>
          </w:tcPr>
          <w:p>
            <w:pPr>
              <w:pStyle w:val="63"/>
              <w:rPr>
                <w:rFonts w:eastAsiaTheme="minorEastAsia"/>
              </w:rPr>
            </w:pPr>
            <w:r>
              <w:rPr>
                <w:rFonts w:eastAsiaTheme="minorEastAsia"/>
              </w:rPr>
              <w:t>800</w:t>
            </w:r>
          </w:p>
        </w:tc>
        <w:tc>
          <w:tcPr>
            <w:tcW w:w="846" w:type="pct"/>
            <w:vAlign w:val="center"/>
          </w:tcPr>
          <w:p>
            <w:pPr>
              <w:pStyle w:val="63"/>
              <w:rPr>
                <w:rFonts w:eastAsiaTheme="minorEastAsia"/>
              </w:rPr>
            </w:pPr>
            <w:r>
              <w:rPr>
                <w:rFonts w:eastAsiaTheme="minorEastAsia"/>
              </w:rPr>
              <w:t>800</w:t>
            </w:r>
          </w:p>
        </w:tc>
        <w:tc>
          <w:tcPr>
            <w:tcW w:w="857" w:type="pct"/>
            <w:vAlign w:val="center"/>
          </w:tcPr>
          <w:p>
            <w:pPr>
              <w:pStyle w:val="63"/>
              <w:rPr>
                <w:rFonts w:eastAsiaTheme="minorEastAsia"/>
              </w:rPr>
            </w:pPr>
            <w:r>
              <w:rPr>
                <w:rFonts w:eastAsiaTheme="minorEastAsia"/>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6</w:t>
            </w:r>
          </w:p>
        </w:tc>
        <w:tc>
          <w:tcPr>
            <w:tcW w:w="1394" w:type="pct"/>
            <w:vAlign w:val="center"/>
          </w:tcPr>
          <w:p>
            <w:pPr>
              <w:pStyle w:val="63"/>
              <w:rPr>
                <w:rFonts w:eastAsiaTheme="minorEastAsia"/>
              </w:rPr>
            </w:pPr>
            <w:r>
              <w:rPr>
                <w:rFonts w:eastAsiaTheme="minorEastAsia"/>
              </w:rPr>
              <w:t>汞</w:t>
            </w:r>
          </w:p>
        </w:tc>
        <w:tc>
          <w:tcPr>
            <w:tcW w:w="772" w:type="pct"/>
            <w:vAlign w:val="center"/>
          </w:tcPr>
          <w:p>
            <w:pPr>
              <w:pStyle w:val="63"/>
              <w:rPr>
                <w:rFonts w:eastAsiaTheme="minorEastAsia"/>
              </w:rPr>
            </w:pPr>
            <w:r>
              <w:rPr>
                <w:rFonts w:eastAsiaTheme="minorEastAsia"/>
              </w:rPr>
              <w:t>8</w:t>
            </w:r>
          </w:p>
        </w:tc>
        <w:tc>
          <w:tcPr>
            <w:tcW w:w="822" w:type="pct"/>
            <w:vAlign w:val="center"/>
          </w:tcPr>
          <w:p>
            <w:pPr>
              <w:pStyle w:val="63"/>
              <w:rPr>
                <w:rFonts w:eastAsiaTheme="minorEastAsia"/>
              </w:rPr>
            </w:pPr>
            <w:r>
              <w:rPr>
                <w:rFonts w:eastAsiaTheme="minorEastAsia"/>
              </w:rPr>
              <w:t>38</w:t>
            </w:r>
          </w:p>
        </w:tc>
        <w:tc>
          <w:tcPr>
            <w:tcW w:w="846" w:type="pct"/>
            <w:vAlign w:val="center"/>
          </w:tcPr>
          <w:p>
            <w:pPr>
              <w:pStyle w:val="63"/>
              <w:rPr>
                <w:rFonts w:eastAsiaTheme="minorEastAsia"/>
              </w:rPr>
            </w:pPr>
            <w:r>
              <w:rPr>
                <w:rFonts w:eastAsiaTheme="minorEastAsia"/>
              </w:rPr>
              <w:t>33</w:t>
            </w:r>
          </w:p>
        </w:tc>
        <w:tc>
          <w:tcPr>
            <w:tcW w:w="857" w:type="pct"/>
            <w:vAlign w:val="center"/>
          </w:tcPr>
          <w:p>
            <w:pPr>
              <w:pStyle w:val="63"/>
              <w:rPr>
                <w:rFonts w:eastAsiaTheme="minorEastAsia"/>
              </w:rPr>
            </w:pPr>
            <w:r>
              <w:rPr>
                <w:rFonts w:eastAsiaTheme="minorEastAsia"/>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7</w:t>
            </w:r>
          </w:p>
        </w:tc>
        <w:tc>
          <w:tcPr>
            <w:tcW w:w="1394" w:type="pct"/>
            <w:vAlign w:val="center"/>
          </w:tcPr>
          <w:p>
            <w:pPr>
              <w:pStyle w:val="63"/>
              <w:rPr>
                <w:rFonts w:eastAsiaTheme="minorEastAsia"/>
              </w:rPr>
            </w:pPr>
            <w:r>
              <w:rPr>
                <w:rFonts w:eastAsiaTheme="minorEastAsia"/>
              </w:rPr>
              <w:t>镍</w:t>
            </w:r>
          </w:p>
        </w:tc>
        <w:tc>
          <w:tcPr>
            <w:tcW w:w="772" w:type="pct"/>
            <w:vAlign w:val="center"/>
          </w:tcPr>
          <w:p>
            <w:pPr>
              <w:pStyle w:val="63"/>
              <w:rPr>
                <w:rFonts w:eastAsiaTheme="minorEastAsia"/>
              </w:rPr>
            </w:pPr>
            <w:r>
              <w:rPr>
                <w:rFonts w:eastAsiaTheme="minorEastAsia"/>
              </w:rPr>
              <w:t>150</w:t>
            </w:r>
          </w:p>
        </w:tc>
        <w:tc>
          <w:tcPr>
            <w:tcW w:w="822" w:type="pct"/>
            <w:vAlign w:val="center"/>
          </w:tcPr>
          <w:p>
            <w:pPr>
              <w:pStyle w:val="63"/>
              <w:rPr>
                <w:rFonts w:eastAsiaTheme="minorEastAsia"/>
              </w:rPr>
            </w:pPr>
            <w:r>
              <w:rPr>
                <w:rFonts w:eastAsiaTheme="minorEastAsia"/>
              </w:rPr>
              <w:t>900</w:t>
            </w:r>
          </w:p>
        </w:tc>
        <w:tc>
          <w:tcPr>
            <w:tcW w:w="846" w:type="pct"/>
            <w:vAlign w:val="center"/>
          </w:tcPr>
          <w:p>
            <w:pPr>
              <w:pStyle w:val="63"/>
              <w:rPr>
                <w:rFonts w:eastAsiaTheme="minorEastAsia"/>
              </w:rPr>
            </w:pPr>
            <w:r>
              <w:rPr>
                <w:rFonts w:eastAsiaTheme="minorEastAsia"/>
              </w:rPr>
              <w:t>600</w:t>
            </w:r>
          </w:p>
        </w:tc>
        <w:tc>
          <w:tcPr>
            <w:tcW w:w="857" w:type="pct"/>
            <w:vAlign w:val="center"/>
          </w:tcPr>
          <w:p>
            <w:pPr>
              <w:pStyle w:val="63"/>
              <w:rPr>
                <w:rFonts w:eastAsiaTheme="minorEastAsia"/>
              </w:rPr>
            </w:pPr>
            <w:r>
              <w:rPr>
                <w:rFonts w:eastAsiaTheme="minorEastAsi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63"/>
              <w:rPr>
                <w:rFonts w:eastAsiaTheme="minorEastAsia"/>
              </w:rPr>
            </w:pPr>
            <w:r>
              <w:rPr>
                <w:rFonts w:eastAsiaTheme="minorEastAsia"/>
              </w:rPr>
              <w:t>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8</w:t>
            </w:r>
          </w:p>
        </w:tc>
        <w:tc>
          <w:tcPr>
            <w:tcW w:w="1394" w:type="pct"/>
            <w:vAlign w:val="center"/>
          </w:tcPr>
          <w:p>
            <w:pPr>
              <w:pStyle w:val="63"/>
              <w:rPr>
                <w:rFonts w:eastAsiaTheme="minorEastAsia"/>
              </w:rPr>
            </w:pPr>
            <w:r>
              <w:rPr>
                <w:rFonts w:eastAsiaTheme="minorEastAsia"/>
              </w:rPr>
              <w:t>四氯化碳</w:t>
            </w:r>
          </w:p>
        </w:tc>
        <w:tc>
          <w:tcPr>
            <w:tcW w:w="772" w:type="pct"/>
            <w:vAlign w:val="center"/>
          </w:tcPr>
          <w:p>
            <w:pPr>
              <w:pStyle w:val="63"/>
              <w:rPr>
                <w:rFonts w:eastAsiaTheme="minorEastAsia"/>
              </w:rPr>
            </w:pPr>
            <w:r>
              <w:rPr>
                <w:rFonts w:eastAsiaTheme="minorEastAsia"/>
              </w:rPr>
              <w:t>0.9</w:t>
            </w:r>
          </w:p>
        </w:tc>
        <w:tc>
          <w:tcPr>
            <w:tcW w:w="822" w:type="pct"/>
            <w:vAlign w:val="center"/>
          </w:tcPr>
          <w:p>
            <w:pPr>
              <w:pStyle w:val="63"/>
              <w:rPr>
                <w:rFonts w:eastAsiaTheme="minorEastAsia"/>
              </w:rPr>
            </w:pPr>
            <w:r>
              <w:rPr>
                <w:rFonts w:eastAsiaTheme="minorEastAsia"/>
              </w:rPr>
              <w:t>2.8</w:t>
            </w:r>
          </w:p>
        </w:tc>
        <w:tc>
          <w:tcPr>
            <w:tcW w:w="846" w:type="pct"/>
            <w:vAlign w:val="center"/>
          </w:tcPr>
          <w:p>
            <w:pPr>
              <w:pStyle w:val="63"/>
              <w:rPr>
                <w:rFonts w:eastAsiaTheme="minorEastAsia"/>
              </w:rPr>
            </w:pPr>
            <w:r>
              <w:rPr>
                <w:rFonts w:eastAsiaTheme="minorEastAsia"/>
              </w:rPr>
              <w:t>9</w:t>
            </w:r>
          </w:p>
        </w:tc>
        <w:tc>
          <w:tcPr>
            <w:tcW w:w="857" w:type="pct"/>
            <w:vAlign w:val="center"/>
          </w:tcPr>
          <w:p>
            <w:pPr>
              <w:pStyle w:val="63"/>
              <w:rPr>
                <w:rFonts w:eastAsiaTheme="minorEastAsia"/>
              </w:rPr>
            </w:pPr>
            <w:r>
              <w:rPr>
                <w:rFonts w:eastAsiaTheme="minorEastAsia"/>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9</w:t>
            </w:r>
          </w:p>
        </w:tc>
        <w:tc>
          <w:tcPr>
            <w:tcW w:w="1394" w:type="pct"/>
            <w:vAlign w:val="center"/>
          </w:tcPr>
          <w:p>
            <w:pPr>
              <w:pStyle w:val="63"/>
              <w:rPr>
                <w:rFonts w:eastAsiaTheme="minorEastAsia"/>
              </w:rPr>
            </w:pPr>
            <w:r>
              <w:rPr>
                <w:rFonts w:eastAsiaTheme="minorEastAsia"/>
              </w:rPr>
              <w:t>氯仿</w:t>
            </w:r>
          </w:p>
        </w:tc>
        <w:tc>
          <w:tcPr>
            <w:tcW w:w="772" w:type="pct"/>
            <w:vAlign w:val="center"/>
          </w:tcPr>
          <w:p>
            <w:pPr>
              <w:pStyle w:val="63"/>
              <w:rPr>
                <w:rFonts w:eastAsiaTheme="minorEastAsia"/>
              </w:rPr>
            </w:pPr>
            <w:r>
              <w:rPr>
                <w:rFonts w:eastAsiaTheme="minorEastAsia"/>
              </w:rPr>
              <w:t>0.3</w:t>
            </w:r>
          </w:p>
        </w:tc>
        <w:tc>
          <w:tcPr>
            <w:tcW w:w="822" w:type="pct"/>
            <w:vAlign w:val="center"/>
          </w:tcPr>
          <w:p>
            <w:pPr>
              <w:pStyle w:val="63"/>
              <w:rPr>
                <w:rFonts w:eastAsiaTheme="minorEastAsia"/>
              </w:rPr>
            </w:pPr>
            <w:r>
              <w:rPr>
                <w:rFonts w:eastAsiaTheme="minorEastAsia"/>
              </w:rPr>
              <w:t>0.9</w:t>
            </w:r>
          </w:p>
        </w:tc>
        <w:tc>
          <w:tcPr>
            <w:tcW w:w="846" w:type="pct"/>
            <w:vAlign w:val="center"/>
          </w:tcPr>
          <w:p>
            <w:pPr>
              <w:pStyle w:val="63"/>
              <w:rPr>
                <w:rFonts w:eastAsiaTheme="minorEastAsia"/>
              </w:rPr>
            </w:pPr>
            <w:r>
              <w:rPr>
                <w:rFonts w:eastAsiaTheme="minorEastAsia"/>
              </w:rPr>
              <w:t>5</w:t>
            </w:r>
          </w:p>
        </w:tc>
        <w:tc>
          <w:tcPr>
            <w:tcW w:w="857" w:type="pct"/>
            <w:vAlign w:val="center"/>
          </w:tcPr>
          <w:p>
            <w:pPr>
              <w:pStyle w:val="63"/>
              <w:rPr>
                <w:rFonts w:eastAsiaTheme="minorEastAsia"/>
              </w:rPr>
            </w:pPr>
            <w:r>
              <w:rPr>
                <w:rFonts w:eastAsiaTheme="minor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10</w:t>
            </w:r>
          </w:p>
        </w:tc>
        <w:tc>
          <w:tcPr>
            <w:tcW w:w="1394" w:type="pct"/>
            <w:vAlign w:val="center"/>
          </w:tcPr>
          <w:p>
            <w:pPr>
              <w:pStyle w:val="63"/>
              <w:rPr>
                <w:rFonts w:eastAsiaTheme="minorEastAsia"/>
              </w:rPr>
            </w:pPr>
            <w:r>
              <w:rPr>
                <w:rFonts w:eastAsiaTheme="minorEastAsia"/>
              </w:rPr>
              <w:t>氯甲烷</w:t>
            </w:r>
          </w:p>
        </w:tc>
        <w:tc>
          <w:tcPr>
            <w:tcW w:w="772" w:type="pct"/>
            <w:vAlign w:val="center"/>
          </w:tcPr>
          <w:p>
            <w:pPr>
              <w:pStyle w:val="63"/>
              <w:rPr>
                <w:rFonts w:eastAsiaTheme="minorEastAsia"/>
              </w:rPr>
            </w:pPr>
            <w:r>
              <w:rPr>
                <w:rFonts w:eastAsiaTheme="minorEastAsia"/>
              </w:rPr>
              <w:t>12</w:t>
            </w:r>
          </w:p>
        </w:tc>
        <w:tc>
          <w:tcPr>
            <w:tcW w:w="822" w:type="pct"/>
            <w:vAlign w:val="center"/>
          </w:tcPr>
          <w:p>
            <w:pPr>
              <w:pStyle w:val="63"/>
              <w:rPr>
                <w:rFonts w:eastAsiaTheme="minorEastAsia"/>
              </w:rPr>
            </w:pPr>
            <w:r>
              <w:rPr>
                <w:rFonts w:eastAsiaTheme="minorEastAsia"/>
              </w:rPr>
              <w:t>37</w:t>
            </w:r>
          </w:p>
        </w:tc>
        <w:tc>
          <w:tcPr>
            <w:tcW w:w="846" w:type="pct"/>
            <w:vAlign w:val="center"/>
          </w:tcPr>
          <w:p>
            <w:pPr>
              <w:pStyle w:val="63"/>
              <w:rPr>
                <w:rFonts w:eastAsiaTheme="minorEastAsia"/>
              </w:rPr>
            </w:pPr>
            <w:r>
              <w:rPr>
                <w:rFonts w:eastAsiaTheme="minorEastAsia"/>
              </w:rPr>
              <w:t>21</w:t>
            </w:r>
          </w:p>
        </w:tc>
        <w:tc>
          <w:tcPr>
            <w:tcW w:w="857" w:type="pct"/>
            <w:vAlign w:val="center"/>
          </w:tcPr>
          <w:p>
            <w:pPr>
              <w:pStyle w:val="63"/>
              <w:rPr>
                <w:rFonts w:eastAsiaTheme="minorEastAsia"/>
              </w:rPr>
            </w:pPr>
            <w:r>
              <w:rPr>
                <w:rFonts w:eastAsiaTheme="minorEastAsi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11</w:t>
            </w:r>
          </w:p>
        </w:tc>
        <w:tc>
          <w:tcPr>
            <w:tcW w:w="1394" w:type="pct"/>
            <w:vAlign w:val="center"/>
          </w:tcPr>
          <w:p>
            <w:pPr>
              <w:pStyle w:val="63"/>
              <w:rPr>
                <w:rFonts w:eastAsiaTheme="minorEastAsia"/>
              </w:rPr>
            </w:pPr>
            <w:r>
              <w:rPr>
                <w:rFonts w:eastAsiaTheme="minorEastAsia"/>
              </w:rPr>
              <w:t>1，1-二氯乙烷</w:t>
            </w:r>
          </w:p>
        </w:tc>
        <w:tc>
          <w:tcPr>
            <w:tcW w:w="772" w:type="pct"/>
            <w:vAlign w:val="center"/>
          </w:tcPr>
          <w:p>
            <w:pPr>
              <w:pStyle w:val="63"/>
              <w:rPr>
                <w:rFonts w:eastAsiaTheme="minorEastAsia"/>
              </w:rPr>
            </w:pPr>
            <w:r>
              <w:rPr>
                <w:rFonts w:eastAsiaTheme="minorEastAsia"/>
              </w:rPr>
              <w:t>3</w:t>
            </w:r>
          </w:p>
        </w:tc>
        <w:tc>
          <w:tcPr>
            <w:tcW w:w="822" w:type="pct"/>
            <w:vAlign w:val="center"/>
          </w:tcPr>
          <w:p>
            <w:pPr>
              <w:pStyle w:val="63"/>
              <w:rPr>
                <w:rFonts w:eastAsiaTheme="minorEastAsia"/>
              </w:rPr>
            </w:pPr>
            <w:r>
              <w:rPr>
                <w:rFonts w:eastAsiaTheme="minorEastAsia"/>
              </w:rPr>
              <w:t>9</w:t>
            </w:r>
          </w:p>
        </w:tc>
        <w:tc>
          <w:tcPr>
            <w:tcW w:w="846" w:type="pct"/>
            <w:vAlign w:val="center"/>
          </w:tcPr>
          <w:p>
            <w:pPr>
              <w:pStyle w:val="63"/>
              <w:rPr>
                <w:rFonts w:eastAsiaTheme="minorEastAsia"/>
              </w:rPr>
            </w:pPr>
            <w:r>
              <w:rPr>
                <w:rFonts w:eastAsiaTheme="minorEastAsia"/>
              </w:rPr>
              <w:t>20</w:t>
            </w:r>
          </w:p>
        </w:tc>
        <w:tc>
          <w:tcPr>
            <w:tcW w:w="857" w:type="pct"/>
            <w:vAlign w:val="center"/>
          </w:tcPr>
          <w:p>
            <w:pPr>
              <w:pStyle w:val="63"/>
              <w:rPr>
                <w:rFonts w:eastAsiaTheme="minorEastAsia"/>
              </w:rPr>
            </w:pPr>
            <w:r>
              <w:rPr>
                <w:rFonts w:eastAsiaTheme="minor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12</w:t>
            </w:r>
          </w:p>
        </w:tc>
        <w:tc>
          <w:tcPr>
            <w:tcW w:w="1394" w:type="pct"/>
            <w:vAlign w:val="center"/>
          </w:tcPr>
          <w:p>
            <w:pPr>
              <w:pStyle w:val="63"/>
              <w:rPr>
                <w:rFonts w:eastAsiaTheme="minorEastAsia"/>
              </w:rPr>
            </w:pPr>
            <w:r>
              <w:rPr>
                <w:rFonts w:eastAsiaTheme="minorEastAsia"/>
              </w:rPr>
              <w:t>1，2-二氯乙烷</w:t>
            </w:r>
          </w:p>
        </w:tc>
        <w:tc>
          <w:tcPr>
            <w:tcW w:w="772" w:type="pct"/>
            <w:vAlign w:val="center"/>
          </w:tcPr>
          <w:p>
            <w:pPr>
              <w:pStyle w:val="63"/>
              <w:rPr>
                <w:rFonts w:eastAsiaTheme="minorEastAsia"/>
              </w:rPr>
            </w:pPr>
            <w:r>
              <w:rPr>
                <w:rFonts w:eastAsiaTheme="minorEastAsia"/>
              </w:rPr>
              <w:t>0.52</w:t>
            </w:r>
          </w:p>
        </w:tc>
        <w:tc>
          <w:tcPr>
            <w:tcW w:w="822" w:type="pct"/>
            <w:vAlign w:val="center"/>
          </w:tcPr>
          <w:p>
            <w:pPr>
              <w:pStyle w:val="63"/>
              <w:rPr>
                <w:rFonts w:eastAsiaTheme="minorEastAsia"/>
              </w:rPr>
            </w:pPr>
            <w:r>
              <w:rPr>
                <w:rFonts w:eastAsiaTheme="minorEastAsia"/>
              </w:rPr>
              <w:t>5</w:t>
            </w:r>
          </w:p>
        </w:tc>
        <w:tc>
          <w:tcPr>
            <w:tcW w:w="846" w:type="pct"/>
            <w:vAlign w:val="center"/>
          </w:tcPr>
          <w:p>
            <w:pPr>
              <w:pStyle w:val="63"/>
              <w:rPr>
                <w:rFonts w:eastAsiaTheme="minorEastAsia"/>
              </w:rPr>
            </w:pPr>
            <w:r>
              <w:rPr>
                <w:rFonts w:eastAsiaTheme="minorEastAsia"/>
              </w:rPr>
              <w:t>6</w:t>
            </w:r>
          </w:p>
        </w:tc>
        <w:tc>
          <w:tcPr>
            <w:tcW w:w="857" w:type="pct"/>
            <w:vAlign w:val="center"/>
          </w:tcPr>
          <w:p>
            <w:pPr>
              <w:pStyle w:val="63"/>
              <w:rPr>
                <w:rFonts w:eastAsiaTheme="minorEastAsia"/>
              </w:rPr>
            </w:pPr>
            <w:r>
              <w:rPr>
                <w:rFonts w:eastAsiaTheme="minorEastAsia"/>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13</w:t>
            </w:r>
          </w:p>
        </w:tc>
        <w:tc>
          <w:tcPr>
            <w:tcW w:w="1394" w:type="pct"/>
            <w:vAlign w:val="center"/>
          </w:tcPr>
          <w:p>
            <w:pPr>
              <w:pStyle w:val="63"/>
              <w:rPr>
                <w:rFonts w:eastAsiaTheme="minorEastAsia"/>
              </w:rPr>
            </w:pPr>
            <w:r>
              <w:rPr>
                <w:rFonts w:eastAsiaTheme="minorEastAsia"/>
              </w:rPr>
              <w:t>1，1-二氯乙烯</w:t>
            </w:r>
          </w:p>
        </w:tc>
        <w:tc>
          <w:tcPr>
            <w:tcW w:w="772" w:type="pct"/>
            <w:vAlign w:val="center"/>
          </w:tcPr>
          <w:p>
            <w:pPr>
              <w:pStyle w:val="63"/>
              <w:rPr>
                <w:rFonts w:eastAsiaTheme="minorEastAsia"/>
              </w:rPr>
            </w:pPr>
            <w:r>
              <w:rPr>
                <w:rFonts w:eastAsiaTheme="minorEastAsia"/>
              </w:rPr>
              <w:t>12</w:t>
            </w:r>
          </w:p>
        </w:tc>
        <w:tc>
          <w:tcPr>
            <w:tcW w:w="822" w:type="pct"/>
            <w:vAlign w:val="center"/>
          </w:tcPr>
          <w:p>
            <w:pPr>
              <w:pStyle w:val="63"/>
              <w:rPr>
                <w:rFonts w:eastAsiaTheme="minorEastAsia"/>
              </w:rPr>
            </w:pPr>
            <w:r>
              <w:rPr>
                <w:rFonts w:eastAsiaTheme="minorEastAsia"/>
              </w:rPr>
              <w:t>66</w:t>
            </w:r>
          </w:p>
        </w:tc>
        <w:tc>
          <w:tcPr>
            <w:tcW w:w="846" w:type="pct"/>
            <w:vAlign w:val="center"/>
          </w:tcPr>
          <w:p>
            <w:pPr>
              <w:pStyle w:val="63"/>
              <w:rPr>
                <w:rFonts w:eastAsiaTheme="minorEastAsia"/>
              </w:rPr>
            </w:pPr>
            <w:r>
              <w:rPr>
                <w:rFonts w:eastAsiaTheme="minorEastAsia"/>
              </w:rPr>
              <w:t>40</w:t>
            </w:r>
          </w:p>
        </w:tc>
        <w:tc>
          <w:tcPr>
            <w:tcW w:w="857" w:type="pct"/>
            <w:vAlign w:val="center"/>
          </w:tcPr>
          <w:p>
            <w:pPr>
              <w:pStyle w:val="63"/>
              <w:rPr>
                <w:rFonts w:eastAsiaTheme="minorEastAsia"/>
              </w:rPr>
            </w:pPr>
            <w:r>
              <w:rPr>
                <w:rFonts w:eastAsiaTheme="minorEastAsi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14</w:t>
            </w:r>
          </w:p>
        </w:tc>
        <w:tc>
          <w:tcPr>
            <w:tcW w:w="1394" w:type="pct"/>
            <w:vAlign w:val="center"/>
          </w:tcPr>
          <w:p>
            <w:pPr>
              <w:pStyle w:val="63"/>
              <w:rPr>
                <w:rFonts w:eastAsiaTheme="minorEastAsia"/>
              </w:rPr>
            </w:pPr>
            <w:r>
              <w:rPr>
                <w:rFonts w:eastAsiaTheme="minorEastAsia"/>
              </w:rPr>
              <w:t>顺-1，2-二氯乙烯</w:t>
            </w:r>
          </w:p>
        </w:tc>
        <w:tc>
          <w:tcPr>
            <w:tcW w:w="772" w:type="pct"/>
            <w:vAlign w:val="center"/>
          </w:tcPr>
          <w:p>
            <w:pPr>
              <w:pStyle w:val="63"/>
              <w:rPr>
                <w:rFonts w:eastAsiaTheme="minorEastAsia"/>
              </w:rPr>
            </w:pPr>
            <w:r>
              <w:rPr>
                <w:rFonts w:eastAsiaTheme="minorEastAsia"/>
              </w:rPr>
              <w:t>66</w:t>
            </w:r>
          </w:p>
        </w:tc>
        <w:tc>
          <w:tcPr>
            <w:tcW w:w="822" w:type="pct"/>
            <w:vAlign w:val="center"/>
          </w:tcPr>
          <w:p>
            <w:pPr>
              <w:pStyle w:val="63"/>
              <w:rPr>
                <w:rFonts w:eastAsiaTheme="minorEastAsia"/>
              </w:rPr>
            </w:pPr>
            <w:r>
              <w:rPr>
                <w:rFonts w:eastAsiaTheme="minorEastAsia"/>
              </w:rPr>
              <w:t>596</w:t>
            </w:r>
          </w:p>
        </w:tc>
        <w:tc>
          <w:tcPr>
            <w:tcW w:w="846" w:type="pct"/>
            <w:vAlign w:val="center"/>
          </w:tcPr>
          <w:p>
            <w:pPr>
              <w:pStyle w:val="63"/>
              <w:rPr>
                <w:rFonts w:eastAsiaTheme="minorEastAsia"/>
              </w:rPr>
            </w:pPr>
            <w:r>
              <w:rPr>
                <w:rFonts w:eastAsiaTheme="minorEastAsia"/>
              </w:rPr>
              <w:t>200</w:t>
            </w:r>
          </w:p>
        </w:tc>
        <w:tc>
          <w:tcPr>
            <w:tcW w:w="857" w:type="pct"/>
            <w:vAlign w:val="center"/>
          </w:tcPr>
          <w:p>
            <w:pPr>
              <w:pStyle w:val="63"/>
              <w:rPr>
                <w:rFonts w:eastAsiaTheme="minorEastAsia"/>
              </w:rPr>
            </w:pPr>
            <w:r>
              <w:rPr>
                <w:rFonts w:eastAsiaTheme="minorEastAsi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15</w:t>
            </w:r>
          </w:p>
        </w:tc>
        <w:tc>
          <w:tcPr>
            <w:tcW w:w="1394" w:type="pct"/>
            <w:vAlign w:val="center"/>
          </w:tcPr>
          <w:p>
            <w:pPr>
              <w:pStyle w:val="63"/>
              <w:rPr>
                <w:rFonts w:eastAsiaTheme="minorEastAsia"/>
              </w:rPr>
            </w:pPr>
            <w:r>
              <w:rPr>
                <w:rFonts w:eastAsiaTheme="minorEastAsia"/>
              </w:rPr>
              <w:t>反-1，2-二氯乙烯</w:t>
            </w:r>
          </w:p>
        </w:tc>
        <w:tc>
          <w:tcPr>
            <w:tcW w:w="772" w:type="pct"/>
            <w:vAlign w:val="center"/>
          </w:tcPr>
          <w:p>
            <w:pPr>
              <w:pStyle w:val="63"/>
              <w:rPr>
                <w:rFonts w:eastAsiaTheme="minorEastAsia"/>
              </w:rPr>
            </w:pPr>
            <w:r>
              <w:rPr>
                <w:rFonts w:eastAsiaTheme="minorEastAsia"/>
              </w:rPr>
              <w:t>10</w:t>
            </w:r>
          </w:p>
        </w:tc>
        <w:tc>
          <w:tcPr>
            <w:tcW w:w="822" w:type="pct"/>
            <w:vAlign w:val="center"/>
          </w:tcPr>
          <w:p>
            <w:pPr>
              <w:pStyle w:val="63"/>
              <w:rPr>
                <w:rFonts w:eastAsiaTheme="minorEastAsia"/>
              </w:rPr>
            </w:pPr>
            <w:r>
              <w:rPr>
                <w:rFonts w:eastAsiaTheme="minorEastAsia"/>
              </w:rPr>
              <w:t>54</w:t>
            </w:r>
          </w:p>
        </w:tc>
        <w:tc>
          <w:tcPr>
            <w:tcW w:w="846" w:type="pct"/>
            <w:vAlign w:val="center"/>
          </w:tcPr>
          <w:p>
            <w:pPr>
              <w:pStyle w:val="63"/>
              <w:rPr>
                <w:rFonts w:eastAsiaTheme="minorEastAsia"/>
              </w:rPr>
            </w:pPr>
            <w:r>
              <w:rPr>
                <w:rFonts w:eastAsiaTheme="minorEastAsia"/>
              </w:rPr>
              <w:t>31</w:t>
            </w:r>
          </w:p>
        </w:tc>
        <w:tc>
          <w:tcPr>
            <w:tcW w:w="857" w:type="pct"/>
            <w:vAlign w:val="center"/>
          </w:tcPr>
          <w:p>
            <w:pPr>
              <w:pStyle w:val="63"/>
              <w:rPr>
                <w:rFonts w:eastAsiaTheme="minorEastAsia"/>
              </w:rPr>
            </w:pPr>
            <w:r>
              <w:rPr>
                <w:rFonts w:eastAsiaTheme="minorEastAsia"/>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16</w:t>
            </w:r>
          </w:p>
        </w:tc>
        <w:tc>
          <w:tcPr>
            <w:tcW w:w="1394" w:type="pct"/>
            <w:vAlign w:val="center"/>
          </w:tcPr>
          <w:p>
            <w:pPr>
              <w:pStyle w:val="63"/>
              <w:rPr>
                <w:rFonts w:eastAsiaTheme="minorEastAsia"/>
              </w:rPr>
            </w:pPr>
            <w:r>
              <w:rPr>
                <w:rFonts w:eastAsiaTheme="minorEastAsia"/>
              </w:rPr>
              <w:t>二氯甲烷</w:t>
            </w:r>
          </w:p>
        </w:tc>
        <w:tc>
          <w:tcPr>
            <w:tcW w:w="772" w:type="pct"/>
            <w:vAlign w:val="center"/>
          </w:tcPr>
          <w:p>
            <w:pPr>
              <w:pStyle w:val="63"/>
              <w:rPr>
                <w:rFonts w:eastAsiaTheme="minorEastAsia"/>
              </w:rPr>
            </w:pPr>
            <w:r>
              <w:rPr>
                <w:rFonts w:eastAsiaTheme="minorEastAsia"/>
              </w:rPr>
              <w:t>94</w:t>
            </w:r>
          </w:p>
        </w:tc>
        <w:tc>
          <w:tcPr>
            <w:tcW w:w="822" w:type="pct"/>
            <w:vAlign w:val="center"/>
          </w:tcPr>
          <w:p>
            <w:pPr>
              <w:pStyle w:val="63"/>
              <w:rPr>
                <w:rFonts w:eastAsiaTheme="minorEastAsia"/>
              </w:rPr>
            </w:pPr>
            <w:r>
              <w:rPr>
                <w:rFonts w:eastAsiaTheme="minorEastAsia"/>
              </w:rPr>
              <w:t>616</w:t>
            </w:r>
          </w:p>
        </w:tc>
        <w:tc>
          <w:tcPr>
            <w:tcW w:w="846" w:type="pct"/>
            <w:vAlign w:val="center"/>
          </w:tcPr>
          <w:p>
            <w:pPr>
              <w:pStyle w:val="63"/>
              <w:rPr>
                <w:rFonts w:eastAsiaTheme="minorEastAsia"/>
              </w:rPr>
            </w:pPr>
            <w:r>
              <w:rPr>
                <w:rFonts w:eastAsiaTheme="minorEastAsia"/>
              </w:rPr>
              <w:t>300</w:t>
            </w:r>
          </w:p>
        </w:tc>
        <w:tc>
          <w:tcPr>
            <w:tcW w:w="857" w:type="pct"/>
            <w:vAlign w:val="center"/>
          </w:tcPr>
          <w:p>
            <w:pPr>
              <w:pStyle w:val="63"/>
              <w:rPr>
                <w:rFonts w:eastAsiaTheme="minorEastAsia"/>
              </w:rPr>
            </w:pPr>
            <w:r>
              <w:rPr>
                <w:rFonts w:eastAsiaTheme="minorEastAsi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17</w:t>
            </w:r>
          </w:p>
        </w:tc>
        <w:tc>
          <w:tcPr>
            <w:tcW w:w="1394" w:type="pct"/>
            <w:vAlign w:val="center"/>
          </w:tcPr>
          <w:p>
            <w:pPr>
              <w:pStyle w:val="63"/>
              <w:rPr>
                <w:rFonts w:eastAsiaTheme="minorEastAsia"/>
              </w:rPr>
            </w:pPr>
            <w:r>
              <w:rPr>
                <w:rFonts w:eastAsiaTheme="minorEastAsia"/>
              </w:rPr>
              <w:t>1，2-二氯丙烷</w:t>
            </w:r>
          </w:p>
        </w:tc>
        <w:tc>
          <w:tcPr>
            <w:tcW w:w="772" w:type="pct"/>
            <w:vAlign w:val="center"/>
          </w:tcPr>
          <w:p>
            <w:pPr>
              <w:pStyle w:val="63"/>
              <w:rPr>
                <w:rFonts w:eastAsiaTheme="minorEastAsia"/>
              </w:rPr>
            </w:pPr>
            <w:r>
              <w:rPr>
                <w:rFonts w:eastAsiaTheme="minorEastAsia"/>
              </w:rPr>
              <w:t>1</w:t>
            </w:r>
          </w:p>
        </w:tc>
        <w:tc>
          <w:tcPr>
            <w:tcW w:w="822" w:type="pct"/>
            <w:vAlign w:val="center"/>
          </w:tcPr>
          <w:p>
            <w:pPr>
              <w:pStyle w:val="63"/>
              <w:rPr>
                <w:rFonts w:eastAsiaTheme="minorEastAsia"/>
              </w:rPr>
            </w:pPr>
            <w:r>
              <w:rPr>
                <w:rFonts w:eastAsiaTheme="minorEastAsia"/>
              </w:rPr>
              <w:t>5</w:t>
            </w:r>
          </w:p>
        </w:tc>
        <w:tc>
          <w:tcPr>
            <w:tcW w:w="846" w:type="pct"/>
            <w:vAlign w:val="center"/>
          </w:tcPr>
          <w:p>
            <w:pPr>
              <w:pStyle w:val="63"/>
              <w:rPr>
                <w:rFonts w:eastAsiaTheme="minorEastAsia"/>
              </w:rPr>
            </w:pPr>
            <w:r>
              <w:rPr>
                <w:rFonts w:eastAsiaTheme="minorEastAsia"/>
              </w:rPr>
              <w:t>5</w:t>
            </w:r>
          </w:p>
        </w:tc>
        <w:tc>
          <w:tcPr>
            <w:tcW w:w="857" w:type="pct"/>
            <w:vAlign w:val="center"/>
          </w:tcPr>
          <w:p>
            <w:pPr>
              <w:pStyle w:val="63"/>
              <w:rPr>
                <w:rFonts w:eastAsiaTheme="minorEastAsia"/>
              </w:rPr>
            </w:pPr>
            <w:r>
              <w:rPr>
                <w:rFonts w:eastAsiaTheme="minorEastAsia"/>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18</w:t>
            </w:r>
          </w:p>
        </w:tc>
        <w:tc>
          <w:tcPr>
            <w:tcW w:w="1394" w:type="pct"/>
            <w:vAlign w:val="center"/>
          </w:tcPr>
          <w:p>
            <w:pPr>
              <w:pStyle w:val="63"/>
              <w:rPr>
                <w:rFonts w:eastAsiaTheme="minorEastAsia"/>
              </w:rPr>
            </w:pPr>
            <w:r>
              <w:rPr>
                <w:rFonts w:eastAsiaTheme="minorEastAsia"/>
              </w:rPr>
              <w:t>1，1，1，2-四氯乙烷</w:t>
            </w:r>
          </w:p>
        </w:tc>
        <w:tc>
          <w:tcPr>
            <w:tcW w:w="772" w:type="pct"/>
            <w:vAlign w:val="center"/>
          </w:tcPr>
          <w:p>
            <w:pPr>
              <w:pStyle w:val="63"/>
              <w:rPr>
                <w:rFonts w:eastAsiaTheme="minorEastAsia"/>
              </w:rPr>
            </w:pPr>
            <w:r>
              <w:rPr>
                <w:rFonts w:eastAsiaTheme="minorEastAsia"/>
              </w:rPr>
              <w:t>2.6</w:t>
            </w:r>
          </w:p>
        </w:tc>
        <w:tc>
          <w:tcPr>
            <w:tcW w:w="822" w:type="pct"/>
            <w:vAlign w:val="center"/>
          </w:tcPr>
          <w:p>
            <w:pPr>
              <w:pStyle w:val="63"/>
              <w:rPr>
                <w:rFonts w:eastAsiaTheme="minorEastAsia"/>
              </w:rPr>
            </w:pPr>
            <w:r>
              <w:rPr>
                <w:rFonts w:eastAsiaTheme="minorEastAsia"/>
              </w:rPr>
              <w:t>10</w:t>
            </w:r>
          </w:p>
        </w:tc>
        <w:tc>
          <w:tcPr>
            <w:tcW w:w="846" w:type="pct"/>
            <w:vAlign w:val="center"/>
          </w:tcPr>
          <w:p>
            <w:pPr>
              <w:pStyle w:val="63"/>
              <w:rPr>
                <w:rFonts w:eastAsiaTheme="minorEastAsia"/>
              </w:rPr>
            </w:pPr>
            <w:r>
              <w:rPr>
                <w:rFonts w:eastAsiaTheme="minorEastAsia"/>
              </w:rPr>
              <w:t>26</w:t>
            </w:r>
          </w:p>
        </w:tc>
        <w:tc>
          <w:tcPr>
            <w:tcW w:w="857" w:type="pct"/>
            <w:vAlign w:val="center"/>
          </w:tcPr>
          <w:p>
            <w:pPr>
              <w:pStyle w:val="63"/>
              <w:rPr>
                <w:rFonts w:eastAsiaTheme="minorEastAsia"/>
              </w:rPr>
            </w:pPr>
            <w:r>
              <w:rPr>
                <w:rFonts w:eastAsiaTheme="minor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19</w:t>
            </w:r>
          </w:p>
        </w:tc>
        <w:tc>
          <w:tcPr>
            <w:tcW w:w="1394" w:type="pct"/>
            <w:vAlign w:val="center"/>
          </w:tcPr>
          <w:p>
            <w:pPr>
              <w:pStyle w:val="63"/>
              <w:rPr>
                <w:rFonts w:eastAsiaTheme="minorEastAsia"/>
              </w:rPr>
            </w:pPr>
            <w:r>
              <w:rPr>
                <w:rFonts w:eastAsiaTheme="minorEastAsia"/>
              </w:rPr>
              <w:t>1，1，2，2-四氯乙烷</w:t>
            </w:r>
          </w:p>
        </w:tc>
        <w:tc>
          <w:tcPr>
            <w:tcW w:w="772" w:type="pct"/>
            <w:vAlign w:val="center"/>
          </w:tcPr>
          <w:p>
            <w:pPr>
              <w:pStyle w:val="63"/>
              <w:rPr>
                <w:rFonts w:eastAsiaTheme="minorEastAsia"/>
              </w:rPr>
            </w:pPr>
            <w:r>
              <w:rPr>
                <w:rFonts w:eastAsiaTheme="minorEastAsia"/>
              </w:rPr>
              <w:t>1.6</w:t>
            </w:r>
          </w:p>
        </w:tc>
        <w:tc>
          <w:tcPr>
            <w:tcW w:w="822" w:type="pct"/>
            <w:vAlign w:val="center"/>
          </w:tcPr>
          <w:p>
            <w:pPr>
              <w:pStyle w:val="63"/>
              <w:rPr>
                <w:rFonts w:eastAsiaTheme="minorEastAsia"/>
              </w:rPr>
            </w:pPr>
            <w:r>
              <w:rPr>
                <w:rFonts w:eastAsiaTheme="minorEastAsia"/>
              </w:rPr>
              <w:t>6.8</w:t>
            </w:r>
          </w:p>
        </w:tc>
        <w:tc>
          <w:tcPr>
            <w:tcW w:w="846" w:type="pct"/>
            <w:vAlign w:val="center"/>
          </w:tcPr>
          <w:p>
            <w:pPr>
              <w:pStyle w:val="63"/>
              <w:rPr>
                <w:rFonts w:eastAsiaTheme="minorEastAsia"/>
              </w:rPr>
            </w:pPr>
            <w:r>
              <w:rPr>
                <w:rFonts w:eastAsiaTheme="minorEastAsia"/>
              </w:rPr>
              <w:t>14</w:t>
            </w:r>
          </w:p>
        </w:tc>
        <w:tc>
          <w:tcPr>
            <w:tcW w:w="857" w:type="pct"/>
            <w:vAlign w:val="center"/>
          </w:tcPr>
          <w:p>
            <w:pPr>
              <w:pStyle w:val="63"/>
              <w:rPr>
                <w:rFonts w:eastAsiaTheme="minorEastAsia"/>
              </w:rPr>
            </w:pPr>
            <w:r>
              <w:rPr>
                <w:rFonts w:eastAsiaTheme="minorEastAsia"/>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20</w:t>
            </w:r>
          </w:p>
        </w:tc>
        <w:tc>
          <w:tcPr>
            <w:tcW w:w="1394" w:type="pct"/>
            <w:vAlign w:val="center"/>
          </w:tcPr>
          <w:p>
            <w:pPr>
              <w:pStyle w:val="63"/>
              <w:rPr>
                <w:rFonts w:eastAsiaTheme="minorEastAsia"/>
              </w:rPr>
            </w:pPr>
            <w:r>
              <w:rPr>
                <w:rFonts w:eastAsiaTheme="minorEastAsia"/>
              </w:rPr>
              <w:t>四氯乙烯</w:t>
            </w:r>
          </w:p>
        </w:tc>
        <w:tc>
          <w:tcPr>
            <w:tcW w:w="772" w:type="pct"/>
            <w:vAlign w:val="center"/>
          </w:tcPr>
          <w:p>
            <w:pPr>
              <w:pStyle w:val="63"/>
              <w:rPr>
                <w:rFonts w:eastAsiaTheme="minorEastAsia"/>
              </w:rPr>
            </w:pPr>
            <w:r>
              <w:rPr>
                <w:rFonts w:eastAsiaTheme="minorEastAsia"/>
              </w:rPr>
              <w:t>11</w:t>
            </w:r>
          </w:p>
        </w:tc>
        <w:tc>
          <w:tcPr>
            <w:tcW w:w="822" w:type="pct"/>
            <w:vAlign w:val="center"/>
          </w:tcPr>
          <w:p>
            <w:pPr>
              <w:pStyle w:val="63"/>
              <w:rPr>
                <w:rFonts w:eastAsiaTheme="minorEastAsia"/>
              </w:rPr>
            </w:pPr>
            <w:r>
              <w:rPr>
                <w:rFonts w:eastAsiaTheme="minorEastAsia"/>
              </w:rPr>
              <w:t>53</w:t>
            </w:r>
          </w:p>
        </w:tc>
        <w:tc>
          <w:tcPr>
            <w:tcW w:w="846" w:type="pct"/>
            <w:vAlign w:val="center"/>
          </w:tcPr>
          <w:p>
            <w:pPr>
              <w:pStyle w:val="63"/>
              <w:rPr>
                <w:rFonts w:eastAsiaTheme="minorEastAsia"/>
              </w:rPr>
            </w:pPr>
            <w:r>
              <w:rPr>
                <w:rFonts w:eastAsiaTheme="minorEastAsia"/>
              </w:rPr>
              <w:t>34</w:t>
            </w:r>
          </w:p>
        </w:tc>
        <w:tc>
          <w:tcPr>
            <w:tcW w:w="857" w:type="pct"/>
            <w:vAlign w:val="center"/>
          </w:tcPr>
          <w:p>
            <w:pPr>
              <w:pStyle w:val="63"/>
              <w:rPr>
                <w:rFonts w:eastAsiaTheme="minorEastAsia"/>
              </w:rPr>
            </w:pPr>
            <w:r>
              <w:rPr>
                <w:rFonts w:eastAsiaTheme="minorEastAsia"/>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21</w:t>
            </w:r>
          </w:p>
        </w:tc>
        <w:tc>
          <w:tcPr>
            <w:tcW w:w="1394" w:type="pct"/>
            <w:vAlign w:val="center"/>
          </w:tcPr>
          <w:p>
            <w:pPr>
              <w:pStyle w:val="63"/>
              <w:rPr>
                <w:rFonts w:eastAsiaTheme="minorEastAsia"/>
              </w:rPr>
            </w:pPr>
            <w:r>
              <w:rPr>
                <w:rFonts w:eastAsiaTheme="minorEastAsia"/>
              </w:rPr>
              <w:t>1，1，1-三氯乙烷</w:t>
            </w:r>
          </w:p>
        </w:tc>
        <w:tc>
          <w:tcPr>
            <w:tcW w:w="772" w:type="pct"/>
            <w:vAlign w:val="center"/>
          </w:tcPr>
          <w:p>
            <w:pPr>
              <w:pStyle w:val="63"/>
              <w:rPr>
                <w:rFonts w:eastAsiaTheme="minorEastAsia"/>
              </w:rPr>
            </w:pPr>
            <w:r>
              <w:rPr>
                <w:rFonts w:eastAsiaTheme="minorEastAsia"/>
              </w:rPr>
              <w:t>701</w:t>
            </w:r>
          </w:p>
        </w:tc>
        <w:tc>
          <w:tcPr>
            <w:tcW w:w="822" w:type="pct"/>
            <w:vAlign w:val="center"/>
          </w:tcPr>
          <w:p>
            <w:pPr>
              <w:pStyle w:val="63"/>
              <w:rPr>
                <w:rFonts w:eastAsiaTheme="minorEastAsia"/>
              </w:rPr>
            </w:pPr>
            <w:r>
              <w:rPr>
                <w:rFonts w:eastAsiaTheme="minorEastAsia"/>
              </w:rPr>
              <w:t>840</w:t>
            </w:r>
          </w:p>
        </w:tc>
        <w:tc>
          <w:tcPr>
            <w:tcW w:w="846" w:type="pct"/>
            <w:vAlign w:val="center"/>
          </w:tcPr>
          <w:p>
            <w:pPr>
              <w:pStyle w:val="63"/>
              <w:rPr>
                <w:rFonts w:eastAsiaTheme="minorEastAsia"/>
              </w:rPr>
            </w:pPr>
            <w:r>
              <w:rPr>
                <w:rFonts w:eastAsiaTheme="minorEastAsia"/>
              </w:rPr>
              <w:t>840</w:t>
            </w:r>
          </w:p>
        </w:tc>
        <w:tc>
          <w:tcPr>
            <w:tcW w:w="857" w:type="pct"/>
            <w:vAlign w:val="center"/>
          </w:tcPr>
          <w:p>
            <w:pPr>
              <w:pStyle w:val="63"/>
              <w:rPr>
                <w:rFonts w:eastAsiaTheme="minorEastAsia"/>
              </w:rPr>
            </w:pPr>
            <w:r>
              <w:rPr>
                <w:rFonts w:eastAsiaTheme="minorEastAsia"/>
              </w:rPr>
              <w:t>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22</w:t>
            </w:r>
          </w:p>
        </w:tc>
        <w:tc>
          <w:tcPr>
            <w:tcW w:w="1394" w:type="pct"/>
            <w:vAlign w:val="center"/>
          </w:tcPr>
          <w:p>
            <w:pPr>
              <w:pStyle w:val="63"/>
              <w:rPr>
                <w:rFonts w:eastAsiaTheme="minorEastAsia"/>
              </w:rPr>
            </w:pPr>
            <w:r>
              <w:rPr>
                <w:rFonts w:eastAsiaTheme="minorEastAsia"/>
              </w:rPr>
              <w:t>1，1，2-三氯乙烷</w:t>
            </w:r>
          </w:p>
        </w:tc>
        <w:tc>
          <w:tcPr>
            <w:tcW w:w="772" w:type="pct"/>
            <w:vAlign w:val="center"/>
          </w:tcPr>
          <w:p>
            <w:pPr>
              <w:pStyle w:val="63"/>
              <w:rPr>
                <w:rFonts w:eastAsiaTheme="minorEastAsia"/>
              </w:rPr>
            </w:pPr>
            <w:r>
              <w:rPr>
                <w:rFonts w:eastAsiaTheme="minorEastAsia"/>
              </w:rPr>
              <w:t>0.6</w:t>
            </w:r>
          </w:p>
        </w:tc>
        <w:tc>
          <w:tcPr>
            <w:tcW w:w="822" w:type="pct"/>
            <w:vAlign w:val="center"/>
          </w:tcPr>
          <w:p>
            <w:pPr>
              <w:pStyle w:val="63"/>
              <w:rPr>
                <w:rFonts w:eastAsiaTheme="minorEastAsia"/>
              </w:rPr>
            </w:pPr>
            <w:r>
              <w:rPr>
                <w:rFonts w:eastAsiaTheme="minorEastAsia"/>
              </w:rPr>
              <w:t>2.8</w:t>
            </w:r>
          </w:p>
        </w:tc>
        <w:tc>
          <w:tcPr>
            <w:tcW w:w="846" w:type="pct"/>
            <w:vAlign w:val="center"/>
          </w:tcPr>
          <w:p>
            <w:pPr>
              <w:pStyle w:val="63"/>
              <w:rPr>
                <w:rFonts w:eastAsiaTheme="minorEastAsia"/>
              </w:rPr>
            </w:pPr>
            <w:r>
              <w:rPr>
                <w:rFonts w:eastAsiaTheme="minorEastAsia"/>
              </w:rPr>
              <w:t>5</w:t>
            </w:r>
          </w:p>
        </w:tc>
        <w:tc>
          <w:tcPr>
            <w:tcW w:w="857" w:type="pct"/>
            <w:vAlign w:val="center"/>
          </w:tcPr>
          <w:p>
            <w:pPr>
              <w:pStyle w:val="63"/>
              <w:rPr>
                <w:rFonts w:eastAsiaTheme="minorEastAsia"/>
              </w:rPr>
            </w:pPr>
            <w:r>
              <w:rPr>
                <w:rFonts w:eastAsiaTheme="minorEastAsi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23</w:t>
            </w:r>
          </w:p>
        </w:tc>
        <w:tc>
          <w:tcPr>
            <w:tcW w:w="1394" w:type="pct"/>
            <w:vAlign w:val="center"/>
          </w:tcPr>
          <w:p>
            <w:pPr>
              <w:pStyle w:val="63"/>
              <w:rPr>
                <w:rFonts w:eastAsiaTheme="minorEastAsia"/>
              </w:rPr>
            </w:pPr>
            <w:r>
              <w:rPr>
                <w:rFonts w:eastAsiaTheme="minorEastAsia"/>
              </w:rPr>
              <w:t>三氯乙烷</w:t>
            </w:r>
          </w:p>
        </w:tc>
        <w:tc>
          <w:tcPr>
            <w:tcW w:w="772" w:type="pct"/>
            <w:vAlign w:val="center"/>
          </w:tcPr>
          <w:p>
            <w:pPr>
              <w:pStyle w:val="63"/>
              <w:rPr>
                <w:rFonts w:eastAsiaTheme="minorEastAsia"/>
              </w:rPr>
            </w:pPr>
            <w:r>
              <w:rPr>
                <w:rFonts w:eastAsiaTheme="minorEastAsia"/>
              </w:rPr>
              <w:t>0.7</w:t>
            </w:r>
          </w:p>
        </w:tc>
        <w:tc>
          <w:tcPr>
            <w:tcW w:w="822" w:type="pct"/>
            <w:vAlign w:val="center"/>
          </w:tcPr>
          <w:p>
            <w:pPr>
              <w:pStyle w:val="63"/>
              <w:rPr>
                <w:rFonts w:eastAsiaTheme="minorEastAsia"/>
              </w:rPr>
            </w:pPr>
            <w:r>
              <w:rPr>
                <w:rFonts w:eastAsiaTheme="minorEastAsia"/>
              </w:rPr>
              <w:t>2.8</w:t>
            </w:r>
          </w:p>
        </w:tc>
        <w:tc>
          <w:tcPr>
            <w:tcW w:w="846" w:type="pct"/>
            <w:vAlign w:val="center"/>
          </w:tcPr>
          <w:p>
            <w:pPr>
              <w:pStyle w:val="63"/>
              <w:rPr>
                <w:rFonts w:eastAsiaTheme="minorEastAsia"/>
              </w:rPr>
            </w:pPr>
            <w:r>
              <w:rPr>
                <w:rFonts w:eastAsiaTheme="minorEastAsia"/>
              </w:rPr>
              <w:t>7</w:t>
            </w:r>
          </w:p>
        </w:tc>
        <w:tc>
          <w:tcPr>
            <w:tcW w:w="857" w:type="pct"/>
            <w:vAlign w:val="center"/>
          </w:tcPr>
          <w:p>
            <w:pPr>
              <w:pStyle w:val="63"/>
              <w:rPr>
                <w:rFonts w:eastAsiaTheme="minorEastAsia"/>
              </w:rPr>
            </w:pPr>
            <w:r>
              <w:rPr>
                <w:rFonts w:eastAsiaTheme="minorEastAsi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24</w:t>
            </w:r>
          </w:p>
        </w:tc>
        <w:tc>
          <w:tcPr>
            <w:tcW w:w="1394" w:type="pct"/>
            <w:vAlign w:val="center"/>
          </w:tcPr>
          <w:p>
            <w:pPr>
              <w:pStyle w:val="63"/>
              <w:rPr>
                <w:rFonts w:eastAsiaTheme="minorEastAsia"/>
              </w:rPr>
            </w:pPr>
            <w:r>
              <w:rPr>
                <w:rFonts w:eastAsiaTheme="minorEastAsia"/>
              </w:rPr>
              <w:t>1，2，3-三氯丙烷</w:t>
            </w:r>
          </w:p>
        </w:tc>
        <w:tc>
          <w:tcPr>
            <w:tcW w:w="772" w:type="pct"/>
            <w:vAlign w:val="center"/>
          </w:tcPr>
          <w:p>
            <w:pPr>
              <w:pStyle w:val="63"/>
              <w:rPr>
                <w:rFonts w:eastAsiaTheme="minorEastAsia"/>
              </w:rPr>
            </w:pPr>
            <w:r>
              <w:rPr>
                <w:rFonts w:eastAsiaTheme="minorEastAsia"/>
              </w:rPr>
              <w:t>0.05</w:t>
            </w:r>
          </w:p>
        </w:tc>
        <w:tc>
          <w:tcPr>
            <w:tcW w:w="822" w:type="pct"/>
            <w:vAlign w:val="center"/>
          </w:tcPr>
          <w:p>
            <w:pPr>
              <w:pStyle w:val="63"/>
              <w:rPr>
                <w:rFonts w:eastAsiaTheme="minorEastAsia"/>
              </w:rPr>
            </w:pPr>
            <w:r>
              <w:rPr>
                <w:rFonts w:eastAsiaTheme="minorEastAsia"/>
              </w:rPr>
              <w:t>0.5</w:t>
            </w:r>
          </w:p>
        </w:tc>
        <w:tc>
          <w:tcPr>
            <w:tcW w:w="846" w:type="pct"/>
            <w:vAlign w:val="center"/>
          </w:tcPr>
          <w:p>
            <w:pPr>
              <w:pStyle w:val="63"/>
              <w:rPr>
                <w:rFonts w:eastAsiaTheme="minorEastAsia"/>
              </w:rPr>
            </w:pPr>
            <w:r>
              <w:rPr>
                <w:rFonts w:eastAsiaTheme="minorEastAsia"/>
              </w:rPr>
              <w:t>0.5</w:t>
            </w:r>
          </w:p>
        </w:tc>
        <w:tc>
          <w:tcPr>
            <w:tcW w:w="857" w:type="pct"/>
            <w:vAlign w:val="center"/>
          </w:tcPr>
          <w:p>
            <w:pPr>
              <w:pStyle w:val="63"/>
              <w:rPr>
                <w:rFonts w:eastAsiaTheme="minorEastAsia"/>
              </w:rPr>
            </w:pPr>
            <w:r>
              <w:rPr>
                <w:rFonts w:eastAsiaTheme="minorEastAsia"/>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25</w:t>
            </w:r>
          </w:p>
        </w:tc>
        <w:tc>
          <w:tcPr>
            <w:tcW w:w="1394" w:type="pct"/>
            <w:vAlign w:val="center"/>
          </w:tcPr>
          <w:p>
            <w:pPr>
              <w:pStyle w:val="63"/>
              <w:rPr>
                <w:rFonts w:eastAsiaTheme="minorEastAsia"/>
              </w:rPr>
            </w:pPr>
            <w:r>
              <w:rPr>
                <w:rFonts w:eastAsiaTheme="minorEastAsia"/>
              </w:rPr>
              <w:t>氯乙烯</w:t>
            </w:r>
          </w:p>
        </w:tc>
        <w:tc>
          <w:tcPr>
            <w:tcW w:w="772" w:type="pct"/>
            <w:vAlign w:val="center"/>
          </w:tcPr>
          <w:p>
            <w:pPr>
              <w:pStyle w:val="63"/>
              <w:rPr>
                <w:rFonts w:eastAsiaTheme="minorEastAsia"/>
              </w:rPr>
            </w:pPr>
            <w:r>
              <w:rPr>
                <w:rFonts w:eastAsiaTheme="minorEastAsia"/>
              </w:rPr>
              <w:t>0.12</w:t>
            </w:r>
          </w:p>
        </w:tc>
        <w:tc>
          <w:tcPr>
            <w:tcW w:w="822" w:type="pct"/>
            <w:vAlign w:val="center"/>
          </w:tcPr>
          <w:p>
            <w:pPr>
              <w:pStyle w:val="63"/>
              <w:rPr>
                <w:rFonts w:eastAsiaTheme="minorEastAsia"/>
              </w:rPr>
            </w:pPr>
            <w:r>
              <w:rPr>
                <w:rFonts w:eastAsiaTheme="minorEastAsia"/>
              </w:rPr>
              <w:t>0.43</w:t>
            </w:r>
          </w:p>
        </w:tc>
        <w:tc>
          <w:tcPr>
            <w:tcW w:w="846" w:type="pct"/>
            <w:vAlign w:val="center"/>
          </w:tcPr>
          <w:p>
            <w:pPr>
              <w:pStyle w:val="63"/>
              <w:rPr>
                <w:rFonts w:eastAsiaTheme="minorEastAsia"/>
              </w:rPr>
            </w:pPr>
            <w:r>
              <w:rPr>
                <w:rFonts w:eastAsiaTheme="minorEastAsia"/>
              </w:rPr>
              <w:t>1.2</w:t>
            </w:r>
          </w:p>
        </w:tc>
        <w:tc>
          <w:tcPr>
            <w:tcW w:w="857" w:type="pct"/>
            <w:vAlign w:val="center"/>
          </w:tcPr>
          <w:p>
            <w:pPr>
              <w:pStyle w:val="63"/>
              <w:rPr>
                <w:rFonts w:eastAsiaTheme="minorEastAsia"/>
              </w:rPr>
            </w:pPr>
            <w:r>
              <w:rPr>
                <w:rFonts w:eastAsiaTheme="minorEastAsia"/>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26</w:t>
            </w:r>
          </w:p>
        </w:tc>
        <w:tc>
          <w:tcPr>
            <w:tcW w:w="1394" w:type="pct"/>
            <w:vAlign w:val="center"/>
          </w:tcPr>
          <w:p>
            <w:pPr>
              <w:pStyle w:val="63"/>
              <w:rPr>
                <w:rFonts w:eastAsiaTheme="minorEastAsia"/>
              </w:rPr>
            </w:pPr>
            <w:r>
              <w:rPr>
                <w:rFonts w:eastAsiaTheme="minorEastAsia"/>
              </w:rPr>
              <w:t>苯</w:t>
            </w:r>
          </w:p>
        </w:tc>
        <w:tc>
          <w:tcPr>
            <w:tcW w:w="772" w:type="pct"/>
            <w:vAlign w:val="center"/>
          </w:tcPr>
          <w:p>
            <w:pPr>
              <w:pStyle w:val="63"/>
              <w:rPr>
                <w:rFonts w:eastAsiaTheme="minorEastAsia"/>
              </w:rPr>
            </w:pPr>
            <w:r>
              <w:rPr>
                <w:rFonts w:eastAsiaTheme="minorEastAsia"/>
              </w:rPr>
              <w:t>1</w:t>
            </w:r>
          </w:p>
        </w:tc>
        <w:tc>
          <w:tcPr>
            <w:tcW w:w="822" w:type="pct"/>
            <w:vAlign w:val="center"/>
          </w:tcPr>
          <w:p>
            <w:pPr>
              <w:pStyle w:val="63"/>
              <w:rPr>
                <w:rFonts w:eastAsiaTheme="minorEastAsia"/>
              </w:rPr>
            </w:pPr>
            <w:r>
              <w:rPr>
                <w:rFonts w:eastAsiaTheme="minorEastAsia"/>
              </w:rPr>
              <w:t>4</w:t>
            </w:r>
          </w:p>
        </w:tc>
        <w:tc>
          <w:tcPr>
            <w:tcW w:w="846" w:type="pct"/>
            <w:vAlign w:val="center"/>
          </w:tcPr>
          <w:p>
            <w:pPr>
              <w:pStyle w:val="63"/>
              <w:rPr>
                <w:rFonts w:eastAsiaTheme="minorEastAsia"/>
              </w:rPr>
            </w:pPr>
            <w:r>
              <w:rPr>
                <w:rFonts w:eastAsiaTheme="minorEastAsia"/>
              </w:rPr>
              <w:t>10</w:t>
            </w:r>
          </w:p>
        </w:tc>
        <w:tc>
          <w:tcPr>
            <w:tcW w:w="857" w:type="pct"/>
            <w:vAlign w:val="center"/>
          </w:tcPr>
          <w:p>
            <w:pPr>
              <w:pStyle w:val="63"/>
              <w:rPr>
                <w:rFonts w:eastAsiaTheme="minorEastAsia"/>
              </w:rPr>
            </w:pPr>
            <w:r>
              <w:rPr>
                <w:rFonts w:eastAsiaTheme="minorEastAsia"/>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27</w:t>
            </w:r>
          </w:p>
        </w:tc>
        <w:tc>
          <w:tcPr>
            <w:tcW w:w="1394" w:type="pct"/>
            <w:vAlign w:val="center"/>
          </w:tcPr>
          <w:p>
            <w:pPr>
              <w:pStyle w:val="63"/>
              <w:rPr>
                <w:rFonts w:eastAsiaTheme="minorEastAsia"/>
              </w:rPr>
            </w:pPr>
            <w:r>
              <w:rPr>
                <w:rFonts w:eastAsiaTheme="minorEastAsia"/>
              </w:rPr>
              <w:t>氯苯</w:t>
            </w:r>
          </w:p>
        </w:tc>
        <w:tc>
          <w:tcPr>
            <w:tcW w:w="772" w:type="pct"/>
            <w:vAlign w:val="center"/>
          </w:tcPr>
          <w:p>
            <w:pPr>
              <w:pStyle w:val="63"/>
              <w:rPr>
                <w:rFonts w:eastAsiaTheme="minorEastAsia"/>
              </w:rPr>
            </w:pPr>
            <w:r>
              <w:rPr>
                <w:rFonts w:eastAsiaTheme="minorEastAsia"/>
              </w:rPr>
              <w:t>68</w:t>
            </w:r>
          </w:p>
        </w:tc>
        <w:tc>
          <w:tcPr>
            <w:tcW w:w="822" w:type="pct"/>
            <w:vAlign w:val="center"/>
          </w:tcPr>
          <w:p>
            <w:pPr>
              <w:pStyle w:val="63"/>
              <w:rPr>
                <w:rFonts w:eastAsiaTheme="minorEastAsia"/>
              </w:rPr>
            </w:pPr>
            <w:r>
              <w:rPr>
                <w:rFonts w:eastAsiaTheme="minorEastAsia"/>
              </w:rPr>
              <w:t>270</w:t>
            </w:r>
          </w:p>
        </w:tc>
        <w:tc>
          <w:tcPr>
            <w:tcW w:w="846" w:type="pct"/>
            <w:vAlign w:val="center"/>
          </w:tcPr>
          <w:p>
            <w:pPr>
              <w:pStyle w:val="63"/>
              <w:rPr>
                <w:rFonts w:eastAsiaTheme="minorEastAsia"/>
              </w:rPr>
            </w:pPr>
            <w:r>
              <w:rPr>
                <w:rFonts w:eastAsiaTheme="minorEastAsia"/>
              </w:rPr>
              <w:t>200</w:t>
            </w:r>
          </w:p>
        </w:tc>
        <w:tc>
          <w:tcPr>
            <w:tcW w:w="857" w:type="pct"/>
            <w:vAlign w:val="center"/>
          </w:tcPr>
          <w:p>
            <w:pPr>
              <w:pStyle w:val="63"/>
              <w:rPr>
                <w:rFonts w:eastAsiaTheme="minorEastAsia"/>
              </w:rPr>
            </w:pPr>
            <w:r>
              <w:rPr>
                <w:rFonts w:eastAsiaTheme="minorEastAsia"/>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28</w:t>
            </w:r>
          </w:p>
        </w:tc>
        <w:tc>
          <w:tcPr>
            <w:tcW w:w="1394" w:type="pct"/>
            <w:vAlign w:val="center"/>
          </w:tcPr>
          <w:p>
            <w:pPr>
              <w:pStyle w:val="63"/>
              <w:rPr>
                <w:rFonts w:eastAsiaTheme="minorEastAsia"/>
              </w:rPr>
            </w:pPr>
            <w:r>
              <w:rPr>
                <w:rFonts w:eastAsiaTheme="minorEastAsia"/>
              </w:rPr>
              <w:t>1，2-二氯苯</w:t>
            </w:r>
          </w:p>
        </w:tc>
        <w:tc>
          <w:tcPr>
            <w:tcW w:w="772" w:type="pct"/>
            <w:vAlign w:val="center"/>
          </w:tcPr>
          <w:p>
            <w:pPr>
              <w:pStyle w:val="63"/>
              <w:rPr>
                <w:rFonts w:eastAsiaTheme="minorEastAsia"/>
              </w:rPr>
            </w:pPr>
            <w:r>
              <w:rPr>
                <w:rFonts w:eastAsiaTheme="minorEastAsia"/>
              </w:rPr>
              <w:t>560</w:t>
            </w:r>
          </w:p>
        </w:tc>
        <w:tc>
          <w:tcPr>
            <w:tcW w:w="822" w:type="pct"/>
            <w:vAlign w:val="center"/>
          </w:tcPr>
          <w:p>
            <w:pPr>
              <w:pStyle w:val="63"/>
              <w:rPr>
                <w:rFonts w:eastAsiaTheme="minorEastAsia"/>
              </w:rPr>
            </w:pPr>
            <w:r>
              <w:rPr>
                <w:rFonts w:eastAsiaTheme="minorEastAsia"/>
              </w:rPr>
              <w:t>560</w:t>
            </w:r>
          </w:p>
        </w:tc>
        <w:tc>
          <w:tcPr>
            <w:tcW w:w="846" w:type="pct"/>
            <w:vAlign w:val="center"/>
          </w:tcPr>
          <w:p>
            <w:pPr>
              <w:pStyle w:val="63"/>
              <w:rPr>
                <w:rFonts w:eastAsiaTheme="minorEastAsia"/>
              </w:rPr>
            </w:pPr>
            <w:r>
              <w:rPr>
                <w:rFonts w:eastAsiaTheme="minorEastAsia"/>
              </w:rPr>
              <w:t>560</w:t>
            </w:r>
          </w:p>
        </w:tc>
        <w:tc>
          <w:tcPr>
            <w:tcW w:w="857" w:type="pct"/>
            <w:vAlign w:val="center"/>
          </w:tcPr>
          <w:p>
            <w:pPr>
              <w:pStyle w:val="63"/>
              <w:rPr>
                <w:rFonts w:eastAsiaTheme="minorEastAsia"/>
              </w:rPr>
            </w:pPr>
            <w:r>
              <w:rPr>
                <w:rFonts w:eastAsiaTheme="minorEastAsia"/>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29</w:t>
            </w:r>
          </w:p>
        </w:tc>
        <w:tc>
          <w:tcPr>
            <w:tcW w:w="1394" w:type="pct"/>
            <w:vAlign w:val="center"/>
          </w:tcPr>
          <w:p>
            <w:pPr>
              <w:pStyle w:val="63"/>
              <w:rPr>
                <w:rFonts w:eastAsiaTheme="minorEastAsia"/>
              </w:rPr>
            </w:pPr>
            <w:r>
              <w:rPr>
                <w:rFonts w:eastAsiaTheme="minorEastAsia"/>
              </w:rPr>
              <w:t>1，4-二氯苯</w:t>
            </w:r>
          </w:p>
        </w:tc>
        <w:tc>
          <w:tcPr>
            <w:tcW w:w="772" w:type="pct"/>
            <w:vAlign w:val="center"/>
          </w:tcPr>
          <w:p>
            <w:pPr>
              <w:pStyle w:val="63"/>
              <w:rPr>
                <w:rFonts w:eastAsiaTheme="minorEastAsia"/>
              </w:rPr>
            </w:pPr>
            <w:r>
              <w:rPr>
                <w:rFonts w:eastAsiaTheme="minorEastAsia"/>
              </w:rPr>
              <w:t>5.6</w:t>
            </w:r>
          </w:p>
        </w:tc>
        <w:tc>
          <w:tcPr>
            <w:tcW w:w="822" w:type="pct"/>
            <w:vAlign w:val="center"/>
          </w:tcPr>
          <w:p>
            <w:pPr>
              <w:pStyle w:val="63"/>
              <w:rPr>
                <w:rFonts w:eastAsiaTheme="minorEastAsia"/>
              </w:rPr>
            </w:pPr>
            <w:r>
              <w:rPr>
                <w:rFonts w:eastAsiaTheme="minorEastAsia"/>
              </w:rPr>
              <w:t>20</w:t>
            </w:r>
          </w:p>
        </w:tc>
        <w:tc>
          <w:tcPr>
            <w:tcW w:w="846" w:type="pct"/>
            <w:vAlign w:val="center"/>
          </w:tcPr>
          <w:p>
            <w:pPr>
              <w:pStyle w:val="63"/>
              <w:rPr>
                <w:rFonts w:eastAsiaTheme="minorEastAsia"/>
              </w:rPr>
            </w:pPr>
            <w:r>
              <w:rPr>
                <w:rFonts w:eastAsiaTheme="minorEastAsia"/>
              </w:rPr>
              <w:t>56</w:t>
            </w:r>
          </w:p>
        </w:tc>
        <w:tc>
          <w:tcPr>
            <w:tcW w:w="857" w:type="pct"/>
            <w:vAlign w:val="center"/>
          </w:tcPr>
          <w:p>
            <w:pPr>
              <w:pStyle w:val="63"/>
              <w:rPr>
                <w:rFonts w:eastAsiaTheme="minorEastAsia"/>
              </w:rPr>
            </w:pPr>
            <w:r>
              <w:rPr>
                <w:rFonts w:eastAsiaTheme="minorEastAsi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30</w:t>
            </w:r>
          </w:p>
        </w:tc>
        <w:tc>
          <w:tcPr>
            <w:tcW w:w="1394" w:type="pct"/>
            <w:vAlign w:val="center"/>
          </w:tcPr>
          <w:p>
            <w:pPr>
              <w:pStyle w:val="63"/>
              <w:rPr>
                <w:rFonts w:eastAsiaTheme="minorEastAsia"/>
              </w:rPr>
            </w:pPr>
            <w:r>
              <w:rPr>
                <w:rFonts w:eastAsiaTheme="minorEastAsia"/>
              </w:rPr>
              <w:t>乙苯</w:t>
            </w:r>
          </w:p>
        </w:tc>
        <w:tc>
          <w:tcPr>
            <w:tcW w:w="772" w:type="pct"/>
            <w:vAlign w:val="center"/>
          </w:tcPr>
          <w:p>
            <w:pPr>
              <w:pStyle w:val="63"/>
              <w:rPr>
                <w:rFonts w:eastAsiaTheme="minorEastAsia"/>
              </w:rPr>
            </w:pPr>
            <w:r>
              <w:rPr>
                <w:rFonts w:eastAsiaTheme="minorEastAsia"/>
              </w:rPr>
              <w:t>7.2</w:t>
            </w:r>
          </w:p>
        </w:tc>
        <w:tc>
          <w:tcPr>
            <w:tcW w:w="822" w:type="pct"/>
            <w:vAlign w:val="center"/>
          </w:tcPr>
          <w:p>
            <w:pPr>
              <w:pStyle w:val="63"/>
              <w:rPr>
                <w:rFonts w:eastAsiaTheme="minorEastAsia"/>
              </w:rPr>
            </w:pPr>
            <w:r>
              <w:rPr>
                <w:rFonts w:eastAsiaTheme="minorEastAsia"/>
              </w:rPr>
              <w:t>28</w:t>
            </w:r>
          </w:p>
        </w:tc>
        <w:tc>
          <w:tcPr>
            <w:tcW w:w="846" w:type="pct"/>
            <w:vAlign w:val="center"/>
          </w:tcPr>
          <w:p>
            <w:pPr>
              <w:pStyle w:val="63"/>
              <w:rPr>
                <w:rFonts w:eastAsiaTheme="minorEastAsia"/>
              </w:rPr>
            </w:pPr>
            <w:r>
              <w:rPr>
                <w:rFonts w:eastAsiaTheme="minorEastAsia"/>
              </w:rPr>
              <w:t>72</w:t>
            </w:r>
          </w:p>
        </w:tc>
        <w:tc>
          <w:tcPr>
            <w:tcW w:w="857" w:type="pct"/>
            <w:vAlign w:val="center"/>
          </w:tcPr>
          <w:p>
            <w:pPr>
              <w:pStyle w:val="63"/>
              <w:rPr>
                <w:rFonts w:eastAsiaTheme="minorEastAsia"/>
              </w:rPr>
            </w:pPr>
            <w:r>
              <w:rPr>
                <w:rFonts w:eastAsiaTheme="minorEastAsia"/>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31</w:t>
            </w:r>
          </w:p>
        </w:tc>
        <w:tc>
          <w:tcPr>
            <w:tcW w:w="1394" w:type="pct"/>
            <w:vAlign w:val="center"/>
          </w:tcPr>
          <w:p>
            <w:pPr>
              <w:pStyle w:val="63"/>
              <w:rPr>
                <w:rFonts w:eastAsiaTheme="minorEastAsia"/>
              </w:rPr>
            </w:pPr>
            <w:r>
              <w:rPr>
                <w:rFonts w:eastAsiaTheme="minorEastAsia"/>
              </w:rPr>
              <w:t>苯乙烯</w:t>
            </w:r>
          </w:p>
        </w:tc>
        <w:tc>
          <w:tcPr>
            <w:tcW w:w="772" w:type="pct"/>
            <w:vAlign w:val="center"/>
          </w:tcPr>
          <w:p>
            <w:pPr>
              <w:pStyle w:val="63"/>
              <w:rPr>
                <w:rFonts w:eastAsiaTheme="minorEastAsia"/>
              </w:rPr>
            </w:pPr>
            <w:r>
              <w:rPr>
                <w:rFonts w:eastAsiaTheme="minorEastAsia"/>
              </w:rPr>
              <w:t>1290</w:t>
            </w:r>
          </w:p>
        </w:tc>
        <w:tc>
          <w:tcPr>
            <w:tcW w:w="822" w:type="pct"/>
            <w:vAlign w:val="center"/>
          </w:tcPr>
          <w:p>
            <w:pPr>
              <w:pStyle w:val="63"/>
              <w:rPr>
                <w:rFonts w:eastAsiaTheme="minorEastAsia"/>
              </w:rPr>
            </w:pPr>
            <w:r>
              <w:rPr>
                <w:rFonts w:eastAsiaTheme="minorEastAsia"/>
              </w:rPr>
              <w:t>1290</w:t>
            </w:r>
          </w:p>
        </w:tc>
        <w:tc>
          <w:tcPr>
            <w:tcW w:w="846" w:type="pct"/>
            <w:vAlign w:val="center"/>
          </w:tcPr>
          <w:p>
            <w:pPr>
              <w:pStyle w:val="63"/>
              <w:rPr>
                <w:rFonts w:eastAsiaTheme="minorEastAsia"/>
              </w:rPr>
            </w:pPr>
            <w:r>
              <w:rPr>
                <w:rFonts w:eastAsiaTheme="minorEastAsia"/>
              </w:rPr>
              <w:t>1290</w:t>
            </w:r>
          </w:p>
        </w:tc>
        <w:tc>
          <w:tcPr>
            <w:tcW w:w="857" w:type="pct"/>
            <w:vAlign w:val="center"/>
          </w:tcPr>
          <w:p>
            <w:pPr>
              <w:pStyle w:val="63"/>
              <w:rPr>
                <w:rFonts w:eastAsiaTheme="minorEastAsia"/>
              </w:rPr>
            </w:pPr>
            <w:r>
              <w:rPr>
                <w:rFonts w:eastAsiaTheme="minorEastAsia"/>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32</w:t>
            </w:r>
          </w:p>
        </w:tc>
        <w:tc>
          <w:tcPr>
            <w:tcW w:w="1394" w:type="pct"/>
            <w:vAlign w:val="center"/>
          </w:tcPr>
          <w:p>
            <w:pPr>
              <w:pStyle w:val="63"/>
              <w:rPr>
                <w:rFonts w:eastAsiaTheme="minorEastAsia"/>
              </w:rPr>
            </w:pPr>
            <w:r>
              <w:rPr>
                <w:rFonts w:eastAsiaTheme="minorEastAsia"/>
              </w:rPr>
              <w:t>甲苯</w:t>
            </w:r>
          </w:p>
        </w:tc>
        <w:tc>
          <w:tcPr>
            <w:tcW w:w="772" w:type="pct"/>
            <w:vAlign w:val="center"/>
          </w:tcPr>
          <w:p>
            <w:pPr>
              <w:pStyle w:val="63"/>
              <w:rPr>
                <w:rFonts w:eastAsiaTheme="minorEastAsia"/>
              </w:rPr>
            </w:pPr>
            <w:r>
              <w:rPr>
                <w:rFonts w:eastAsiaTheme="minorEastAsia"/>
              </w:rPr>
              <w:t>1200</w:t>
            </w:r>
          </w:p>
        </w:tc>
        <w:tc>
          <w:tcPr>
            <w:tcW w:w="822" w:type="pct"/>
            <w:vAlign w:val="center"/>
          </w:tcPr>
          <w:p>
            <w:pPr>
              <w:pStyle w:val="63"/>
              <w:rPr>
                <w:rFonts w:eastAsiaTheme="minorEastAsia"/>
              </w:rPr>
            </w:pPr>
            <w:r>
              <w:rPr>
                <w:rFonts w:eastAsiaTheme="minorEastAsia"/>
              </w:rPr>
              <w:t>1200</w:t>
            </w:r>
          </w:p>
        </w:tc>
        <w:tc>
          <w:tcPr>
            <w:tcW w:w="846" w:type="pct"/>
            <w:vAlign w:val="center"/>
          </w:tcPr>
          <w:p>
            <w:pPr>
              <w:pStyle w:val="63"/>
              <w:rPr>
                <w:rFonts w:eastAsiaTheme="minorEastAsia"/>
              </w:rPr>
            </w:pPr>
            <w:r>
              <w:rPr>
                <w:rFonts w:eastAsiaTheme="minorEastAsia"/>
              </w:rPr>
              <w:t>1200</w:t>
            </w:r>
          </w:p>
        </w:tc>
        <w:tc>
          <w:tcPr>
            <w:tcW w:w="857" w:type="pct"/>
            <w:vAlign w:val="center"/>
          </w:tcPr>
          <w:p>
            <w:pPr>
              <w:pStyle w:val="63"/>
              <w:rPr>
                <w:rFonts w:eastAsiaTheme="minorEastAsia"/>
              </w:rPr>
            </w:pPr>
            <w:r>
              <w:rPr>
                <w:rFonts w:eastAsiaTheme="minorEastAsia"/>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33</w:t>
            </w:r>
          </w:p>
        </w:tc>
        <w:tc>
          <w:tcPr>
            <w:tcW w:w="1394" w:type="pct"/>
            <w:vAlign w:val="center"/>
          </w:tcPr>
          <w:p>
            <w:pPr>
              <w:pStyle w:val="63"/>
              <w:rPr>
                <w:rFonts w:eastAsiaTheme="minorEastAsia"/>
              </w:rPr>
            </w:pPr>
            <w:r>
              <w:rPr>
                <w:rFonts w:eastAsiaTheme="minorEastAsia"/>
              </w:rPr>
              <w:t>间二甲苯+对二甲苯</w:t>
            </w:r>
          </w:p>
        </w:tc>
        <w:tc>
          <w:tcPr>
            <w:tcW w:w="772" w:type="pct"/>
            <w:vAlign w:val="center"/>
          </w:tcPr>
          <w:p>
            <w:pPr>
              <w:pStyle w:val="63"/>
              <w:rPr>
                <w:rFonts w:eastAsiaTheme="minorEastAsia"/>
              </w:rPr>
            </w:pPr>
            <w:r>
              <w:rPr>
                <w:rFonts w:eastAsiaTheme="minorEastAsia"/>
              </w:rPr>
              <w:t>163</w:t>
            </w:r>
          </w:p>
        </w:tc>
        <w:tc>
          <w:tcPr>
            <w:tcW w:w="822" w:type="pct"/>
            <w:vAlign w:val="center"/>
          </w:tcPr>
          <w:p>
            <w:pPr>
              <w:pStyle w:val="63"/>
              <w:rPr>
                <w:rFonts w:eastAsiaTheme="minorEastAsia"/>
              </w:rPr>
            </w:pPr>
            <w:r>
              <w:rPr>
                <w:rFonts w:eastAsiaTheme="minorEastAsia"/>
              </w:rPr>
              <w:t>570</w:t>
            </w:r>
          </w:p>
        </w:tc>
        <w:tc>
          <w:tcPr>
            <w:tcW w:w="846" w:type="pct"/>
            <w:vAlign w:val="center"/>
          </w:tcPr>
          <w:p>
            <w:pPr>
              <w:pStyle w:val="63"/>
              <w:rPr>
                <w:rFonts w:eastAsiaTheme="minorEastAsia"/>
              </w:rPr>
            </w:pPr>
            <w:r>
              <w:rPr>
                <w:rFonts w:eastAsiaTheme="minorEastAsia"/>
              </w:rPr>
              <w:t>500</w:t>
            </w:r>
          </w:p>
        </w:tc>
        <w:tc>
          <w:tcPr>
            <w:tcW w:w="857" w:type="pct"/>
            <w:vAlign w:val="center"/>
          </w:tcPr>
          <w:p>
            <w:pPr>
              <w:pStyle w:val="63"/>
              <w:rPr>
                <w:rFonts w:eastAsiaTheme="minorEastAsia"/>
              </w:rPr>
            </w:pPr>
            <w:r>
              <w:rPr>
                <w:rFonts w:eastAsiaTheme="minorEastAsia"/>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34</w:t>
            </w:r>
          </w:p>
        </w:tc>
        <w:tc>
          <w:tcPr>
            <w:tcW w:w="1394" w:type="pct"/>
            <w:vAlign w:val="center"/>
          </w:tcPr>
          <w:p>
            <w:pPr>
              <w:pStyle w:val="63"/>
              <w:rPr>
                <w:rFonts w:eastAsiaTheme="minorEastAsia"/>
              </w:rPr>
            </w:pPr>
            <w:r>
              <w:rPr>
                <w:rFonts w:eastAsiaTheme="minorEastAsia"/>
              </w:rPr>
              <w:t>邻二甲苯</w:t>
            </w:r>
          </w:p>
        </w:tc>
        <w:tc>
          <w:tcPr>
            <w:tcW w:w="772" w:type="pct"/>
            <w:vAlign w:val="center"/>
          </w:tcPr>
          <w:p>
            <w:pPr>
              <w:pStyle w:val="63"/>
              <w:rPr>
                <w:rFonts w:eastAsiaTheme="minorEastAsia"/>
              </w:rPr>
            </w:pPr>
            <w:r>
              <w:rPr>
                <w:rFonts w:eastAsiaTheme="minorEastAsia"/>
              </w:rPr>
              <w:t>222</w:t>
            </w:r>
          </w:p>
        </w:tc>
        <w:tc>
          <w:tcPr>
            <w:tcW w:w="822" w:type="pct"/>
            <w:vAlign w:val="center"/>
          </w:tcPr>
          <w:p>
            <w:pPr>
              <w:pStyle w:val="63"/>
              <w:rPr>
                <w:rFonts w:eastAsiaTheme="minorEastAsia"/>
              </w:rPr>
            </w:pPr>
            <w:r>
              <w:rPr>
                <w:rFonts w:eastAsiaTheme="minorEastAsia"/>
              </w:rPr>
              <w:t>640</w:t>
            </w:r>
          </w:p>
        </w:tc>
        <w:tc>
          <w:tcPr>
            <w:tcW w:w="846" w:type="pct"/>
            <w:vAlign w:val="center"/>
          </w:tcPr>
          <w:p>
            <w:pPr>
              <w:pStyle w:val="63"/>
              <w:rPr>
                <w:rFonts w:eastAsiaTheme="minorEastAsia"/>
              </w:rPr>
            </w:pPr>
            <w:r>
              <w:rPr>
                <w:rFonts w:eastAsiaTheme="minorEastAsia"/>
              </w:rPr>
              <w:t>640</w:t>
            </w:r>
          </w:p>
        </w:tc>
        <w:tc>
          <w:tcPr>
            <w:tcW w:w="857" w:type="pct"/>
            <w:vAlign w:val="center"/>
          </w:tcPr>
          <w:p>
            <w:pPr>
              <w:pStyle w:val="63"/>
              <w:rPr>
                <w:rFonts w:eastAsiaTheme="minorEastAsia"/>
              </w:rPr>
            </w:pPr>
            <w:r>
              <w:rPr>
                <w:rFonts w:eastAsiaTheme="minorEastAsia"/>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63"/>
              <w:rPr>
                <w:rFonts w:eastAsiaTheme="minorEastAsia"/>
              </w:rPr>
            </w:pPr>
            <w:r>
              <w:rPr>
                <w:rFonts w:eastAsiaTheme="minorEastAsia"/>
              </w:rPr>
              <w:t>半挥发性有机物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35</w:t>
            </w:r>
          </w:p>
        </w:tc>
        <w:tc>
          <w:tcPr>
            <w:tcW w:w="1394" w:type="pct"/>
            <w:vAlign w:val="center"/>
          </w:tcPr>
          <w:p>
            <w:pPr>
              <w:pStyle w:val="63"/>
              <w:rPr>
                <w:rFonts w:eastAsiaTheme="minorEastAsia"/>
              </w:rPr>
            </w:pPr>
            <w:r>
              <w:rPr>
                <w:rFonts w:eastAsiaTheme="minorEastAsia"/>
              </w:rPr>
              <w:t>硝基苯</w:t>
            </w:r>
          </w:p>
        </w:tc>
        <w:tc>
          <w:tcPr>
            <w:tcW w:w="772" w:type="pct"/>
            <w:vAlign w:val="center"/>
          </w:tcPr>
          <w:p>
            <w:pPr>
              <w:pStyle w:val="63"/>
              <w:rPr>
                <w:rFonts w:eastAsiaTheme="minorEastAsia"/>
              </w:rPr>
            </w:pPr>
            <w:r>
              <w:rPr>
                <w:rFonts w:eastAsiaTheme="minorEastAsia"/>
              </w:rPr>
              <w:t>34</w:t>
            </w:r>
          </w:p>
        </w:tc>
        <w:tc>
          <w:tcPr>
            <w:tcW w:w="822" w:type="pct"/>
            <w:vAlign w:val="center"/>
          </w:tcPr>
          <w:p>
            <w:pPr>
              <w:pStyle w:val="63"/>
              <w:rPr>
                <w:rFonts w:eastAsiaTheme="minorEastAsia"/>
              </w:rPr>
            </w:pPr>
            <w:r>
              <w:rPr>
                <w:rFonts w:eastAsiaTheme="minorEastAsia"/>
              </w:rPr>
              <w:t>76</w:t>
            </w:r>
          </w:p>
        </w:tc>
        <w:tc>
          <w:tcPr>
            <w:tcW w:w="846" w:type="pct"/>
            <w:vAlign w:val="center"/>
          </w:tcPr>
          <w:p>
            <w:pPr>
              <w:pStyle w:val="63"/>
              <w:rPr>
                <w:rFonts w:eastAsiaTheme="minorEastAsia"/>
              </w:rPr>
            </w:pPr>
            <w:r>
              <w:rPr>
                <w:rFonts w:eastAsiaTheme="minorEastAsia"/>
              </w:rPr>
              <w:t>190</w:t>
            </w:r>
          </w:p>
        </w:tc>
        <w:tc>
          <w:tcPr>
            <w:tcW w:w="857" w:type="pct"/>
            <w:vAlign w:val="center"/>
          </w:tcPr>
          <w:p>
            <w:pPr>
              <w:pStyle w:val="63"/>
              <w:rPr>
                <w:rFonts w:eastAsiaTheme="minorEastAsia"/>
              </w:rPr>
            </w:pPr>
            <w:r>
              <w:rPr>
                <w:rFonts w:eastAsiaTheme="minorEastAsia"/>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36</w:t>
            </w:r>
          </w:p>
        </w:tc>
        <w:tc>
          <w:tcPr>
            <w:tcW w:w="1394" w:type="pct"/>
            <w:vAlign w:val="center"/>
          </w:tcPr>
          <w:p>
            <w:pPr>
              <w:pStyle w:val="63"/>
              <w:rPr>
                <w:rFonts w:eastAsiaTheme="minorEastAsia"/>
              </w:rPr>
            </w:pPr>
            <w:r>
              <w:rPr>
                <w:rFonts w:eastAsiaTheme="minorEastAsia"/>
              </w:rPr>
              <w:t>苯胺</w:t>
            </w:r>
          </w:p>
        </w:tc>
        <w:tc>
          <w:tcPr>
            <w:tcW w:w="772" w:type="pct"/>
            <w:vAlign w:val="center"/>
          </w:tcPr>
          <w:p>
            <w:pPr>
              <w:pStyle w:val="63"/>
              <w:rPr>
                <w:rFonts w:eastAsiaTheme="minorEastAsia"/>
              </w:rPr>
            </w:pPr>
            <w:r>
              <w:rPr>
                <w:rFonts w:eastAsiaTheme="minorEastAsia"/>
              </w:rPr>
              <w:t>92</w:t>
            </w:r>
          </w:p>
        </w:tc>
        <w:tc>
          <w:tcPr>
            <w:tcW w:w="822" w:type="pct"/>
            <w:vAlign w:val="center"/>
          </w:tcPr>
          <w:p>
            <w:pPr>
              <w:pStyle w:val="63"/>
              <w:rPr>
                <w:rFonts w:eastAsiaTheme="minorEastAsia"/>
              </w:rPr>
            </w:pPr>
            <w:r>
              <w:rPr>
                <w:rFonts w:eastAsiaTheme="minorEastAsia"/>
              </w:rPr>
              <w:t>260</w:t>
            </w:r>
          </w:p>
        </w:tc>
        <w:tc>
          <w:tcPr>
            <w:tcW w:w="846" w:type="pct"/>
            <w:vAlign w:val="center"/>
          </w:tcPr>
          <w:p>
            <w:pPr>
              <w:pStyle w:val="63"/>
              <w:rPr>
                <w:rFonts w:eastAsiaTheme="minorEastAsia"/>
              </w:rPr>
            </w:pPr>
            <w:r>
              <w:rPr>
                <w:rFonts w:eastAsiaTheme="minorEastAsia"/>
              </w:rPr>
              <w:t>211</w:t>
            </w:r>
          </w:p>
        </w:tc>
        <w:tc>
          <w:tcPr>
            <w:tcW w:w="857" w:type="pct"/>
            <w:vAlign w:val="center"/>
          </w:tcPr>
          <w:p>
            <w:pPr>
              <w:pStyle w:val="63"/>
              <w:rPr>
                <w:rFonts w:eastAsiaTheme="minorEastAsia"/>
              </w:rPr>
            </w:pPr>
            <w:r>
              <w:rPr>
                <w:rFonts w:eastAsiaTheme="minorEastAsia"/>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37</w:t>
            </w:r>
          </w:p>
        </w:tc>
        <w:tc>
          <w:tcPr>
            <w:tcW w:w="1394" w:type="pct"/>
            <w:vAlign w:val="center"/>
          </w:tcPr>
          <w:p>
            <w:pPr>
              <w:pStyle w:val="63"/>
              <w:rPr>
                <w:rFonts w:eastAsiaTheme="minorEastAsia"/>
              </w:rPr>
            </w:pPr>
            <w:r>
              <w:rPr>
                <w:rFonts w:eastAsiaTheme="minorEastAsia"/>
              </w:rPr>
              <w:t>2-氯酚</w:t>
            </w:r>
          </w:p>
        </w:tc>
        <w:tc>
          <w:tcPr>
            <w:tcW w:w="772" w:type="pct"/>
            <w:vAlign w:val="center"/>
          </w:tcPr>
          <w:p>
            <w:pPr>
              <w:pStyle w:val="63"/>
              <w:rPr>
                <w:rFonts w:eastAsiaTheme="minorEastAsia"/>
              </w:rPr>
            </w:pPr>
            <w:r>
              <w:rPr>
                <w:rFonts w:eastAsiaTheme="minorEastAsia"/>
              </w:rPr>
              <w:t>250</w:t>
            </w:r>
          </w:p>
        </w:tc>
        <w:tc>
          <w:tcPr>
            <w:tcW w:w="822" w:type="pct"/>
            <w:vAlign w:val="center"/>
          </w:tcPr>
          <w:p>
            <w:pPr>
              <w:pStyle w:val="63"/>
              <w:rPr>
                <w:rFonts w:eastAsiaTheme="minorEastAsia"/>
              </w:rPr>
            </w:pPr>
            <w:r>
              <w:rPr>
                <w:rFonts w:eastAsiaTheme="minorEastAsia"/>
              </w:rPr>
              <w:t>2256</w:t>
            </w:r>
          </w:p>
        </w:tc>
        <w:tc>
          <w:tcPr>
            <w:tcW w:w="846" w:type="pct"/>
            <w:vAlign w:val="center"/>
          </w:tcPr>
          <w:p>
            <w:pPr>
              <w:pStyle w:val="63"/>
              <w:rPr>
                <w:rFonts w:eastAsiaTheme="minorEastAsia"/>
              </w:rPr>
            </w:pPr>
            <w:r>
              <w:rPr>
                <w:rFonts w:eastAsiaTheme="minorEastAsia"/>
              </w:rPr>
              <w:t>500</w:t>
            </w:r>
          </w:p>
        </w:tc>
        <w:tc>
          <w:tcPr>
            <w:tcW w:w="857" w:type="pct"/>
            <w:vAlign w:val="center"/>
          </w:tcPr>
          <w:p>
            <w:pPr>
              <w:pStyle w:val="63"/>
              <w:rPr>
                <w:rFonts w:eastAsiaTheme="minorEastAsia"/>
              </w:rPr>
            </w:pPr>
            <w:r>
              <w:rPr>
                <w:rFonts w:eastAsiaTheme="minorEastAsia"/>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38</w:t>
            </w:r>
          </w:p>
        </w:tc>
        <w:tc>
          <w:tcPr>
            <w:tcW w:w="1394" w:type="pct"/>
            <w:vAlign w:val="center"/>
          </w:tcPr>
          <w:p>
            <w:pPr>
              <w:pStyle w:val="63"/>
              <w:rPr>
                <w:rFonts w:eastAsiaTheme="minorEastAsia"/>
              </w:rPr>
            </w:pPr>
            <w:r>
              <w:rPr>
                <w:rFonts w:eastAsiaTheme="minorEastAsia"/>
              </w:rPr>
              <w:t>苯并[a]蒽</w:t>
            </w:r>
          </w:p>
        </w:tc>
        <w:tc>
          <w:tcPr>
            <w:tcW w:w="772" w:type="pct"/>
            <w:vAlign w:val="center"/>
          </w:tcPr>
          <w:p>
            <w:pPr>
              <w:pStyle w:val="63"/>
              <w:rPr>
                <w:rFonts w:eastAsiaTheme="minorEastAsia"/>
              </w:rPr>
            </w:pPr>
            <w:r>
              <w:rPr>
                <w:rFonts w:eastAsiaTheme="minorEastAsia"/>
              </w:rPr>
              <w:t>5.5</w:t>
            </w:r>
          </w:p>
        </w:tc>
        <w:tc>
          <w:tcPr>
            <w:tcW w:w="822" w:type="pct"/>
            <w:vAlign w:val="center"/>
          </w:tcPr>
          <w:p>
            <w:pPr>
              <w:pStyle w:val="63"/>
              <w:rPr>
                <w:rFonts w:eastAsiaTheme="minorEastAsia"/>
              </w:rPr>
            </w:pPr>
            <w:r>
              <w:rPr>
                <w:rFonts w:eastAsiaTheme="minorEastAsia"/>
              </w:rPr>
              <w:t>15</w:t>
            </w:r>
          </w:p>
        </w:tc>
        <w:tc>
          <w:tcPr>
            <w:tcW w:w="846" w:type="pct"/>
            <w:vAlign w:val="center"/>
          </w:tcPr>
          <w:p>
            <w:pPr>
              <w:pStyle w:val="63"/>
              <w:rPr>
                <w:rFonts w:eastAsiaTheme="minorEastAsia"/>
              </w:rPr>
            </w:pPr>
            <w:r>
              <w:rPr>
                <w:rFonts w:eastAsiaTheme="minorEastAsia"/>
              </w:rPr>
              <w:t>55</w:t>
            </w:r>
          </w:p>
        </w:tc>
        <w:tc>
          <w:tcPr>
            <w:tcW w:w="857" w:type="pct"/>
            <w:vAlign w:val="center"/>
          </w:tcPr>
          <w:p>
            <w:pPr>
              <w:pStyle w:val="63"/>
              <w:rPr>
                <w:rFonts w:eastAsiaTheme="minorEastAsia"/>
              </w:rPr>
            </w:pPr>
            <w:r>
              <w:rPr>
                <w:rFonts w:eastAsiaTheme="minorEastAsia"/>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39</w:t>
            </w:r>
          </w:p>
        </w:tc>
        <w:tc>
          <w:tcPr>
            <w:tcW w:w="1394" w:type="pct"/>
            <w:vAlign w:val="center"/>
          </w:tcPr>
          <w:p>
            <w:pPr>
              <w:pStyle w:val="63"/>
              <w:rPr>
                <w:rFonts w:eastAsiaTheme="minorEastAsia"/>
              </w:rPr>
            </w:pPr>
            <w:r>
              <w:rPr>
                <w:rFonts w:eastAsiaTheme="minorEastAsia"/>
              </w:rPr>
              <w:t>苯并[a]芘</w:t>
            </w:r>
          </w:p>
        </w:tc>
        <w:tc>
          <w:tcPr>
            <w:tcW w:w="772" w:type="pct"/>
            <w:vAlign w:val="center"/>
          </w:tcPr>
          <w:p>
            <w:pPr>
              <w:pStyle w:val="63"/>
              <w:rPr>
                <w:rFonts w:eastAsiaTheme="minorEastAsia"/>
              </w:rPr>
            </w:pPr>
            <w:r>
              <w:rPr>
                <w:rFonts w:eastAsiaTheme="minorEastAsia"/>
              </w:rPr>
              <w:t>0.55</w:t>
            </w:r>
          </w:p>
        </w:tc>
        <w:tc>
          <w:tcPr>
            <w:tcW w:w="822" w:type="pct"/>
            <w:vAlign w:val="center"/>
          </w:tcPr>
          <w:p>
            <w:pPr>
              <w:pStyle w:val="63"/>
              <w:rPr>
                <w:rFonts w:eastAsiaTheme="minorEastAsia"/>
              </w:rPr>
            </w:pPr>
            <w:r>
              <w:rPr>
                <w:rFonts w:eastAsiaTheme="minorEastAsia"/>
              </w:rPr>
              <w:t>1.5</w:t>
            </w:r>
          </w:p>
        </w:tc>
        <w:tc>
          <w:tcPr>
            <w:tcW w:w="846" w:type="pct"/>
            <w:vAlign w:val="center"/>
          </w:tcPr>
          <w:p>
            <w:pPr>
              <w:pStyle w:val="63"/>
              <w:rPr>
                <w:rFonts w:eastAsiaTheme="minorEastAsia"/>
              </w:rPr>
            </w:pPr>
            <w:r>
              <w:rPr>
                <w:rFonts w:eastAsiaTheme="minorEastAsia"/>
              </w:rPr>
              <w:t>5.5</w:t>
            </w:r>
          </w:p>
        </w:tc>
        <w:tc>
          <w:tcPr>
            <w:tcW w:w="857" w:type="pct"/>
            <w:vAlign w:val="center"/>
          </w:tcPr>
          <w:p>
            <w:pPr>
              <w:pStyle w:val="63"/>
              <w:rPr>
                <w:rFonts w:eastAsiaTheme="minorEastAsia"/>
              </w:rPr>
            </w:pPr>
            <w:r>
              <w:rPr>
                <w:rFonts w:eastAsiaTheme="minorEastAsi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40</w:t>
            </w:r>
          </w:p>
        </w:tc>
        <w:tc>
          <w:tcPr>
            <w:tcW w:w="1394" w:type="pct"/>
            <w:vAlign w:val="center"/>
          </w:tcPr>
          <w:p>
            <w:pPr>
              <w:pStyle w:val="63"/>
              <w:rPr>
                <w:rFonts w:eastAsiaTheme="minorEastAsia"/>
              </w:rPr>
            </w:pPr>
            <w:r>
              <w:rPr>
                <w:rFonts w:eastAsiaTheme="minorEastAsia"/>
              </w:rPr>
              <w:t>苯并[b]荧蒽</w:t>
            </w:r>
          </w:p>
        </w:tc>
        <w:tc>
          <w:tcPr>
            <w:tcW w:w="772" w:type="pct"/>
            <w:vAlign w:val="center"/>
          </w:tcPr>
          <w:p>
            <w:pPr>
              <w:pStyle w:val="63"/>
              <w:rPr>
                <w:rFonts w:eastAsiaTheme="minorEastAsia"/>
              </w:rPr>
            </w:pPr>
            <w:r>
              <w:rPr>
                <w:rFonts w:eastAsiaTheme="minorEastAsia"/>
              </w:rPr>
              <w:t>5.5</w:t>
            </w:r>
          </w:p>
        </w:tc>
        <w:tc>
          <w:tcPr>
            <w:tcW w:w="822" w:type="pct"/>
            <w:vAlign w:val="center"/>
          </w:tcPr>
          <w:p>
            <w:pPr>
              <w:pStyle w:val="63"/>
              <w:rPr>
                <w:rFonts w:eastAsiaTheme="minorEastAsia"/>
              </w:rPr>
            </w:pPr>
            <w:r>
              <w:rPr>
                <w:rFonts w:eastAsiaTheme="minorEastAsia"/>
              </w:rPr>
              <w:t>15</w:t>
            </w:r>
          </w:p>
        </w:tc>
        <w:tc>
          <w:tcPr>
            <w:tcW w:w="846" w:type="pct"/>
            <w:vAlign w:val="center"/>
          </w:tcPr>
          <w:p>
            <w:pPr>
              <w:pStyle w:val="63"/>
              <w:rPr>
                <w:rFonts w:eastAsiaTheme="minorEastAsia"/>
              </w:rPr>
            </w:pPr>
            <w:r>
              <w:rPr>
                <w:rFonts w:eastAsiaTheme="minorEastAsia"/>
              </w:rPr>
              <w:t>55</w:t>
            </w:r>
          </w:p>
        </w:tc>
        <w:tc>
          <w:tcPr>
            <w:tcW w:w="857" w:type="pct"/>
            <w:vAlign w:val="center"/>
          </w:tcPr>
          <w:p>
            <w:pPr>
              <w:pStyle w:val="63"/>
              <w:rPr>
                <w:rFonts w:eastAsiaTheme="minorEastAsia"/>
              </w:rPr>
            </w:pPr>
            <w:r>
              <w:rPr>
                <w:rFonts w:eastAsiaTheme="minorEastAsia"/>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41</w:t>
            </w:r>
          </w:p>
        </w:tc>
        <w:tc>
          <w:tcPr>
            <w:tcW w:w="1394" w:type="pct"/>
            <w:vAlign w:val="center"/>
          </w:tcPr>
          <w:p>
            <w:pPr>
              <w:pStyle w:val="63"/>
              <w:rPr>
                <w:rFonts w:eastAsiaTheme="minorEastAsia"/>
              </w:rPr>
            </w:pPr>
            <w:r>
              <w:rPr>
                <w:rFonts w:eastAsiaTheme="minorEastAsia"/>
              </w:rPr>
              <w:t>苯并[k]荧蒽</w:t>
            </w:r>
          </w:p>
        </w:tc>
        <w:tc>
          <w:tcPr>
            <w:tcW w:w="772" w:type="pct"/>
            <w:vAlign w:val="center"/>
          </w:tcPr>
          <w:p>
            <w:pPr>
              <w:pStyle w:val="63"/>
              <w:rPr>
                <w:rFonts w:eastAsiaTheme="minorEastAsia"/>
              </w:rPr>
            </w:pPr>
            <w:r>
              <w:rPr>
                <w:rFonts w:eastAsiaTheme="minorEastAsia"/>
              </w:rPr>
              <w:t>5.5</w:t>
            </w:r>
          </w:p>
        </w:tc>
        <w:tc>
          <w:tcPr>
            <w:tcW w:w="822" w:type="pct"/>
            <w:vAlign w:val="center"/>
          </w:tcPr>
          <w:p>
            <w:pPr>
              <w:pStyle w:val="63"/>
              <w:rPr>
                <w:rFonts w:eastAsiaTheme="minorEastAsia"/>
              </w:rPr>
            </w:pPr>
            <w:r>
              <w:rPr>
                <w:rFonts w:eastAsiaTheme="minorEastAsia"/>
              </w:rPr>
              <w:t>151</w:t>
            </w:r>
          </w:p>
        </w:tc>
        <w:tc>
          <w:tcPr>
            <w:tcW w:w="846" w:type="pct"/>
            <w:vAlign w:val="center"/>
          </w:tcPr>
          <w:p>
            <w:pPr>
              <w:pStyle w:val="63"/>
              <w:rPr>
                <w:rFonts w:eastAsiaTheme="minorEastAsia"/>
              </w:rPr>
            </w:pPr>
            <w:r>
              <w:rPr>
                <w:rFonts w:eastAsiaTheme="minorEastAsia"/>
              </w:rPr>
              <w:t>550</w:t>
            </w:r>
          </w:p>
        </w:tc>
        <w:tc>
          <w:tcPr>
            <w:tcW w:w="857" w:type="pct"/>
            <w:vAlign w:val="center"/>
          </w:tcPr>
          <w:p>
            <w:pPr>
              <w:pStyle w:val="63"/>
              <w:rPr>
                <w:rFonts w:eastAsiaTheme="minorEastAsia"/>
              </w:rPr>
            </w:pPr>
            <w:r>
              <w:rPr>
                <w:rFonts w:eastAsiaTheme="minorEastAsi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42</w:t>
            </w:r>
          </w:p>
        </w:tc>
        <w:tc>
          <w:tcPr>
            <w:tcW w:w="1394" w:type="pct"/>
            <w:vAlign w:val="center"/>
          </w:tcPr>
          <w:p>
            <w:pPr>
              <w:pStyle w:val="63"/>
              <w:rPr>
                <w:rFonts w:eastAsiaTheme="minorEastAsia"/>
              </w:rPr>
            </w:pPr>
            <w:r>
              <w:rPr>
                <w:rFonts w:eastAsiaTheme="minorEastAsia"/>
              </w:rPr>
              <w:t>䓛</w:t>
            </w:r>
          </w:p>
        </w:tc>
        <w:tc>
          <w:tcPr>
            <w:tcW w:w="772" w:type="pct"/>
            <w:vAlign w:val="center"/>
          </w:tcPr>
          <w:p>
            <w:pPr>
              <w:pStyle w:val="63"/>
              <w:rPr>
                <w:rFonts w:eastAsiaTheme="minorEastAsia"/>
              </w:rPr>
            </w:pPr>
            <w:r>
              <w:rPr>
                <w:rFonts w:eastAsiaTheme="minorEastAsia"/>
              </w:rPr>
              <w:t>490</w:t>
            </w:r>
          </w:p>
        </w:tc>
        <w:tc>
          <w:tcPr>
            <w:tcW w:w="822" w:type="pct"/>
            <w:vAlign w:val="center"/>
          </w:tcPr>
          <w:p>
            <w:pPr>
              <w:pStyle w:val="63"/>
              <w:rPr>
                <w:rFonts w:eastAsiaTheme="minorEastAsia"/>
              </w:rPr>
            </w:pPr>
            <w:r>
              <w:rPr>
                <w:rFonts w:eastAsiaTheme="minorEastAsia"/>
              </w:rPr>
              <w:t>1293</w:t>
            </w:r>
          </w:p>
        </w:tc>
        <w:tc>
          <w:tcPr>
            <w:tcW w:w="846" w:type="pct"/>
            <w:vAlign w:val="center"/>
          </w:tcPr>
          <w:p>
            <w:pPr>
              <w:pStyle w:val="63"/>
              <w:rPr>
                <w:rFonts w:eastAsiaTheme="minorEastAsia"/>
              </w:rPr>
            </w:pPr>
            <w:r>
              <w:rPr>
                <w:rFonts w:eastAsiaTheme="minorEastAsia"/>
              </w:rPr>
              <w:t>4900</w:t>
            </w:r>
          </w:p>
        </w:tc>
        <w:tc>
          <w:tcPr>
            <w:tcW w:w="857" w:type="pct"/>
            <w:vAlign w:val="center"/>
          </w:tcPr>
          <w:p>
            <w:pPr>
              <w:pStyle w:val="63"/>
              <w:rPr>
                <w:rFonts w:eastAsiaTheme="minorEastAsia"/>
              </w:rPr>
            </w:pPr>
            <w:r>
              <w:rPr>
                <w:rFonts w:eastAsiaTheme="minorEastAsia"/>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43</w:t>
            </w:r>
          </w:p>
        </w:tc>
        <w:tc>
          <w:tcPr>
            <w:tcW w:w="1394" w:type="pct"/>
            <w:vAlign w:val="center"/>
          </w:tcPr>
          <w:p>
            <w:pPr>
              <w:pStyle w:val="63"/>
              <w:rPr>
                <w:rFonts w:eastAsiaTheme="minorEastAsia"/>
              </w:rPr>
            </w:pPr>
            <w:r>
              <w:rPr>
                <w:rFonts w:eastAsiaTheme="minorEastAsia"/>
              </w:rPr>
              <w:t>二苯[a，h]蒽</w:t>
            </w:r>
          </w:p>
        </w:tc>
        <w:tc>
          <w:tcPr>
            <w:tcW w:w="772" w:type="pct"/>
            <w:vAlign w:val="center"/>
          </w:tcPr>
          <w:p>
            <w:pPr>
              <w:pStyle w:val="63"/>
              <w:rPr>
                <w:rFonts w:eastAsiaTheme="minorEastAsia"/>
              </w:rPr>
            </w:pPr>
            <w:r>
              <w:rPr>
                <w:rFonts w:eastAsiaTheme="minorEastAsia"/>
              </w:rPr>
              <w:t>0.55</w:t>
            </w:r>
          </w:p>
        </w:tc>
        <w:tc>
          <w:tcPr>
            <w:tcW w:w="822" w:type="pct"/>
            <w:vAlign w:val="center"/>
          </w:tcPr>
          <w:p>
            <w:pPr>
              <w:pStyle w:val="63"/>
              <w:rPr>
                <w:rFonts w:eastAsiaTheme="minorEastAsia"/>
              </w:rPr>
            </w:pPr>
            <w:r>
              <w:rPr>
                <w:rFonts w:eastAsiaTheme="minorEastAsia"/>
              </w:rPr>
              <w:t>1.5</w:t>
            </w:r>
          </w:p>
        </w:tc>
        <w:tc>
          <w:tcPr>
            <w:tcW w:w="846" w:type="pct"/>
            <w:vAlign w:val="center"/>
          </w:tcPr>
          <w:p>
            <w:pPr>
              <w:pStyle w:val="63"/>
              <w:rPr>
                <w:rFonts w:eastAsiaTheme="minorEastAsia"/>
              </w:rPr>
            </w:pPr>
            <w:r>
              <w:rPr>
                <w:rFonts w:eastAsiaTheme="minorEastAsia"/>
              </w:rPr>
              <w:t>5.5</w:t>
            </w:r>
          </w:p>
        </w:tc>
        <w:tc>
          <w:tcPr>
            <w:tcW w:w="857" w:type="pct"/>
            <w:vAlign w:val="center"/>
          </w:tcPr>
          <w:p>
            <w:pPr>
              <w:pStyle w:val="63"/>
              <w:rPr>
                <w:rFonts w:eastAsiaTheme="minorEastAsia"/>
              </w:rPr>
            </w:pPr>
            <w:r>
              <w:rPr>
                <w:rFonts w:eastAsiaTheme="minorEastAsi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44</w:t>
            </w:r>
          </w:p>
        </w:tc>
        <w:tc>
          <w:tcPr>
            <w:tcW w:w="1394" w:type="pct"/>
            <w:vAlign w:val="center"/>
          </w:tcPr>
          <w:p>
            <w:pPr>
              <w:pStyle w:val="63"/>
              <w:rPr>
                <w:rFonts w:eastAsiaTheme="minorEastAsia"/>
              </w:rPr>
            </w:pPr>
            <w:r>
              <w:rPr>
                <w:rFonts w:eastAsiaTheme="minorEastAsia"/>
              </w:rPr>
              <w:t>茚并[1，2，3，-cd]芘</w:t>
            </w:r>
          </w:p>
        </w:tc>
        <w:tc>
          <w:tcPr>
            <w:tcW w:w="772" w:type="pct"/>
            <w:vAlign w:val="center"/>
          </w:tcPr>
          <w:p>
            <w:pPr>
              <w:pStyle w:val="63"/>
              <w:rPr>
                <w:rFonts w:eastAsiaTheme="minorEastAsia"/>
              </w:rPr>
            </w:pPr>
            <w:r>
              <w:rPr>
                <w:rFonts w:eastAsiaTheme="minorEastAsia"/>
              </w:rPr>
              <w:t>5.5</w:t>
            </w:r>
          </w:p>
        </w:tc>
        <w:tc>
          <w:tcPr>
            <w:tcW w:w="822" w:type="pct"/>
            <w:vAlign w:val="center"/>
          </w:tcPr>
          <w:p>
            <w:pPr>
              <w:pStyle w:val="63"/>
              <w:rPr>
                <w:rFonts w:eastAsiaTheme="minorEastAsia"/>
              </w:rPr>
            </w:pPr>
            <w:r>
              <w:rPr>
                <w:rFonts w:eastAsiaTheme="minorEastAsia"/>
              </w:rPr>
              <w:t>15</w:t>
            </w:r>
          </w:p>
        </w:tc>
        <w:tc>
          <w:tcPr>
            <w:tcW w:w="846" w:type="pct"/>
            <w:vAlign w:val="center"/>
          </w:tcPr>
          <w:p>
            <w:pPr>
              <w:pStyle w:val="63"/>
              <w:rPr>
                <w:rFonts w:eastAsiaTheme="minorEastAsia"/>
              </w:rPr>
            </w:pPr>
            <w:r>
              <w:rPr>
                <w:rFonts w:eastAsiaTheme="minorEastAsia"/>
              </w:rPr>
              <w:t>55</w:t>
            </w:r>
          </w:p>
        </w:tc>
        <w:tc>
          <w:tcPr>
            <w:tcW w:w="857" w:type="pct"/>
            <w:vAlign w:val="center"/>
          </w:tcPr>
          <w:p>
            <w:pPr>
              <w:pStyle w:val="63"/>
              <w:rPr>
                <w:rFonts w:eastAsiaTheme="minorEastAsia"/>
              </w:rPr>
            </w:pPr>
            <w:r>
              <w:rPr>
                <w:rFonts w:eastAsiaTheme="minorEastAsia"/>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9" w:type="pct"/>
            <w:vAlign w:val="center"/>
          </w:tcPr>
          <w:p>
            <w:pPr>
              <w:pStyle w:val="63"/>
              <w:rPr>
                <w:rFonts w:eastAsiaTheme="minorEastAsia"/>
              </w:rPr>
            </w:pPr>
            <w:r>
              <w:rPr>
                <w:rFonts w:eastAsiaTheme="minorEastAsia"/>
              </w:rPr>
              <w:t>45</w:t>
            </w:r>
          </w:p>
        </w:tc>
        <w:tc>
          <w:tcPr>
            <w:tcW w:w="1394" w:type="pct"/>
            <w:vAlign w:val="center"/>
          </w:tcPr>
          <w:p>
            <w:pPr>
              <w:pStyle w:val="63"/>
              <w:rPr>
                <w:rFonts w:eastAsiaTheme="minorEastAsia"/>
              </w:rPr>
            </w:pPr>
            <w:r>
              <w:rPr>
                <w:rFonts w:eastAsiaTheme="minorEastAsia"/>
              </w:rPr>
              <w:t>萘</w:t>
            </w:r>
          </w:p>
        </w:tc>
        <w:tc>
          <w:tcPr>
            <w:tcW w:w="772" w:type="pct"/>
            <w:vAlign w:val="center"/>
          </w:tcPr>
          <w:p>
            <w:pPr>
              <w:pStyle w:val="63"/>
              <w:rPr>
                <w:rFonts w:eastAsiaTheme="minorEastAsia"/>
              </w:rPr>
            </w:pPr>
            <w:r>
              <w:rPr>
                <w:rFonts w:eastAsiaTheme="minorEastAsia"/>
              </w:rPr>
              <w:t>25</w:t>
            </w:r>
          </w:p>
        </w:tc>
        <w:tc>
          <w:tcPr>
            <w:tcW w:w="822" w:type="pct"/>
            <w:vAlign w:val="center"/>
          </w:tcPr>
          <w:p>
            <w:pPr>
              <w:pStyle w:val="63"/>
              <w:rPr>
                <w:rFonts w:eastAsiaTheme="minorEastAsia"/>
              </w:rPr>
            </w:pPr>
            <w:r>
              <w:rPr>
                <w:rFonts w:eastAsiaTheme="minorEastAsia"/>
              </w:rPr>
              <w:t>70</w:t>
            </w:r>
          </w:p>
        </w:tc>
        <w:tc>
          <w:tcPr>
            <w:tcW w:w="846" w:type="pct"/>
            <w:vAlign w:val="center"/>
          </w:tcPr>
          <w:p>
            <w:pPr>
              <w:pStyle w:val="63"/>
              <w:rPr>
                <w:rFonts w:eastAsiaTheme="minorEastAsia"/>
              </w:rPr>
            </w:pPr>
            <w:r>
              <w:rPr>
                <w:rFonts w:eastAsiaTheme="minorEastAsia"/>
              </w:rPr>
              <w:t>255</w:t>
            </w:r>
          </w:p>
        </w:tc>
        <w:tc>
          <w:tcPr>
            <w:tcW w:w="857" w:type="pct"/>
            <w:vAlign w:val="center"/>
          </w:tcPr>
          <w:p>
            <w:pPr>
              <w:pStyle w:val="63"/>
              <w:rPr>
                <w:rFonts w:eastAsiaTheme="minorEastAsia"/>
              </w:rPr>
            </w:pPr>
            <w:r>
              <w:rPr>
                <w:rFonts w:eastAsiaTheme="minorEastAsia"/>
              </w:rPr>
              <w:t>700</w:t>
            </w:r>
          </w:p>
        </w:tc>
      </w:tr>
    </w:tbl>
    <w:p>
      <w:pPr>
        <w:pStyle w:val="4"/>
        <w:rPr>
          <w:rFonts w:ascii="Times New Roman" w:hAnsi="Times New Roman" w:cs="Times New Roman"/>
        </w:rPr>
      </w:pPr>
      <w:bookmarkStart w:id="43" w:name="_Toc134088430"/>
      <w:bookmarkStart w:id="44" w:name="_Toc146091870"/>
      <w:r>
        <w:rPr>
          <w:rFonts w:ascii="Times New Roman" w:hAnsi="Times New Roman" w:cs="Times New Roman"/>
        </w:rPr>
        <w:t>1.7.2 污染物排放标准</w:t>
      </w:r>
      <w:bookmarkEnd w:id="43"/>
      <w:bookmarkEnd w:id="44"/>
    </w:p>
    <w:p>
      <w:pPr>
        <w:spacing w:line="360" w:lineRule="auto"/>
        <w:ind w:firstLine="48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）大气污染物排放标准</w:t>
      </w:r>
    </w:p>
    <w:p>
      <w:pPr>
        <w:spacing w:line="360" w:lineRule="auto"/>
        <w:ind w:firstLine="480" w:firstLineChars="200"/>
        <w:rPr>
          <w:rFonts w:ascii="Times New Roman" w:hAnsi="Times New Roman" w:cs="Times New Roman"/>
        </w:rPr>
      </w:pPr>
      <w:r>
        <w:rPr>
          <w:rFonts w:ascii="Times New Roman" w:hAnsi="Times New Roman" w:cs="Times New Roman"/>
        </w:rPr>
        <w:t>施工期：执行《大气污染物综合排放标准》（GB16297-1996）表2中的无组织排放监控浓度限值标准。</w:t>
      </w:r>
    </w:p>
    <w:p>
      <w:pPr>
        <w:spacing w:line="360" w:lineRule="auto"/>
        <w:ind w:firstLine="480" w:firstLineChars="200"/>
        <w:rPr>
          <w:rFonts w:ascii="Times New Roman" w:hAnsi="Times New Roman" w:cs="Times New Roman"/>
        </w:rPr>
      </w:pPr>
      <w:r>
        <w:rPr>
          <w:rFonts w:ascii="Times New Roman" w:hAnsi="Times New Roman" w:cs="Times New Roman"/>
        </w:rPr>
        <w:t>营运期：</w:t>
      </w:r>
      <w:r>
        <w:rPr>
          <w:rFonts w:hint="eastAsia" w:ascii="Times New Roman" w:hAnsi="Times New Roman" w:cs="Times New Roman"/>
        </w:rPr>
        <w:t>各企业大气污染物排放标准有行业标准的执行行业标准，地方有更严格标准要求的优先执行地标，主要行业排放标准包括：无机化学工业企业执行《无机化学工业污染物排放标准》（GB31573-2015）（其中二氧化硫、氮氧化物、颗粒物须执行特别排放标准限值）；石油化学工业企业执行《石油化学工业污染物排放标准》（GB31571-2015）（其中二氧化硫、氮氧化物、颗粒物须执行特别排放标准限值）；合成树脂工业企业执行《合成树脂工业污染物排放标准》（GB31572-2015）（二氧化硫、颗粒物执行特别排放标准限值）；陶瓷工业执行《陶瓷工业污染物排放标准》（GB 25464-2010）及修改单；没有行业标准的执行《大气污染物综合排放标准》（GB16297-1996）；有机废气无组织排放执行《挥发性有机物无组织排放控制标准》（GB37822-2019）相关排放标准要求；锅炉废气排放标准执行《锅炉大气污染物排放标准》（GB13271-2014）（其中二氧化硫、氮氧化物、颗粒物执行特别排放限值）。工业炉窑废气执行《湖南省工业炉窑大气污染综合治理实施方案》（湘环发[2020]6号）相关标准限值。</w:t>
      </w:r>
    </w:p>
    <w:p>
      <w:pPr>
        <w:spacing w:line="360" w:lineRule="auto"/>
        <w:ind w:firstLine="48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）废水排放标准</w:t>
      </w:r>
    </w:p>
    <w:p>
      <w:pPr>
        <w:spacing w:line="360" w:lineRule="auto"/>
        <w:ind w:firstLine="480" w:firstLineChars="200"/>
        <w:rPr>
          <w:rFonts w:ascii="Times New Roman" w:hAnsi="Times New Roman" w:cs="Times New Roman"/>
        </w:rPr>
      </w:pPr>
      <w:r>
        <w:rPr>
          <w:rFonts w:hint="eastAsia" w:ascii="Times New Roman" w:hAnsi="Times New Roman" w:cs="Times New Roman"/>
        </w:rPr>
        <w:t>各企业优先执行相关行业标准，未有行业标准的执行《污水综合排放标准》（GB8978-1996）中的三级标准和园区工业污水处理厂进水水质标准；铊执行《湖南省工业废水铊污染源排放标准》（DB 43/968-2014）限值要求。</w:t>
      </w:r>
    </w:p>
    <w:p>
      <w:pPr>
        <w:spacing w:line="360" w:lineRule="auto"/>
        <w:ind w:firstLine="480" w:firstLineChars="200"/>
        <w:rPr>
          <w:rFonts w:ascii="Times New Roman" w:hAnsi="Times New Roman" w:cs="Times New Roman"/>
        </w:rPr>
      </w:pPr>
      <w:r>
        <w:rPr>
          <w:rFonts w:hint="eastAsia" w:ascii="Times New Roman" w:hAnsi="Times New Roman" w:cs="Times New Roman"/>
        </w:rPr>
        <w:t>三湾片区依托的临湘市污水净化中心执行《城镇污水处理厂污染物排放标准》（GB18918-2002）一级A标准；滨江片区工业污水处理厂出水执行《城镇污水处理厂污染物排放标准》（GB18918-2002）及其修改单中一级A标准与《石油化学工业污染物排放标准》（GB31571-2015）表2特别排放限值中较严标准。</w:t>
      </w:r>
    </w:p>
    <w:p>
      <w:pPr>
        <w:spacing w:line="360" w:lineRule="auto"/>
        <w:ind w:firstLine="480" w:firstLineChars="200"/>
        <w:rPr>
          <w:rFonts w:ascii="Times New Roman" w:hAnsi="Times New Roman" w:cs="Times New Roman"/>
        </w:rPr>
      </w:pPr>
      <w:r>
        <w:rPr>
          <w:rFonts w:ascii="Times New Roman" w:hAnsi="Times New Roman" w:cs="Times New Roman"/>
        </w:rPr>
        <w:t>（3）噪声排放标准</w:t>
      </w:r>
    </w:p>
    <w:p>
      <w:pPr>
        <w:spacing w:line="360" w:lineRule="auto"/>
        <w:ind w:firstLine="480" w:firstLineChars="200"/>
        <w:rPr>
          <w:rFonts w:ascii="Times New Roman" w:hAnsi="Times New Roman" w:cs="Times New Roman"/>
        </w:rPr>
      </w:pPr>
      <w:r>
        <w:rPr>
          <w:rFonts w:ascii="Times New Roman" w:hAnsi="Times New Roman" w:cs="Times New Roman"/>
        </w:rPr>
        <w:t>施工期：执行《建筑施工场界环境噪声排放标准》（GB12523-2011）限值标准。</w:t>
      </w:r>
    </w:p>
    <w:p>
      <w:pPr>
        <w:spacing w:line="360" w:lineRule="auto"/>
        <w:ind w:firstLine="480" w:firstLineChars="200"/>
        <w:rPr>
          <w:rFonts w:ascii="Times New Roman" w:hAnsi="Times New Roman" w:cs="Times New Roman"/>
        </w:rPr>
      </w:pPr>
      <w:r>
        <w:rPr>
          <w:rFonts w:ascii="Times New Roman" w:hAnsi="Times New Roman" w:cs="Times New Roman"/>
        </w:rPr>
        <w:t>运营期：工业、仓储物流区厂界噪声执行《工业企业厂界环境噪声排放标准》（GB12348-2008）3类声环境功能区环境噪声排放限值；其他居住、行政办公区、商业混杂区执行《工业企业厂界环境噪声排放标准》（GB12348-2008）中2类声环境功能区环境噪声排放限值</w:t>
      </w:r>
      <w:r>
        <w:rPr>
          <w:rFonts w:hint="eastAsia" w:ascii="Times New Roman" w:hAnsi="Times New Roman" w:cs="Times New Roman"/>
        </w:rPr>
        <w:t>，规划交通主干线两侧35m内区域</w:t>
      </w:r>
      <w:r>
        <w:rPr>
          <w:rFonts w:ascii="Times New Roman" w:hAnsi="Times New Roman" w:cs="Times New Roman"/>
        </w:rPr>
        <w:t>执行《工业企业厂界环境噪声排放标准》（GB12348-2008）4</w:t>
      </w:r>
      <w:r>
        <w:rPr>
          <w:rFonts w:hint="eastAsia" w:ascii="Times New Roman" w:hAnsi="Times New Roman" w:cs="Times New Roman"/>
        </w:rPr>
        <w:t>a类标准。</w:t>
      </w:r>
    </w:p>
    <w:p>
      <w:pPr>
        <w:spacing w:line="360" w:lineRule="auto"/>
        <w:ind w:firstLine="480" w:firstLineChars="200"/>
        <w:rPr>
          <w:rFonts w:ascii="Times New Roman" w:hAnsi="Times New Roman" w:cs="Times New Roman"/>
        </w:rPr>
      </w:pPr>
      <w:r>
        <w:rPr>
          <w:rFonts w:ascii="Times New Roman" w:hAnsi="Times New Roman" w:cs="Times New Roman"/>
        </w:rPr>
        <w:t>（4）固体废物</w:t>
      </w:r>
    </w:p>
    <w:p>
      <w:pPr>
        <w:spacing w:line="360" w:lineRule="auto"/>
        <w:ind w:firstLine="480" w:firstLineChars="200"/>
        <w:rPr>
          <w:rFonts w:ascii="Times New Roman" w:hAnsi="Times New Roman" w:cs="Times New Roman"/>
        </w:rPr>
      </w:pPr>
      <w:r>
        <w:rPr>
          <w:rFonts w:ascii="Times New Roman" w:hAnsi="Times New Roman" w:cs="Times New Roman"/>
        </w:rPr>
        <w:t>一般工业固体废物处置执行《一般工业固体废物贮存和填埋污染控制标准》（GB18599-2020）；危险废物临时贮存执行《危险废物贮存污染控制标准》（GB18597-20</w:t>
      </w:r>
      <w:r>
        <w:rPr>
          <w:rFonts w:hint="eastAsia" w:ascii="Times New Roman" w:hAnsi="Times New Roman" w:cs="Times New Roman"/>
        </w:rPr>
        <w:t>23</w:t>
      </w:r>
      <w:r>
        <w:rPr>
          <w:rFonts w:ascii="Times New Roman" w:hAnsi="Times New Roman" w:cs="Times New Roman"/>
        </w:rPr>
        <w:t>）；</w:t>
      </w:r>
      <w:r>
        <w:rPr>
          <w:rFonts w:hint="eastAsia" w:ascii="Times New Roman" w:hAnsi="Times New Roman" w:cs="Times New Roman"/>
        </w:rPr>
        <w:t>生活垃圾执行《生活垃圾焚烧污染控制标准》（GB18485-2014）</w:t>
      </w:r>
      <w:r>
        <w:rPr>
          <w:rFonts w:ascii="Times New Roman" w:hAnsi="Times New Roman" w:cs="Times New Roman"/>
        </w:rPr>
        <w:t>。</w:t>
      </w:r>
    </w:p>
    <w:p>
      <w:pPr>
        <w:pStyle w:val="6"/>
        <w:rPr>
          <w:rFonts w:ascii="Times New Roman" w:hAnsi="Times New Roman" w:cs="Times New Roman"/>
        </w:rPr>
      </w:pPr>
      <w:r>
        <w:rPr>
          <w:rFonts w:ascii="Times New Roman" w:hAnsi="Times New Roman" w:cs="Times New Roman"/>
        </w:rPr>
        <w:t>表1.7-7  污水排放标准  单位：mg/L、pH值（无量纲）</w:t>
      </w:r>
    </w:p>
    <w:tbl>
      <w:tblPr>
        <w:tblStyle w:val="36"/>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18"/>
        <w:gridCol w:w="1482"/>
        <w:gridCol w:w="1345"/>
        <w:gridCol w:w="1689"/>
        <w:gridCol w:w="1030"/>
        <w:gridCol w:w="243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3" w:hRule="atLeast"/>
        </w:trPr>
        <w:tc>
          <w:tcPr>
            <w:tcW w:w="565" w:type="pct"/>
            <w:vMerge w:val="restart"/>
            <w:vAlign w:val="center"/>
          </w:tcPr>
          <w:p>
            <w:pPr>
              <w:pStyle w:val="63"/>
            </w:pPr>
            <w:r>
              <w:t>序号</w:t>
            </w:r>
          </w:p>
        </w:tc>
        <w:tc>
          <w:tcPr>
            <w:tcW w:w="823" w:type="pct"/>
            <w:vMerge w:val="restart"/>
            <w:vAlign w:val="center"/>
          </w:tcPr>
          <w:p>
            <w:pPr>
              <w:pStyle w:val="63"/>
            </w:pPr>
            <w:r>
              <w:t>污染物项目</w:t>
            </w:r>
          </w:p>
        </w:tc>
        <w:tc>
          <w:tcPr>
            <w:tcW w:w="2257" w:type="pct"/>
            <w:gridSpan w:val="3"/>
            <w:vAlign w:val="center"/>
          </w:tcPr>
          <w:p>
            <w:pPr>
              <w:pStyle w:val="63"/>
            </w:pPr>
            <w:r>
              <w:t>石油化学工业污染物排放标准</w:t>
            </w:r>
          </w:p>
        </w:tc>
        <w:tc>
          <w:tcPr>
            <w:tcW w:w="1354" w:type="pct"/>
            <w:vMerge w:val="restart"/>
            <w:tcBorders>
              <w:right w:val="single" w:color="000000" w:sz="12" w:space="0"/>
            </w:tcBorders>
            <w:vAlign w:val="center"/>
          </w:tcPr>
          <w:p>
            <w:pPr>
              <w:pStyle w:val="63"/>
            </w:pPr>
            <w:r>
              <w:t>《城镇污水处理厂污染物排放标准》</w:t>
            </w:r>
          </w:p>
          <w:p>
            <w:pPr>
              <w:pStyle w:val="63"/>
            </w:pPr>
            <w:r>
              <w:t>（一级A标准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3" w:hRule="atLeast"/>
        </w:trPr>
        <w:tc>
          <w:tcPr>
            <w:tcW w:w="565" w:type="pct"/>
            <w:vMerge w:val="continue"/>
            <w:vAlign w:val="center"/>
          </w:tcPr>
          <w:p>
            <w:pPr>
              <w:pStyle w:val="63"/>
            </w:pPr>
          </w:p>
        </w:tc>
        <w:tc>
          <w:tcPr>
            <w:tcW w:w="823" w:type="pct"/>
            <w:vMerge w:val="continue"/>
            <w:vAlign w:val="center"/>
          </w:tcPr>
          <w:p>
            <w:pPr>
              <w:pStyle w:val="63"/>
            </w:pPr>
          </w:p>
        </w:tc>
        <w:tc>
          <w:tcPr>
            <w:tcW w:w="1685" w:type="pct"/>
            <w:gridSpan w:val="2"/>
            <w:vAlign w:val="center"/>
          </w:tcPr>
          <w:p>
            <w:pPr>
              <w:pStyle w:val="63"/>
            </w:pPr>
            <w:r>
              <w:t>表2水污染物特别排放限值</w:t>
            </w:r>
          </w:p>
        </w:tc>
        <w:tc>
          <w:tcPr>
            <w:tcW w:w="572" w:type="pct"/>
            <w:vMerge w:val="restart"/>
            <w:vAlign w:val="center"/>
          </w:tcPr>
          <w:p>
            <w:pPr>
              <w:pStyle w:val="63"/>
            </w:pPr>
            <w:r>
              <w:t>污染物排放监控位置</w:t>
            </w:r>
          </w:p>
        </w:tc>
        <w:tc>
          <w:tcPr>
            <w:tcW w:w="1354" w:type="pct"/>
            <w:vMerge w:val="continue"/>
            <w:tcBorders>
              <w:right w:val="single" w:color="000000" w:sz="12" w:space="0"/>
            </w:tcBorders>
            <w:vAlign w:val="center"/>
          </w:tcPr>
          <w:p>
            <w:pPr>
              <w:pStyle w:val="63"/>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Merge w:val="continue"/>
            <w:vAlign w:val="center"/>
          </w:tcPr>
          <w:p>
            <w:pPr>
              <w:pStyle w:val="63"/>
            </w:pPr>
          </w:p>
        </w:tc>
        <w:tc>
          <w:tcPr>
            <w:tcW w:w="823" w:type="pct"/>
            <w:vMerge w:val="continue"/>
            <w:vAlign w:val="center"/>
          </w:tcPr>
          <w:p>
            <w:pPr>
              <w:pStyle w:val="63"/>
            </w:pPr>
          </w:p>
        </w:tc>
        <w:tc>
          <w:tcPr>
            <w:tcW w:w="747" w:type="pct"/>
            <w:vAlign w:val="center"/>
          </w:tcPr>
          <w:p>
            <w:pPr>
              <w:pStyle w:val="63"/>
            </w:pPr>
            <w:r>
              <w:t>直接排放</w:t>
            </w:r>
          </w:p>
        </w:tc>
        <w:tc>
          <w:tcPr>
            <w:tcW w:w="938" w:type="pct"/>
            <w:vAlign w:val="center"/>
          </w:tcPr>
          <w:p>
            <w:pPr>
              <w:pStyle w:val="63"/>
            </w:pPr>
            <w:r>
              <w:t>间接排放（1）</w:t>
            </w:r>
          </w:p>
        </w:tc>
        <w:tc>
          <w:tcPr>
            <w:tcW w:w="572" w:type="pct"/>
            <w:vMerge w:val="continue"/>
            <w:vAlign w:val="center"/>
          </w:tcPr>
          <w:p>
            <w:pPr>
              <w:pStyle w:val="63"/>
            </w:pPr>
          </w:p>
        </w:tc>
        <w:tc>
          <w:tcPr>
            <w:tcW w:w="1354" w:type="pct"/>
            <w:vMerge w:val="continue"/>
            <w:tcBorders>
              <w:right w:val="single" w:color="000000" w:sz="12" w:space="0"/>
            </w:tcBorders>
            <w:vAlign w:val="center"/>
          </w:tcPr>
          <w:p>
            <w:pPr>
              <w:pStyle w:val="63"/>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w:t>
            </w:r>
          </w:p>
        </w:tc>
        <w:tc>
          <w:tcPr>
            <w:tcW w:w="823" w:type="pct"/>
            <w:vAlign w:val="center"/>
          </w:tcPr>
          <w:p>
            <w:pPr>
              <w:pStyle w:val="63"/>
            </w:pPr>
            <w:r>
              <w:t>pH值</w:t>
            </w:r>
          </w:p>
        </w:tc>
        <w:tc>
          <w:tcPr>
            <w:tcW w:w="747" w:type="pct"/>
            <w:vAlign w:val="center"/>
          </w:tcPr>
          <w:p>
            <w:pPr>
              <w:pStyle w:val="63"/>
            </w:pPr>
            <w:r>
              <w:t>6.0～9.0</w:t>
            </w:r>
          </w:p>
        </w:tc>
        <w:tc>
          <w:tcPr>
            <w:tcW w:w="938" w:type="pct"/>
            <w:vAlign w:val="center"/>
          </w:tcPr>
          <w:p>
            <w:pPr>
              <w:pStyle w:val="63"/>
            </w:pPr>
            <w:r>
              <w:t>—</w:t>
            </w:r>
          </w:p>
        </w:tc>
        <w:tc>
          <w:tcPr>
            <w:tcW w:w="572" w:type="pct"/>
            <w:vMerge w:val="restart"/>
            <w:vAlign w:val="center"/>
          </w:tcPr>
          <w:p>
            <w:pPr>
              <w:pStyle w:val="63"/>
            </w:pPr>
            <w:r>
              <w:t>企业废水</w:t>
            </w:r>
          </w:p>
          <w:p>
            <w:pPr>
              <w:pStyle w:val="63"/>
            </w:pPr>
            <w:r>
              <w:t>总排放口</w:t>
            </w:r>
          </w:p>
        </w:tc>
        <w:tc>
          <w:tcPr>
            <w:tcW w:w="1354" w:type="pct"/>
            <w:tcBorders>
              <w:right w:val="single" w:color="000000" w:sz="12" w:space="0"/>
            </w:tcBorders>
            <w:vAlign w:val="center"/>
          </w:tcPr>
          <w:p>
            <w:pPr>
              <w:pStyle w:val="63"/>
            </w:pPr>
            <w:r>
              <w:t>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2</w:t>
            </w:r>
          </w:p>
        </w:tc>
        <w:tc>
          <w:tcPr>
            <w:tcW w:w="823" w:type="pct"/>
            <w:vAlign w:val="center"/>
          </w:tcPr>
          <w:p>
            <w:pPr>
              <w:pStyle w:val="63"/>
            </w:pPr>
            <w:r>
              <w:t>悬浮物</w:t>
            </w:r>
          </w:p>
        </w:tc>
        <w:tc>
          <w:tcPr>
            <w:tcW w:w="747" w:type="pct"/>
            <w:vAlign w:val="center"/>
          </w:tcPr>
          <w:p>
            <w:pPr>
              <w:pStyle w:val="63"/>
            </w:pPr>
            <w:r>
              <w:t>50</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3</w:t>
            </w:r>
          </w:p>
        </w:tc>
        <w:tc>
          <w:tcPr>
            <w:tcW w:w="823" w:type="pct"/>
            <w:vAlign w:val="center"/>
          </w:tcPr>
          <w:p>
            <w:pPr>
              <w:pStyle w:val="63"/>
            </w:pPr>
            <w:r>
              <w:t>化学需氧量</w:t>
            </w:r>
          </w:p>
        </w:tc>
        <w:tc>
          <w:tcPr>
            <w:tcW w:w="747" w:type="pct"/>
            <w:vAlign w:val="center"/>
          </w:tcPr>
          <w:p>
            <w:pPr>
              <w:pStyle w:val="63"/>
            </w:pPr>
            <w:r>
              <w:t>50</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4</w:t>
            </w:r>
          </w:p>
        </w:tc>
        <w:tc>
          <w:tcPr>
            <w:tcW w:w="823" w:type="pct"/>
            <w:vAlign w:val="center"/>
          </w:tcPr>
          <w:p>
            <w:pPr>
              <w:pStyle w:val="63"/>
            </w:pPr>
            <w:r>
              <w:t>五日生化需氧量</w:t>
            </w:r>
          </w:p>
        </w:tc>
        <w:tc>
          <w:tcPr>
            <w:tcW w:w="747" w:type="pct"/>
            <w:vAlign w:val="center"/>
          </w:tcPr>
          <w:p>
            <w:pPr>
              <w:pStyle w:val="63"/>
            </w:pPr>
            <w:r>
              <w:t>10</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5</w:t>
            </w:r>
          </w:p>
        </w:tc>
        <w:tc>
          <w:tcPr>
            <w:tcW w:w="823" w:type="pct"/>
            <w:vAlign w:val="center"/>
          </w:tcPr>
          <w:p>
            <w:pPr>
              <w:pStyle w:val="63"/>
            </w:pPr>
            <w:r>
              <w:t>氨氮</w:t>
            </w:r>
          </w:p>
        </w:tc>
        <w:tc>
          <w:tcPr>
            <w:tcW w:w="747" w:type="pct"/>
            <w:vAlign w:val="center"/>
          </w:tcPr>
          <w:p>
            <w:pPr>
              <w:pStyle w:val="63"/>
            </w:pPr>
            <w:r>
              <w:t>5.0</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5（8）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6</w:t>
            </w:r>
          </w:p>
        </w:tc>
        <w:tc>
          <w:tcPr>
            <w:tcW w:w="823" w:type="pct"/>
            <w:vAlign w:val="center"/>
          </w:tcPr>
          <w:p>
            <w:pPr>
              <w:pStyle w:val="63"/>
            </w:pPr>
            <w:r>
              <w:t>总氮</w:t>
            </w:r>
          </w:p>
        </w:tc>
        <w:tc>
          <w:tcPr>
            <w:tcW w:w="747" w:type="pct"/>
            <w:vAlign w:val="center"/>
          </w:tcPr>
          <w:p>
            <w:pPr>
              <w:pStyle w:val="63"/>
            </w:pPr>
            <w:r>
              <w:t>30</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7</w:t>
            </w:r>
          </w:p>
        </w:tc>
        <w:tc>
          <w:tcPr>
            <w:tcW w:w="823" w:type="pct"/>
            <w:vAlign w:val="center"/>
          </w:tcPr>
          <w:p>
            <w:pPr>
              <w:pStyle w:val="63"/>
            </w:pPr>
            <w:r>
              <w:t>总磷</w:t>
            </w:r>
          </w:p>
        </w:tc>
        <w:tc>
          <w:tcPr>
            <w:tcW w:w="747" w:type="pct"/>
            <w:vAlign w:val="center"/>
          </w:tcPr>
          <w:p>
            <w:pPr>
              <w:pStyle w:val="63"/>
            </w:pPr>
            <w:r>
              <w:t>0.5</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8</w:t>
            </w:r>
          </w:p>
        </w:tc>
        <w:tc>
          <w:tcPr>
            <w:tcW w:w="823" w:type="pct"/>
            <w:vAlign w:val="center"/>
          </w:tcPr>
          <w:p>
            <w:pPr>
              <w:pStyle w:val="63"/>
            </w:pPr>
            <w:r>
              <w:t>总有机碳</w:t>
            </w:r>
          </w:p>
        </w:tc>
        <w:tc>
          <w:tcPr>
            <w:tcW w:w="747" w:type="pct"/>
            <w:vAlign w:val="center"/>
          </w:tcPr>
          <w:p>
            <w:pPr>
              <w:pStyle w:val="63"/>
            </w:pPr>
            <w:r>
              <w:t>15</w:t>
            </w:r>
          </w:p>
        </w:tc>
        <w:tc>
          <w:tcPr>
            <w:tcW w:w="938" w:type="pct"/>
            <w:vAlign w:val="center"/>
          </w:tcPr>
          <w:p>
            <w:pPr>
              <w:pStyle w:val="63"/>
            </w:pPr>
            <w:r>
              <w:t>—</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9</w:t>
            </w:r>
          </w:p>
        </w:tc>
        <w:tc>
          <w:tcPr>
            <w:tcW w:w="823" w:type="pct"/>
            <w:vAlign w:val="center"/>
          </w:tcPr>
          <w:p>
            <w:pPr>
              <w:pStyle w:val="63"/>
            </w:pPr>
            <w:r>
              <w:t>石油类</w:t>
            </w:r>
          </w:p>
        </w:tc>
        <w:tc>
          <w:tcPr>
            <w:tcW w:w="747" w:type="pct"/>
            <w:vAlign w:val="center"/>
          </w:tcPr>
          <w:p>
            <w:pPr>
              <w:pStyle w:val="63"/>
            </w:pPr>
            <w:r>
              <w:t>3.0</w:t>
            </w:r>
          </w:p>
        </w:tc>
        <w:tc>
          <w:tcPr>
            <w:tcW w:w="938" w:type="pct"/>
            <w:vAlign w:val="center"/>
          </w:tcPr>
          <w:p>
            <w:pPr>
              <w:pStyle w:val="63"/>
            </w:pPr>
            <w:r>
              <w:t>15</w:t>
            </w:r>
          </w:p>
        </w:tc>
        <w:tc>
          <w:tcPr>
            <w:tcW w:w="572" w:type="pct"/>
            <w:vMerge w:val="continue"/>
            <w:vAlign w:val="center"/>
          </w:tcPr>
          <w:p>
            <w:pPr>
              <w:pStyle w:val="63"/>
            </w:pPr>
          </w:p>
        </w:tc>
        <w:tc>
          <w:tcPr>
            <w:tcW w:w="1354" w:type="pct"/>
            <w:tcBorders>
              <w:right w:val="single" w:color="000000" w:sz="12" w:space="0"/>
            </w:tcBorders>
            <w:vAlign w:val="center"/>
          </w:tcPr>
          <w:p>
            <w:pPr>
              <w:pStyle w:val="63"/>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10</w:t>
            </w:r>
          </w:p>
        </w:tc>
        <w:tc>
          <w:tcPr>
            <w:tcW w:w="823" w:type="pct"/>
            <w:vAlign w:val="center"/>
          </w:tcPr>
          <w:p>
            <w:pPr>
              <w:pStyle w:val="63"/>
            </w:pPr>
            <w:r>
              <w:t>硫化物</w:t>
            </w:r>
          </w:p>
        </w:tc>
        <w:tc>
          <w:tcPr>
            <w:tcW w:w="747" w:type="pct"/>
            <w:vAlign w:val="center"/>
          </w:tcPr>
          <w:p>
            <w:pPr>
              <w:pStyle w:val="63"/>
            </w:pPr>
            <w:r>
              <w:t>0.5</w:t>
            </w:r>
          </w:p>
        </w:tc>
        <w:tc>
          <w:tcPr>
            <w:tcW w:w="938" w:type="pct"/>
            <w:vAlign w:val="center"/>
          </w:tcPr>
          <w:p>
            <w:pPr>
              <w:pStyle w:val="63"/>
            </w:pPr>
            <w:r>
              <w:t>1.0</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11</w:t>
            </w:r>
          </w:p>
        </w:tc>
        <w:tc>
          <w:tcPr>
            <w:tcW w:w="823" w:type="pct"/>
            <w:vAlign w:val="center"/>
          </w:tcPr>
          <w:p>
            <w:pPr>
              <w:pStyle w:val="63"/>
            </w:pPr>
            <w:r>
              <w:t>氟化物</w:t>
            </w:r>
          </w:p>
        </w:tc>
        <w:tc>
          <w:tcPr>
            <w:tcW w:w="747" w:type="pct"/>
            <w:vAlign w:val="center"/>
          </w:tcPr>
          <w:p>
            <w:pPr>
              <w:pStyle w:val="63"/>
            </w:pPr>
            <w:r>
              <w:t>8.0</w:t>
            </w:r>
          </w:p>
        </w:tc>
        <w:tc>
          <w:tcPr>
            <w:tcW w:w="938" w:type="pct"/>
            <w:vAlign w:val="center"/>
          </w:tcPr>
          <w:p>
            <w:pPr>
              <w:pStyle w:val="63"/>
            </w:pPr>
            <w:r>
              <w:t>15</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12</w:t>
            </w:r>
          </w:p>
        </w:tc>
        <w:tc>
          <w:tcPr>
            <w:tcW w:w="823" w:type="pct"/>
            <w:vAlign w:val="center"/>
          </w:tcPr>
          <w:p>
            <w:pPr>
              <w:pStyle w:val="63"/>
            </w:pPr>
            <w:r>
              <w:t>挥发酚</w:t>
            </w:r>
          </w:p>
        </w:tc>
        <w:tc>
          <w:tcPr>
            <w:tcW w:w="747" w:type="pct"/>
            <w:vAlign w:val="center"/>
          </w:tcPr>
          <w:p>
            <w:pPr>
              <w:pStyle w:val="63"/>
            </w:pPr>
            <w:r>
              <w:t>0.3</w:t>
            </w:r>
          </w:p>
        </w:tc>
        <w:tc>
          <w:tcPr>
            <w:tcW w:w="938" w:type="pct"/>
            <w:vAlign w:val="center"/>
          </w:tcPr>
          <w:p>
            <w:pPr>
              <w:pStyle w:val="63"/>
            </w:pPr>
            <w:r>
              <w:t>0.5</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13</w:t>
            </w:r>
          </w:p>
        </w:tc>
        <w:tc>
          <w:tcPr>
            <w:tcW w:w="823" w:type="pct"/>
            <w:vAlign w:val="center"/>
          </w:tcPr>
          <w:p>
            <w:pPr>
              <w:pStyle w:val="63"/>
            </w:pPr>
            <w:r>
              <w:t>总钒</w:t>
            </w:r>
          </w:p>
        </w:tc>
        <w:tc>
          <w:tcPr>
            <w:tcW w:w="747" w:type="pct"/>
            <w:vAlign w:val="center"/>
          </w:tcPr>
          <w:p>
            <w:pPr>
              <w:pStyle w:val="63"/>
            </w:pPr>
            <w:r>
              <w:t>1.0</w:t>
            </w:r>
          </w:p>
        </w:tc>
        <w:tc>
          <w:tcPr>
            <w:tcW w:w="938" w:type="pct"/>
            <w:vAlign w:val="center"/>
          </w:tcPr>
          <w:p>
            <w:pPr>
              <w:pStyle w:val="63"/>
            </w:pPr>
            <w:r>
              <w:t>1.0</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14</w:t>
            </w:r>
          </w:p>
        </w:tc>
        <w:tc>
          <w:tcPr>
            <w:tcW w:w="823" w:type="pct"/>
            <w:vAlign w:val="center"/>
          </w:tcPr>
          <w:p>
            <w:pPr>
              <w:pStyle w:val="63"/>
            </w:pPr>
            <w:r>
              <w:t>总铜</w:t>
            </w:r>
          </w:p>
        </w:tc>
        <w:tc>
          <w:tcPr>
            <w:tcW w:w="747" w:type="pct"/>
            <w:vAlign w:val="center"/>
          </w:tcPr>
          <w:p>
            <w:pPr>
              <w:pStyle w:val="63"/>
            </w:pPr>
            <w:r>
              <w:t>0.5</w:t>
            </w:r>
          </w:p>
        </w:tc>
        <w:tc>
          <w:tcPr>
            <w:tcW w:w="938" w:type="pct"/>
            <w:vAlign w:val="center"/>
          </w:tcPr>
          <w:p>
            <w:pPr>
              <w:pStyle w:val="63"/>
            </w:pPr>
            <w:r>
              <w:t>0.5</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15</w:t>
            </w:r>
          </w:p>
        </w:tc>
        <w:tc>
          <w:tcPr>
            <w:tcW w:w="823" w:type="pct"/>
            <w:vAlign w:val="center"/>
          </w:tcPr>
          <w:p>
            <w:pPr>
              <w:pStyle w:val="63"/>
            </w:pPr>
            <w:r>
              <w:t>总锌</w:t>
            </w:r>
          </w:p>
        </w:tc>
        <w:tc>
          <w:tcPr>
            <w:tcW w:w="747" w:type="pct"/>
            <w:vAlign w:val="center"/>
          </w:tcPr>
          <w:p>
            <w:pPr>
              <w:pStyle w:val="63"/>
            </w:pPr>
            <w:r>
              <w:t>2.0</w:t>
            </w:r>
          </w:p>
        </w:tc>
        <w:tc>
          <w:tcPr>
            <w:tcW w:w="938" w:type="pct"/>
            <w:vAlign w:val="center"/>
          </w:tcPr>
          <w:p>
            <w:pPr>
              <w:pStyle w:val="63"/>
            </w:pPr>
            <w:r>
              <w:t>2.0</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16</w:t>
            </w:r>
          </w:p>
        </w:tc>
        <w:tc>
          <w:tcPr>
            <w:tcW w:w="823" w:type="pct"/>
            <w:vAlign w:val="center"/>
          </w:tcPr>
          <w:p>
            <w:pPr>
              <w:pStyle w:val="63"/>
            </w:pPr>
            <w:r>
              <w:t>总氰化物</w:t>
            </w:r>
          </w:p>
        </w:tc>
        <w:tc>
          <w:tcPr>
            <w:tcW w:w="747" w:type="pct"/>
            <w:vAlign w:val="center"/>
          </w:tcPr>
          <w:p>
            <w:pPr>
              <w:pStyle w:val="63"/>
            </w:pPr>
            <w:r>
              <w:t>0.3</w:t>
            </w:r>
          </w:p>
        </w:tc>
        <w:tc>
          <w:tcPr>
            <w:tcW w:w="938" w:type="pct"/>
            <w:vAlign w:val="center"/>
          </w:tcPr>
          <w:p>
            <w:pPr>
              <w:pStyle w:val="63"/>
            </w:pPr>
            <w:r>
              <w:t>0.5</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65" w:type="pct"/>
            <w:vAlign w:val="center"/>
          </w:tcPr>
          <w:p>
            <w:pPr>
              <w:pStyle w:val="63"/>
            </w:pPr>
            <w:r>
              <w:t>17</w:t>
            </w:r>
          </w:p>
        </w:tc>
        <w:tc>
          <w:tcPr>
            <w:tcW w:w="823" w:type="pct"/>
            <w:vAlign w:val="center"/>
          </w:tcPr>
          <w:p>
            <w:pPr>
              <w:pStyle w:val="63"/>
            </w:pPr>
            <w:r>
              <w:t>可吸附有机卤化物</w:t>
            </w:r>
          </w:p>
        </w:tc>
        <w:tc>
          <w:tcPr>
            <w:tcW w:w="747" w:type="pct"/>
            <w:vAlign w:val="center"/>
          </w:tcPr>
          <w:p>
            <w:pPr>
              <w:pStyle w:val="63"/>
            </w:pPr>
            <w:r>
              <w:t>1.0</w:t>
            </w:r>
          </w:p>
        </w:tc>
        <w:tc>
          <w:tcPr>
            <w:tcW w:w="938" w:type="pct"/>
            <w:vAlign w:val="center"/>
          </w:tcPr>
          <w:p>
            <w:pPr>
              <w:pStyle w:val="63"/>
            </w:pPr>
            <w:r>
              <w:t>5.0</w:t>
            </w:r>
          </w:p>
        </w:tc>
        <w:tc>
          <w:tcPr>
            <w:tcW w:w="572" w:type="pct"/>
            <w:vMerge w:val="continue"/>
            <w:vAlign w:val="center"/>
          </w:tcPr>
          <w:p>
            <w:pPr>
              <w:pStyle w:val="63"/>
            </w:pPr>
          </w:p>
        </w:tc>
        <w:tc>
          <w:tcPr>
            <w:tcW w:w="1354" w:type="pct"/>
            <w:tcBorders>
              <w:right w:val="single" w:color="000000" w:sz="12" w:space="0"/>
            </w:tcBorders>
          </w:tcPr>
          <w:p>
            <w:pPr>
              <w:pStyle w:val="63"/>
            </w:pPr>
            <w:r>
              <w:t>/</w:t>
            </w:r>
          </w:p>
        </w:tc>
      </w:tr>
    </w:tbl>
    <w:p>
      <w:pPr>
        <w:pStyle w:val="6"/>
        <w:rPr>
          <w:rFonts w:ascii="Times New Roman" w:hAnsi="Times New Roman" w:cs="Times New Roman"/>
          <w:vertAlign w:val="superscript"/>
        </w:rPr>
      </w:pPr>
      <w:r>
        <w:rPr>
          <w:rFonts w:ascii="Times New Roman" w:hAnsi="Times New Roman" w:cs="Times New Roman"/>
        </w:rPr>
        <w:t>表1.7-8  大气污染物排放标准  单位：mg/ m</w:t>
      </w:r>
      <w:r>
        <w:rPr>
          <w:rFonts w:ascii="Times New Roman" w:hAnsi="Times New Roman" w:cs="Times New Roman"/>
          <w:vertAlign w:val="superscript"/>
        </w:rPr>
        <w:t>3</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448"/>
        <w:gridCol w:w="1326"/>
        <w:gridCol w:w="1310"/>
        <w:gridCol w:w="1176"/>
        <w:gridCol w:w="1012"/>
        <w:gridCol w:w="15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标准名称</w:t>
            </w:r>
          </w:p>
        </w:tc>
        <w:tc>
          <w:tcPr>
            <w:tcW w:w="3614" w:type="pct"/>
            <w:gridSpan w:val="5"/>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386" w:type="pct"/>
            <w:vMerge w:val="restar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《锅炉大气污染物排放标准》（GB13271-2014）表3排放限值 单位：mg/m</w:t>
            </w:r>
            <w:r>
              <w:rPr>
                <w:rFonts w:ascii="Times New Roman" w:hAnsi="Times New Roman" w:eastAsia="宋体" w:cs="Times New Roman"/>
                <w:sz w:val="21"/>
                <w:szCs w:val="24"/>
                <w:vertAlign w:val="superscript"/>
              </w:rPr>
              <w:t>3</w:t>
            </w:r>
          </w:p>
        </w:tc>
        <w:tc>
          <w:tcPr>
            <w:tcW w:w="751"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生产设备</w:t>
            </w:r>
          </w:p>
        </w:tc>
        <w:tc>
          <w:tcPr>
            <w:tcW w:w="742"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颗粒物</w:t>
            </w:r>
          </w:p>
        </w:tc>
        <w:tc>
          <w:tcPr>
            <w:tcW w:w="666"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二氧化硫</w:t>
            </w:r>
          </w:p>
        </w:tc>
        <w:tc>
          <w:tcPr>
            <w:tcW w:w="573"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氮氧化物</w:t>
            </w:r>
          </w:p>
        </w:tc>
        <w:tc>
          <w:tcPr>
            <w:tcW w:w="883"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烟气黑度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6" w:type="pct"/>
            <w:vMerge w:val="continue"/>
            <w:tcMar>
              <w:top w:w="0" w:type="dxa"/>
              <w:left w:w="28" w:type="dxa"/>
              <w:bottom w:w="0" w:type="dxa"/>
              <w:right w:w="28" w:type="dxa"/>
            </w:tcMar>
            <w:vAlign w:val="center"/>
          </w:tcPr>
          <w:p>
            <w:pPr>
              <w:jc w:val="center"/>
              <w:rPr>
                <w:rFonts w:ascii="Times New Roman" w:hAnsi="Times New Roman" w:eastAsia="宋体" w:cs="Times New Roman"/>
                <w:sz w:val="21"/>
                <w:szCs w:val="24"/>
              </w:rPr>
            </w:pPr>
          </w:p>
        </w:tc>
        <w:tc>
          <w:tcPr>
            <w:tcW w:w="751"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燃煤锅炉</w:t>
            </w:r>
          </w:p>
        </w:tc>
        <w:tc>
          <w:tcPr>
            <w:tcW w:w="742"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666"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200</w:t>
            </w:r>
          </w:p>
        </w:tc>
        <w:tc>
          <w:tcPr>
            <w:tcW w:w="573"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200</w:t>
            </w:r>
          </w:p>
        </w:tc>
        <w:tc>
          <w:tcPr>
            <w:tcW w:w="883" w:type="pct"/>
            <w:vMerge w:val="restar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林格曼黑度≤1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6" w:type="pct"/>
            <w:vMerge w:val="continue"/>
            <w:tcMar>
              <w:top w:w="0" w:type="dxa"/>
              <w:left w:w="28" w:type="dxa"/>
              <w:bottom w:w="0" w:type="dxa"/>
              <w:right w:w="28" w:type="dxa"/>
            </w:tcMar>
            <w:vAlign w:val="center"/>
          </w:tcPr>
          <w:p>
            <w:pPr>
              <w:jc w:val="center"/>
              <w:rPr>
                <w:rFonts w:ascii="Times New Roman" w:hAnsi="Times New Roman" w:eastAsia="宋体" w:cs="Times New Roman"/>
                <w:sz w:val="21"/>
                <w:szCs w:val="24"/>
              </w:rPr>
            </w:pPr>
          </w:p>
        </w:tc>
        <w:tc>
          <w:tcPr>
            <w:tcW w:w="751"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kern w:val="0"/>
                <w:sz w:val="18"/>
                <w:szCs w:val="18"/>
              </w:rPr>
              <w:t>燃油锅炉</w:t>
            </w:r>
          </w:p>
        </w:tc>
        <w:tc>
          <w:tcPr>
            <w:tcW w:w="742"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666"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573"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200</w:t>
            </w:r>
          </w:p>
        </w:tc>
        <w:tc>
          <w:tcPr>
            <w:tcW w:w="883" w:type="pct"/>
            <w:vMerge w:val="continue"/>
            <w:tcMar>
              <w:top w:w="0" w:type="dxa"/>
              <w:left w:w="28" w:type="dxa"/>
              <w:bottom w:w="0" w:type="dxa"/>
              <w:right w:w="28" w:type="dxa"/>
            </w:tcMar>
            <w:vAlign w:val="center"/>
          </w:tcPr>
          <w:p>
            <w:pPr>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386" w:type="pct"/>
            <w:vMerge w:val="continue"/>
            <w:vAlign w:val="center"/>
          </w:tcPr>
          <w:p>
            <w:pPr>
              <w:jc w:val="center"/>
              <w:rPr>
                <w:rFonts w:ascii="Times New Roman" w:hAnsi="Times New Roman" w:eastAsia="宋体" w:cs="Times New Roman"/>
                <w:sz w:val="21"/>
                <w:szCs w:val="24"/>
              </w:rPr>
            </w:pPr>
          </w:p>
        </w:tc>
        <w:tc>
          <w:tcPr>
            <w:tcW w:w="751"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燃气锅炉</w:t>
            </w:r>
          </w:p>
        </w:tc>
        <w:tc>
          <w:tcPr>
            <w:tcW w:w="742"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666"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573"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150</w:t>
            </w:r>
          </w:p>
        </w:tc>
        <w:tc>
          <w:tcPr>
            <w:tcW w:w="883" w:type="pct"/>
            <w:vMerge w:val="continue"/>
            <w:vAlign w:val="center"/>
          </w:tcPr>
          <w:p>
            <w:pPr>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6"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《挥发性有机物无组织排放控制标准》（GB 37822-2019）</w:t>
            </w:r>
          </w:p>
        </w:tc>
        <w:tc>
          <w:tcPr>
            <w:tcW w:w="751" w:type="pct"/>
            <w:vMerge w:val="restar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污染物项目</w:t>
            </w:r>
          </w:p>
        </w:tc>
        <w:tc>
          <w:tcPr>
            <w:tcW w:w="2864" w:type="pct"/>
            <w:gridSpan w:val="4"/>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无组织排放监控位置（在厂房外设置监控点）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6" w:type="pct"/>
            <w:vMerge w:val="continue"/>
            <w:vAlign w:val="center"/>
          </w:tcPr>
          <w:p>
            <w:pPr>
              <w:jc w:val="center"/>
              <w:rPr>
                <w:rFonts w:ascii="Times New Roman" w:hAnsi="Times New Roman" w:eastAsia="宋体" w:cs="Times New Roman"/>
                <w:sz w:val="21"/>
                <w:szCs w:val="24"/>
              </w:rPr>
            </w:pPr>
          </w:p>
        </w:tc>
        <w:tc>
          <w:tcPr>
            <w:tcW w:w="751" w:type="pct"/>
            <w:vMerge w:val="continue"/>
            <w:tcMar>
              <w:top w:w="0" w:type="dxa"/>
              <w:left w:w="28" w:type="dxa"/>
              <w:bottom w:w="0" w:type="dxa"/>
              <w:right w:w="28" w:type="dxa"/>
            </w:tcMar>
            <w:vAlign w:val="center"/>
          </w:tcPr>
          <w:p>
            <w:pPr>
              <w:jc w:val="center"/>
              <w:rPr>
                <w:rFonts w:ascii="Times New Roman" w:hAnsi="Times New Roman" w:eastAsia="宋体" w:cs="Times New Roman"/>
                <w:sz w:val="21"/>
                <w:szCs w:val="24"/>
              </w:rPr>
            </w:pPr>
          </w:p>
        </w:tc>
        <w:tc>
          <w:tcPr>
            <w:tcW w:w="1408" w:type="pct"/>
            <w:gridSpan w:val="2"/>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监控点处 1 h 平均浓度值</w:t>
            </w:r>
          </w:p>
        </w:tc>
        <w:tc>
          <w:tcPr>
            <w:tcW w:w="1456" w:type="pct"/>
            <w:gridSpan w:val="2"/>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监控点处任意一次浓度值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6" w:type="pct"/>
            <w:vMerge w:val="continue"/>
            <w:vAlign w:val="center"/>
          </w:tcPr>
          <w:p>
            <w:pPr>
              <w:jc w:val="center"/>
              <w:rPr>
                <w:rFonts w:ascii="Times New Roman" w:hAnsi="Times New Roman" w:eastAsia="宋体" w:cs="Times New Roman"/>
                <w:sz w:val="21"/>
                <w:szCs w:val="24"/>
              </w:rPr>
            </w:pPr>
          </w:p>
        </w:tc>
        <w:tc>
          <w:tcPr>
            <w:tcW w:w="751" w:type="pct"/>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非甲烷总烃</w:t>
            </w:r>
          </w:p>
        </w:tc>
        <w:tc>
          <w:tcPr>
            <w:tcW w:w="1408" w:type="pct"/>
            <w:gridSpan w:val="2"/>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 mg/m</w:t>
            </w:r>
            <w:r>
              <w:rPr>
                <w:rFonts w:ascii="Times New Roman" w:hAnsi="Times New Roman" w:eastAsia="宋体" w:cs="Times New Roman"/>
                <w:sz w:val="21"/>
                <w:szCs w:val="24"/>
                <w:vertAlign w:val="superscript"/>
              </w:rPr>
              <w:t>3</w:t>
            </w:r>
          </w:p>
        </w:tc>
        <w:tc>
          <w:tcPr>
            <w:tcW w:w="1456" w:type="pct"/>
            <w:gridSpan w:val="2"/>
            <w:tcMar>
              <w:top w:w="0" w:type="dxa"/>
              <w:left w:w="28" w:type="dxa"/>
              <w:bottom w:w="0" w:type="dxa"/>
              <w:right w:w="28" w:type="dxa"/>
            </w:tcMar>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 mg/m</w:t>
            </w:r>
            <w:r>
              <w:rPr>
                <w:rFonts w:ascii="Times New Roman" w:hAnsi="Times New Roman" w:eastAsia="宋体" w:cs="Times New Roman"/>
                <w:sz w:val="21"/>
                <w:szCs w:val="24"/>
                <w:vertAlign w:val="superscript"/>
              </w:rPr>
              <w:t>3</w:t>
            </w:r>
          </w:p>
        </w:tc>
      </w:tr>
    </w:tbl>
    <w:p>
      <w:pPr>
        <w:pStyle w:val="63"/>
      </w:pPr>
    </w:p>
    <w:p>
      <w:pPr>
        <w:pStyle w:val="63"/>
      </w:pPr>
    </w:p>
    <w:p>
      <w:pPr>
        <w:pStyle w:val="6"/>
      </w:pPr>
      <w:r>
        <w:t>表</w:t>
      </w:r>
      <w:r>
        <w:rPr>
          <w:rFonts w:hint="eastAsia"/>
        </w:rPr>
        <w:t>1.7-9</w:t>
      </w:r>
      <w:r>
        <w:t xml:space="preserve"> 无机化学工业污染物排放标准（GB 31573-2015 ）</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20"/>
        <w:gridCol w:w="1531"/>
        <w:gridCol w:w="3988"/>
        <w:gridCol w:w="1151"/>
        <w:gridCol w:w="141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5"/>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表3  大气污染物排放限值  单位：mg/m</w:t>
            </w:r>
            <w:r>
              <w:rPr>
                <w:rFonts w:ascii="Times New Roman" w:hAnsi="Times New Roman" w:eastAsia="宋体" w:cs="Times New Roman"/>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污染物项目</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控制污染源</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限值</w:t>
            </w:r>
          </w:p>
        </w:tc>
        <w:tc>
          <w:tcPr>
            <w:tcW w:w="78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污染物排放</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监控位置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颗粒物</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所有</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785"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车间或生产设施排气筒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氮氧化物</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所有</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0"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二氧化硫</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硫化合物及硫酸盐工业、重金属无机化合物工业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400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continue"/>
            <w:vAlign w:val="center"/>
          </w:tcPr>
          <w:p>
            <w:pPr>
              <w:jc w:val="center"/>
              <w:rPr>
                <w:rFonts w:ascii="Times New Roman" w:hAnsi="Times New Roman" w:eastAsia="宋体" w:cs="Times New Roman"/>
                <w:sz w:val="21"/>
                <w:szCs w:val="21"/>
              </w:rPr>
            </w:pPr>
          </w:p>
        </w:tc>
        <w:tc>
          <w:tcPr>
            <w:tcW w:w="850" w:type="pct"/>
            <w:vMerge w:val="continue"/>
            <w:vAlign w:val="center"/>
          </w:tcPr>
          <w:p>
            <w:pPr>
              <w:jc w:val="center"/>
              <w:rPr>
                <w:rFonts w:ascii="Times New Roman" w:hAnsi="Times New Roman" w:eastAsia="宋体" w:cs="Times New Roman"/>
                <w:sz w:val="21"/>
                <w:szCs w:val="21"/>
              </w:rPr>
            </w:pP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其他</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硫化氢</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除无机氰化合物工业、卤素及其化合物工业外</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0"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氯气</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无机氯化合物及氯酸盐工业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continue"/>
            <w:vAlign w:val="center"/>
          </w:tcPr>
          <w:p>
            <w:pPr>
              <w:jc w:val="center"/>
              <w:rPr>
                <w:rFonts w:ascii="Times New Roman" w:hAnsi="Times New Roman" w:eastAsia="宋体" w:cs="Times New Roman"/>
                <w:sz w:val="21"/>
                <w:szCs w:val="21"/>
              </w:rPr>
            </w:pPr>
          </w:p>
        </w:tc>
        <w:tc>
          <w:tcPr>
            <w:tcW w:w="850" w:type="pct"/>
            <w:vMerge w:val="continue"/>
            <w:vAlign w:val="center"/>
          </w:tcPr>
          <w:p>
            <w:pPr>
              <w:jc w:val="center"/>
              <w:rPr>
                <w:rFonts w:ascii="Times New Roman" w:hAnsi="Times New Roman" w:eastAsia="宋体" w:cs="Times New Roman"/>
                <w:sz w:val="21"/>
                <w:szCs w:val="21"/>
              </w:rPr>
            </w:pP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其他（硫化合物及硫酸盐工业、无机氰化物工业除外）</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0"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氯化氢</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无机氯化合物及氯酸盐工业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continue"/>
            <w:vAlign w:val="center"/>
          </w:tcPr>
          <w:p>
            <w:pPr>
              <w:jc w:val="center"/>
              <w:rPr>
                <w:rFonts w:ascii="Times New Roman" w:hAnsi="Times New Roman" w:eastAsia="宋体" w:cs="Times New Roman"/>
                <w:sz w:val="21"/>
                <w:szCs w:val="21"/>
              </w:rPr>
            </w:pPr>
          </w:p>
        </w:tc>
        <w:tc>
          <w:tcPr>
            <w:tcW w:w="850" w:type="pct"/>
            <w:vMerge w:val="continue"/>
            <w:vAlign w:val="center"/>
          </w:tcPr>
          <w:p>
            <w:pPr>
              <w:jc w:val="center"/>
              <w:rPr>
                <w:rFonts w:ascii="Times New Roman" w:hAnsi="Times New Roman" w:eastAsia="宋体" w:cs="Times New Roman"/>
                <w:sz w:val="21"/>
                <w:szCs w:val="21"/>
              </w:rPr>
            </w:pP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其他（硫化合物及硫酸盐工业、无机氰化合物工业除外）</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氰化氢</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除硫化物及硫酸盐工业、卤素及其化合物工业外</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0.3</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氨</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除重金属无机化合物工业、卤素及其化合物工业外</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硫酸雾</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硫化合物及硫酸盐工业，涉钡、锶重金属无机化合物工业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850"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氟化物（以F计）</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涉钴、锆重金属无机化合物工业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Merge w:val="continue"/>
            <w:vAlign w:val="center"/>
          </w:tcPr>
          <w:p>
            <w:pPr>
              <w:jc w:val="center"/>
              <w:rPr>
                <w:rFonts w:ascii="Times New Roman" w:hAnsi="Times New Roman" w:eastAsia="宋体" w:cs="Times New Roman"/>
                <w:sz w:val="21"/>
                <w:szCs w:val="21"/>
              </w:rPr>
            </w:pPr>
          </w:p>
        </w:tc>
        <w:tc>
          <w:tcPr>
            <w:tcW w:w="850" w:type="pct"/>
            <w:vMerge w:val="continue"/>
            <w:vAlign w:val="center"/>
          </w:tcPr>
          <w:p>
            <w:pPr>
              <w:jc w:val="center"/>
              <w:rPr>
                <w:rFonts w:ascii="Times New Roman" w:hAnsi="Times New Roman" w:eastAsia="宋体" w:cs="Times New Roman"/>
                <w:sz w:val="21"/>
                <w:szCs w:val="21"/>
              </w:rPr>
            </w:pP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无机氟化合物工业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铬酸雾</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铬及其化合物工业</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0.07</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5"/>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表4   大气污染物特别排放限值  单位：mg/m</w:t>
            </w:r>
            <w:r>
              <w:rPr>
                <w:rFonts w:ascii="Times New Roman" w:hAnsi="Times New Roman" w:eastAsia="宋体" w:cs="Times New Roman"/>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污染物项目</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控制污染源</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限值</w:t>
            </w:r>
          </w:p>
        </w:tc>
        <w:tc>
          <w:tcPr>
            <w:tcW w:w="78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污染物排放监控位置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颗粒物</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所有</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85" w:type="pct"/>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车间或生产设施排气筒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氮氧化物</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所有</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785" w:type="pct"/>
            <w:vMerge w:val="continue"/>
            <w:vAlign w:val="center"/>
          </w:tcPr>
          <w:p>
            <w:pPr>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1"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0"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二氧化硫</w:t>
            </w:r>
          </w:p>
        </w:tc>
        <w:tc>
          <w:tcPr>
            <w:tcW w:w="22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所有</w:t>
            </w:r>
          </w:p>
        </w:tc>
        <w:tc>
          <w:tcPr>
            <w:tcW w:w="639"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785" w:type="pct"/>
            <w:vMerge w:val="continue"/>
            <w:vAlign w:val="center"/>
          </w:tcPr>
          <w:p>
            <w:pPr>
              <w:jc w:val="center"/>
              <w:rPr>
                <w:rFonts w:ascii="Times New Roman" w:hAnsi="Times New Roman" w:eastAsia="宋体" w:cs="Times New Roman"/>
                <w:sz w:val="21"/>
                <w:szCs w:val="21"/>
              </w:rPr>
            </w:pPr>
          </w:p>
        </w:tc>
      </w:tr>
    </w:tbl>
    <w:p>
      <w:pPr>
        <w:pStyle w:val="6"/>
      </w:pPr>
      <w:r>
        <w:t>表</w:t>
      </w:r>
      <w:r>
        <w:rPr>
          <w:rFonts w:hint="eastAsia"/>
        </w:rPr>
        <w:t>1.7-10</w:t>
      </w:r>
      <w:r>
        <w:t xml:space="preserve">  石油化学工业污染物排放标准 （GB31571-2015）</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70"/>
        <w:gridCol w:w="1662"/>
        <w:gridCol w:w="47"/>
        <w:gridCol w:w="1172"/>
        <w:gridCol w:w="110"/>
        <w:gridCol w:w="1550"/>
        <w:gridCol w:w="47"/>
        <w:gridCol w:w="1172"/>
        <w:gridCol w:w="45"/>
        <w:gridCol w:w="1178"/>
        <w:gridCol w:w="13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5000" w:type="pct"/>
            <w:gridSpan w:val="11"/>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表4</w:t>
            </w:r>
            <w:r>
              <w:rPr>
                <w:rFonts w:ascii="Times New Roman" w:hAnsi="Times New Roman" w:eastAsia="宋体" w:cs="Times New Roman"/>
                <w:sz w:val="21"/>
                <w:szCs w:val="24"/>
              </w:rPr>
              <w:tab/>
            </w:r>
            <w:r>
              <w:rPr>
                <w:rFonts w:ascii="Times New Roman" w:hAnsi="Times New Roman" w:eastAsia="宋体" w:cs="Times New Roman"/>
                <w:sz w:val="21"/>
                <w:szCs w:val="24"/>
              </w:rPr>
              <w:t>大气污染物排放限值  单位：mg/m</w:t>
            </w:r>
            <w:r>
              <w:rPr>
                <w:rFonts w:ascii="Times New Roman" w:hAnsi="Times New Roman" w:eastAsia="宋体" w:cs="Times New Roman"/>
                <w:sz w:val="21"/>
                <w:szCs w:val="24"/>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923"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污染物项目</w:t>
            </w:r>
          </w:p>
        </w:tc>
        <w:tc>
          <w:tcPr>
            <w:tcW w:w="677" w:type="pct"/>
            <w:gridSpan w:val="2"/>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工艺加热炉</w:t>
            </w:r>
          </w:p>
        </w:tc>
        <w:tc>
          <w:tcPr>
            <w:tcW w:w="2278" w:type="pct"/>
            <w:gridSpan w:val="6"/>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有机废气排放口</w:t>
            </w:r>
          </w:p>
        </w:tc>
        <w:tc>
          <w:tcPr>
            <w:tcW w:w="750"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污染物排放监控位置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Merge w:val="continue"/>
            <w:vAlign w:val="center"/>
          </w:tcPr>
          <w:p>
            <w:pPr>
              <w:jc w:val="center"/>
              <w:rPr>
                <w:rFonts w:ascii="Times New Roman" w:hAnsi="Times New Roman" w:eastAsia="宋体" w:cs="Times New Roman"/>
                <w:sz w:val="21"/>
                <w:szCs w:val="24"/>
              </w:rPr>
            </w:pPr>
          </w:p>
        </w:tc>
        <w:tc>
          <w:tcPr>
            <w:tcW w:w="923" w:type="pct"/>
            <w:vMerge w:val="continue"/>
            <w:vAlign w:val="center"/>
          </w:tcPr>
          <w:p>
            <w:pPr>
              <w:jc w:val="center"/>
              <w:rPr>
                <w:rFonts w:ascii="Times New Roman" w:hAnsi="Times New Roman" w:eastAsia="宋体" w:cs="Times New Roman"/>
                <w:sz w:val="21"/>
                <w:szCs w:val="24"/>
              </w:rPr>
            </w:pPr>
          </w:p>
        </w:tc>
        <w:tc>
          <w:tcPr>
            <w:tcW w:w="677" w:type="pct"/>
            <w:gridSpan w:val="2"/>
            <w:vMerge w:val="continue"/>
            <w:vAlign w:val="center"/>
          </w:tcPr>
          <w:p>
            <w:pPr>
              <w:jc w:val="center"/>
              <w:rPr>
                <w:rFonts w:ascii="Times New Roman" w:hAnsi="Times New Roman" w:eastAsia="宋体" w:cs="Times New Roman"/>
                <w:sz w:val="21"/>
                <w:szCs w:val="24"/>
              </w:rPr>
            </w:pP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废水处理有机废气收集处理装置</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含卤代烃有机废气（1）</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其他有机废气（1）</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颗粒物</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车间或生产设施排气筒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二氧化硫</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氮氧化物</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150</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180（2）</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非甲烷总烃</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120</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去除效率</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≥95%</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去除效率</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≥95%</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氯化氢</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氟化氢</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7</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溴化氢（3）</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8</w:t>
            </w:r>
          </w:p>
        </w:tc>
        <w:tc>
          <w:tcPr>
            <w:tcW w:w="92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氯气</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922"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679"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50" w:type="pct"/>
            <w:gridSpan w:val="10"/>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注：（1）有机废气中若含有颗粒物、二氧化硫或氮氧化物，执行工艺加热炉相应污染物控制要求。</w:t>
            </w:r>
          </w:p>
          <w:p>
            <w:pPr>
              <w:jc w:val="left"/>
              <w:rPr>
                <w:rFonts w:ascii="Times New Roman" w:hAnsi="Times New Roman" w:eastAsia="宋体" w:cs="Times New Roman"/>
                <w:sz w:val="21"/>
                <w:szCs w:val="24"/>
              </w:rPr>
            </w:pPr>
            <w:r>
              <w:rPr>
                <w:rFonts w:ascii="Times New Roman" w:hAnsi="Times New Roman" w:eastAsia="宋体" w:cs="Times New Roman"/>
                <w:sz w:val="21"/>
                <w:szCs w:val="24"/>
              </w:rPr>
              <w:t>（2）炉膛温度≥850</w:t>
            </w:r>
            <w:r>
              <w:rPr>
                <w:rFonts w:hint="eastAsia" w:ascii="宋体" w:hAnsi="宋体" w:eastAsia="宋体" w:cs="宋体"/>
                <w:sz w:val="21"/>
                <w:szCs w:val="24"/>
              </w:rPr>
              <w:t>℃</w:t>
            </w:r>
            <w:r>
              <w:rPr>
                <w:rFonts w:ascii="Times New Roman" w:hAnsi="Times New Roman" w:eastAsia="宋体" w:cs="Times New Roman"/>
                <w:sz w:val="21"/>
                <w:szCs w:val="24"/>
              </w:rPr>
              <w:t>的工艺加热炉执行该限值。</w:t>
            </w:r>
          </w:p>
          <w:p>
            <w:pPr>
              <w:jc w:val="left"/>
              <w:rPr>
                <w:rFonts w:ascii="Times New Roman" w:hAnsi="Times New Roman" w:eastAsia="宋体" w:cs="Times New Roman"/>
                <w:sz w:val="21"/>
                <w:szCs w:val="24"/>
              </w:rPr>
            </w:pPr>
            <w:r>
              <w:rPr>
                <w:rFonts w:ascii="Times New Roman" w:hAnsi="Times New Roman" w:eastAsia="宋体" w:cs="Times New Roman"/>
                <w:sz w:val="21"/>
                <w:szCs w:val="24"/>
              </w:rPr>
              <w:t>（3）待国家污染物监测方法标准发布后实施。</w:t>
            </w:r>
          </w:p>
        </w:tc>
        <w:tc>
          <w:tcPr>
            <w:tcW w:w="750" w:type="pct"/>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11"/>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表5  大气污染物特别排放限值  单位：mg/m</w:t>
            </w:r>
            <w:r>
              <w:rPr>
                <w:rFonts w:ascii="Times New Roman" w:hAnsi="Times New Roman" w:eastAsia="宋体" w:cs="Times New Roman"/>
                <w:sz w:val="21"/>
                <w:szCs w:val="24"/>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Merge w:val="restar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949" w:type="pct"/>
            <w:gridSpan w:val="2"/>
            <w:vMerge w:val="restar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污染物项目</w:t>
            </w:r>
          </w:p>
        </w:tc>
        <w:tc>
          <w:tcPr>
            <w:tcW w:w="712" w:type="pct"/>
            <w:gridSpan w:val="2"/>
            <w:vMerge w:val="restar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工艺加热炉</w:t>
            </w:r>
          </w:p>
        </w:tc>
        <w:tc>
          <w:tcPr>
            <w:tcW w:w="2217" w:type="pct"/>
            <w:gridSpan w:val="5"/>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有机废气排放口</w:t>
            </w:r>
          </w:p>
        </w:tc>
        <w:tc>
          <w:tcPr>
            <w:tcW w:w="750" w:type="pct"/>
            <w:vMerge w:val="restar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污染物排放监控位置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vMerge w:val="continue"/>
          </w:tcPr>
          <w:p>
            <w:pPr>
              <w:jc w:val="center"/>
              <w:rPr>
                <w:rFonts w:ascii="Times New Roman" w:hAnsi="Times New Roman" w:eastAsia="宋体" w:cs="Times New Roman"/>
                <w:sz w:val="21"/>
                <w:szCs w:val="24"/>
              </w:rPr>
            </w:pPr>
          </w:p>
        </w:tc>
        <w:tc>
          <w:tcPr>
            <w:tcW w:w="949" w:type="pct"/>
            <w:gridSpan w:val="2"/>
            <w:vMerge w:val="continue"/>
          </w:tcPr>
          <w:p>
            <w:pPr>
              <w:jc w:val="center"/>
              <w:rPr>
                <w:rFonts w:ascii="Times New Roman" w:hAnsi="Times New Roman" w:eastAsia="宋体" w:cs="Times New Roman"/>
                <w:sz w:val="21"/>
                <w:szCs w:val="24"/>
              </w:rPr>
            </w:pPr>
          </w:p>
        </w:tc>
        <w:tc>
          <w:tcPr>
            <w:tcW w:w="712" w:type="pct"/>
            <w:gridSpan w:val="2"/>
            <w:vMerge w:val="continue"/>
          </w:tcPr>
          <w:p>
            <w:pPr>
              <w:jc w:val="center"/>
              <w:rPr>
                <w:rFonts w:ascii="Times New Roman" w:hAnsi="Times New Roman" w:eastAsia="宋体" w:cs="Times New Roman"/>
                <w:sz w:val="21"/>
                <w:szCs w:val="24"/>
              </w:rPr>
            </w:pPr>
          </w:p>
        </w:tc>
        <w:tc>
          <w:tcPr>
            <w:tcW w:w="887"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废水处理有机废气收集处理装置</w:t>
            </w:r>
          </w:p>
        </w:tc>
        <w:tc>
          <w:tcPr>
            <w:tcW w:w="676"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含卤代烃有机废气（1）</w:t>
            </w:r>
          </w:p>
        </w:tc>
        <w:tc>
          <w:tcPr>
            <w:tcW w:w="654"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其他有机废气（1）</w:t>
            </w:r>
          </w:p>
        </w:tc>
        <w:tc>
          <w:tcPr>
            <w:tcW w:w="750" w:type="pct"/>
            <w:vMerge w:val="continue"/>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949"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颗粒物</w:t>
            </w:r>
          </w:p>
        </w:tc>
        <w:tc>
          <w:tcPr>
            <w:tcW w:w="712"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887"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6"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54"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restar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车间或生产设施排气筒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949"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二氧化硫</w:t>
            </w:r>
          </w:p>
        </w:tc>
        <w:tc>
          <w:tcPr>
            <w:tcW w:w="712"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887"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6"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54"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2"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c>
          <w:tcPr>
            <w:tcW w:w="949"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氮氧化物</w:t>
            </w:r>
          </w:p>
        </w:tc>
        <w:tc>
          <w:tcPr>
            <w:tcW w:w="712"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887"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76" w:type="pct"/>
            <w:gridSpan w:val="2"/>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654" w:type="pct"/>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w:t>
            </w:r>
          </w:p>
        </w:tc>
        <w:tc>
          <w:tcPr>
            <w:tcW w:w="750" w:type="pct"/>
            <w:vMerge w:val="continue"/>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11"/>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注：（1）有机废气中若含有颗粒物、二氧化硫或氮氧化物，执行工艺加热炉相应污染物控制要求。</w:t>
            </w:r>
          </w:p>
          <w:p>
            <w:pPr>
              <w:jc w:val="left"/>
              <w:rPr>
                <w:rFonts w:ascii="Times New Roman" w:hAnsi="Times New Roman" w:eastAsia="宋体" w:cs="Times New Roman"/>
                <w:sz w:val="21"/>
                <w:szCs w:val="24"/>
              </w:rPr>
            </w:pPr>
            <w:r>
              <w:rPr>
                <w:rFonts w:ascii="Times New Roman" w:hAnsi="Times New Roman" w:eastAsia="宋体" w:cs="Times New Roman"/>
                <w:sz w:val="21"/>
                <w:szCs w:val="24"/>
              </w:rPr>
              <w:t>（2）待国家污染物监测方法标准发布后实施。</w:t>
            </w:r>
          </w:p>
        </w:tc>
      </w:tr>
    </w:tbl>
    <w:p>
      <w:pPr>
        <w:pStyle w:val="6"/>
      </w:pPr>
      <w:r>
        <w:t>表</w:t>
      </w:r>
      <w:r>
        <w:rPr>
          <w:rFonts w:hint="eastAsia"/>
        </w:rPr>
        <w:t>1.7-11</w:t>
      </w:r>
      <w:r>
        <w:t xml:space="preserve">  合成树脂工业污染物排放标准（GB 31572-2015）</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80"/>
        <w:gridCol w:w="125"/>
        <w:gridCol w:w="2691"/>
        <w:gridCol w:w="1319"/>
        <w:gridCol w:w="3000"/>
        <w:gridCol w:w="110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6"/>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表4大气污染物排放限值  单位：mg/m</w:t>
            </w:r>
            <w:r>
              <w:rPr>
                <w:rFonts w:ascii="Times New Roman" w:hAnsi="Times New Roman" w:eastAsia="宋体" w:cs="Times New Roman"/>
                <w:sz w:val="21"/>
                <w:szCs w:val="24"/>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污染物项目</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排放限值</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适用的合成树脂类型</w:t>
            </w:r>
          </w:p>
        </w:tc>
        <w:tc>
          <w:tcPr>
            <w:tcW w:w="625"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监控位置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非甲烷总烃</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1701"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所有合成树脂</w:t>
            </w:r>
          </w:p>
        </w:tc>
        <w:tc>
          <w:tcPr>
            <w:tcW w:w="625"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车间或生产设施排气筒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颗粒物</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1701" w:type="pct"/>
            <w:vMerge w:val="continue"/>
            <w:vAlign w:val="center"/>
          </w:tcPr>
          <w:p>
            <w:pPr>
              <w:jc w:val="center"/>
              <w:rPr>
                <w:rFonts w:ascii="Times New Roman" w:hAnsi="Times New Roman" w:eastAsia="宋体" w:cs="Times New Roman"/>
                <w:sz w:val="21"/>
                <w:szCs w:val="24"/>
              </w:rPr>
            </w:pP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苯乙烯</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聚苯乙烯树脂</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ABS 树脂不饱和聚酯树脂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丙烯腈</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ABS 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1，3-丁二烯（1）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ABS 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环氧氯丙烷（1）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环氧树脂氨基树脂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7</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酚类</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酚醛树脂环氧树脂聚碳酸酯树脂聚醚醚酮树脂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8</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醛</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酚醛树脂氨基树脂聚甲醛树脂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9</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乙醛</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热塑性聚酯树脂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甲苯二异氰酸酯（1）</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（TDI）</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聚氨酯树脂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11</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二苯基甲烷二异氰酸酯（1）</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（MDI）</w:t>
            </w:r>
          </w:p>
        </w:tc>
        <w:tc>
          <w:tcPr>
            <w:tcW w:w="748" w:type="pct"/>
            <w:vAlign w:val="center"/>
          </w:tcPr>
          <w:p>
            <w:pPr>
              <w:jc w:val="center"/>
              <w:rPr>
                <w:rFonts w:ascii="Times New Roman" w:hAnsi="Times New Roman" w:eastAsia="宋体" w:cs="Times New Roman"/>
                <w:sz w:val="21"/>
                <w:szCs w:val="24"/>
              </w:rPr>
            </w:pP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聚氨酯树脂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12</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异佛尔酮二异氰酸酯（1）</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（IPDI）</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聚氨酯树脂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13</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多亚甲基多苯基异氰酸酯（1）（PAPI）</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聚氨酯树脂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14</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氨</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氨基树脂聚酰胺树脂聚酰亚胺树脂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氟化氢</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氟树脂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16</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氯化氢</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有机硅树脂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17</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光气</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光气法聚碳酸酯树脂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18</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二氧化硫</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聚砜树脂聚醚砜树脂聚醚醚酮树脂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19</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硫化氢</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聚苯硫醚树脂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21</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丙烯酸甲酯（1）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22</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丙烯酸丁酯（1）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23</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甲基丙烯酸甲酯（1）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丙烯酸树脂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24</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苯</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聚甲醛树脂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25</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甲苯</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聚苯乙烯树脂</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ABS 树脂环氧树脂有机硅树脂聚砜树脂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26</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乙苯</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聚苯乙烯树脂</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ABS 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27</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氯苯类</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聚碳酸酯树脂聚苯硫醚树脂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28</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二氯甲烷（1）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聚碳酸酯树脂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29</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四氢呋喃（1）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聚对苯二甲酸丁二醇酯树脂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329"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30</w:t>
            </w:r>
          </w:p>
        </w:tc>
        <w:tc>
          <w:tcPr>
            <w:tcW w:w="1597"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邻苯二甲酸酐（1）</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醇酸树脂</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926" w:type="pct"/>
            <w:gridSpan w:val="3"/>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单位产品非甲烷总烃排放量</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（kg/t 产品）</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0.5</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所有合成树脂</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（有机硅树脂除外）（2）</w:t>
            </w:r>
          </w:p>
        </w:tc>
        <w:tc>
          <w:tcPr>
            <w:tcW w:w="625" w:type="pct"/>
            <w:vMerge w:val="continue"/>
            <w:vAlign w:val="center"/>
          </w:tcPr>
          <w:p>
            <w:pPr>
              <w:jc w:val="center"/>
              <w:rPr>
                <w:rFonts w:ascii="Times New Roman" w:hAnsi="Times New Roman" w:eastAsia="宋体" w:cs="Times New Roman"/>
                <w:sz w:val="21"/>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6"/>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注：（1）待国家污染物监测方法标准发布后实施。</w:t>
            </w:r>
          </w:p>
          <w:p>
            <w:pPr>
              <w:rPr>
                <w:rFonts w:ascii="Times New Roman" w:hAnsi="Times New Roman" w:eastAsia="宋体" w:cs="Times New Roman"/>
                <w:sz w:val="21"/>
                <w:szCs w:val="24"/>
              </w:rPr>
            </w:pPr>
            <w:r>
              <w:rPr>
                <w:rFonts w:ascii="Times New Roman" w:hAnsi="Times New Roman" w:eastAsia="宋体" w:cs="Times New Roman"/>
                <w:sz w:val="21"/>
                <w:szCs w:val="24"/>
              </w:rPr>
              <w:t>（2）有机硅树脂采用单位产品氯化氢排放量（0.2kg/t 产品）。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5000" w:type="pct"/>
            <w:gridSpan w:val="6"/>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表5  大气污染物特别排放限值  单位：mg/m</w:t>
            </w:r>
            <w:r>
              <w:rPr>
                <w:rFonts w:ascii="Times New Roman" w:hAnsi="Times New Roman" w:eastAsia="宋体" w:cs="Times New Roman"/>
                <w:sz w:val="21"/>
                <w:szCs w:val="24"/>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00"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152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污染物项目</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排放限值</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适用的合成树脂类型</w:t>
            </w:r>
          </w:p>
        </w:tc>
        <w:tc>
          <w:tcPr>
            <w:tcW w:w="625"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监控位置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00"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152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颗粒物</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所有合成树脂</w:t>
            </w:r>
          </w:p>
        </w:tc>
        <w:tc>
          <w:tcPr>
            <w:tcW w:w="625"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车间或生产设施排气筒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400"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152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二氧化硫</w:t>
            </w:r>
          </w:p>
        </w:tc>
        <w:tc>
          <w:tcPr>
            <w:tcW w:w="748"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50</w:t>
            </w:r>
          </w:p>
        </w:tc>
        <w:tc>
          <w:tcPr>
            <w:tcW w:w="170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聚砜树脂聚醚砜树脂聚醚醚酮树脂</w:t>
            </w:r>
          </w:p>
        </w:tc>
        <w:tc>
          <w:tcPr>
            <w:tcW w:w="625" w:type="pct"/>
            <w:vMerge w:val="continue"/>
            <w:vAlign w:val="center"/>
          </w:tcPr>
          <w:p>
            <w:pPr>
              <w:jc w:val="center"/>
              <w:rPr>
                <w:rFonts w:ascii="Times New Roman" w:hAnsi="Times New Roman" w:eastAsia="宋体" w:cs="Times New Roman"/>
                <w:sz w:val="21"/>
                <w:szCs w:val="24"/>
              </w:rPr>
            </w:pPr>
          </w:p>
        </w:tc>
      </w:tr>
    </w:tbl>
    <w:p>
      <w:pPr>
        <w:pStyle w:val="6"/>
        <w:rPr>
          <w:rFonts w:ascii="Times New Roman" w:hAnsi="Times New Roman" w:cs="Times New Roman"/>
        </w:rPr>
      </w:pPr>
      <w:r>
        <w:rPr>
          <w:rFonts w:ascii="Times New Roman" w:hAnsi="Times New Roman" w:cs="Times New Roman"/>
        </w:rPr>
        <w:t>表1.7-1</w:t>
      </w:r>
      <w:r>
        <w:rPr>
          <w:rFonts w:hint="eastAsia" w:ascii="Times New Roman" w:hAnsi="Times New Roman" w:cs="Times New Roman"/>
        </w:rPr>
        <w:t>2</w:t>
      </w:r>
      <w:r>
        <w:rPr>
          <w:rFonts w:ascii="Times New Roman" w:hAnsi="Times New Roman" w:cs="Times New Roman"/>
        </w:rPr>
        <w:t xml:space="preserve">  噪声排放标准  单位：dB（A）</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171"/>
        <w:gridCol w:w="2331"/>
        <w:gridCol w:w="1744"/>
        <w:gridCol w:w="1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3" w:type="pct"/>
            <w:tcMar>
              <w:top w:w="0" w:type="dxa"/>
              <w:left w:w="28" w:type="dxa"/>
              <w:bottom w:w="0" w:type="dxa"/>
              <w:right w:w="28" w:type="dxa"/>
            </w:tcMar>
            <w:vAlign w:val="center"/>
          </w:tcPr>
          <w:p>
            <w:pPr>
              <w:pStyle w:val="63"/>
              <w:rPr>
                <w:rFonts w:eastAsiaTheme="minorEastAsia"/>
              </w:rPr>
            </w:pPr>
            <w:r>
              <w:rPr>
                <w:rFonts w:eastAsiaTheme="minorEastAsia"/>
              </w:rPr>
              <w:t>标准名称</w:t>
            </w:r>
          </w:p>
        </w:tc>
        <w:tc>
          <w:tcPr>
            <w:tcW w:w="1318" w:type="pct"/>
            <w:tcMar>
              <w:top w:w="0" w:type="dxa"/>
              <w:left w:w="28" w:type="dxa"/>
              <w:bottom w:w="0" w:type="dxa"/>
              <w:right w:w="28" w:type="dxa"/>
            </w:tcMar>
            <w:vAlign w:val="center"/>
          </w:tcPr>
          <w:p>
            <w:pPr>
              <w:pStyle w:val="63"/>
              <w:rPr>
                <w:rFonts w:eastAsiaTheme="minorEastAsia"/>
              </w:rPr>
            </w:pPr>
            <w:r>
              <w:rPr>
                <w:rFonts w:eastAsiaTheme="minorEastAsia"/>
              </w:rPr>
              <w:t>类别</w:t>
            </w:r>
          </w:p>
        </w:tc>
        <w:tc>
          <w:tcPr>
            <w:tcW w:w="986" w:type="pct"/>
            <w:vAlign w:val="center"/>
          </w:tcPr>
          <w:p>
            <w:pPr>
              <w:pStyle w:val="63"/>
              <w:rPr>
                <w:rFonts w:eastAsiaTheme="minorEastAsia"/>
              </w:rPr>
            </w:pPr>
            <w:r>
              <w:rPr>
                <w:rFonts w:eastAsiaTheme="minorEastAsia"/>
              </w:rPr>
              <w:t>昼间</w:t>
            </w:r>
          </w:p>
        </w:tc>
        <w:tc>
          <w:tcPr>
            <w:tcW w:w="903" w:type="pct"/>
            <w:tcMar>
              <w:top w:w="0" w:type="dxa"/>
              <w:left w:w="28" w:type="dxa"/>
              <w:bottom w:w="0" w:type="dxa"/>
              <w:right w:w="28" w:type="dxa"/>
            </w:tcMar>
            <w:vAlign w:val="center"/>
          </w:tcPr>
          <w:p>
            <w:pPr>
              <w:pStyle w:val="63"/>
              <w:rPr>
                <w:rFonts w:eastAsiaTheme="minorEastAsia"/>
              </w:rPr>
            </w:pPr>
            <w:r>
              <w:rPr>
                <w:rFonts w:eastAsiaTheme="minor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3" w:type="pct"/>
            <w:vMerge w:val="restart"/>
            <w:tcMar>
              <w:top w:w="0" w:type="dxa"/>
              <w:left w:w="28" w:type="dxa"/>
              <w:bottom w:w="0" w:type="dxa"/>
              <w:right w:w="28" w:type="dxa"/>
            </w:tcMar>
            <w:vAlign w:val="center"/>
          </w:tcPr>
          <w:p>
            <w:pPr>
              <w:pStyle w:val="63"/>
              <w:rPr>
                <w:rFonts w:eastAsiaTheme="minorEastAsia"/>
              </w:rPr>
            </w:pPr>
            <w:r>
              <w:rPr>
                <w:rFonts w:eastAsiaTheme="minorEastAsia"/>
              </w:rPr>
              <w:t>《工业企业厂界环境噪声排放标准》（GB 12348-2008）</w:t>
            </w:r>
          </w:p>
        </w:tc>
        <w:tc>
          <w:tcPr>
            <w:tcW w:w="1318" w:type="pct"/>
            <w:tcMar>
              <w:top w:w="0" w:type="dxa"/>
              <w:left w:w="28" w:type="dxa"/>
              <w:bottom w:w="0" w:type="dxa"/>
              <w:right w:w="28" w:type="dxa"/>
            </w:tcMar>
            <w:vAlign w:val="center"/>
          </w:tcPr>
          <w:p>
            <w:pPr>
              <w:pStyle w:val="63"/>
              <w:rPr>
                <w:rFonts w:eastAsiaTheme="minorEastAsia"/>
              </w:rPr>
            </w:pPr>
            <w:r>
              <w:rPr>
                <w:rFonts w:eastAsiaTheme="minorEastAsia"/>
              </w:rPr>
              <w:t>2类</w:t>
            </w:r>
          </w:p>
        </w:tc>
        <w:tc>
          <w:tcPr>
            <w:tcW w:w="986" w:type="pct"/>
            <w:vAlign w:val="center"/>
          </w:tcPr>
          <w:p>
            <w:pPr>
              <w:pStyle w:val="63"/>
              <w:rPr>
                <w:rFonts w:eastAsiaTheme="minorEastAsia"/>
              </w:rPr>
            </w:pPr>
            <w:r>
              <w:rPr>
                <w:rFonts w:eastAsiaTheme="minorEastAsia"/>
              </w:rPr>
              <w:t>60</w:t>
            </w:r>
          </w:p>
        </w:tc>
        <w:tc>
          <w:tcPr>
            <w:tcW w:w="903" w:type="pct"/>
            <w:tcMar>
              <w:top w:w="0" w:type="dxa"/>
              <w:left w:w="28" w:type="dxa"/>
              <w:bottom w:w="0" w:type="dxa"/>
              <w:right w:w="28" w:type="dxa"/>
            </w:tcMar>
            <w:vAlign w:val="center"/>
          </w:tcPr>
          <w:p>
            <w:pPr>
              <w:pStyle w:val="63"/>
              <w:rPr>
                <w:rFonts w:eastAsiaTheme="minorEastAsia"/>
              </w:rPr>
            </w:pPr>
            <w:r>
              <w:rPr>
                <w:rFonts w:eastAsiaTheme="minorEastAsia"/>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3" w:type="pct"/>
            <w:vMerge w:val="continue"/>
            <w:vAlign w:val="center"/>
          </w:tcPr>
          <w:p>
            <w:pPr>
              <w:pStyle w:val="63"/>
              <w:rPr>
                <w:rFonts w:eastAsiaTheme="minorEastAsia"/>
              </w:rPr>
            </w:pPr>
          </w:p>
        </w:tc>
        <w:tc>
          <w:tcPr>
            <w:tcW w:w="1318" w:type="pct"/>
            <w:tcMar>
              <w:top w:w="0" w:type="dxa"/>
              <w:left w:w="28" w:type="dxa"/>
              <w:bottom w:w="0" w:type="dxa"/>
              <w:right w:w="28" w:type="dxa"/>
            </w:tcMar>
            <w:vAlign w:val="center"/>
          </w:tcPr>
          <w:p>
            <w:pPr>
              <w:pStyle w:val="63"/>
              <w:rPr>
                <w:rFonts w:eastAsiaTheme="minorEastAsia"/>
              </w:rPr>
            </w:pPr>
            <w:r>
              <w:rPr>
                <w:rFonts w:eastAsiaTheme="minorEastAsia"/>
              </w:rPr>
              <w:t>3类</w:t>
            </w:r>
          </w:p>
        </w:tc>
        <w:tc>
          <w:tcPr>
            <w:tcW w:w="986" w:type="pct"/>
            <w:vAlign w:val="center"/>
          </w:tcPr>
          <w:p>
            <w:pPr>
              <w:pStyle w:val="63"/>
              <w:rPr>
                <w:rFonts w:eastAsiaTheme="minorEastAsia"/>
              </w:rPr>
            </w:pPr>
            <w:r>
              <w:rPr>
                <w:rFonts w:eastAsiaTheme="minorEastAsia"/>
              </w:rPr>
              <w:t>65</w:t>
            </w:r>
          </w:p>
        </w:tc>
        <w:tc>
          <w:tcPr>
            <w:tcW w:w="903" w:type="pct"/>
            <w:tcMar>
              <w:top w:w="0" w:type="dxa"/>
              <w:left w:w="28" w:type="dxa"/>
              <w:bottom w:w="0" w:type="dxa"/>
              <w:right w:w="28" w:type="dxa"/>
            </w:tcMar>
            <w:vAlign w:val="center"/>
          </w:tcPr>
          <w:p>
            <w:pPr>
              <w:pStyle w:val="63"/>
              <w:rPr>
                <w:rFonts w:eastAsiaTheme="minorEastAsia"/>
              </w:rPr>
            </w:pPr>
            <w:r>
              <w:rPr>
                <w:rFonts w:eastAsiaTheme="minorEastAsia"/>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3" w:type="pct"/>
            <w:vMerge w:val="continue"/>
            <w:vAlign w:val="center"/>
          </w:tcPr>
          <w:p>
            <w:pPr>
              <w:pStyle w:val="63"/>
              <w:rPr>
                <w:rFonts w:eastAsiaTheme="minorEastAsia"/>
              </w:rPr>
            </w:pPr>
          </w:p>
        </w:tc>
        <w:tc>
          <w:tcPr>
            <w:tcW w:w="1318" w:type="pct"/>
            <w:tcMar>
              <w:top w:w="0" w:type="dxa"/>
              <w:left w:w="28" w:type="dxa"/>
              <w:bottom w:w="0" w:type="dxa"/>
              <w:right w:w="28" w:type="dxa"/>
            </w:tcMar>
            <w:vAlign w:val="center"/>
          </w:tcPr>
          <w:p>
            <w:pPr>
              <w:pStyle w:val="63"/>
              <w:rPr>
                <w:rFonts w:eastAsiaTheme="minorEastAsia"/>
              </w:rPr>
            </w:pPr>
            <w:r>
              <w:rPr>
                <w:rFonts w:eastAsiaTheme="minorEastAsia"/>
              </w:rPr>
              <w:t>4类</w:t>
            </w:r>
          </w:p>
        </w:tc>
        <w:tc>
          <w:tcPr>
            <w:tcW w:w="986" w:type="pct"/>
            <w:vAlign w:val="center"/>
          </w:tcPr>
          <w:p>
            <w:pPr>
              <w:pStyle w:val="63"/>
              <w:rPr>
                <w:rFonts w:eastAsiaTheme="minorEastAsia"/>
              </w:rPr>
            </w:pPr>
            <w:r>
              <w:rPr>
                <w:rFonts w:eastAsiaTheme="minorEastAsia"/>
              </w:rPr>
              <w:t>70</w:t>
            </w:r>
          </w:p>
        </w:tc>
        <w:tc>
          <w:tcPr>
            <w:tcW w:w="903" w:type="pct"/>
            <w:tcMar>
              <w:top w:w="0" w:type="dxa"/>
              <w:left w:w="28" w:type="dxa"/>
              <w:bottom w:w="0" w:type="dxa"/>
              <w:right w:w="28" w:type="dxa"/>
            </w:tcMar>
            <w:vAlign w:val="center"/>
          </w:tcPr>
          <w:p>
            <w:pPr>
              <w:pStyle w:val="63"/>
              <w:rPr>
                <w:rFonts w:eastAsiaTheme="minorEastAsia"/>
              </w:rPr>
            </w:pPr>
            <w:r>
              <w:rPr>
                <w:rFonts w:eastAsiaTheme="minorEastAsia"/>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3" w:type="pct"/>
            <w:vMerge w:val="restart"/>
            <w:tcMar>
              <w:top w:w="0" w:type="dxa"/>
              <w:left w:w="28" w:type="dxa"/>
              <w:bottom w:w="0" w:type="dxa"/>
              <w:right w:w="28" w:type="dxa"/>
            </w:tcMar>
            <w:vAlign w:val="center"/>
          </w:tcPr>
          <w:p>
            <w:pPr>
              <w:pStyle w:val="63"/>
              <w:rPr>
                <w:rFonts w:eastAsiaTheme="minorEastAsia"/>
              </w:rPr>
            </w:pPr>
            <w:r>
              <w:rPr>
                <w:rFonts w:eastAsiaTheme="minorEastAsia"/>
              </w:rPr>
              <w:t>《建筑施工场界环境噪声排放标准》（GB12533-2011）</w:t>
            </w:r>
          </w:p>
        </w:tc>
        <w:tc>
          <w:tcPr>
            <w:tcW w:w="1318" w:type="pct"/>
            <w:tcMar>
              <w:top w:w="0" w:type="dxa"/>
              <w:left w:w="28" w:type="dxa"/>
              <w:bottom w:w="0" w:type="dxa"/>
              <w:right w:w="28" w:type="dxa"/>
            </w:tcMar>
            <w:vAlign w:val="center"/>
          </w:tcPr>
          <w:p>
            <w:pPr>
              <w:pStyle w:val="63"/>
              <w:rPr>
                <w:rFonts w:eastAsiaTheme="minorEastAsia"/>
              </w:rPr>
            </w:pPr>
            <w:r>
              <w:rPr>
                <w:rFonts w:eastAsiaTheme="minorEastAsia"/>
              </w:rPr>
              <w:t>昼间</w:t>
            </w:r>
          </w:p>
        </w:tc>
        <w:tc>
          <w:tcPr>
            <w:tcW w:w="1889" w:type="pct"/>
            <w:gridSpan w:val="2"/>
            <w:tcMar>
              <w:top w:w="0" w:type="dxa"/>
              <w:left w:w="28" w:type="dxa"/>
              <w:bottom w:w="0" w:type="dxa"/>
              <w:right w:w="28" w:type="dxa"/>
            </w:tcMar>
            <w:vAlign w:val="center"/>
          </w:tcPr>
          <w:p>
            <w:pPr>
              <w:pStyle w:val="63"/>
              <w:rPr>
                <w:rFonts w:eastAsiaTheme="minorEastAsia"/>
              </w:rPr>
            </w:pPr>
            <w:r>
              <w:rPr>
                <w:rFonts w:eastAsiaTheme="minorEastAsia"/>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3" w:type="pct"/>
            <w:vMerge w:val="continue"/>
            <w:vAlign w:val="center"/>
          </w:tcPr>
          <w:p>
            <w:pPr>
              <w:pStyle w:val="63"/>
              <w:rPr>
                <w:rFonts w:eastAsiaTheme="minorEastAsia"/>
              </w:rPr>
            </w:pPr>
          </w:p>
        </w:tc>
        <w:tc>
          <w:tcPr>
            <w:tcW w:w="1318" w:type="pct"/>
            <w:tcMar>
              <w:top w:w="0" w:type="dxa"/>
              <w:left w:w="28" w:type="dxa"/>
              <w:bottom w:w="0" w:type="dxa"/>
              <w:right w:w="28" w:type="dxa"/>
            </w:tcMar>
            <w:vAlign w:val="center"/>
          </w:tcPr>
          <w:p>
            <w:pPr>
              <w:pStyle w:val="63"/>
              <w:rPr>
                <w:rFonts w:eastAsiaTheme="minorEastAsia"/>
              </w:rPr>
            </w:pPr>
            <w:r>
              <w:rPr>
                <w:rFonts w:eastAsiaTheme="minorEastAsia"/>
              </w:rPr>
              <w:t>夜间</w:t>
            </w:r>
          </w:p>
        </w:tc>
        <w:tc>
          <w:tcPr>
            <w:tcW w:w="1889" w:type="pct"/>
            <w:gridSpan w:val="2"/>
            <w:tcMar>
              <w:top w:w="0" w:type="dxa"/>
              <w:left w:w="28" w:type="dxa"/>
              <w:bottom w:w="0" w:type="dxa"/>
              <w:right w:w="28" w:type="dxa"/>
            </w:tcMar>
            <w:vAlign w:val="center"/>
          </w:tcPr>
          <w:p>
            <w:pPr>
              <w:pStyle w:val="63"/>
              <w:rPr>
                <w:rFonts w:eastAsiaTheme="minorEastAsia"/>
              </w:rPr>
            </w:pPr>
            <w:r>
              <w:rPr>
                <w:rFonts w:eastAsiaTheme="minorEastAsia"/>
              </w:rPr>
              <w:t>55</w:t>
            </w:r>
          </w:p>
        </w:tc>
      </w:tr>
    </w:tbl>
    <w:p>
      <w:pPr>
        <w:pStyle w:val="3"/>
        <w:rPr>
          <w:rFonts w:ascii="Times New Roman" w:hAnsi="Times New Roman" w:cs="Times New Roman" w:eastAsiaTheme="minorEastAsia"/>
        </w:rPr>
      </w:pPr>
      <w:bookmarkStart w:id="45" w:name="_Toc134088431"/>
      <w:bookmarkStart w:id="46" w:name="_Toc146091871"/>
      <w:r>
        <w:rPr>
          <w:rFonts w:ascii="Times New Roman" w:hAnsi="Times New Roman" w:cs="Times New Roman" w:eastAsiaTheme="minorEastAsia"/>
        </w:rPr>
        <w:t>1.8 评价范围</w:t>
      </w:r>
      <w:bookmarkEnd w:id="45"/>
      <w:bookmarkEnd w:id="46"/>
    </w:p>
    <w:p>
      <w:pPr>
        <w:pStyle w:val="6"/>
        <w:rPr>
          <w:rFonts w:ascii="Times New Roman" w:hAnsi="Times New Roman" w:cs="Times New Roman"/>
        </w:rPr>
      </w:pPr>
      <w:r>
        <w:rPr>
          <w:rFonts w:ascii="Times New Roman" w:hAnsi="Times New Roman" w:cs="Times New Roman"/>
        </w:rPr>
        <w:t>表1.8-1  评价范围</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3"/>
        <w:gridCol w:w="76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评价要素</w:t>
            </w:r>
          </w:p>
        </w:tc>
        <w:tc>
          <w:tcPr>
            <w:tcW w:w="4271" w:type="pct"/>
            <w:vAlign w:val="center"/>
          </w:tcPr>
          <w:p>
            <w:pPr>
              <w:pStyle w:val="63"/>
              <w:rPr>
                <w:rFonts w:eastAsiaTheme="minorEastAsia"/>
              </w:rPr>
            </w:pPr>
            <w:r>
              <w:rPr>
                <w:rFonts w:eastAsiaTheme="minorEastAsia"/>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highlight w:val="yellow"/>
              </w:rPr>
            </w:pPr>
            <w:r>
              <w:rPr>
                <w:rFonts w:eastAsiaTheme="minorEastAsia"/>
                <w:highlight w:val="yellow"/>
              </w:rPr>
              <w:t>地表水</w:t>
            </w:r>
          </w:p>
        </w:tc>
        <w:tc>
          <w:tcPr>
            <w:tcW w:w="4271" w:type="pct"/>
            <w:vAlign w:val="center"/>
          </w:tcPr>
          <w:p>
            <w:pPr>
              <w:pStyle w:val="63"/>
              <w:rPr>
                <w:rFonts w:eastAsiaTheme="minorEastAsia"/>
                <w:highlight w:val="yellow"/>
              </w:rPr>
            </w:pPr>
            <w:r>
              <w:rPr>
                <w:rFonts w:eastAsiaTheme="minorEastAsia"/>
                <w:highlight w:val="yellow"/>
              </w:rPr>
              <w:t>人民河：工业园污水处理厂排污口上游500m至人民河汇入武江口，全长约23km；武江：人民河汇口至下游龟爻断面，全长约20km；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地下水</w:t>
            </w:r>
          </w:p>
        </w:tc>
        <w:tc>
          <w:tcPr>
            <w:tcW w:w="4271" w:type="pct"/>
            <w:vAlign w:val="center"/>
          </w:tcPr>
          <w:p>
            <w:pPr>
              <w:pStyle w:val="63"/>
              <w:rPr>
                <w:rFonts w:eastAsiaTheme="minorEastAsia"/>
              </w:rPr>
            </w:pPr>
            <w:r>
              <w:rPr>
                <w:rFonts w:eastAsiaTheme="minorEastAsia"/>
              </w:rPr>
              <w:t>园区上游外延500m及下游排泄至河流所组成的范围内。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大气环境</w:t>
            </w:r>
          </w:p>
        </w:tc>
        <w:tc>
          <w:tcPr>
            <w:tcW w:w="4271" w:type="pct"/>
            <w:vAlign w:val="center"/>
          </w:tcPr>
          <w:p>
            <w:pPr>
              <w:pStyle w:val="63"/>
              <w:rPr>
                <w:rFonts w:eastAsiaTheme="minorEastAsia"/>
              </w:rPr>
            </w:pPr>
            <w:r>
              <w:rPr>
                <w:rFonts w:eastAsiaTheme="minorEastAsia"/>
              </w:rPr>
              <w:t>大气环境评价范围为园区各个片区边界向外扩展2.5km范围。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声环境</w:t>
            </w:r>
          </w:p>
        </w:tc>
        <w:tc>
          <w:tcPr>
            <w:tcW w:w="4271" w:type="pct"/>
            <w:vAlign w:val="center"/>
          </w:tcPr>
          <w:p>
            <w:pPr>
              <w:pStyle w:val="63"/>
              <w:rPr>
                <w:rFonts w:eastAsiaTheme="minorEastAsia"/>
              </w:rPr>
            </w:pPr>
            <w:r>
              <w:rPr>
                <w:rFonts w:eastAsiaTheme="minorEastAsia"/>
              </w:rPr>
              <w:t>园区范围内及边界外延200m组成评价范围。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生态环境</w:t>
            </w:r>
          </w:p>
        </w:tc>
        <w:tc>
          <w:tcPr>
            <w:tcW w:w="4271" w:type="pct"/>
            <w:vAlign w:val="center"/>
          </w:tcPr>
          <w:p>
            <w:pPr>
              <w:pStyle w:val="63"/>
              <w:rPr>
                <w:rFonts w:eastAsiaTheme="minorEastAsia"/>
              </w:rPr>
            </w:pPr>
            <w:r>
              <w:rPr>
                <w:rFonts w:eastAsiaTheme="minorEastAsia"/>
              </w:rPr>
              <w:t xml:space="preserve">园区规划边界外延1000m的范围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土壤环境</w:t>
            </w:r>
          </w:p>
        </w:tc>
        <w:tc>
          <w:tcPr>
            <w:tcW w:w="4271" w:type="pct"/>
            <w:vAlign w:val="center"/>
          </w:tcPr>
          <w:p>
            <w:pPr>
              <w:pStyle w:val="63"/>
              <w:rPr>
                <w:rFonts w:eastAsiaTheme="minorEastAsia"/>
              </w:rPr>
            </w:pPr>
            <w:r>
              <w:rPr>
                <w:rFonts w:eastAsiaTheme="minorEastAsia"/>
              </w:rPr>
              <w:t>园区规划外延500m组成的范围内。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9" w:type="pct"/>
            <w:vAlign w:val="center"/>
          </w:tcPr>
          <w:p>
            <w:pPr>
              <w:pStyle w:val="63"/>
              <w:rPr>
                <w:rFonts w:eastAsiaTheme="minorEastAsia"/>
              </w:rPr>
            </w:pPr>
            <w:r>
              <w:rPr>
                <w:rFonts w:eastAsiaTheme="minorEastAsia"/>
              </w:rPr>
              <w:t>风险评价</w:t>
            </w:r>
          </w:p>
        </w:tc>
        <w:tc>
          <w:tcPr>
            <w:tcW w:w="4271" w:type="pct"/>
            <w:vAlign w:val="center"/>
          </w:tcPr>
          <w:p>
            <w:pPr>
              <w:pStyle w:val="63"/>
              <w:rPr>
                <w:rFonts w:eastAsiaTheme="minorEastAsia"/>
              </w:rPr>
            </w:pPr>
            <w:r>
              <w:rPr>
                <w:rFonts w:eastAsiaTheme="minorEastAsia"/>
              </w:rPr>
              <w:t>与大气、地表水评价范围一致。</w:t>
            </w:r>
          </w:p>
        </w:tc>
      </w:tr>
    </w:tbl>
    <w:p>
      <w:pPr>
        <w:pStyle w:val="3"/>
        <w:rPr>
          <w:rFonts w:ascii="Times New Roman" w:hAnsi="Times New Roman" w:cs="Times New Roman" w:eastAsiaTheme="minorEastAsia"/>
        </w:rPr>
      </w:pPr>
      <w:bookmarkStart w:id="47" w:name="_Toc146091872"/>
      <w:bookmarkStart w:id="48" w:name="_Toc134088432"/>
      <w:r>
        <w:rPr>
          <w:rFonts w:ascii="Times New Roman" w:hAnsi="Times New Roman" w:cs="Times New Roman" w:eastAsiaTheme="minorEastAsia"/>
        </w:rPr>
        <w:t>1.9 评价因子</w:t>
      </w:r>
      <w:bookmarkEnd w:id="47"/>
      <w:bookmarkEnd w:id="48"/>
    </w:p>
    <w:p>
      <w:pPr>
        <w:spacing w:line="360" w:lineRule="auto"/>
        <w:ind w:firstLine="480" w:firstLineChars="200"/>
        <w:rPr>
          <w:rFonts w:ascii="Times New Roman" w:hAnsi="Times New Roman" w:cs="Times New Roman"/>
        </w:rPr>
      </w:pPr>
      <w:r>
        <w:rPr>
          <w:rFonts w:ascii="Times New Roman" w:hAnsi="Times New Roman" w:cs="Times New Roman"/>
        </w:rPr>
        <w:t>本次评价主要评价因子如下表。</w:t>
      </w:r>
    </w:p>
    <w:p>
      <w:pPr>
        <w:pStyle w:val="6"/>
        <w:rPr>
          <w:rFonts w:ascii="Times New Roman" w:hAnsi="Times New Roman" w:cs="Times New Roman"/>
        </w:rPr>
      </w:pPr>
      <w:r>
        <w:rPr>
          <w:rFonts w:ascii="Times New Roman" w:hAnsi="Times New Roman" w:cs="Times New Roman"/>
        </w:rPr>
        <w:t>表1.9-1   本次环评主要评价因子一览表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4595"/>
        <w:gridCol w:w="1882"/>
        <w:gridCol w:w="17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评价要素</w:t>
            </w:r>
          </w:p>
        </w:tc>
        <w:tc>
          <w:tcPr>
            <w:tcW w:w="2552" w:type="pct"/>
            <w:vAlign w:val="center"/>
          </w:tcPr>
          <w:p>
            <w:pPr>
              <w:pStyle w:val="63"/>
              <w:rPr>
                <w:rFonts w:eastAsiaTheme="minorEastAsia"/>
              </w:rPr>
            </w:pPr>
            <w:r>
              <w:rPr>
                <w:rFonts w:eastAsiaTheme="minorEastAsia"/>
              </w:rPr>
              <w:t>现状评价因子</w:t>
            </w:r>
          </w:p>
        </w:tc>
        <w:tc>
          <w:tcPr>
            <w:tcW w:w="1045" w:type="pct"/>
            <w:vAlign w:val="center"/>
          </w:tcPr>
          <w:p>
            <w:pPr>
              <w:pStyle w:val="63"/>
              <w:rPr>
                <w:rFonts w:eastAsiaTheme="minorEastAsia"/>
              </w:rPr>
            </w:pPr>
            <w:r>
              <w:rPr>
                <w:rFonts w:eastAsiaTheme="minorEastAsia"/>
              </w:rPr>
              <w:t>影响分析因子</w:t>
            </w:r>
          </w:p>
        </w:tc>
        <w:tc>
          <w:tcPr>
            <w:tcW w:w="984" w:type="pct"/>
            <w:vAlign w:val="center"/>
          </w:tcPr>
          <w:p>
            <w:pPr>
              <w:pStyle w:val="63"/>
              <w:rPr>
                <w:rFonts w:eastAsiaTheme="minorEastAsia"/>
              </w:rPr>
            </w:pPr>
            <w:r>
              <w:rPr>
                <w:rFonts w:eastAsiaTheme="minorEastAsia"/>
              </w:rPr>
              <w:t>总量控制因子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环境空气</w:t>
            </w:r>
          </w:p>
        </w:tc>
        <w:tc>
          <w:tcPr>
            <w:tcW w:w="2552" w:type="pct"/>
            <w:vAlign w:val="center"/>
          </w:tcPr>
          <w:p>
            <w:pPr>
              <w:pStyle w:val="63"/>
              <w:rPr>
                <w:rFonts w:eastAsiaTheme="minorEastAsia"/>
              </w:rPr>
            </w:pPr>
            <w:r>
              <w:rPr>
                <w:rFonts w:eastAsiaTheme="minorEastAsia"/>
              </w:rPr>
              <w:t>SO</w:t>
            </w:r>
            <w:r>
              <w:rPr>
                <w:rFonts w:eastAsiaTheme="minorEastAsia"/>
                <w:vertAlign w:val="subscript"/>
              </w:rPr>
              <w:t>2</w:t>
            </w:r>
            <w:r>
              <w:rPr>
                <w:rFonts w:eastAsiaTheme="minorEastAsia"/>
              </w:rPr>
              <w:t>、NOx、PM</w:t>
            </w:r>
            <w:r>
              <w:rPr>
                <w:rFonts w:eastAsiaTheme="minorEastAsia"/>
                <w:vertAlign w:val="subscript"/>
              </w:rPr>
              <w:t>10</w:t>
            </w:r>
            <w:r>
              <w:rPr>
                <w:rFonts w:eastAsiaTheme="minorEastAsia"/>
              </w:rPr>
              <w:t>、PM</w:t>
            </w:r>
            <w:r>
              <w:rPr>
                <w:rFonts w:eastAsiaTheme="minorEastAsia"/>
                <w:vertAlign w:val="subscript"/>
              </w:rPr>
              <w:t>2.5</w:t>
            </w:r>
            <w:r>
              <w:rPr>
                <w:rFonts w:eastAsiaTheme="minorEastAsia"/>
              </w:rPr>
              <w:t>、CO、O</w:t>
            </w:r>
            <w:r>
              <w:rPr>
                <w:rFonts w:eastAsiaTheme="minorEastAsia"/>
                <w:vertAlign w:val="subscript"/>
              </w:rPr>
              <w:t>3</w:t>
            </w:r>
            <w:r>
              <w:rPr>
                <w:rFonts w:eastAsiaTheme="minorEastAsia"/>
              </w:rPr>
              <w:t>、TVOC、H</w:t>
            </w:r>
            <w:r>
              <w:rPr>
                <w:rFonts w:eastAsiaTheme="minorEastAsia"/>
                <w:vertAlign w:val="subscript"/>
              </w:rPr>
              <w:t>2</w:t>
            </w:r>
            <w:r>
              <w:rPr>
                <w:rFonts w:eastAsiaTheme="minorEastAsia"/>
              </w:rPr>
              <w:t>S、NH</w:t>
            </w:r>
            <w:r>
              <w:rPr>
                <w:rFonts w:eastAsiaTheme="minorEastAsia"/>
                <w:vertAlign w:val="subscript"/>
              </w:rPr>
              <w:t>3</w:t>
            </w:r>
            <w:r>
              <w:rPr>
                <w:rFonts w:eastAsiaTheme="minorEastAsia"/>
              </w:rPr>
              <w:t>、臭气浓度、TSP、硫酸雾、HCl、甲苯、二甲苯</w:t>
            </w:r>
          </w:p>
        </w:tc>
        <w:tc>
          <w:tcPr>
            <w:tcW w:w="1045" w:type="pct"/>
            <w:vAlign w:val="center"/>
          </w:tcPr>
          <w:p>
            <w:pPr>
              <w:pStyle w:val="63"/>
              <w:rPr>
                <w:rFonts w:eastAsiaTheme="minorEastAsia"/>
              </w:rPr>
            </w:pPr>
            <w:r>
              <w:rPr>
                <w:rFonts w:eastAsiaTheme="minorEastAsia"/>
              </w:rPr>
              <w:t>SO</w:t>
            </w:r>
            <w:r>
              <w:rPr>
                <w:rFonts w:eastAsiaTheme="minorEastAsia"/>
                <w:vertAlign w:val="subscript"/>
              </w:rPr>
              <w:t>2</w:t>
            </w:r>
            <w:r>
              <w:rPr>
                <w:rFonts w:eastAsiaTheme="minorEastAsia"/>
              </w:rPr>
              <w:t>、NO</w:t>
            </w:r>
            <w:r>
              <w:rPr>
                <w:rFonts w:eastAsiaTheme="minorEastAsia"/>
                <w:vertAlign w:val="subscript"/>
              </w:rPr>
              <w:t>2</w:t>
            </w:r>
            <w:r>
              <w:rPr>
                <w:rFonts w:eastAsiaTheme="minorEastAsia"/>
              </w:rPr>
              <w:t>、PM</w:t>
            </w:r>
            <w:r>
              <w:rPr>
                <w:rFonts w:eastAsiaTheme="minorEastAsia"/>
                <w:vertAlign w:val="subscript"/>
              </w:rPr>
              <w:t>10</w:t>
            </w:r>
            <w:r>
              <w:rPr>
                <w:rFonts w:eastAsiaTheme="minorEastAsia"/>
              </w:rPr>
              <w:t>、PM</w:t>
            </w:r>
            <w:r>
              <w:rPr>
                <w:rFonts w:eastAsiaTheme="minorEastAsia"/>
                <w:vertAlign w:val="subscript"/>
              </w:rPr>
              <w:t>2.5</w:t>
            </w:r>
            <w:r>
              <w:rPr>
                <w:rFonts w:eastAsiaTheme="minorEastAsia"/>
              </w:rPr>
              <w:t>、VOCs、硫酸雾</w:t>
            </w:r>
          </w:p>
        </w:tc>
        <w:tc>
          <w:tcPr>
            <w:tcW w:w="984" w:type="pct"/>
            <w:vAlign w:val="center"/>
          </w:tcPr>
          <w:p>
            <w:pPr>
              <w:pStyle w:val="63"/>
              <w:rPr>
                <w:rFonts w:eastAsiaTheme="minorEastAsia"/>
              </w:rPr>
            </w:pPr>
            <w:r>
              <w:rPr>
                <w:rFonts w:eastAsiaTheme="minorEastAsia"/>
              </w:rPr>
              <w:t>颗粒物、SO</w:t>
            </w:r>
            <w:r>
              <w:rPr>
                <w:rFonts w:eastAsiaTheme="minorEastAsia"/>
                <w:vertAlign w:val="subscript"/>
              </w:rPr>
              <w:t>2</w:t>
            </w:r>
            <w:r>
              <w:rPr>
                <w:rFonts w:eastAsiaTheme="minorEastAsia"/>
              </w:rPr>
              <w:t>、NOx、VOCs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地表水</w:t>
            </w:r>
          </w:p>
        </w:tc>
        <w:tc>
          <w:tcPr>
            <w:tcW w:w="2552" w:type="pct"/>
            <w:vAlign w:val="center"/>
          </w:tcPr>
          <w:p>
            <w:pPr>
              <w:pStyle w:val="63"/>
              <w:rPr>
                <w:rFonts w:eastAsiaTheme="minorEastAsia"/>
              </w:rPr>
            </w:pPr>
            <w:r>
              <w:rPr>
                <w:rFonts w:eastAsiaTheme="minorEastAsia"/>
              </w:rPr>
              <w:t>pH、水温、色度、溶解氧、SS、COD</w:t>
            </w:r>
            <w:r>
              <w:rPr>
                <w:rFonts w:eastAsiaTheme="minorEastAsia"/>
                <w:vertAlign w:val="subscript"/>
              </w:rPr>
              <w:t>Cr</w:t>
            </w:r>
            <w:r>
              <w:rPr>
                <w:rFonts w:eastAsiaTheme="minorEastAsia"/>
              </w:rPr>
              <w:t>、BOD</w:t>
            </w:r>
            <w:r>
              <w:rPr>
                <w:rFonts w:eastAsiaTheme="minorEastAsia"/>
                <w:vertAlign w:val="subscript"/>
              </w:rPr>
              <w:t>5</w:t>
            </w:r>
            <w:r>
              <w:rPr>
                <w:rFonts w:eastAsiaTheme="minorEastAsia"/>
              </w:rPr>
              <w:t>、NH</w:t>
            </w:r>
            <w:r>
              <w:rPr>
                <w:rFonts w:eastAsiaTheme="minorEastAsia"/>
                <w:vertAlign w:val="subscript"/>
              </w:rPr>
              <w:t>3</w:t>
            </w:r>
            <w:r>
              <w:rPr>
                <w:rFonts w:eastAsiaTheme="minorEastAsia"/>
              </w:rPr>
              <w:t>-N、总磷、As、Hg、Cr</w:t>
            </w:r>
            <w:r>
              <w:rPr>
                <w:rFonts w:eastAsiaTheme="minorEastAsia"/>
                <w:vertAlign w:val="superscript"/>
              </w:rPr>
              <w:t>6+</w:t>
            </w:r>
            <w:r>
              <w:rPr>
                <w:rFonts w:eastAsiaTheme="minorEastAsia"/>
              </w:rPr>
              <w:t>、Cu、Zn、Ni、Cd、Pb、氰化物、石油类、氟化物、氯化物、硫化物、阴离子表面活性剂、粪大肠菌群、挥发酚、磷酸盐、苯、甲苯、二甲苯</w:t>
            </w:r>
          </w:p>
        </w:tc>
        <w:tc>
          <w:tcPr>
            <w:tcW w:w="1045" w:type="pct"/>
            <w:vAlign w:val="center"/>
          </w:tcPr>
          <w:p>
            <w:pPr>
              <w:pStyle w:val="63"/>
              <w:rPr>
                <w:rFonts w:eastAsiaTheme="minorEastAsia"/>
              </w:rPr>
            </w:pPr>
            <w:r>
              <w:rPr>
                <w:rFonts w:eastAsiaTheme="minorEastAsia"/>
              </w:rPr>
              <w:t>COD</w:t>
            </w:r>
            <w:r>
              <w:rPr>
                <w:rFonts w:eastAsiaTheme="minorEastAsia"/>
                <w:vertAlign w:val="subscript"/>
              </w:rPr>
              <w:t>Cr</w:t>
            </w:r>
            <w:r>
              <w:rPr>
                <w:rFonts w:eastAsiaTheme="minorEastAsia"/>
              </w:rPr>
              <w:t>、氨氮、铅、砷、镉</w:t>
            </w:r>
          </w:p>
        </w:tc>
        <w:tc>
          <w:tcPr>
            <w:tcW w:w="984" w:type="pct"/>
            <w:vAlign w:val="center"/>
          </w:tcPr>
          <w:p>
            <w:pPr>
              <w:pStyle w:val="63"/>
              <w:rPr>
                <w:rFonts w:eastAsiaTheme="minorEastAsia"/>
              </w:rPr>
            </w:pPr>
            <w:r>
              <w:rPr>
                <w:rFonts w:eastAsiaTheme="minorEastAsia"/>
              </w:rPr>
              <w:t>COD</w:t>
            </w:r>
            <w:r>
              <w:rPr>
                <w:rFonts w:eastAsiaTheme="minorEastAsia"/>
                <w:vertAlign w:val="subscript"/>
              </w:rPr>
              <w:t>Cr</w:t>
            </w:r>
            <w:r>
              <w:rPr>
                <w:rFonts w:eastAsiaTheme="minorEastAsia"/>
              </w:rPr>
              <w:t>、氨氮、铅、砷、镉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地下水</w:t>
            </w:r>
          </w:p>
        </w:tc>
        <w:tc>
          <w:tcPr>
            <w:tcW w:w="2552" w:type="pct"/>
            <w:vAlign w:val="center"/>
          </w:tcPr>
          <w:p>
            <w:pPr>
              <w:pStyle w:val="63"/>
              <w:rPr>
                <w:rFonts w:eastAsiaTheme="minorEastAsia"/>
              </w:rPr>
            </w:pPr>
            <w:r>
              <w:rPr>
                <w:rFonts w:eastAsiaTheme="minorEastAsia"/>
              </w:rPr>
              <w:t>pH、总硬度、溶解性总固体、耗氧量、硫酸盐、氯化物、氰化物、挥发性酚类、氨氮、氟化物、镉、铅、铁、锰、汞、总铬、六价铬、镍、砷、总大肠菌群</w:t>
            </w:r>
          </w:p>
        </w:tc>
        <w:tc>
          <w:tcPr>
            <w:tcW w:w="1045" w:type="pct"/>
            <w:vAlign w:val="center"/>
          </w:tcPr>
          <w:p>
            <w:pPr>
              <w:pStyle w:val="63"/>
              <w:rPr>
                <w:rFonts w:eastAsiaTheme="minorEastAsia"/>
              </w:rPr>
            </w:pPr>
            <w:r>
              <w:rPr>
                <w:rFonts w:eastAsiaTheme="minorEastAsia"/>
              </w:rPr>
              <w:t>/</w:t>
            </w:r>
          </w:p>
        </w:tc>
        <w:tc>
          <w:tcPr>
            <w:tcW w:w="984" w:type="pct"/>
            <w:vAlign w:val="center"/>
          </w:tcPr>
          <w:p>
            <w:pPr>
              <w:pStyle w:val="63"/>
              <w:rPr>
                <w:rFonts w:eastAsiaTheme="minorEastAsia"/>
              </w:rPr>
            </w:pPr>
            <w:r>
              <w:rPr>
                <w:rFonts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声环境</w:t>
            </w:r>
          </w:p>
        </w:tc>
        <w:tc>
          <w:tcPr>
            <w:tcW w:w="2552" w:type="pct"/>
            <w:vAlign w:val="center"/>
          </w:tcPr>
          <w:p>
            <w:pPr>
              <w:pStyle w:val="63"/>
              <w:rPr>
                <w:rFonts w:eastAsiaTheme="minorEastAsia"/>
              </w:rPr>
            </w:pPr>
            <w:r>
              <w:rPr>
                <w:rFonts w:eastAsiaTheme="minorEastAsia"/>
              </w:rPr>
              <w:t>等效声级 Leq（A）</w:t>
            </w:r>
          </w:p>
        </w:tc>
        <w:tc>
          <w:tcPr>
            <w:tcW w:w="1045" w:type="pct"/>
            <w:vAlign w:val="center"/>
          </w:tcPr>
          <w:p>
            <w:pPr>
              <w:pStyle w:val="63"/>
              <w:rPr>
                <w:rFonts w:eastAsiaTheme="minorEastAsia"/>
              </w:rPr>
            </w:pPr>
            <w:r>
              <w:rPr>
                <w:rFonts w:eastAsiaTheme="minorEastAsia"/>
              </w:rPr>
              <w:t>等效声级Leq（A）</w:t>
            </w:r>
          </w:p>
        </w:tc>
        <w:tc>
          <w:tcPr>
            <w:tcW w:w="984" w:type="pct"/>
            <w:vAlign w:val="center"/>
          </w:tcPr>
          <w:p>
            <w:pPr>
              <w:pStyle w:val="63"/>
              <w:rPr>
                <w:rFonts w:eastAsiaTheme="minorEastAsia"/>
              </w:rPr>
            </w:pPr>
            <w:r>
              <w:rPr>
                <w:rFonts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土壤</w:t>
            </w:r>
          </w:p>
        </w:tc>
        <w:tc>
          <w:tcPr>
            <w:tcW w:w="2552" w:type="pct"/>
            <w:vAlign w:val="center"/>
          </w:tcPr>
          <w:p>
            <w:pPr>
              <w:pStyle w:val="63"/>
              <w:rPr>
                <w:rFonts w:eastAsiaTheme="minorEastAsia"/>
              </w:rPr>
            </w:pPr>
            <w:r>
              <w:rPr>
                <w:rFonts w:eastAsiaTheme="minorEastAsia"/>
              </w:rPr>
              <w:t>pH、砷、镉、六价铬、铜、铅、汞、镍、锌、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a，h]、茚并[1，2，3，-cd]芘、萘</w:t>
            </w:r>
          </w:p>
        </w:tc>
        <w:tc>
          <w:tcPr>
            <w:tcW w:w="1045" w:type="pct"/>
            <w:vAlign w:val="center"/>
          </w:tcPr>
          <w:p>
            <w:pPr>
              <w:pStyle w:val="63"/>
              <w:rPr>
                <w:rFonts w:eastAsiaTheme="minorEastAsia"/>
              </w:rPr>
            </w:pPr>
            <w:r>
              <w:rPr>
                <w:rFonts w:eastAsiaTheme="minorEastAsia"/>
              </w:rPr>
              <w:t>/</w:t>
            </w:r>
          </w:p>
        </w:tc>
        <w:tc>
          <w:tcPr>
            <w:tcW w:w="984" w:type="pct"/>
            <w:vAlign w:val="center"/>
          </w:tcPr>
          <w:p>
            <w:pPr>
              <w:pStyle w:val="63"/>
              <w:rPr>
                <w:rFonts w:eastAsiaTheme="minorEastAsia"/>
              </w:rPr>
            </w:pPr>
            <w:r>
              <w:rPr>
                <w:rFonts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固废</w:t>
            </w:r>
          </w:p>
        </w:tc>
        <w:tc>
          <w:tcPr>
            <w:tcW w:w="2552" w:type="pct"/>
            <w:vAlign w:val="center"/>
          </w:tcPr>
          <w:p>
            <w:pPr>
              <w:pStyle w:val="63"/>
              <w:rPr>
                <w:rFonts w:eastAsiaTheme="minorEastAsia"/>
              </w:rPr>
            </w:pPr>
            <w:r>
              <w:rPr>
                <w:rFonts w:eastAsiaTheme="minorEastAsia"/>
              </w:rPr>
              <w:t>一般工业固体废物、危险固废的产生量、综合利用、处理处置量。</w:t>
            </w:r>
          </w:p>
        </w:tc>
        <w:tc>
          <w:tcPr>
            <w:tcW w:w="1045" w:type="pct"/>
            <w:vAlign w:val="center"/>
          </w:tcPr>
          <w:p>
            <w:pPr>
              <w:pStyle w:val="63"/>
              <w:rPr>
                <w:rFonts w:eastAsiaTheme="minorEastAsia"/>
              </w:rPr>
            </w:pPr>
            <w:r>
              <w:rPr>
                <w:rFonts w:eastAsiaTheme="minorEastAsia"/>
              </w:rPr>
              <w:t>/</w:t>
            </w:r>
          </w:p>
        </w:tc>
        <w:tc>
          <w:tcPr>
            <w:tcW w:w="984" w:type="pct"/>
            <w:vAlign w:val="center"/>
          </w:tcPr>
          <w:p>
            <w:pPr>
              <w:pStyle w:val="63"/>
              <w:rPr>
                <w:rFonts w:eastAsiaTheme="minorEastAsia"/>
              </w:rPr>
            </w:pPr>
            <w:r>
              <w:rPr>
                <w:rFonts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9" w:type="pct"/>
            <w:vAlign w:val="center"/>
          </w:tcPr>
          <w:p>
            <w:pPr>
              <w:pStyle w:val="63"/>
              <w:rPr>
                <w:rFonts w:eastAsiaTheme="minorEastAsia"/>
              </w:rPr>
            </w:pPr>
            <w:r>
              <w:rPr>
                <w:rFonts w:eastAsiaTheme="minorEastAsia"/>
              </w:rPr>
              <w:t>生态</w:t>
            </w:r>
          </w:p>
        </w:tc>
        <w:tc>
          <w:tcPr>
            <w:tcW w:w="2552" w:type="pct"/>
            <w:vAlign w:val="center"/>
          </w:tcPr>
          <w:p>
            <w:pPr>
              <w:pStyle w:val="63"/>
              <w:rPr>
                <w:rFonts w:eastAsiaTheme="minorEastAsia"/>
              </w:rPr>
            </w:pPr>
            <w:r>
              <w:rPr>
                <w:rFonts w:eastAsiaTheme="minorEastAsia"/>
              </w:rPr>
              <w:t>水土流失、植被破坏、土地占用、水生态等；北江武水河临武段黄颡鱼黄尾鲴国家级水产种质资源保护区为国家级保护区，主要保护对象为黄颡鱼、黄尾鲴</w:t>
            </w:r>
          </w:p>
        </w:tc>
        <w:tc>
          <w:tcPr>
            <w:tcW w:w="1045" w:type="pct"/>
          </w:tcPr>
          <w:p>
            <w:pPr>
              <w:pStyle w:val="63"/>
              <w:rPr>
                <w:rFonts w:eastAsiaTheme="minorEastAsia"/>
              </w:rPr>
            </w:pPr>
            <w:r>
              <w:rPr>
                <w:rFonts w:eastAsiaTheme="minorEastAsia"/>
              </w:rPr>
              <w:t>/</w:t>
            </w:r>
          </w:p>
        </w:tc>
        <w:tc>
          <w:tcPr>
            <w:tcW w:w="984" w:type="pct"/>
          </w:tcPr>
          <w:p>
            <w:pPr>
              <w:pStyle w:val="63"/>
              <w:rPr>
                <w:rFonts w:eastAsiaTheme="minorEastAsia"/>
              </w:rPr>
            </w:pPr>
            <w:r>
              <w:rPr>
                <w:rFonts w:eastAsiaTheme="minorEastAsia"/>
              </w:rPr>
              <w:t>/</w:t>
            </w:r>
          </w:p>
        </w:tc>
      </w:tr>
    </w:tbl>
    <w:p>
      <w:pPr>
        <w:pStyle w:val="3"/>
        <w:rPr>
          <w:rFonts w:ascii="Times New Roman" w:hAnsi="Times New Roman" w:cs="Times New Roman" w:eastAsiaTheme="minorEastAsia"/>
        </w:rPr>
      </w:pPr>
      <w:bookmarkStart w:id="49" w:name="_Toc134088433"/>
      <w:bookmarkStart w:id="50" w:name="_Toc146091873"/>
      <w:r>
        <w:rPr>
          <w:rFonts w:ascii="Times New Roman" w:hAnsi="Times New Roman" w:cs="Times New Roman" w:eastAsiaTheme="minorEastAsia"/>
        </w:rPr>
        <w:t>1.10 评价工作程序</w:t>
      </w:r>
      <w:bookmarkEnd w:id="49"/>
      <w:bookmarkEnd w:id="50"/>
    </w:p>
    <w:p>
      <w:pPr>
        <w:spacing w:line="360" w:lineRule="auto"/>
        <w:ind w:firstLine="480" w:firstLineChars="200"/>
        <w:rPr>
          <w:rFonts w:ascii="Times New Roman" w:hAnsi="Times New Roman" w:cs="Times New Roman"/>
        </w:rPr>
      </w:pPr>
      <w:r>
        <w:rPr>
          <w:rFonts w:ascii="Times New Roman" w:hAnsi="Times New Roman" w:cs="Times New Roman"/>
        </w:rPr>
        <w:t>根据规划环境影响评价工作特点决定，环境影响报告书编制单位必须经常地与规划部门和环保部门沟通，对规划部门新的规划方案应及时进行环境评价，对环保部门规划环境管理新的具体要求及时地反映在报告书中，对报告书编制过程中的初步评价结论，应及时获得规划和环保部门的反馈意见，只有这样才能真正完善区域开发规划方案，保证区域发展的可持续性。</w:t>
      </w:r>
    </w:p>
    <w:p>
      <w:pPr>
        <w:spacing w:line="360" w:lineRule="auto"/>
        <w:ind w:firstLine="480"/>
        <w:rPr>
          <w:rFonts w:ascii="Times New Roman" w:hAnsi="Times New Roman" w:cs="Times New Roman"/>
        </w:rPr>
      </w:pPr>
      <w:r>
        <w:rPr>
          <w:rFonts w:ascii="Times New Roman" w:hAnsi="Times New Roman" w:cs="Times New Roman"/>
        </w:rPr>
        <w:drawing>
          <wp:inline distT="0" distB="0" distL="0" distR="0">
            <wp:extent cx="5499100" cy="6200775"/>
            <wp:effectExtent l="0" t="0" r="635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l="5666" r="4156"/>
                    <a:stretch>
                      <a:fillRect/>
                    </a:stretch>
                  </pic:blipFill>
                  <pic:spPr>
                    <a:xfrm>
                      <a:off x="0" y="0"/>
                      <a:ext cx="5524202" cy="6228770"/>
                    </a:xfrm>
                    <a:prstGeom prst="rect">
                      <a:avLst/>
                    </a:prstGeom>
                    <a:noFill/>
                    <a:ln>
                      <a:noFill/>
                    </a:ln>
                  </pic:spPr>
                </pic:pic>
              </a:graphicData>
            </a:graphic>
          </wp:inline>
        </w:drawing>
      </w:r>
    </w:p>
    <w:p>
      <w:pPr>
        <w:pStyle w:val="6"/>
        <w:rPr>
          <w:rFonts w:ascii="Times New Roman" w:hAnsi="Times New Roman" w:cs="Times New Roman"/>
        </w:rPr>
      </w:pPr>
      <w:r>
        <w:rPr>
          <w:rFonts w:ascii="Times New Roman" w:hAnsi="Times New Roman" w:cs="Times New Roman"/>
        </w:rPr>
        <w:t>图1.10-1  规划环评技术路线图</w:t>
      </w:r>
    </w:p>
    <w:p>
      <w:pPr>
        <w:pStyle w:val="3"/>
        <w:rPr>
          <w:rFonts w:ascii="Times New Roman" w:hAnsi="Times New Roman" w:cs="Times New Roman" w:eastAsiaTheme="minorEastAsia"/>
        </w:rPr>
      </w:pPr>
      <w:bookmarkStart w:id="51" w:name="_Toc134088434"/>
      <w:bookmarkStart w:id="52" w:name="_Toc146091874"/>
      <w:r>
        <w:rPr>
          <w:rFonts w:ascii="Times New Roman" w:hAnsi="Times New Roman" w:cs="Times New Roman" w:eastAsiaTheme="minorEastAsia"/>
        </w:rPr>
        <w:t>1.11 评价方法</w:t>
      </w:r>
      <w:bookmarkEnd w:id="51"/>
      <w:bookmarkEnd w:id="52"/>
    </w:p>
    <w:p>
      <w:pPr>
        <w:spacing w:line="360" w:lineRule="auto"/>
        <w:ind w:firstLine="480" w:firstLineChars="200"/>
        <w:rPr>
          <w:rFonts w:ascii="Times New Roman" w:hAnsi="Times New Roman" w:cs="Times New Roman"/>
        </w:rPr>
      </w:pPr>
      <w:r>
        <w:rPr>
          <w:rFonts w:ascii="Times New Roman" w:hAnsi="Times New Roman" w:cs="Times New Roman"/>
        </w:rPr>
        <w:t>本环评采用资料收集分析汇总、实地调查测试、类比分析等综合分析、评价的方法，严格遵循相关导则规定，为园区持续、良性发展提供必要的技术支撑。主要方法为：</w:t>
      </w:r>
    </w:p>
    <w:p>
      <w:pPr>
        <w:spacing w:line="360" w:lineRule="auto"/>
        <w:ind w:firstLine="480" w:firstLineChars="200"/>
        <w:rPr>
          <w:rFonts w:ascii="Times New Roman" w:hAnsi="Times New Roman" w:cs="Times New Roman"/>
        </w:rPr>
      </w:pPr>
      <w:r>
        <w:rPr>
          <w:rFonts w:ascii="Times New Roman" w:hAnsi="Times New Roman" w:cs="Times New Roman"/>
        </w:rPr>
        <w:t>（1）进行全面的环境现状调查，并注意调查内容的普遍性和代表性。</w:t>
      </w:r>
    </w:p>
    <w:p>
      <w:pPr>
        <w:spacing w:line="360" w:lineRule="auto"/>
        <w:ind w:firstLine="480" w:firstLineChars="200"/>
        <w:rPr>
          <w:rFonts w:ascii="Times New Roman" w:hAnsi="Times New Roman" w:cs="Times New Roman"/>
        </w:rPr>
      </w:pPr>
      <w:r>
        <w:rPr>
          <w:rFonts w:ascii="Times New Roman" w:hAnsi="Times New Roman" w:cs="Times New Roman"/>
        </w:rPr>
        <w:t>（2）在区域污染源现状调查基础上，以规划为依据，核定预期污染源强。</w:t>
      </w:r>
    </w:p>
    <w:p>
      <w:pPr>
        <w:spacing w:line="360" w:lineRule="auto"/>
        <w:ind w:firstLine="480" w:firstLineChars="200"/>
        <w:rPr>
          <w:rFonts w:ascii="Times New Roman" w:hAnsi="Times New Roman" w:cs="Times New Roman"/>
        </w:rPr>
      </w:pPr>
      <w:r>
        <w:rPr>
          <w:rFonts w:ascii="Times New Roman" w:hAnsi="Times New Roman" w:cs="Times New Roman"/>
        </w:rPr>
        <w:t>（3）依据环评技术导则推荐的模式进行环境容量和环境影响预测。</w:t>
      </w:r>
    </w:p>
    <w:p>
      <w:pPr>
        <w:spacing w:line="360" w:lineRule="auto"/>
        <w:ind w:firstLine="480" w:firstLineChars="200"/>
        <w:rPr>
          <w:rFonts w:ascii="Times New Roman" w:hAnsi="Times New Roman" w:cs="Times New Roman"/>
        </w:rPr>
      </w:pPr>
      <w:r>
        <w:rPr>
          <w:rFonts w:ascii="Times New Roman" w:hAnsi="Times New Roman" w:cs="Times New Roman"/>
        </w:rPr>
        <w:t>（4）依据导则推荐的方法，以环境功能和关心点环境质量符合功能区划要求为基准，明确园区发展所涉及到的环境容量和总量控制要求，提出园区发展过程中的污染控制计划和生态建设方案。</w:t>
      </w:r>
    </w:p>
    <w:p>
      <w:pPr>
        <w:spacing w:line="360" w:lineRule="auto"/>
        <w:ind w:firstLine="480" w:firstLineChars="200"/>
        <w:rPr>
          <w:rFonts w:ascii="Times New Roman" w:hAnsi="Times New Roman" w:cs="Times New Roman"/>
        </w:rPr>
        <w:sectPr>
          <w:pgSz w:w="11906" w:h="16838"/>
          <w:pgMar w:top="1418" w:right="1418" w:bottom="1418" w:left="1701" w:header="851" w:footer="992" w:gutter="0"/>
          <w:paperSrc w:first="7" w:other="7"/>
          <w:cols w:space="425" w:num="1"/>
          <w:docGrid w:linePitch="312" w:charSpace="0"/>
        </w:sectPr>
      </w:pPr>
      <w:r>
        <w:rPr>
          <w:rFonts w:ascii="Times New Roman" w:hAnsi="Times New Roman" w:cs="Times New Roman"/>
        </w:rPr>
        <w:t>（5）从园区总体规划、产业布局、环境功能区划等方面，分析、论证园区建设与当地环境承载力等方面的适宜性，针对存在的环境问题，提出相应的规划调整建议，多角度、多层次论证园区建设规划的环境可行性。</w:t>
      </w:r>
    </w:p>
    <w:bookmarkEnd w:id="0"/>
    <w:bookmarkEnd w:id="1"/>
    <w:bookmarkEnd w:id="2"/>
    <w:p>
      <w:pPr>
        <w:pStyle w:val="2"/>
        <w:spacing w:before="120" w:after="120"/>
        <w:rPr>
          <w:rFonts w:ascii="Times New Roman" w:hAnsi="Times New Roman" w:cs="Times New Roman"/>
        </w:rPr>
      </w:pPr>
      <w:bookmarkStart w:id="53" w:name="_Toc82606957"/>
      <w:bookmarkStart w:id="54" w:name="_Toc134088435"/>
      <w:bookmarkStart w:id="55" w:name="_Toc146091875"/>
      <w:r>
        <w:rPr>
          <w:rFonts w:ascii="Times New Roman" w:hAnsi="Times New Roman" w:cs="Times New Roman"/>
        </w:rPr>
        <w:t>第2章 园区回顾性评价与开发现状</w:t>
      </w:r>
      <w:bookmarkEnd w:id="53"/>
      <w:bookmarkEnd w:id="54"/>
      <w:bookmarkEnd w:id="55"/>
    </w:p>
    <w:p>
      <w:pPr>
        <w:pStyle w:val="3"/>
        <w:rPr>
          <w:rFonts w:ascii="Times New Roman" w:hAnsi="Times New Roman" w:cs="Times New Roman" w:eastAsiaTheme="minorEastAsia"/>
        </w:rPr>
      </w:pPr>
      <w:bookmarkStart w:id="56" w:name="_Toc72263581"/>
      <w:bookmarkStart w:id="57" w:name="_Toc146091876"/>
      <w:bookmarkStart w:id="58" w:name="_Toc134088436"/>
      <w:bookmarkStart w:id="59" w:name="_Toc82606958"/>
      <w:r>
        <w:rPr>
          <w:rFonts w:ascii="Times New Roman" w:hAnsi="Times New Roman" w:cs="Times New Roman" w:eastAsiaTheme="minorEastAsia"/>
        </w:rPr>
        <w:t>2.1 园区发展历程</w:t>
      </w:r>
      <w:bookmarkEnd w:id="56"/>
      <w:bookmarkEnd w:id="57"/>
      <w:bookmarkEnd w:id="58"/>
      <w:bookmarkEnd w:id="59"/>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临湘高新技术产业开发区原名临湘市工业园，成立于2003年5月，2006年4月湖南省人民政府（湘改函[2006]79号）设立为省级工业园。</w:t>
      </w:r>
    </w:p>
    <w:p>
      <w:pPr>
        <w:spacing w:line="360" w:lineRule="auto"/>
        <w:ind w:firstLine="480" w:firstLineChars="200"/>
        <w:rPr>
          <w:rFonts w:ascii="Times New Roman" w:hAnsi="Times New Roman" w:cs="Times New Roman"/>
        </w:rPr>
      </w:pPr>
      <w:r>
        <w:rPr>
          <w:rFonts w:ascii="Times New Roman" w:hAnsi="Times New Roman" w:cs="Times New Roman"/>
        </w:rPr>
        <w:t>2013年4月，临湘工业园进行调区扩区取得《湖南省发展和改革委员会关于临湘工业园区调区扩区的复函》（湘发改函[2013]92号），规划面积由原222公顷调整至465.98公顷，形成</w:t>
      </w:r>
      <w:r>
        <w:rPr>
          <w:rFonts w:hint="eastAsia" w:ascii="Times New Roman" w:hAnsi="Times New Roman" w:cs="Times New Roman"/>
        </w:rPr>
        <w:t>“</w:t>
      </w:r>
      <w:r>
        <w:rPr>
          <w:rFonts w:ascii="Times New Roman" w:hAnsi="Times New Roman" w:cs="Times New Roman"/>
        </w:rPr>
        <w:t>一园两片区</w:t>
      </w:r>
      <w:r>
        <w:rPr>
          <w:rFonts w:hint="eastAsia" w:ascii="Times New Roman" w:hAnsi="Times New Roman" w:cs="Times New Roman"/>
        </w:rPr>
        <w:t>”</w:t>
      </w:r>
      <w:r>
        <w:rPr>
          <w:rFonts w:ascii="Times New Roman" w:hAnsi="Times New Roman" w:cs="Times New Roman"/>
        </w:rPr>
        <w:t>格局，下设三湾工业片区和滨江产业示范片区。</w:t>
      </w:r>
    </w:p>
    <w:p>
      <w:pPr>
        <w:spacing w:line="360" w:lineRule="auto"/>
        <w:ind w:firstLine="480" w:firstLineChars="200"/>
        <w:rPr>
          <w:rFonts w:ascii="Times New Roman" w:hAnsi="Times New Roman" w:cs="Times New Roman"/>
        </w:rPr>
      </w:pPr>
      <w:r>
        <w:rPr>
          <w:rFonts w:ascii="Times New Roman" w:hAnsi="Times New Roman" w:cs="Times New Roman"/>
        </w:rPr>
        <w:t>2014年《湖南省省级及以上产业园名录》（湘政办函[2014]66号），湖南临湘工业园核定面积为465.98公顷，主导产业为：医药制造业，非金属矿物制品业，化学原料和化学制品制造业。</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2016年临湘工业园开展调区扩区工作，取得原湖南省环境环保厅审查意见的函（湘环评函（2016）1号）及《湖南省发展和改革委员会关于湖南临湘工业园调区扩区的函》（湘发改函[2016]152号），规划面积由原465.98</w:t>
      </w:r>
      <w:r>
        <w:rPr>
          <w:rFonts w:ascii="Times New Roman" w:hAnsi="Times New Roman" w:cs="Times New Roman"/>
        </w:rPr>
        <w:t>公顷</w:t>
      </w:r>
      <w:r>
        <w:rPr>
          <w:rFonts w:ascii="Times New Roman" w:hAnsi="Times New Roman" w:cs="Times New Roman"/>
          <w:szCs w:val="24"/>
        </w:rPr>
        <w:t>调整至839.01</w:t>
      </w:r>
      <w:r>
        <w:rPr>
          <w:rFonts w:ascii="Times New Roman" w:hAnsi="Times New Roman" w:cs="Times New Roman"/>
        </w:rPr>
        <w:t>公顷</w:t>
      </w:r>
      <w:r>
        <w:rPr>
          <w:rFonts w:ascii="Times New Roman" w:hAnsi="Times New Roman" w:cs="Times New Roman"/>
          <w:szCs w:val="24"/>
        </w:rPr>
        <w:t>，调出原四至范围内用地12.67</w:t>
      </w:r>
      <w:r>
        <w:rPr>
          <w:rFonts w:ascii="Times New Roman" w:hAnsi="Times New Roman" w:cs="Times New Roman"/>
        </w:rPr>
        <w:t>公顷</w:t>
      </w:r>
      <w:r>
        <w:rPr>
          <w:rFonts w:ascii="Times New Roman" w:hAnsi="Times New Roman" w:cs="Times New Roman"/>
          <w:szCs w:val="24"/>
        </w:rPr>
        <w:t>，保留用地453.31</w:t>
      </w:r>
      <w:r>
        <w:rPr>
          <w:rFonts w:ascii="Times New Roman" w:hAnsi="Times New Roman" w:cs="Times New Roman"/>
        </w:rPr>
        <w:t>公顷</w:t>
      </w:r>
      <w:r>
        <w:rPr>
          <w:rFonts w:ascii="Times New Roman" w:hAnsi="Times New Roman" w:cs="Times New Roman"/>
          <w:szCs w:val="24"/>
        </w:rPr>
        <w:t>。</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2017年临湘工业园针对三湾片区开展回顾性评价，取得湖南省环境保护厅《关于临湘工业园回顾性环境影响报告书的审查意见》（湘环评函（2017）30号）。</w:t>
      </w:r>
    </w:p>
    <w:p>
      <w:pPr>
        <w:spacing w:line="360" w:lineRule="auto"/>
        <w:ind w:firstLine="480" w:firstLineChars="200"/>
        <w:rPr>
          <w:rFonts w:ascii="Times New Roman" w:hAnsi="Times New Roman" w:cs="Times New Roman"/>
        </w:rPr>
      </w:pPr>
      <w:r>
        <w:rPr>
          <w:rFonts w:ascii="Times New Roman" w:hAnsi="Times New Roman" w:cs="Times New Roman"/>
        </w:rPr>
        <w:t>2018年《中国开发区审核公告目录》（2018年版）</w:t>
      </w:r>
      <w:r>
        <w:rPr>
          <w:rFonts w:ascii="Times New Roman" w:hAnsi="Times New Roman" w:cs="Times New Roman"/>
          <w:szCs w:val="24"/>
        </w:rPr>
        <w:t>临湘工业园</w:t>
      </w:r>
      <w:r>
        <w:rPr>
          <w:rFonts w:ascii="Times New Roman" w:hAnsi="Times New Roman" w:cs="Times New Roman"/>
        </w:rPr>
        <w:t>核准面积435.46公顷，主导产业为建材、化工、有色冶金。</w:t>
      </w:r>
    </w:p>
    <w:p>
      <w:pPr>
        <w:spacing w:line="360" w:lineRule="auto"/>
        <w:ind w:firstLine="480" w:firstLineChars="200"/>
        <w:rPr>
          <w:rFonts w:ascii="Times New Roman" w:hAnsi="Times New Roman" w:cs="Times New Roman"/>
        </w:rPr>
      </w:pPr>
      <w:r>
        <w:rPr>
          <w:rFonts w:ascii="Times New Roman" w:hAnsi="Times New Roman" w:cs="Times New Roman"/>
        </w:rPr>
        <w:t>2020年1月临湘市工业园更名为临湘高新技术产业开发区（湘政函[2020]5号）。</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2020年10月，临湘高新区滨江产业区开展调区扩区工作，取得《湖南省生态环境厅关于湖南临湘工业园（滨江产业区）调区（扩区）规划环境影响报告书审查意见的函》（湘环评函〔2020〕1号）及《湖南省发展和改革委员会关于醴陵经济开发区等园区调区扩区复函》（湘发改函[2020]111号），调出不符合两规的用地面积10.56</w:t>
      </w:r>
      <w:r>
        <w:rPr>
          <w:rFonts w:ascii="Times New Roman" w:hAnsi="Times New Roman" w:cs="Times New Roman"/>
        </w:rPr>
        <w:t>公顷</w:t>
      </w:r>
      <w:r>
        <w:rPr>
          <w:rFonts w:ascii="Times New Roman" w:hAnsi="Times New Roman" w:cs="Times New Roman"/>
          <w:szCs w:val="24"/>
        </w:rPr>
        <w:t>，新调入314.24</w:t>
      </w:r>
      <w:r>
        <w:rPr>
          <w:rFonts w:ascii="Times New Roman" w:hAnsi="Times New Roman" w:cs="Times New Roman"/>
        </w:rPr>
        <w:t>公顷</w:t>
      </w:r>
      <w:r>
        <w:rPr>
          <w:rFonts w:ascii="Times New Roman" w:hAnsi="Times New Roman" w:cs="Times New Roman"/>
          <w:szCs w:val="24"/>
        </w:rPr>
        <w:t>，调区后园区总面积739.14</w:t>
      </w:r>
      <w:r>
        <w:rPr>
          <w:rFonts w:ascii="Times New Roman" w:hAnsi="Times New Roman" w:cs="Times New Roman"/>
        </w:rPr>
        <w:t>公顷</w:t>
      </w:r>
      <w:r>
        <w:rPr>
          <w:rFonts w:ascii="Times New Roman" w:hAnsi="Times New Roman" w:cs="Times New Roman"/>
          <w:szCs w:val="24"/>
        </w:rPr>
        <w:t>，调扩区后形成“一园两区”格局，主导产业为新材料和电子信息产业。</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三湾片区：面积193.29公顷，四至范围：东至京珠高速公路，南至大岭村赵组、王禾村港下组，西至王禾村郭陈家水库，北至白云湖公园，主要发展建材、机械制造和浮标产业。滨江产业片区：面积545.85公顷，主要发展绿色化工、电子信息、新材料、机械制造和现代航运物流产业；其中儒溪地块面积324.75公顷，四至范围：北至纬一路（西段）及纬五路以北100米处（东段），南至纬六路，东至沿湖路，西至长江大堤内50米处，鸭栏地块面积33.99公顷，四至范围：东至沿湖路（北段）西接建设路、南至S208、北至临湘儒溪汽车轮渡码头；旗杆地块面积27.12公顷，四至范围：东至临鸭公路西接横二路、南至民富路、北至华强路；杨桥地块面积159.99公顷，四至范围北至黄皋路，南至横四路，西至X053县道，东至环一线（东段）。</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2021年5月，</w:t>
      </w:r>
      <w:r>
        <w:rPr>
          <w:rFonts w:ascii="Times New Roman" w:hAnsi="Times New Roman" w:cs="Times New Roman"/>
        </w:rPr>
        <w:t>临湘高新技术产业开发区</w:t>
      </w:r>
      <w:r>
        <w:rPr>
          <w:rFonts w:ascii="Times New Roman" w:hAnsi="Times New Roman" w:eastAsia="宋体" w:cs="Times New Roman"/>
          <w:kern w:val="0"/>
          <w:szCs w:val="20"/>
        </w:rPr>
        <w:t>（</w:t>
      </w:r>
      <w:r>
        <w:rPr>
          <w:rFonts w:hint="eastAsia" w:ascii="Times New Roman" w:hAnsi="Times New Roman" w:eastAsia="宋体" w:cs="Times New Roman"/>
          <w:kern w:val="0"/>
          <w:szCs w:val="20"/>
        </w:rPr>
        <w:t>滨江化工片区</w:t>
      </w:r>
      <w:r>
        <w:rPr>
          <w:rFonts w:ascii="Times New Roman" w:hAnsi="Times New Roman" w:eastAsia="宋体" w:cs="Times New Roman"/>
          <w:kern w:val="0"/>
          <w:szCs w:val="20"/>
        </w:rPr>
        <w:t>）认定为湖南省第一批化工园区（湘发改地区[2021]372号）。</w:t>
      </w:r>
    </w:p>
    <w:p>
      <w:pPr>
        <w:spacing w:line="360" w:lineRule="auto"/>
        <w:ind w:firstLine="480" w:firstLineChars="200"/>
        <w:rPr>
          <w:rFonts w:ascii="Times New Roman" w:hAnsi="Times New Roman" w:cs="Times New Roman"/>
        </w:rPr>
      </w:pPr>
      <w:r>
        <w:rPr>
          <w:rFonts w:ascii="Times New Roman" w:hAnsi="Times New Roman" w:cs="Times New Roman"/>
        </w:rPr>
        <w:t>2022年湖南省发展和改革委员会、湖南省自然资源厅发布《关于发布临湘高新技术产业开发区边界面积及四至范围的通知》（湘发改园区[2022]601号）中临湘高新技术产业开发区核定面积共774.20公顷，其中区块一（滨江片区</w:t>
      </w:r>
      <w:r>
        <w:rPr>
          <w:rFonts w:ascii="Times New Roman" w:hAnsi="Times New Roman" w:cs="Times New Roman"/>
          <w:szCs w:val="24"/>
        </w:rPr>
        <w:t>儒溪地块</w:t>
      </w:r>
      <w:r>
        <w:rPr>
          <w:rFonts w:ascii="Times New Roman" w:hAnsi="Times New Roman" w:cs="Times New Roman"/>
        </w:rPr>
        <w:t>）面积为324.75公顷，东至潇雨路，南至S208省道支线，西至长江防洪堤，北至洋西路；区块二（滨江片区</w:t>
      </w:r>
      <w:r>
        <w:rPr>
          <w:rFonts w:ascii="Times New Roman" w:hAnsi="Times New Roman" w:cs="Times New Roman"/>
          <w:szCs w:val="24"/>
        </w:rPr>
        <w:t>鸭栏地块</w:t>
      </w:r>
      <w:r>
        <w:rPr>
          <w:rFonts w:ascii="Times New Roman" w:hAnsi="Times New Roman" w:cs="Times New Roman"/>
        </w:rPr>
        <w:t>）面积为35.32公顷，东至S208省道，南至儒溪大道，西至长江，北至鸭兰村；区块三（滨江片区</w:t>
      </w:r>
      <w:r>
        <w:rPr>
          <w:rFonts w:ascii="Times New Roman" w:hAnsi="Times New Roman" w:cs="Times New Roman"/>
          <w:szCs w:val="24"/>
        </w:rPr>
        <w:t>旗杆地块</w:t>
      </w:r>
      <w:r>
        <w:rPr>
          <w:rFonts w:ascii="Times New Roman" w:hAnsi="Times New Roman" w:cs="Times New Roman"/>
        </w:rPr>
        <w:t>）面积为27.12公顷，东至民富路，南至红南路，西至临鸭公路文家嘴，北至陆城镇；区块四（滨江片区</w:t>
      </w:r>
      <w:r>
        <w:rPr>
          <w:rFonts w:ascii="Times New Roman" w:hAnsi="Times New Roman" w:cs="Times New Roman"/>
          <w:szCs w:val="24"/>
        </w:rPr>
        <w:t>杨桥地块</w:t>
      </w:r>
      <w:r>
        <w:rPr>
          <w:rFonts w:ascii="Times New Roman" w:hAnsi="Times New Roman" w:cs="Times New Roman"/>
        </w:rPr>
        <w:t>）面积为159.99公顷，东至杨桥村方家嘴组，南至杨桥村树野组，西至谢家坳，北至洋溪村燕窝组以南200米处；区块五（三湾片区）面积为193.29公顷，东至京港澳高速公路，南至大岭村赵坂组、王禾村港下组，西至王禾村郭陈家水库，北至白云湖公园；区块六（绿色建材产业园）面积为33.74公顷，东临金叶众望，南至京广铁路以北900米处，西至灰山村张家组，北至菖溪湾。</w:t>
      </w:r>
    </w:p>
    <w:p>
      <w:pPr>
        <w:pStyle w:val="6"/>
        <w:rPr>
          <w:rFonts w:ascii="Times New Roman" w:hAnsi="Times New Roman" w:cs="Times New Roman"/>
        </w:rPr>
      </w:pPr>
      <w:r>
        <w:rPr>
          <w:rFonts w:ascii="Times New Roman" w:hAnsi="Times New Roman" w:cs="Times New Roman"/>
        </w:rPr>
        <w:t>表2.1-1  园区发展历程一览表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999"/>
        <w:gridCol w:w="3970"/>
        <w:gridCol w:w="33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序号</w:t>
            </w:r>
          </w:p>
        </w:tc>
        <w:tc>
          <w:tcPr>
            <w:tcW w:w="555" w:type="pct"/>
            <w:tcBorders>
              <w:tl2br w:val="nil"/>
              <w:tr2bl w:val="nil"/>
            </w:tcBorders>
            <w:vAlign w:val="center"/>
          </w:tcPr>
          <w:p>
            <w:pPr>
              <w:pStyle w:val="63"/>
              <w:rPr>
                <w:rFonts w:eastAsiaTheme="minorEastAsia"/>
              </w:rPr>
            </w:pPr>
            <w:r>
              <w:rPr>
                <w:rFonts w:eastAsiaTheme="minorEastAsia"/>
              </w:rPr>
              <w:t>时间</w:t>
            </w:r>
          </w:p>
        </w:tc>
        <w:tc>
          <w:tcPr>
            <w:tcW w:w="2205" w:type="pct"/>
            <w:tcBorders>
              <w:tl2br w:val="nil"/>
              <w:tr2bl w:val="nil"/>
            </w:tcBorders>
            <w:vAlign w:val="center"/>
          </w:tcPr>
          <w:p>
            <w:pPr>
              <w:pStyle w:val="63"/>
              <w:rPr>
                <w:rFonts w:eastAsiaTheme="minorEastAsia"/>
              </w:rPr>
            </w:pPr>
            <w:r>
              <w:rPr>
                <w:rFonts w:eastAsiaTheme="minorEastAsia"/>
              </w:rPr>
              <w:t>内容</w:t>
            </w:r>
          </w:p>
        </w:tc>
        <w:tc>
          <w:tcPr>
            <w:tcW w:w="1868" w:type="pct"/>
            <w:tcBorders>
              <w:tl2br w:val="nil"/>
              <w:tr2bl w:val="nil"/>
            </w:tcBorders>
            <w:vAlign w:val="center"/>
          </w:tcPr>
          <w:p>
            <w:pPr>
              <w:pStyle w:val="63"/>
              <w:rPr>
                <w:rFonts w:eastAsiaTheme="minorEastAsia"/>
              </w:rPr>
            </w:pPr>
            <w:r>
              <w:rPr>
                <w:rFonts w:eastAsiaTheme="minorEastAsia"/>
              </w:rPr>
              <w:t>文号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1</w:t>
            </w:r>
          </w:p>
        </w:tc>
        <w:tc>
          <w:tcPr>
            <w:tcW w:w="555" w:type="pct"/>
            <w:tcBorders>
              <w:tl2br w:val="nil"/>
              <w:tr2bl w:val="nil"/>
            </w:tcBorders>
            <w:vAlign w:val="center"/>
          </w:tcPr>
          <w:p>
            <w:pPr>
              <w:pStyle w:val="63"/>
              <w:rPr>
                <w:rFonts w:eastAsiaTheme="minorEastAsia"/>
              </w:rPr>
            </w:pPr>
            <w:r>
              <w:rPr>
                <w:rFonts w:eastAsiaTheme="minorEastAsia"/>
              </w:rPr>
              <w:t>2006年</w:t>
            </w:r>
          </w:p>
        </w:tc>
        <w:tc>
          <w:tcPr>
            <w:tcW w:w="2205" w:type="pct"/>
            <w:tcBorders>
              <w:tl2br w:val="nil"/>
              <w:tr2bl w:val="nil"/>
            </w:tcBorders>
            <w:vAlign w:val="center"/>
          </w:tcPr>
          <w:p>
            <w:pPr>
              <w:pStyle w:val="63"/>
              <w:rPr>
                <w:rFonts w:eastAsiaTheme="minorEastAsia"/>
              </w:rPr>
            </w:pPr>
            <w:r>
              <w:rPr>
                <w:rFonts w:eastAsiaTheme="minorEastAsia"/>
              </w:rPr>
              <w:t>设立湖南临湘工业园区，面积222公顷，主导产业为医药、纺织、机械制造</w:t>
            </w:r>
          </w:p>
        </w:tc>
        <w:tc>
          <w:tcPr>
            <w:tcW w:w="1868" w:type="pct"/>
            <w:tcBorders>
              <w:tl2br w:val="nil"/>
              <w:tr2bl w:val="nil"/>
            </w:tcBorders>
            <w:vAlign w:val="center"/>
          </w:tcPr>
          <w:p>
            <w:pPr>
              <w:pStyle w:val="63"/>
              <w:rPr>
                <w:rFonts w:eastAsiaTheme="minorEastAsia"/>
              </w:rPr>
            </w:pPr>
            <w:r>
              <w:rPr>
                <w:rFonts w:eastAsiaTheme="minorEastAsia"/>
              </w:rPr>
              <w:t>湘政函[2006]79号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2</w:t>
            </w:r>
          </w:p>
        </w:tc>
        <w:tc>
          <w:tcPr>
            <w:tcW w:w="555" w:type="pct"/>
            <w:tcBorders>
              <w:tl2br w:val="nil"/>
              <w:tr2bl w:val="nil"/>
            </w:tcBorders>
            <w:vAlign w:val="center"/>
          </w:tcPr>
          <w:p>
            <w:pPr>
              <w:pStyle w:val="63"/>
              <w:rPr>
                <w:rFonts w:eastAsiaTheme="minorEastAsia"/>
              </w:rPr>
            </w:pPr>
            <w:r>
              <w:rPr>
                <w:rFonts w:eastAsiaTheme="minorEastAsia"/>
              </w:rPr>
              <w:t>2006年</w:t>
            </w:r>
          </w:p>
        </w:tc>
        <w:tc>
          <w:tcPr>
            <w:tcW w:w="2205" w:type="pct"/>
            <w:tcBorders>
              <w:tl2br w:val="nil"/>
              <w:tr2bl w:val="nil"/>
            </w:tcBorders>
            <w:vAlign w:val="center"/>
          </w:tcPr>
          <w:p>
            <w:pPr>
              <w:pStyle w:val="63"/>
              <w:rPr>
                <w:rFonts w:eastAsiaTheme="minorEastAsia"/>
              </w:rPr>
            </w:pPr>
            <w:r>
              <w:rPr>
                <w:rFonts w:eastAsiaTheme="minorEastAsia"/>
              </w:rPr>
              <w:t>园区核准面积222公顷，主导产业为医药、纺织、机械制造</w:t>
            </w:r>
          </w:p>
        </w:tc>
        <w:tc>
          <w:tcPr>
            <w:tcW w:w="1868" w:type="pct"/>
            <w:tcBorders>
              <w:tl2br w:val="nil"/>
              <w:tr2bl w:val="nil"/>
            </w:tcBorders>
            <w:vAlign w:val="center"/>
          </w:tcPr>
          <w:p>
            <w:pPr>
              <w:pStyle w:val="63"/>
              <w:rPr>
                <w:rFonts w:eastAsiaTheme="minorEastAsia"/>
              </w:rPr>
            </w:pPr>
            <w:r>
              <w:rPr>
                <w:rFonts w:eastAsiaTheme="minorEastAsia"/>
              </w:rPr>
              <w:t>国家发展和改革委员会、国土资源部、建设部《中国开发区审核公告目录》（2006年版）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3</w:t>
            </w:r>
          </w:p>
        </w:tc>
        <w:tc>
          <w:tcPr>
            <w:tcW w:w="555" w:type="pct"/>
            <w:tcBorders>
              <w:tl2br w:val="nil"/>
              <w:tr2bl w:val="nil"/>
            </w:tcBorders>
            <w:vAlign w:val="center"/>
          </w:tcPr>
          <w:p>
            <w:pPr>
              <w:pStyle w:val="63"/>
              <w:rPr>
                <w:rFonts w:eastAsiaTheme="minorEastAsia"/>
              </w:rPr>
            </w:pPr>
            <w:r>
              <w:rPr>
                <w:rFonts w:eastAsiaTheme="minorEastAsia"/>
              </w:rPr>
              <w:t>2013年</w:t>
            </w:r>
          </w:p>
        </w:tc>
        <w:tc>
          <w:tcPr>
            <w:tcW w:w="2205" w:type="pct"/>
            <w:tcBorders>
              <w:tl2br w:val="nil"/>
              <w:tr2bl w:val="nil"/>
            </w:tcBorders>
            <w:vAlign w:val="center"/>
          </w:tcPr>
          <w:p>
            <w:pPr>
              <w:pStyle w:val="63"/>
              <w:rPr>
                <w:rFonts w:eastAsiaTheme="minorEastAsia"/>
              </w:rPr>
            </w:pPr>
            <w:r>
              <w:rPr>
                <w:rFonts w:eastAsiaTheme="minorEastAsia"/>
              </w:rPr>
              <w:t xml:space="preserve">至2020年园区规划面积调整至456.98公顷，形成“一园两片区”格局 </w:t>
            </w:r>
          </w:p>
        </w:tc>
        <w:tc>
          <w:tcPr>
            <w:tcW w:w="1868" w:type="pct"/>
            <w:tcBorders>
              <w:tl2br w:val="nil"/>
              <w:tr2bl w:val="nil"/>
            </w:tcBorders>
            <w:vAlign w:val="center"/>
          </w:tcPr>
          <w:p>
            <w:pPr>
              <w:pStyle w:val="63"/>
              <w:rPr>
                <w:rFonts w:eastAsiaTheme="minorEastAsia"/>
              </w:rPr>
            </w:pPr>
            <w:r>
              <w:rPr>
                <w:rFonts w:eastAsiaTheme="minorEastAsia"/>
              </w:rPr>
              <w:t>湘发改函[2013]92号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4</w:t>
            </w:r>
          </w:p>
        </w:tc>
        <w:tc>
          <w:tcPr>
            <w:tcW w:w="555" w:type="pct"/>
            <w:tcBorders>
              <w:tl2br w:val="nil"/>
              <w:tr2bl w:val="nil"/>
            </w:tcBorders>
            <w:vAlign w:val="center"/>
          </w:tcPr>
          <w:p>
            <w:pPr>
              <w:pStyle w:val="63"/>
              <w:rPr>
                <w:rFonts w:eastAsiaTheme="minorEastAsia"/>
              </w:rPr>
            </w:pPr>
            <w:r>
              <w:rPr>
                <w:rFonts w:eastAsiaTheme="minorEastAsia"/>
              </w:rPr>
              <w:t>2014年</w:t>
            </w:r>
          </w:p>
        </w:tc>
        <w:tc>
          <w:tcPr>
            <w:tcW w:w="2205" w:type="pct"/>
            <w:tcBorders>
              <w:tl2br w:val="nil"/>
              <w:tr2bl w:val="nil"/>
            </w:tcBorders>
            <w:vAlign w:val="center"/>
          </w:tcPr>
          <w:p>
            <w:pPr>
              <w:pStyle w:val="63"/>
              <w:rPr>
                <w:rFonts w:eastAsiaTheme="minorEastAsia"/>
              </w:rPr>
            </w:pPr>
            <w:r>
              <w:rPr>
                <w:rFonts w:eastAsiaTheme="minorEastAsia"/>
              </w:rPr>
              <w:t>湖南临湘工业园核定面积为465.98公顷，主导产业为：医药制造业，非金属矿物制品业，化学原料和化学制品制造业。</w:t>
            </w:r>
          </w:p>
        </w:tc>
        <w:tc>
          <w:tcPr>
            <w:tcW w:w="1868" w:type="pct"/>
            <w:tcBorders>
              <w:tl2br w:val="nil"/>
              <w:tr2bl w:val="nil"/>
            </w:tcBorders>
            <w:vAlign w:val="center"/>
          </w:tcPr>
          <w:p>
            <w:pPr>
              <w:pStyle w:val="63"/>
              <w:rPr>
                <w:rFonts w:eastAsiaTheme="minorEastAsia"/>
              </w:rPr>
            </w:pPr>
            <w:r>
              <w:rPr>
                <w:rFonts w:eastAsiaTheme="minorEastAsia"/>
              </w:rPr>
              <w:t>《湖南省省级及以上产业园名录》（湘政办函[2014]66号）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5</w:t>
            </w:r>
          </w:p>
        </w:tc>
        <w:tc>
          <w:tcPr>
            <w:tcW w:w="555" w:type="pct"/>
            <w:tcBorders>
              <w:tl2br w:val="nil"/>
              <w:tr2bl w:val="nil"/>
            </w:tcBorders>
            <w:vAlign w:val="center"/>
          </w:tcPr>
          <w:p>
            <w:pPr>
              <w:pStyle w:val="63"/>
              <w:rPr>
                <w:rFonts w:eastAsiaTheme="minorEastAsia"/>
              </w:rPr>
            </w:pPr>
            <w:r>
              <w:rPr>
                <w:rFonts w:eastAsiaTheme="minorEastAsia"/>
              </w:rPr>
              <w:t>2016年</w:t>
            </w:r>
          </w:p>
        </w:tc>
        <w:tc>
          <w:tcPr>
            <w:tcW w:w="2205" w:type="pct"/>
            <w:tcBorders>
              <w:tl2br w:val="nil"/>
              <w:tr2bl w:val="nil"/>
            </w:tcBorders>
            <w:vAlign w:val="center"/>
          </w:tcPr>
          <w:p>
            <w:pPr>
              <w:pStyle w:val="63"/>
              <w:rPr>
                <w:rFonts w:eastAsiaTheme="minorEastAsia"/>
              </w:rPr>
            </w:pPr>
            <w:r>
              <w:rPr>
                <w:rFonts w:eastAsiaTheme="minorEastAsia"/>
              </w:rPr>
              <w:t>园区规划面积由原465.98公顷调整至839.01公顷，调出原四至范围内用地12.67公顷，保留用地453.31公顷。</w:t>
            </w:r>
          </w:p>
        </w:tc>
        <w:tc>
          <w:tcPr>
            <w:tcW w:w="1868" w:type="pct"/>
            <w:tcBorders>
              <w:tl2br w:val="nil"/>
              <w:tr2bl w:val="nil"/>
            </w:tcBorders>
            <w:vAlign w:val="center"/>
          </w:tcPr>
          <w:p>
            <w:pPr>
              <w:pStyle w:val="63"/>
              <w:rPr>
                <w:rFonts w:eastAsiaTheme="minorEastAsia"/>
              </w:rPr>
            </w:pPr>
            <w:r>
              <w:rPr>
                <w:rFonts w:eastAsiaTheme="minorEastAsia"/>
              </w:rPr>
              <w:t>湘环评函（2016）1号</w:t>
            </w:r>
          </w:p>
          <w:p>
            <w:pPr>
              <w:pStyle w:val="63"/>
              <w:rPr>
                <w:rFonts w:eastAsiaTheme="minorEastAsia"/>
              </w:rPr>
            </w:pPr>
            <w:r>
              <w:rPr>
                <w:rFonts w:eastAsiaTheme="minorEastAsia"/>
              </w:rPr>
              <w:t>湘发改函[2016]152号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6</w:t>
            </w:r>
          </w:p>
        </w:tc>
        <w:tc>
          <w:tcPr>
            <w:tcW w:w="555" w:type="pct"/>
            <w:tcBorders>
              <w:tl2br w:val="nil"/>
              <w:tr2bl w:val="nil"/>
            </w:tcBorders>
            <w:vAlign w:val="center"/>
          </w:tcPr>
          <w:p>
            <w:pPr>
              <w:pStyle w:val="63"/>
              <w:rPr>
                <w:rFonts w:eastAsiaTheme="minorEastAsia"/>
              </w:rPr>
            </w:pPr>
            <w:r>
              <w:rPr>
                <w:rFonts w:eastAsiaTheme="minorEastAsia"/>
              </w:rPr>
              <w:t>2017年</w:t>
            </w:r>
          </w:p>
        </w:tc>
        <w:tc>
          <w:tcPr>
            <w:tcW w:w="2205" w:type="pct"/>
            <w:tcBorders>
              <w:tl2br w:val="nil"/>
              <w:tr2bl w:val="nil"/>
            </w:tcBorders>
            <w:vAlign w:val="center"/>
          </w:tcPr>
          <w:p>
            <w:pPr>
              <w:pStyle w:val="63"/>
              <w:rPr>
                <w:rFonts w:eastAsiaTheme="minorEastAsia"/>
              </w:rPr>
            </w:pPr>
            <w:r>
              <w:rPr>
                <w:rFonts w:eastAsiaTheme="minorEastAsia"/>
              </w:rPr>
              <w:t>临湘工业园针对三湾片区开展回顾性评价。</w:t>
            </w:r>
          </w:p>
        </w:tc>
        <w:tc>
          <w:tcPr>
            <w:tcW w:w="1868" w:type="pct"/>
            <w:tcBorders>
              <w:tl2br w:val="nil"/>
              <w:tr2bl w:val="nil"/>
            </w:tcBorders>
            <w:vAlign w:val="center"/>
          </w:tcPr>
          <w:p>
            <w:pPr>
              <w:pStyle w:val="63"/>
              <w:rPr>
                <w:rFonts w:eastAsiaTheme="minorEastAsia"/>
              </w:rPr>
            </w:pPr>
            <w:r>
              <w:rPr>
                <w:rFonts w:eastAsiaTheme="minorEastAsia"/>
              </w:rPr>
              <w:t>湘环评函（2017）30号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7</w:t>
            </w:r>
          </w:p>
        </w:tc>
        <w:tc>
          <w:tcPr>
            <w:tcW w:w="555" w:type="pct"/>
            <w:tcBorders>
              <w:tl2br w:val="nil"/>
              <w:tr2bl w:val="nil"/>
            </w:tcBorders>
            <w:vAlign w:val="center"/>
          </w:tcPr>
          <w:p>
            <w:pPr>
              <w:pStyle w:val="63"/>
              <w:rPr>
                <w:rFonts w:eastAsiaTheme="minorEastAsia"/>
              </w:rPr>
            </w:pPr>
            <w:r>
              <w:rPr>
                <w:rFonts w:eastAsiaTheme="minorEastAsia"/>
              </w:rPr>
              <w:t>2018年</w:t>
            </w:r>
          </w:p>
        </w:tc>
        <w:tc>
          <w:tcPr>
            <w:tcW w:w="2205" w:type="pct"/>
            <w:tcBorders>
              <w:tl2br w:val="nil"/>
              <w:tr2bl w:val="nil"/>
            </w:tcBorders>
            <w:vAlign w:val="center"/>
          </w:tcPr>
          <w:p>
            <w:pPr>
              <w:pStyle w:val="63"/>
              <w:rPr>
                <w:rFonts w:eastAsiaTheme="minorEastAsia"/>
              </w:rPr>
            </w:pPr>
            <w:r>
              <w:rPr>
                <w:rFonts w:eastAsiaTheme="minorEastAsia"/>
              </w:rPr>
              <w:t>园区核准面积435.46公顷，主导产业为建材、化工、有色冶金。</w:t>
            </w:r>
          </w:p>
        </w:tc>
        <w:tc>
          <w:tcPr>
            <w:tcW w:w="1868" w:type="pct"/>
            <w:tcBorders>
              <w:tl2br w:val="nil"/>
              <w:tr2bl w:val="nil"/>
            </w:tcBorders>
            <w:vAlign w:val="center"/>
          </w:tcPr>
          <w:p>
            <w:pPr>
              <w:pStyle w:val="63"/>
              <w:rPr>
                <w:rFonts w:eastAsiaTheme="minorEastAsia"/>
              </w:rPr>
            </w:pPr>
            <w:r>
              <w:rPr>
                <w:rFonts w:eastAsiaTheme="minorEastAsia"/>
              </w:rPr>
              <w:t>《中国开发区审核公告目录》（2018年版）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8</w:t>
            </w:r>
          </w:p>
        </w:tc>
        <w:tc>
          <w:tcPr>
            <w:tcW w:w="555" w:type="pct"/>
            <w:tcBorders>
              <w:tl2br w:val="nil"/>
              <w:tr2bl w:val="nil"/>
            </w:tcBorders>
            <w:vAlign w:val="center"/>
          </w:tcPr>
          <w:p>
            <w:pPr>
              <w:pStyle w:val="63"/>
              <w:rPr>
                <w:rFonts w:eastAsiaTheme="minorEastAsia"/>
              </w:rPr>
            </w:pPr>
            <w:r>
              <w:rPr>
                <w:rFonts w:eastAsiaTheme="minorEastAsia"/>
              </w:rPr>
              <w:t>2020年</w:t>
            </w:r>
          </w:p>
        </w:tc>
        <w:tc>
          <w:tcPr>
            <w:tcW w:w="2205" w:type="pct"/>
            <w:tcBorders>
              <w:tl2br w:val="nil"/>
              <w:tr2bl w:val="nil"/>
            </w:tcBorders>
            <w:vAlign w:val="center"/>
          </w:tcPr>
          <w:p>
            <w:pPr>
              <w:pStyle w:val="63"/>
              <w:rPr>
                <w:rFonts w:eastAsiaTheme="minorEastAsia"/>
              </w:rPr>
            </w:pPr>
            <w:r>
              <w:rPr>
                <w:rFonts w:eastAsiaTheme="minorEastAsia"/>
              </w:rPr>
              <w:t>临湘市工业园更名为临湘高新技术产业开发区。</w:t>
            </w:r>
          </w:p>
        </w:tc>
        <w:tc>
          <w:tcPr>
            <w:tcW w:w="1868" w:type="pct"/>
            <w:tcBorders>
              <w:tl2br w:val="nil"/>
              <w:tr2bl w:val="nil"/>
            </w:tcBorders>
            <w:vAlign w:val="center"/>
          </w:tcPr>
          <w:p>
            <w:pPr>
              <w:pStyle w:val="63"/>
              <w:rPr>
                <w:rFonts w:eastAsiaTheme="minorEastAsia"/>
              </w:rPr>
            </w:pPr>
            <w:r>
              <w:rPr>
                <w:rFonts w:eastAsiaTheme="minorEastAsia"/>
              </w:rPr>
              <w:t>湘政函[2020]5号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9</w:t>
            </w:r>
          </w:p>
        </w:tc>
        <w:tc>
          <w:tcPr>
            <w:tcW w:w="555" w:type="pct"/>
            <w:tcBorders>
              <w:tl2br w:val="nil"/>
              <w:tr2bl w:val="nil"/>
            </w:tcBorders>
            <w:vAlign w:val="center"/>
          </w:tcPr>
          <w:p>
            <w:pPr>
              <w:pStyle w:val="63"/>
              <w:rPr>
                <w:rFonts w:eastAsiaTheme="minorEastAsia"/>
              </w:rPr>
            </w:pPr>
            <w:r>
              <w:rPr>
                <w:rFonts w:eastAsiaTheme="minorEastAsia"/>
              </w:rPr>
              <w:t>2020年</w:t>
            </w:r>
          </w:p>
        </w:tc>
        <w:tc>
          <w:tcPr>
            <w:tcW w:w="2205" w:type="pct"/>
            <w:tcBorders>
              <w:tl2br w:val="nil"/>
              <w:tr2bl w:val="nil"/>
            </w:tcBorders>
            <w:vAlign w:val="center"/>
          </w:tcPr>
          <w:p>
            <w:pPr>
              <w:pStyle w:val="63"/>
              <w:rPr>
                <w:rFonts w:eastAsiaTheme="minorEastAsia"/>
              </w:rPr>
            </w:pPr>
            <w:r>
              <w:rPr>
                <w:rFonts w:eastAsiaTheme="minorEastAsia"/>
              </w:rPr>
              <w:t>调出不符合两规的用地面积10.56公顷，新调入314.24公顷，调区后园区总面积739.14公顷，调扩区后形成“一园两区”格局，主导产业为新材料和电子信息产业。</w:t>
            </w:r>
          </w:p>
        </w:tc>
        <w:tc>
          <w:tcPr>
            <w:tcW w:w="1868" w:type="pct"/>
            <w:tcBorders>
              <w:tl2br w:val="nil"/>
              <w:tr2bl w:val="nil"/>
            </w:tcBorders>
            <w:vAlign w:val="center"/>
          </w:tcPr>
          <w:p>
            <w:pPr>
              <w:pStyle w:val="63"/>
              <w:rPr>
                <w:rFonts w:eastAsiaTheme="minorEastAsia"/>
              </w:rPr>
            </w:pPr>
            <w:r>
              <w:rPr>
                <w:rFonts w:eastAsiaTheme="minorEastAsia"/>
              </w:rPr>
              <w:t>湘环评函〔2020〕1号</w:t>
            </w:r>
          </w:p>
          <w:p>
            <w:pPr>
              <w:pStyle w:val="63"/>
              <w:rPr>
                <w:rFonts w:eastAsiaTheme="minorEastAsia"/>
              </w:rPr>
            </w:pPr>
            <w:r>
              <w:rPr>
                <w:rFonts w:eastAsiaTheme="minorEastAsia"/>
              </w:rPr>
              <w:t>湘发改函[2020]111号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eastAsiaTheme="minorEastAsia"/>
              </w:rPr>
              <w:t>10</w:t>
            </w:r>
          </w:p>
        </w:tc>
        <w:tc>
          <w:tcPr>
            <w:tcW w:w="555" w:type="pct"/>
            <w:tcBorders>
              <w:tl2br w:val="nil"/>
              <w:tr2bl w:val="nil"/>
            </w:tcBorders>
            <w:vAlign w:val="center"/>
          </w:tcPr>
          <w:p>
            <w:pPr>
              <w:pStyle w:val="63"/>
              <w:rPr>
                <w:rFonts w:eastAsiaTheme="minorEastAsia"/>
              </w:rPr>
            </w:pPr>
            <w:r>
              <w:rPr>
                <w:rFonts w:hint="eastAsia" w:eastAsiaTheme="minorEastAsia"/>
              </w:rPr>
              <w:t>2021年</w:t>
            </w:r>
          </w:p>
        </w:tc>
        <w:tc>
          <w:tcPr>
            <w:tcW w:w="2205" w:type="pct"/>
            <w:tcBorders>
              <w:tl2br w:val="nil"/>
              <w:tr2bl w:val="nil"/>
            </w:tcBorders>
            <w:vAlign w:val="center"/>
          </w:tcPr>
          <w:p>
            <w:pPr>
              <w:pStyle w:val="63"/>
              <w:rPr>
                <w:rFonts w:eastAsiaTheme="minorEastAsia"/>
              </w:rPr>
            </w:pPr>
            <w:r>
              <w:rPr>
                <w:rFonts w:hint="eastAsia" w:eastAsiaTheme="minorEastAsia"/>
              </w:rPr>
              <w:t>临湘高新技术产业开发区（滨江化工片区）认定为湖南省第一批化工园区。</w:t>
            </w:r>
          </w:p>
        </w:tc>
        <w:tc>
          <w:tcPr>
            <w:tcW w:w="1868" w:type="pct"/>
            <w:tcBorders>
              <w:tl2br w:val="nil"/>
              <w:tr2bl w:val="nil"/>
            </w:tcBorders>
            <w:vAlign w:val="center"/>
          </w:tcPr>
          <w:p>
            <w:pPr>
              <w:pStyle w:val="63"/>
              <w:rPr>
                <w:rFonts w:eastAsiaTheme="minorEastAsia"/>
              </w:rPr>
            </w:pPr>
            <w:r>
              <w:rPr>
                <w:rFonts w:hint="eastAsia" w:eastAsiaTheme="minorEastAsia"/>
              </w:rPr>
              <w:t>湘发改地区[2021]372号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2" w:type="pct"/>
            <w:tcBorders>
              <w:tl2br w:val="nil"/>
              <w:tr2bl w:val="nil"/>
            </w:tcBorders>
            <w:vAlign w:val="center"/>
          </w:tcPr>
          <w:p>
            <w:pPr>
              <w:pStyle w:val="63"/>
              <w:rPr>
                <w:rFonts w:eastAsiaTheme="minorEastAsia"/>
              </w:rPr>
            </w:pPr>
            <w:r>
              <w:rPr>
                <w:rFonts w:hint="eastAsia" w:eastAsiaTheme="minorEastAsia"/>
              </w:rPr>
              <w:t>11</w:t>
            </w:r>
          </w:p>
        </w:tc>
        <w:tc>
          <w:tcPr>
            <w:tcW w:w="555" w:type="pct"/>
            <w:tcBorders>
              <w:tl2br w:val="nil"/>
              <w:tr2bl w:val="nil"/>
            </w:tcBorders>
            <w:vAlign w:val="center"/>
          </w:tcPr>
          <w:p>
            <w:pPr>
              <w:pStyle w:val="63"/>
              <w:rPr>
                <w:rFonts w:eastAsiaTheme="minorEastAsia"/>
              </w:rPr>
            </w:pPr>
            <w:r>
              <w:rPr>
                <w:rFonts w:eastAsiaTheme="minorEastAsia"/>
              </w:rPr>
              <w:t>2022年</w:t>
            </w:r>
          </w:p>
        </w:tc>
        <w:tc>
          <w:tcPr>
            <w:tcW w:w="2205" w:type="pct"/>
            <w:tcBorders>
              <w:tl2br w:val="nil"/>
              <w:tr2bl w:val="nil"/>
            </w:tcBorders>
            <w:vAlign w:val="center"/>
          </w:tcPr>
          <w:p>
            <w:pPr>
              <w:pStyle w:val="63"/>
              <w:rPr>
                <w:rFonts w:eastAsiaTheme="minorEastAsia"/>
              </w:rPr>
            </w:pPr>
            <w:r>
              <w:rPr>
                <w:rFonts w:eastAsiaTheme="minorEastAsia"/>
              </w:rPr>
              <w:t>临湘高新技术产业开发区核定面积共774.20公顷其中区块一面积为324.75公顷，区块二面积为35.32公顷，区块三面积为27.12公顷，区块四面积为159.99公顷，区块五面积为193.29公顷，区块六面积为33.74公顷。</w:t>
            </w:r>
          </w:p>
        </w:tc>
        <w:tc>
          <w:tcPr>
            <w:tcW w:w="1868" w:type="pct"/>
            <w:tcBorders>
              <w:tl2br w:val="nil"/>
              <w:tr2bl w:val="nil"/>
            </w:tcBorders>
            <w:vAlign w:val="center"/>
          </w:tcPr>
          <w:p>
            <w:pPr>
              <w:pStyle w:val="63"/>
              <w:rPr>
                <w:rFonts w:eastAsiaTheme="minorEastAsia"/>
              </w:rPr>
            </w:pPr>
            <w:r>
              <w:rPr>
                <w:rFonts w:eastAsiaTheme="minorEastAsia"/>
              </w:rPr>
              <w:t>《关于发布湖南省省级及以上产业园区边界面积及四至范围的通知》（湘发改园区[2022]601号）</w:t>
            </w:r>
          </w:p>
        </w:tc>
      </w:tr>
    </w:tbl>
    <w:p>
      <w:pPr>
        <w:pStyle w:val="3"/>
        <w:rPr>
          <w:rFonts w:ascii="Times New Roman" w:hAnsi="Times New Roman" w:cs="Times New Roman" w:eastAsiaTheme="minorEastAsia"/>
        </w:rPr>
      </w:pPr>
      <w:bookmarkStart w:id="60" w:name="_Toc50625242"/>
      <w:bookmarkStart w:id="61" w:name="_Toc72263582"/>
      <w:bookmarkStart w:id="62" w:name="_Toc82606959"/>
      <w:bookmarkStart w:id="63" w:name="_Toc54516681"/>
      <w:bookmarkStart w:id="64" w:name="_Toc56066045"/>
      <w:bookmarkStart w:id="65" w:name="_Toc50966740"/>
      <w:bookmarkStart w:id="66" w:name="_Toc146091877"/>
      <w:bookmarkStart w:id="67" w:name="_Toc134088437"/>
      <w:r>
        <w:rPr>
          <w:rFonts w:ascii="Times New Roman" w:hAnsi="Times New Roman" w:cs="Times New Roman" w:eastAsiaTheme="minorEastAsia"/>
        </w:rPr>
        <w:t>2.2 园区回顾性</w:t>
      </w:r>
      <w:bookmarkEnd w:id="60"/>
      <w:r>
        <w:rPr>
          <w:rFonts w:ascii="Times New Roman" w:hAnsi="Times New Roman" w:cs="Times New Roman" w:eastAsiaTheme="minorEastAsia"/>
        </w:rPr>
        <w:t>评价</w:t>
      </w:r>
      <w:bookmarkEnd w:id="61"/>
      <w:bookmarkEnd w:id="62"/>
      <w:bookmarkEnd w:id="63"/>
      <w:bookmarkEnd w:id="64"/>
      <w:bookmarkEnd w:id="65"/>
      <w:bookmarkEnd w:id="66"/>
      <w:bookmarkEnd w:id="67"/>
    </w:p>
    <w:p>
      <w:pPr>
        <w:pStyle w:val="4"/>
        <w:rPr>
          <w:rFonts w:ascii="Times New Roman" w:hAnsi="Times New Roman" w:cs="Times New Roman"/>
        </w:rPr>
      </w:pPr>
      <w:bookmarkStart w:id="68" w:name="_Toc146091878"/>
      <w:bookmarkStart w:id="69" w:name="_Toc134088441"/>
      <w:bookmarkStart w:id="70" w:name="_Toc82606960"/>
      <w:bookmarkStart w:id="71" w:name="_Toc82606965"/>
      <w:bookmarkStart w:id="72" w:name="_Toc50625252"/>
      <w:r>
        <w:rPr>
          <w:rFonts w:ascii="Times New Roman" w:hAnsi="Times New Roman" w:cs="Times New Roman"/>
        </w:rPr>
        <w:t>2.2.1</w:t>
      </w:r>
      <w:r>
        <w:rPr>
          <w:rFonts w:hint="eastAsia" w:ascii="Times New Roman" w:hAnsi="Times New Roman" w:cs="Times New Roman"/>
        </w:rPr>
        <w:t xml:space="preserve"> </w:t>
      </w:r>
      <w:r>
        <w:rPr>
          <w:rFonts w:ascii="Times New Roman" w:hAnsi="Times New Roman" w:cs="Times New Roman"/>
        </w:rPr>
        <w:t>规划范围</w:t>
      </w:r>
      <w:bookmarkEnd w:id="68"/>
    </w:p>
    <w:p>
      <w:pPr>
        <w:spacing w:line="360" w:lineRule="auto"/>
        <w:ind w:firstLine="480" w:firstLineChars="200"/>
        <w:rPr>
          <w:rFonts w:ascii="Times New Roman" w:hAnsi="Times New Roman" w:cs="Times New Roman"/>
        </w:rPr>
      </w:pPr>
      <w:r>
        <w:rPr>
          <w:rFonts w:ascii="Times New Roman" w:hAnsi="Times New Roman" w:cs="Times New Roman"/>
        </w:rPr>
        <w:t>本次临湘高新技术产业开发区回顾性评价以2022年湘发改园区[2022]601号文核准范围为主。</w:t>
      </w:r>
    </w:p>
    <w:p>
      <w:pPr>
        <w:pStyle w:val="4"/>
        <w:rPr>
          <w:rFonts w:ascii="Times New Roman" w:hAnsi="Times New Roman" w:cs="Times New Roman"/>
        </w:rPr>
      </w:pPr>
      <w:bookmarkStart w:id="73" w:name="_Toc146091879"/>
      <w:r>
        <w:rPr>
          <w:rFonts w:ascii="Times New Roman" w:hAnsi="Times New Roman" w:cs="Times New Roman"/>
        </w:rPr>
        <w:t>2.2.2 土地开发利用现状</w:t>
      </w:r>
      <w:bookmarkEnd w:id="69"/>
      <w:bookmarkEnd w:id="73"/>
    </w:p>
    <w:p>
      <w:pPr>
        <w:spacing w:line="360" w:lineRule="auto"/>
        <w:ind w:firstLine="480" w:firstLineChars="200"/>
        <w:rPr>
          <w:rFonts w:ascii="Times New Roman" w:hAnsi="Times New Roman" w:cs="Times New Roman"/>
        </w:rPr>
      </w:pPr>
      <w:r>
        <w:rPr>
          <w:rFonts w:ascii="Times New Roman" w:hAnsi="Times New Roman" w:cs="Times New Roman"/>
        </w:rPr>
        <w:t>园区现状建设用地总面积464.98公顷，占总用地52.79%，非建设用地总面积468.47公顷，占总用地47.21%，现状用地构成情况详见下表。</w:t>
      </w:r>
    </w:p>
    <w:p>
      <w:pPr>
        <w:pStyle w:val="6"/>
        <w:rPr>
          <w:rFonts w:ascii="Times New Roman" w:hAnsi="Times New Roman" w:cs="Times New Roman"/>
        </w:rPr>
      </w:pPr>
      <w:r>
        <w:rPr>
          <w:rFonts w:ascii="Times New Roman" w:hAnsi="Times New Roman" w:cs="Times New Roman"/>
        </w:rPr>
        <w:t>表2.2-1  城乡已开发用地汇总表</w:t>
      </w:r>
    </w:p>
    <w:tbl>
      <w:tblPr>
        <w:tblStyle w:val="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72"/>
        <w:gridCol w:w="819"/>
        <w:gridCol w:w="2643"/>
        <w:gridCol w:w="2103"/>
        <w:gridCol w:w="2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63"/>
              <w:rPr>
                <w:rFonts w:eastAsiaTheme="minorEastAsia"/>
                <w:szCs w:val="21"/>
              </w:rPr>
            </w:pPr>
            <w:r>
              <w:rPr>
                <w:rFonts w:eastAsiaTheme="minorEastAsia"/>
                <w:szCs w:val="21"/>
                <w:lang w:bidi="ar"/>
              </w:rPr>
              <w:t>城乡用地汇总表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6" w:type="pct"/>
            <w:gridSpan w:val="3"/>
            <w:vAlign w:val="center"/>
          </w:tcPr>
          <w:p>
            <w:pPr>
              <w:pStyle w:val="63"/>
              <w:rPr>
                <w:rFonts w:eastAsiaTheme="minorEastAsia"/>
                <w:szCs w:val="21"/>
              </w:rPr>
            </w:pPr>
            <w:r>
              <w:rPr>
                <w:rFonts w:eastAsiaTheme="minorEastAsia"/>
                <w:szCs w:val="21"/>
                <w:lang w:bidi="ar"/>
              </w:rPr>
              <w:t>用地代码</w:t>
            </w:r>
          </w:p>
        </w:tc>
        <w:tc>
          <w:tcPr>
            <w:tcW w:w="1468" w:type="pct"/>
            <w:vMerge w:val="restart"/>
            <w:vAlign w:val="center"/>
          </w:tcPr>
          <w:p>
            <w:pPr>
              <w:pStyle w:val="63"/>
              <w:rPr>
                <w:rFonts w:eastAsiaTheme="minorEastAsia"/>
                <w:szCs w:val="21"/>
              </w:rPr>
            </w:pPr>
            <w:r>
              <w:rPr>
                <w:rFonts w:eastAsiaTheme="minorEastAsia"/>
                <w:szCs w:val="21"/>
                <w:lang w:bidi="ar"/>
              </w:rPr>
              <w:t>用地名称</w:t>
            </w:r>
          </w:p>
        </w:tc>
        <w:tc>
          <w:tcPr>
            <w:tcW w:w="1168" w:type="pct"/>
            <w:vMerge w:val="restart"/>
            <w:vAlign w:val="center"/>
          </w:tcPr>
          <w:p>
            <w:pPr>
              <w:pStyle w:val="63"/>
              <w:rPr>
                <w:rFonts w:eastAsiaTheme="minorEastAsia"/>
                <w:szCs w:val="21"/>
              </w:rPr>
            </w:pPr>
            <w:r>
              <w:rPr>
                <w:rFonts w:eastAsiaTheme="minorEastAsia"/>
                <w:szCs w:val="21"/>
                <w:lang w:bidi="ar"/>
              </w:rPr>
              <w:t>用地面积（hm²）</w:t>
            </w:r>
          </w:p>
        </w:tc>
        <w:tc>
          <w:tcPr>
            <w:tcW w:w="1188" w:type="pct"/>
            <w:vMerge w:val="restart"/>
            <w:vAlign w:val="center"/>
          </w:tcPr>
          <w:p>
            <w:pPr>
              <w:pStyle w:val="63"/>
              <w:rPr>
                <w:rFonts w:eastAsiaTheme="minorEastAsia"/>
                <w:szCs w:val="21"/>
              </w:rPr>
            </w:pPr>
            <w:r>
              <w:rPr>
                <w:rFonts w:eastAsiaTheme="minorEastAsia"/>
                <w:szCs w:val="21"/>
                <w:lang w:bidi="ar"/>
              </w:rPr>
              <w:t>占城乡用地比例（%）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Align w:val="center"/>
          </w:tcPr>
          <w:p>
            <w:pPr>
              <w:pStyle w:val="63"/>
              <w:rPr>
                <w:rFonts w:eastAsiaTheme="minorEastAsia"/>
                <w:szCs w:val="21"/>
              </w:rPr>
            </w:pPr>
            <w:r>
              <w:rPr>
                <w:rFonts w:eastAsiaTheme="minorEastAsia"/>
                <w:szCs w:val="21"/>
                <w:lang w:bidi="ar"/>
              </w:rPr>
              <w:t>大类</w:t>
            </w:r>
          </w:p>
        </w:tc>
        <w:tc>
          <w:tcPr>
            <w:tcW w:w="373" w:type="pct"/>
            <w:vAlign w:val="center"/>
          </w:tcPr>
          <w:p>
            <w:pPr>
              <w:pStyle w:val="63"/>
              <w:rPr>
                <w:rFonts w:eastAsiaTheme="minorEastAsia"/>
                <w:szCs w:val="21"/>
              </w:rPr>
            </w:pPr>
            <w:r>
              <w:rPr>
                <w:rFonts w:eastAsiaTheme="minorEastAsia"/>
                <w:szCs w:val="21"/>
                <w:lang w:bidi="ar"/>
              </w:rPr>
              <w:t>中类</w:t>
            </w:r>
          </w:p>
        </w:tc>
        <w:tc>
          <w:tcPr>
            <w:tcW w:w="455" w:type="pct"/>
            <w:vAlign w:val="center"/>
          </w:tcPr>
          <w:p>
            <w:pPr>
              <w:pStyle w:val="63"/>
              <w:rPr>
                <w:rFonts w:eastAsiaTheme="minorEastAsia"/>
                <w:szCs w:val="21"/>
              </w:rPr>
            </w:pPr>
            <w:r>
              <w:rPr>
                <w:rFonts w:eastAsiaTheme="minorEastAsia"/>
                <w:szCs w:val="21"/>
                <w:lang w:bidi="ar"/>
              </w:rPr>
              <w:t>小类</w:t>
            </w:r>
          </w:p>
        </w:tc>
        <w:tc>
          <w:tcPr>
            <w:tcW w:w="1468" w:type="pct"/>
            <w:vMerge w:val="continue"/>
            <w:vAlign w:val="center"/>
          </w:tcPr>
          <w:p>
            <w:pPr>
              <w:pStyle w:val="63"/>
              <w:rPr>
                <w:rFonts w:eastAsiaTheme="minorEastAsia"/>
                <w:szCs w:val="21"/>
              </w:rPr>
            </w:pPr>
          </w:p>
        </w:tc>
        <w:tc>
          <w:tcPr>
            <w:tcW w:w="1168" w:type="pct"/>
            <w:vMerge w:val="continue"/>
            <w:vAlign w:val="center"/>
          </w:tcPr>
          <w:p>
            <w:pPr>
              <w:pStyle w:val="63"/>
              <w:rPr>
                <w:rFonts w:eastAsiaTheme="minorEastAsia"/>
                <w:szCs w:val="21"/>
              </w:rPr>
            </w:pPr>
          </w:p>
        </w:tc>
        <w:tc>
          <w:tcPr>
            <w:tcW w:w="1188" w:type="pct"/>
            <w:vMerge w:val="continue"/>
            <w:vAlign w:val="center"/>
          </w:tcPr>
          <w:p>
            <w:pPr>
              <w:pStyle w:val="63"/>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vAlign w:val="center"/>
          </w:tcPr>
          <w:p>
            <w:pPr>
              <w:pStyle w:val="63"/>
              <w:rPr>
                <w:rFonts w:eastAsiaTheme="minorEastAsia"/>
                <w:szCs w:val="21"/>
              </w:rPr>
            </w:pPr>
            <w:r>
              <w:rPr>
                <w:rFonts w:eastAsiaTheme="minorEastAsia"/>
                <w:szCs w:val="21"/>
                <w:lang w:bidi="ar"/>
              </w:rPr>
              <w:t>H</w:t>
            </w:r>
          </w:p>
        </w:tc>
        <w:tc>
          <w:tcPr>
            <w:tcW w:w="373" w:type="pct"/>
            <w:vAlign w:val="center"/>
          </w:tcPr>
          <w:p>
            <w:pPr>
              <w:pStyle w:val="63"/>
              <w:rPr>
                <w:rFonts w:eastAsiaTheme="minorEastAsia"/>
                <w:szCs w:val="21"/>
              </w:rPr>
            </w:pP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建设用地</w:t>
            </w:r>
          </w:p>
        </w:tc>
        <w:tc>
          <w:tcPr>
            <w:tcW w:w="116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523.83</w:t>
            </w:r>
          </w:p>
        </w:tc>
        <w:tc>
          <w:tcPr>
            <w:tcW w:w="1188" w:type="pct"/>
            <w:vAlign w:val="center"/>
          </w:tcPr>
          <w:p>
            <w:pPr>
              <w:pStyle w:val="63"/>
              <w:rPr>
                <w:rFonts w:eastAsiaTheme="minorEastAsia"/>
                <w:szCs w:val="21"/>
              </w:rPr>
            </w:pPr>
            <w:r>
              <w:rPr>
                <w:color w:val="000000"/>
                <w:szCs w:val="21"/>
              </w:rPr>
              <w:t>52.79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Merge w:val="restart"/>
            <w:vAlign w:val="center"/>
          </w:tcPr>
          <w:p>
            <w:pPr>
              <w:pStyle w:val="63"/>
              <w:rPr>
                <w:rFonts w:eastAsiaTheme="minorEastAsia"/>
                <w:szCs w:val="21"/>
              </w:rPr>
            </w:pPr>
            <w:r>
              <w:rPr>
                <w:rFonts w:eastAsiaTheme="minorEastAsia"/>
                <w:szCs w:val="21"/>
                <w:lang w:bidi="ar"/>
              </w:rPr>
              <w:t>H1</w:t>
            </w: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城乡居民点建设用地</w:t>
            </w:r>
          </w:p>
        </w:tc>
        <w:tc>
          <w:tcPr>
            <w:tcW w:w="1168" w:type="pct"/>
            <w:vAlign w:val="center"/>
          </w:tcPr>
          <w:p>
            <w:pPr>
              <w:pStyle w:val="63"/>
              <w:rPr>
                <w:rFonts w:eastAsiaTheme="minorEastAsia"/>
                <w:szCs w:val="21"/>
              </w:rPr>
            </w:pPr>
            <w:r>
              <w:rPr>
                <w:color w:val="000000"/>
                <w:szCs w:val="21"/>
              </w:rPr>
              <w:t>501.11</w:t>
            </w:r>
          </w:p>
        </w:tc>
        <w:tc>
          <w:tcPr>
            <w:tcW w:w="1188" w:type="pct"/>
            <w:vAlign w:val="center"/>
          </w:tcPr>
          <w:p>
            <w:pPr>
              <w:pStyle w:val="63"/>
              <w:rPr>
                <w:rFonts w:eastAsiaTheme="minorEastAsia"/>
                <w:szCs w:val="21"/>
              </w:rPr>
            </w:pPr>
            <w:r>
              <w:rPr>
                <w:color w:val="000000"/>
                <w:szCs w:val="21"/>
              </w:rPr>
              <w:t>50.50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Merge w:val="continue"/>
            <w:vAlign w:val="center"/>
          </w:tcPr>
          <w:p>
            <w:pPr>
              <w:pStyle w:val="63"/>
              <w:rPr>
                <w:rFonts w:eastAsiaTheme="minorEastAsia"/>
                <w:szCs w:val="21"/>
              </w:rPr>
            </w:pPr>
          </w:p>
        </w:tc>
        <w:tc>
          <w:tcPr>
            <w:tcW w:w="455" w:type="pct"/>
            <w:vAlign w:val="center"/>
          </w:tcPr>
          <w:p>
            <w:pPr>
              <w:pStyle w:val="63"/>
              <w:rPr>
                <w:rFonts w:eastAsiaTheme="minorEastAsia"/>
                <w:szCs w:val="21"/>
              </w:rPr>
            </w:pPr>
            <w:r>
              <w:rPr>
                <w:rFonts w:eastAsiaTheme="minorEastAsia"/>
                <w:szCs w:val="21"/>
                <w:lang w:bidi="ar"/>
              </w:rPr>
              <w:t>H11</w:t>
            </w:r>
          </w:p>
        </w:tc>
        <w:tc>
          <w:tcPr>
            <w:tcW w:w="1468" w:type="pct"/>
            <w:vAlign w:val="center"/>
          </w:tcPr>
          <w:p>
            <w:pPr>
              <w:pStyle w:val="63"/>
              <w:rPr>
                <w:rFonts w:eastAsiaTheme="minorEastAsia"/>
                <w:szCs w:val="21"/>
              </w:rPr>
            </w:pPr>
            <w:r>
              <w:rPr>
                <w:rFonts w:eastAsiaTheme="minorEastAsia"/>
                <w:szCs w:val="21"/>
                <w:lang w:bidi="ar"/>
              </w:rPr>
              <w:t>城市建设用地</w:t>
            </w:r>
          </w:p>
        </w:tc>
        <w:tc>
          <w:tcPr>
            <w:tcW w:w="1168" w:type="pct"/>
            <w:vAlign w:val="center"/>
          </w:tcPr>
          <w:p>
            <w:pPr>
              <w:pStyle w:val="63"/>
              <w:rPr>
                <w:rFonts w:eastAsiaTheme="minorEastAsia"/>
                <w:szCs w:val="21"/>
              </w:rPr>
            </w:pPr>
            <w:r>
              <w:rPr>
                <w:color w:val="000000"/>
                <w:sz w:val="22"/>
              </w:rPr>
              <w:t>464.98</w:t>
            </w:r>
          </w:p>
        </w:tc>
        <w:tc>
          <w:tcPr>
            <w:tcW w:w="1188" w:type="pct"/>
            <w:vAlign w:val="center"/>
          </w:tcPr>
          <w:p>
            <w:pPr>
              <w:pStyle w:val="63"/>
              <w:rPr>
                <w:rFonts w:eastAsiaTheme="minorEastAsia"/>
                <w:szCs w:val="21"/>
              </w:rPr>
            </w:pPr>
            <w:r>
              <w:rPr>
                <w:color w:val="000000"/>
                <w:szCs w:val="21"/>
              </w:rPr>
              <w:t>46.86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Merge w:val="continue"/>
            <w:vAlign w:val="center"/>
          </w:tcPr>
          <w:p>
            <w:pPr>
              <w:pStyle w:val="63"/>
              <w:rPr>
                <w:rFonts w:eastAsiaTheme="minorEastAsia"/>
                <w:szCs w:val="21"/>
              </w:rPr>
            </w:pPr>
          </w:p>
        </w:tc>
        <w:tc>
          <w:tcPr>
            <w:tcW w:w="455" w:type="pct"/>
            <w:vAlign w:val="center"/>
          </w:tcPr>
          <w:p>
            <w:pPr>
              <w:pStyle w:val="63"/>
              <w:rPr>
                <w:rFonts w:eastAsiaTheme="minorEastAsia"/>
                <w:szCs w:val="21"/>
              </w:rPr>
            </w:pPr>
            <w:r>
              <w:rPr>
                <w:rFonts w:eastAsiaTheme="minorEastAsia"/>
                <w:szCs w:val="21"/>
                <w:lang w:bidi="ar"/>
              </w:rPr>
              <w:t>H14</w:t>
            </w:r>
          </w:p>
        </w:tc>
        <w:tc>
          <w:tcPr>
            <w:tcW w:w="1468" w:type="pct"/>
            <w:vAlign w:val="center"/>
          </w:tcPr>
          <w:p>
            <w:pPr>
              <w:pStyle w:val="63"/>
              <w:rPr>
                <w:rFonts w:eastAsiaTheme="minorEastAsia"/>
                <w:szCs w:val="21"/>
              </w:rPr>
            </w:pPr>
            <w:r>
              <w:rPr>
                <w:rFonts w:eastAsiaTheme="minorEastAsia"/>
                <w:szCs w:val="21"/>
                <w:lang w:bidi="ar"/>
              </w:rPr>
              <w:t>村庄建设用地</w:t>
            </w:r>
          </w:p>
        </w:tc>
        <w:tc>
          <w:tcPr>
            <w:tcW w:w="1168" w:type="pct"/>
            <w:vAlign w:val="center"/>
          </w:tcPr>
          <w:p>
            <w:pPr>
              <w:pStyle w:val="63"/>
              <w:rPr>
                <w:rFonts w:eastAsiaTheme="minorEastAsia"/>
                <w:szCs w:val="21"/>
              </w:rPr>
            </w:pPr>
            <w:r>
              <w:rPr>
                <w:color w:val="000000"/>
                <w:szCs w:val="21"/>
              </w:rPr>
              <w:t>36.13</w:t>
            </w:r>
          </w:p>
        </w:tc>
        <w:tc>
          <w:tcPr>
            <w:tcW w:w="1188" w:type="pct"/>
            <w:vAlign w:val="center"/>
          </w:tcPr>
          <w:p>
            <w:pPr>
              <w:pStyle w:val="63"/>
              <w:rPr>
                <w:rFonts w:eastAsiaTheme="minorEastAsia"/>
                <w:szCs w:val="21"/>
              </w:rPr>
            </w:pPr>
            <w:r>
              <w:rPr>
                <w:color w:val="000000"/>
                <w:szCs w:val="21"/>
              </w:rPr>
              <w:t>3.64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Merge w:val="restart"/>
            <w:vAlign w:val="center"/>
          </w:tcPr>
          <w:p>
            <w:pPr>
              <w:pStyle w:val="63"/>
              <w:rPr>
                <w:rFonts w:eastAsiaTheme="minorEastAsia"/>
                <w:szCs w:val="21"/>
              </w:rPr>
            </w:pPr>
            <w:r>
              <w:rPr>
                <w:rFonts w:eastAsiaTheme="minorEastAsia"/>
                <w:szCs w:val="21"/>
                <w:lang w:bidi="ar"/>
              </w:rPr>
              <w:t>H2</w:t>
            </w: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区域交通设施用地</w:t>
            </w:r>
          </w:p>
        </w:tc>
        <w:tc>
          <w:tcPr>
            <w:tcW w:w="1168" w:type="pct"/>
            <w:vAlign w:val="center"/>
          </w:tcPr>
          <w:p>
            <w:pPr>
              <w:pStyle w:val="63"/>
              <w:rPr>
                <w:rFonts w:eastAsiaTheme="minorEastAsia"/>
                <w:szCs w:val="21"/>
              </w:rPr>
            </w:pPr>
            <w:r>
              <w:rPr>
                <w:color w:val="000000"/>
                <w:szCs w:val="21"/>
              </w:rPr>
              <w:t>17.73</w:t>
            </w:r>
          </w:p>
        </w:tc>
        <w:tc>
          <w:tcPr>
            <w:tcW w:w="1188" w:type="pct"/>
            <w:vAlign w:val="center"/>
          </w:tcPr>
          <w:p>
            <w:pPr>
              <w:pStyle w:val="63"/>
              <w:rPr>
                <w:rFonts w:eastAsiaTheme="minorEastAsia"/>
                <w:szCs w:val="21"/>
              </w:rPr>
            </w:pPr>
            <w:r>
              <w:rPr>
                <w:color w:val="000000"/>
                <w:szCs w:val="21"/>
              </w:rPr>
              <w:t>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Merge w:val="continue"/>
            <w:vAlign w:val="center"/>
          </w:tcPr>
          <w:p>
            <w:pPr>
              <w:pStyle w:val="63"/>
              <w:rPr>
                <w:rFonts w:eastAsiaTheme="minorEastAsia"/>
                <w:szCs w:val="21"/>
              </w:rPr>
            </w:pPr>
          </w:p>
        </w:tc>
        <w:tc>
          <w:tcPr>
            <w:tcW w:w="455" w:type="pct"/>
            <w:vAlign w:val="center"/>
          </w:tcPr>
          <w:p>
            <w:pPr>
              <w:pStyle w:val="63"/>
              <w:rPr>
                <w:rFonts w:eastAsiaTheme="minorEastAsia"/>
                <w:szCs w:val="21"/>
              </w:rPr>
            </w:pPr>
            <w:r>
              <w:rPr>
                <w:rFonts w:eastAsiaTheme="minorEastAsia"/>
                <w:szCs w:val="21"/>
                <w:lang w:bidi="ar"/>
              </w:rPr>
              <w:t>H22</w:t>
            </w:r>
          </w:p>
        </w:tc>
        <w:tc>
          <w:tcPr>
            <w:tcW w:w="1468" w:type="pct"/>
            <w:vAlign w:val="center"/>
          </w:tcPr>
          <w:p>
            <w:pPr>
              <w:pStyle w:val="63"/>
              <w:rPr>
                <w:rFonts w:eastAsiaTheme="minorEastAsia"/>
                <w:szCs w:val="21"/>
              </w:rPr>
            </w:pPr>
            <w:r>
              <w:rPr>
                <w:rFonts w:eastAsiaTheme="minorEastAsia"/>
                <w:szCs w:val="21"/>
                <w:lang w:bidi="ar"/>
              </w:rPr>
              <w:t>公路用地</w:t>
            </w:r>
          </w:p>
        </w:tc>
        <w:tc>
          <w:tcPr>
            <w:tcW w:w="1168" w:type="pct"/>
            <w:vAlign w:val="center"/>
          </w:tcPr>
          <w:p>
            <w:pPr>
              <w:pStyle w:val="63"/>
              <w:rPr>
                <w:rFonts w:eastAsiaTheme="minorEastAsia"/>
                <w:szCs w:val="21"/>
              </w:rPr>
            </w:pPr>
            <w:r>
              <w:rPr>
                <w:color w:val="000000"/>
                <w:szCs w:val="21"/>
              </w:rPr>
              <w:t>17.73</w:t>
            </w:r>
          </w:p>
        </w:tc>
        <w:tc>
          <w:tcPr>
            <w:tcW w:w="1188" w:type="pct"/>
            <w:vAlign w:val="center"/>
          </w:tcPr>
          <w:p>
            <w:pPr>
              <w:pStyle w:val="63"/>
              <w:rPr>
                <w:rFonts w:eastAsiaTheme="minorEastAsia"/>
                <w:szCs w:val="21"/>
              </w:rPr>
            </w:pPr>
            <w:r>
              <w:rPr>
                <w:color w:val="000000"/>
                <w:szCs w:val="21"/>
              </w:rPr>
              <w:t>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Align w:val="center"/>
          </w:tcPr>
          <w:p>
            <w:pPr>
              <w:pStyle w:val="63"/>
              <w:rPr>
                <w:rFonts w:eastAsiaTheme="minorEastAsia"/>
                <w:szCs w:val="21"/>
              </w:rPr>
            </w:pPr>
            <w:r>
              <w:rPr>
                <w:rFonts w:eastAsiaTheme="minorEastAsia"/>
                <w:szCs w:val="21"/>
                <w:lang w:bidi="ar"/>
              </w:rPr>
              <w:t>H5</w:t>
            </w: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采矿用地</w:t>
            </w:r>
          </w:p>
        </w:tc>
        <w:tc>
          <w:tcPr>
            <w:tcW w:w="1168" w:type="pct"/>
            <w:vAlign w:val="center"/>
          </w:tcPr>
          <w:p>
            <w:pPr>
              <w:pStyle w:val="63"/>
              <w:rPr>
                <w:rFonts w:eastAsiaTheme="minorEastAsia"/>
                <w:szCs w:val="21"/>
              </w:rPr>
            </w:pPr>
            <w:r>
              <w:rPr>
                <w:color w:val="000000"/>
                <w:szCs w:val="21"/>
              </w:rPr>
              <w:t>4.99</w:t>
            </w:r>
          </w:p>
        </w:tc>
        <w:tc>
          <w:tcPr>
            <w:tcW w:w="1188" w:type="pct"/>
            <w:vAlign w:val="center"/>
          </w:tcPr>
          <w:p>
            <w:pPr>
              <w:pStyle w:val="63"/>
              <w:rPr>
                <w:rFonts w:eastAsiaTheme="minorEastAsia"/>
                <w:szCs w:val="21"/>
              </w:rPr>
            </w:pPr>
            <w:r>
              <w:rPr>
                <w:color w:val="000000"/>
                <w:szCs w:val="21"/>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vAlign w:val="center"/>
          </w:tcPr>
          <w:p>
            <w:pPr>
              <w:pStyle w:val="63"/>
              <w:rPr>
                <w:rFonts w:eastAsiaTheme="minorEastAsia"/>
                <w:szCs w:val="21"/>
              </w:rPr>
            </w:pPr>
            <w:r>
              <w:rPr>
                <w:rFonts w:eastAsiaTheme="minorEastAsia"/>
                <w:szCs w:val="21"/>
                <w:lang w:bidi="ar"/>
              </w:rPr>
              <w:t>E</w:t>
            </w:r>
          </w:p>
        </w:tc>
        <w:tc>
          <w:tcPr>
            <w:tcW w:w="373" w:type="pct"/>
            <w:vAlign w:val="center"/>
          </w:tcPr>
          <w:p>
            <w:pPr>
              <w:pStyle w:val="63"/>
              <w:rPr>
                <w:rFonts w:eastAsiaTheme="minorEastAsia"/>
                <w:szCs w:val="21"/>
              </w:rPr>
            </w:pP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非建设用地</w:t>
            </w:r>
          </w:p>
        </w:tc>
        <w:tc>
          <w:tcPr>
            <w:tcW w:w="1168" w:type="pct"/>
            <w:vAlign w:val="center"/>
          </w:tcPr>
          <w:p>
            <w:pPr>
              <w:pStyle w:val="63"/>
              <w:rPr>
                <w:rFonts w:eastAsiaTheme="minorEastAsia"/>
                <w:szCs w:val="21"/>
              </w:rPr>
            </w:pPr>
            <w:r>
              <w:rPr>
                <w:color w:val="000000"/>
                <w:szCs w:val="21"/>
              </w:rPr>
              <w:t>468.47</w:t>
            </w:r>
          </w:p>
        </w:tc>
        <w:tc>
          <w:tcPr>
            <w:tcW w:w="1188" w:type="pct"/>
            <w:vAlign w:val="center"/>
          </w:tcPr>
          <w:p>
            <w:pPr>
              <w:pStyle w:val="63"/>
              <w:rPr>
                <w:rFonts w:eastAsiaTheme="minorEastAsia"/>
                <w:szCs w:val="21"/>
              </w:rPr>
            </w:pPr>
            <w:r>
              <w:rPr>
                <w:color w:val="000000"/>
                <w:szCs w:val="21"/>
              </w:rPr>
              <w:t>47.21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Align w:val="center"/>
          </w:tcPr>
          <w:p>
            <w:pPr>
              <w:pStyle w:val="63"/>
              <w:rPr>
                <w:rFonts w:eastAsiaTheme="minorEastAsia"/>
                <w:szCs w:val="21"/>
              </w:rPr>
            </w:pPr>
            <w:r>
              <w:rPr>
                <w:rFonts w:eastAsiaTheme="minorEastAsia"/>
                <w:szCs w:val="21"/>
                <w:lang w:bidi="ar"/>
              </w:rPr>
              <w:t>E1</w:t>
            </w: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水域</w:t>
            </w:r>
          </w:p>
        </w:tc>
        <w:tc>
          <w:tcPr>
            <w:tcW w:w="1168" w:type="pct"/>
            <w:vAlign w:val="center"/>
          </w:tcPr>
          <w:p>
            <w:pPr>
              <w:pStyle w:val="63"/>
              <w:rPr>
                <w:rFonts w:eastAsiaTheme="minorEastAsia"/>
                <w:szCs w:val="21"/>
              </w:rPr>
            </w:pPr>
            <w:r>
              <w:rPr>
                <w:color w:val="000000"/>
                <w:szCs w:val="21"/>
              </w:rPr>
              <w:t>29.49</w:t>
            </w:r>
          </w:p>
        </w:tc>
        <w:tc>
          <w:tcPr>
            <w:tcW w:w="1188" w:type="pct"/>
            <w:vAlign w:val="center"/>
          </w:tcPr>
          <w:p>
            <w:pPr>
              <w:pStyle w:val="63"/>
              <w:rPr>
                <w:rFonts w:eastAsiaTheme="minorEastAsia"/>
                <w:szCs w:val="21"/>
              </w:rPr>
            </w:pPr>
            <w:r>
              <w:rPr>
                <w:color w:val="000000"/>
                <w:szCs w:val="21"/>
              </w:rPr>
              <w:t>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vAlign w:val="center"/>
          </w:tcPr>
          <w:p>
            <w:pPr>
              <w:pStyle w:val="63"/>
              <w:rPr>
                <w:rFonts w:eastAsiaTheme="minorEastAsia"/>
                <w:szCs w:val="21"/>
              </w:rPr>
            </w:pPr>
          </w:p>
        </w:tc>
        <w:tc>
          <w:tcPr>
            <w:tcW w:w="373" w:type="pct"/>
            <w:vAlign w:val="center"/>
          </w:tcPr>
          <w:p>
            <w:pPr>
              <w:pStyle w:val="63"/>
              <w:rPr>
                <w:rFonts w:eastAsiaTheme="minorEastAsia"/>
                <w:szCs w:val="21"/>
              </w:rPr>
            </w:pPr>
            <w:r>
              <w:rPr>
                <w:rFonts w:eastAsiaTheme="minorEastAsia"/>
                <w:szCs w:val="21"/>
                <w:lang w:bidi="ar"/>
              </w:rPr>
              <w:t>E2</w:t>
            </w:r>
          </w:p>
        </w:tc>
        <w:tc>
          <w:tcPr>
            <w:tcW w:w="455" w:type="pct"/>
            <w:vAlign w:val="center"/>
          </w:tcPr>
          <w:p>
            <w:pPr>
              <w:pStyle w:val="63"/>
              <w:rPr>
                <w:rFonts w:eastAsiaTheme="minorEastAsia"/>
                <w:szCs w:val="21"/>
              </w:rPr>
            </w:pPr>
          </w:p>
        </w:tc>
        <w:tc>
          <w:tcPr>
            <w:tcW w:w="1468" w:type="pct"/>
            <w:vAlign w:val="center"/>
          </w:tcPr>
          <w:p>
            <w:pPr>
              <w:pStyle w:val="63"/>
              <w:rPr>
                <w:rFonts w:eastAsiaTheme="minorEastAsia"/>
                <w:szCs w:val="21"/>
              </w:rPr>
            </w:pPr>
            <w:r>
              <w:rPr>
                <w:rFonts w:eastAsiaTheme="minorEastAsia"/>
                <w:szCs w:val="21"/>
                <w:lang w:bidi="ar"/>
              </w:rPr>
              <w:t>农林用地</w:t>
            </w:r>
          </w:p>
        </w:tc>
        <w:tc>
          <w:tcPr>
            <w:tcW w:w="1168" w:type="pct"/>
            <w:vAlign w:val="center"/>
          </w:tcPr>
          <w:p>
            <w:pPr>
              <w:pStyle w:val="63"/>
              <w:rPr>
                <w:rFonts w:eastAsiaTheme="minorEastAsia"/>
                <w:szCs w:val="21"/>
              </w:rPr>
            </w:pPr>
            <w:r>
              <w:rPr>
                <w:color w:val="000000"/>
                <w:szCs w:val="21"/>
              </w:rPr>
              <w:t>438.98</w:t>
            </w:r>
          </w:p>
        </w:tc>
        <w:tc>
          <w:tcPr>
            <w:tcW w:w="1188" w:type="pct"/>
            <w:vAlign w:val="center"/>
          </w:tcPr>
          <w:p>
            <w:pPr>
              <w:pStyle w:val="63"/>
              <w:rPr>
                <w:rFonts w:eastAsiaTheme="minorEastAsia"/>
                <w:szCs w:val="21"/>
              </w:rPr>
            </w:pPr>
            <w:r>
              <w:rPr>
                <w:color w:val="000000"/>
                <w:szCs w:val="21"/>
              </w:rPr>
              <w:t>44.24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6" w:type="pct"/>
            <w:gridSpan w:val="3"/>
            <w:noWrap/>
            <w:vAlign w:val="center"/>
          </w:tcPr>
          <w:p>
            <w:pPr>
              <w:pStyle w:val="63"/>
              <w:rPr>
                <w:rFonts w:eastAsiaTheme="minorEastAsia"/>
                <w:szCs w:val="21"/>
              </w:rPr>
            </w:pPr>
          </w:p>
        </w:tc>
        <w:tc>
          <w:tcPr>
            <w:tcW w:w="1468" w:type="pct"/>
            <w:noWrap/>
            <w:vAlign w:val="center"/>
          </w:tcPr>
          <w:p>
            <w:pPr>
              <w:pStyle w:val="63"/>
              <w:rPr>
                <w:rFonts w:eastAsiaTheme="minorEastAsia"/>
                <w:szCs w:val="21"/>
              </w:rPr>
            </w:pPr>
            <w:r>
              <w:rPr>
                <w:rFonts w:eastAsiaTheme="minorEastAsia"/>
                <w:szCs w:val="21"/>
                <w:lang w:bidi="ar"/>
              </w:rPr>
              <w:t>城乡用地</w:t>
            </w:r>
          </w:p>
        </w:tc>
        <w:tc>
          <w:tcPr>
            <w:tcW w:w="1168" w:type="pct"/>
            <w:noWrap/>
            <w:vAlign w:val="center"/>
          </w:tcPr>
          <w:p>
            <w:pPr>
              <w:pStyle w:val="63"/>
              <w:rPr>
                <w:rFonts w:eastAsiaTheme="minorEastAsia"/>
                <w:szCs w:val="21"/>
              </w:rPr>
            </w:pPr>
            <w:r>
              <w:rPr>
                <w:rFonts w:eastAsiaTheme="minorEastAsia"/>
                <w:szCs w:val="21"/>
                <w:lang w:bidi="ar"/>
              </w:rPr>
              <w:t>992.30</w:t>
            </w:r>
          </w:p>
        </w:tc>
        <w:tc>
          <w:tcPr>
            <w:tcW w:w="1188" w:type="pct"/>
            <w:vAlign w:val="center"/>
          </w:tcPr>
          <w:p>
            <w:pPr>
              <w:pStyle w:val="63"/>
              <w:rPr>
                <w:rFonts w:eastAsiaTheme="minorEastAsia"/>
                <w:szCs w:val="21"/>
              </w:rPr>
            </w:pPr>
            <w:r>
              <w:rPr>
                <w:rFonts w:eastAsiaTheme="minorEastAsia"/>
                <w:szCs w:val="21"/>
                <w:lang w:bidi="ar"/>
              </w:rPr>
              <w:t>100.00</w:t>
            </w:r>
          </w:p>
        </w:tc>
      </w:tr>
    </w:tbl>
    <w:p>
      <w:pPr>
        <w:spacing w:line="360" w:lineRule="auto"/>
        <w:ind w:firstLine="480" w:firstLineChars="200"/>
        <w:rPr>
          <w:rFonts w:ascii="Times New Roman" w:hAnsi="Times New Roman" w:cs="Times New Roman"/>
        </w:rPr>
      </w:pPr>
      <w:r>
        <w:rPr>
          <w:rFonts w:ascii="Times New Roman" w:hAnsi="Times New Roman" w:cs="Times New Roman"/>
        </w:rPr>
        <w:t>规划范围内现状城市建设用地总面积为464.98公顷，现状城市建设用地主要以工业用地和道路与交通设施用地为主；此外还有少量的居住用地、公共管理与公共服务设施用地和公用设施用地等，具体用地情况详见下表所示。</w:t>
      </w:r>
    </w:p>
    <w:p>
      <w:pPr>
        <w:spacing w:line="360" w:lineRule="auto"/>
        <w:ind w:firstLine="480" w:firstLineChars="200"/>
        <w:rPr>
          <w:rFonts w:ascii="Times New Roman" w:hAnsi="Times New Roman" w:cs="Times New Roman"/>
        </w:rPr>
      </w:pPr>
      <w:r>
        <w:rPr>
          <w:rFonts w:ascii="Times New Roman" w:hAnsi="Times New Roman" w:cs="Times New Roman"/>
        </w:rPr>
        <w:t>滨江片区儒溪地块</w:t>
      </w:r>
      <w:r>
        <w:rPr>
          <w:rFonts w:hint="eastAsia" w:ascii="Times New Roman" w:hAnsi="Times New Roman" w:cs="Times New Roman"/>
        </w:rPr>
        <w:t>为原化工片区，入住企业现已关停搬迁；滨江片区鸭栏地块已建成港口岸线，其余尚未开发；滨江片区旗杆地块建设为标注厂房，入驻企业主要为电子信息等污染物排放较少的企业；滨江片区杨桥地块拟规划为新化工片区，承接</w:t>
      </w:r>
      <w:r>
        <w:rPr>
          <w:rFonts w:ascii="Times New Roman" w:hAnsi="Times New Roman" w:cs="Times New Roman"/>
        </w:rPr>
        <w:t>儒溪地块</w:t>
      </w:r>
      <w:r>
        <w:rPr>
          <w:rFonts w:hint="eastAsia" w:ascii="Times New Roman" w:hAnsi="Times New Roman" w:cs="Times New Roman"/>
        </w:rPr>
        <w:t>搬迁企业；三湾片区现已开发完成；绿色建材产业园仅有1家企业为海螺水泥，目前已开发完成。</w:t>
      </w:r>
    </w:p>
    <w:p>
      <w:pPr>
        <w:spacing w:line="360" w:lineRule="auto"/>
        <w:ind w:firstLine="480" w:firstLineChars="200"/>
        <w:rPr>
          <w:rFonts w:ascii="Times New Roman" w:hAnsi="Times New Roman" w:cs="Times New Roman"/>
        </w:rPr>
        <w:sectPr>
          <w:headerReference r:id="rId4" w:type="default"/>
          <w:headerReference r:id="rId5" w:type="even"/>
          <w:pgSz w:w="11906" w:h="16838"/>
          <w:pgMar w:top="1418" w:right="1418" w:bottom="1418" w:left="1701" w:header="851" w:footer="992" w:gutter="0"/>
          <w:paperSrc w:first="7" w:other="7"/>
          <w:cols w:space="425" w:num="1"/>
          <w:docGrid w:linePitch="326" w:charSpace="915"/>
        </w:sectPr>
      </w:pPr>
    </w:p>
    <w:p>
      <w:pPr>
        <w:pStyle w:val="6"/>
        <w:rPr>
          <w:rFonts w:ascii="Times New Roman" w:hAnsi="Times New Roman" w:cs="Times New Roman"/>
        </w:rPr>
      </w:pPr>
      <w:r>
        <w:rPr>
          <w:rFonts w:ascii="Times New Roman" w:hAnsi="Times New Roman" w:cs="Times New Roman"/>
        </w:rPr>
        <w:t>表2.2-2  城市已开发建设用地平衡表</w:t>
      </w:r>
    </w:p>
    <w:tbl>
      <w:tblPr>
        <w:tblStyle w:val="36"/>
        <w:tblW w:w="5000" w:type="pct"/>
        <w:jc w:val="center"/>
        <w:tblLayout w:type="autofit"/>
        <w:tblCellMar>
          <w:top w:w="0" w:type="dxa"/>
          <w:left w:w="108" w:type="dxa"/>
          <w:bottom w:w="0" w:type="dxa"/>
          <w:right w:w="108" w:type="dxa"/>
        </w:tblCellMar>
      </w:tblPr>
      <w:tblGrid>
        <w:gridCol w:w="1054"/>
        <w:gridCol w:w="1257"/>
        <w:gridCol w:w="2511"/>
        <w:gridCol w:w="1863"/>
        <w:gridCol w:w="1257"/>
        <w:gridCol w:w="1257"/>
        <w:gridCol w:w="1257"/>
        <w:gridCol w:w="1257"/>
        <w:gridCol w:w="1257"/>
        <w:gridCol w:w="1248"/>
      </w:tblGrid>
      <w:tr>
        <w:tblPrEx>
          <w:tblCellMar>
            <w:top w:w="0" w:type="dxa"/>
            <w:left w:w="108" w:type="dxa"/>
            <w:bottom w:w="0" w:type="dxa"/>
            <w:right w:w="108" w:type="dxa"/>
          </w:tblCellMar>
        </w:tblPrEx>
        <w:trPr>
          <w:trHeight w:val="454" w:hRule="atLeast"/>
          <w:jc w:val="center"/>
        </w:trPr>
        <w:tc>
          <w:tcPr>
            <w:tcW w:w="8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用地代码</w:t>
            </w:r>
          </w:p>
        </w:tc>
        <w:tc>
          <w:tcPr>
            <w:tcW w:w="8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用地名称</w:t>
            </w:r>
          </w:p>
        </w:tc>
        <w:tc>
          <w:tcPr>
            <w:tcW w:w="6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用地面积（hm²）</w:t>
            </w:r>
          </w:p>
        </w:tc>
        <w:tc>
          <w:tcPr>
            <w:tcW w:w="442"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滨江片区</w:t>
            </w:r>
          </w:p>
          <w:p>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儒溪地块</w:t>
            </w:r>
          </w:p>
        </w:tc>
        <w:tc>
          <w:tcPr>
            <w:tcW w:w="442"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滨江片区</w:t>
            </w:r>
          </w:p>
          <w:p>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鸭栏地块</w:t>
            </w:r>
          </w:p>
        </w:tc>
        <w:tc>
          <w:tcPr>
            <w:tcW w:w="442"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滨江片区</w:t>
            </w:r>
          </w:p>
          <w:p>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旗杆地块</w:t>
            </w:r>
          </w:p>
        </w:tc>
        <w:tc>
          <w:tcPr>
            <w:tcW w:w="442"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滨江片区</w:t>
            </w:r>
          </w:p>
          <w:p>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杨桥地块</w:t>
            </w:r>
          </w:p>
        </w:tc>
        <w:tc>
          <w:tcPr>
            <w:tcW w:w="44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三湾片区</w:t>
            </w:r>
          </w:p>
        </w:tc>
        <w:tc>
          <w:tcPr>
            <w:tcW w:w="4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绿色建材产业园</w:t>
            </w:r>
          </w:p>
        </w:tc>
      </w:tr>
      <w:tr>
        <w:tblPrEx>
          <w:tblCellMar>
            <w:top w:w="0" w:type="dxa"/>
            <w:left w:w="108" w:type="dxa"/>
            <w:bottom w:w="0" w:type="dxa"/>
            <w:right w:w="108" w:type="dxa"/>
          </w:tblCellMar>
        </w:tblPrEx>
        <w:trPr>
          <w:trHeight w:val="454" w:hRule="atLeast"/>
          <w:jc w:val="center"/>
        </w:trPr>
        <w:tc>
          <w:tcPr>
            <w:tcW w:w="3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大类</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中类</w:t>
            </w:r>
          </w:p>
        </w:tc>
        <w:tc>
          <w:tcPr>
            <w:tcW w:w="8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c>
          <w:tcPr>
            <w:tcW w:w="6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c>
          <w:tcPr>
            <w:tcW w:w="442"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442"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442"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442"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c>
          <w:tcPr>
            <w:tcW w:w="4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r>
      <w:tr>
        <w:tblPrEx>
          <w:tblCellMar>
            <w:top w:w="0" w:type="dxa"/>
            <w:left w:w="108" w:type="dxa"/>
            <w:bottom w:w="0" w:type="dxa"/>
            <w:right w:w="108" w:type="dxa"/>
          </w:tblCellMar>
        </w:tblPrEx>
        <w:trPr>
          <w:trHeight w:val="454" w:hRule="atLeast"/>
          <w:jc w:val="center"/>
        </w:trPr>
        <w:tc>
          <w:tcPr>
            <w:tcW w:w="371" w:type="pct"/>
            <w:tcBorders>
              <w:top w:val="nil"/>
              <w:left w:val="single" w:color="auto" w:sz="4" w:space="0"/>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R</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居住用地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7.21</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7.21</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r>
      <w:tr>
        <w:tblPrEx>
          <w:tblCellMar>
            <w:top w:w="0" w:type="dxa"/>
            <w:left w:w="108" w:type="dxa"/>
            <w:bottom w:w="0" w:type="dxa"/>
            <w:right w:w="108" w:type="dxa"/>
          </w:tblCellMar>
        </w:tblPrEx>
        <w:trPr>
          <w:trHeight w:val="454"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A</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公共管理与公共服务设施用地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4.85</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4.54</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0.31</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r>
      <w:tr>
        <w:tblPrEx>
          <w:tblCellMar>
            <w:top w:w="0" w:type="dxa"/>
            <w:left w:w="108" w:type="dxa"/>
            <w:bottom w:w="0" w:type="dxa"/>
            <w:right w:w="108" w:type="dxa"/>
          </w:tblCellMar>
        </w:tblPrEx>
        <w:trPr>
          <w:trHeight w:val="454" w:hRule="atLeast"/>
          <w:jc w:val="center"/>
        </w:trPr>
        <w:tc>
          <w:tcPr>
            <w:tcW w:w="37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M</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工业用地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356.06</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139.39</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18.59</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161.34</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33.74</w:t>
            </w:r>
          </w:p>
        </w:tc>
      </w:tr>
      <w:tr>
        <w:tblPrEx>
          <w:tblCellMar>
            <w:top w:w="0" w:type="dxa"/>
            <w:left w:w="108" w:type="dxa"/>
            <w:bottom w:w="0" w:type="dxa"/>
            <w:right w:w="108" w:type="dxa"/>
          </w:tblCellMar>
        </w:tblPrEx>
        <w:trPr>
          <w:trHeight w:val="454" w:hRule="atLeast"/>
          <w:jc w:val="center"/>
        </w:trPr>
        <w:tc>
          <w:tcPr>
            <w:tcW w:w="371"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M1</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一类工业用地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13.3</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13.3</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r>
      <w:tr>
        <w:tblPrEx>
          <w:tblCellMar>
            <w:top w:w="0" w:type="dxa"/>
            <w:left w:w="108" w:type="dxa"/>
            <w:bottom w:w="0" w:type="dxa"/>
            <w:right w:w="108" w:type="dxa"/>
          </w:tblCellMar>
        </w:tblPrEx>
        <w:trPr>
          <w:trHeight w:val="454" w:hRule="atLeast"/>
          <w:jc w:val="center"/>
        </w:trPr>
        <w:tc>
          <w:tcPr>
            <w:tcW w:w="371"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M2</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二类工业用地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141.4</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2.94</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18.59</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83.13</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33.74</w:t>
            </w:r>
          </w:p>
        </w:tc>
      </w:tr>
      <w:tr>
        <w:tblPrEx>
          <w:tblCellMar>
            <w:top w:w="0" w:type="dxa"/>
            <w:left w:w="108" w:type="dxa"/>
            <w:bottom w:w="0" w:type="dxa"/>
            <w:right w:w="108" w:type="dxa"/>
          </w:tblCellMar>
        </w:tblPrEx>
        <w:trPr>
          <w:trHeight w:val="454" w:hRule="atLeast"/>
          <w:jc w:val="center"/>
        </w:trPr>
        <w:tc>
          <w:tcPr>
            <w:tcW w:w="371"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1"/>
                <w:szCs w:val="21"/>
              </w:rPr>
            </w:pP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M3</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三类工业用地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201.36</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136.45</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64.91</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r>
      <w:tr>
        <w:tblPrEx>
          <w:tblCellMar>
            <w:top w:w="0" w:type="dxa"/>
            <w:left w:w="108" w:type="dxa"/>
            <w:bottom w:w="0" w:type="dxa"/>
            <w:right w:w="108" w:type="dxa"/>
          </w:tblCellMar>
        </w:tblPrEx>
        <w:trPr>
          <w:trHeight w:val="454" w:hRule="atLeast"/>
          <w:jc w:val="center"/>
        </w:trPr>
        <w:tc>
          <w:tcPr>
            <w:tcW w:w="3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S</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道路与交通设施用地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77.04</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45.96</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7.44</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23.64</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r>
      <w:tr>
        <w:tblPrEx>
          <w:tblCellMar>
            <w:top w:w="0" w:type="dxa"/>
            <w:left w:w="108" w:type="dxa"/>
            <w:bottom w:w="0" w:type="dxa"/>
            <w:right w:w="108" w:type="dxa"/>
          </w:tblCellMar>
        </w:tblPrEx>
        <w:trPr>
          <w:trHeight w:val="454" w:hRule="atLeast"/>
          <w:jc w:val="center"/>
        </w:trPr>
        <w:tc>
          <w:tcPr>
            <w:tcW w:w="3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U</w:t>
            </w:r>
          </w:p>
        </w:tc>
        <w:tc>
          <w:tcPr>
            <w:tcW w:w="442"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公用设施用地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19.82</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19.03</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0.79</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0</w:t>
            </w:r>
          </w:p>
        </w:tc>
      </w:tr>
      <w:tr>
        <w:tblPrEx>
          <w:tblCellMar>
            <w:top w:w="0" w:type="dxa"/>
            <w:left w:w="108" w:type="dxa"/>
            <w:bottom w:w="0" w:type="dxa"/>
            <w:right w:w="108" w:type="dxa"/>
          </w:tblCellMar>
        </w:tblPrEx>
        <w:trPr>
          <w:trHeight w:val="454" w:hRule="atLeast"/>
          <w:jc w:val="center"/>
        </w:trPr>
        <w:tc>
          <w:tcPr>
            <w:tcW w:w="81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H11</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城市建设用地</w:t>
            </w:r>
          </w:p>
        </w:tc>
        <w:tc>
          <w:tcPr>
            <w:tcW w:w="6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464.98</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208.92</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7.44</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18.59</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193.29</w:t>
            </w:r>
          </w:p>
        </w:tc>
        <w:tc>
          <w:tcPr>
            <w:tcW w:w="43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33.74</w:t>
            </w:r>
          </w:p>
        </w:tc>
      </w:tr>
    </w:tbl>
    <w:p>
      <w:pPr>
        <w:rPr>
          <w:rFonts w:ascii="Times New Roman" w:hAnsi="Times New Roman" w:cs="Times New Roman"/>
        </w:rPr>
      </w:pPr>
    </w:p>
    <w:p>
      <w:pPr>
        <w:rPr>
          <w:rFonts w:ascii="Times New Roman" w:hAnsi="Times New Roman" w:cs="Times New Roman"/>
        </w:rPr>
        <w:sectPr>
          <w:pgSz w:w="16838" w:h="11906" w:orient="landscape"/>
          <w:pgMar w:top="1418" w:right="1418" w:bottom="1701" w:left="1418" w:header="851" w:footer="992" w:gutter="0"/>
          <w:paperSrc w:first="7" w:other="7"/>
          <w:cols w:space="425" w:num="1"/>
          <w:docGrid w:linePitch="326" w:charSpace="915"/>
        </w:sectPr>
      </w:pPr>
    </w:p>
    <w:p>
      <w:pPr>
        <w:pStyle w:val="4"/>
        <w:rPr>
          <w:rFonts w:ascii="Times New Roman" w:hAnsi="Times New Roman" w:cs="Times New Roman"/>
        </w:rPr>
      </w:pPr>
      <w:bookmarkStart w:id="74" w:name="_Toc146091880"/>
      <w:bookmarkStart w:id="75" w:name="_Toc134088442"/>
      <w:bookmarkStart w:id="76" w:name="_Toc134088440"/>
      <w:r>
        <w:rPr>
          <w:rFonts w:ascii="Times New Roman" w:hAnsi="Times New Roman" w:cs="Times New Roman"/>
        </w:rPr>
        <w:t>2.2.3 规划目标落实情况</w:t>
      </w:r>
      <w:bookmarkEnd w:id="74"/>
    </w:p>
    <w:p>
      <w:pPr>
        <w:spacing w:line="360" w:lineRule="auto"/>
        <w:ind w:firstLine="488" w:firstLineChars="200"/>
        <w:rPr>
          <w:rFonts w:ascii="Times New Roman" w:hAnsi="Times New Roman" w:cs="Times New Roman"/>
        </w:rPr>
      </w:pPr>
      <w:r>
        <w:rPr>
          <w:rFonts w:ascii="Times New Roman" w:hAnsi="Times New Roman" w:cs="Times New Roman"/>
        </w:rPr>
        <w:t>临湘高新区在临湘经济发展中占有重要地位，2022年完成技工贸总收入412.84亿元，规模工业总产值410.17亿元，固定资产投资75.45亿元，进出口总额5.7亿元；实缴税收119.73亿元，亩均税收大幅增长，达到13.99万元/亩。</w:t>
      </w:r>
    </w:p>
    <w:p>
      <w:pPr>
        <w:pStyle w:val="4"/>
        <w:rPr>
          <w:rFonts w:ascii="Times New Roman" w:hAnsi="Times New Roman" w:cs="Times New Roman"/>
        </w:rPr>
      </w:pPr>
      <w:bookmarkStart w:id="77" w:name="_Toc146091881"/>
      <w:r>
        <w:rPr>
          <w:rFonts w:ascii="Times New Roman" w:hAnsi="Times New Roman" w:cs="Times New Roman"/>
        </w:rPr>
        <w:t>2.2.4 产业规划</w:t>
      </w:r>
      <w:bookmarkEnd w:id="75"/>
      <w:r>
        <w:rPr>
          <w:rFonts w:ascii="Times New Roman" w:hAnsi="Times New Roman" w:cs="Times New Roman"/>
        </w:rPr>
        <w:t>落实情况</w:t>
      </w:r>
      <w:bookmarkEnd w:id="77"/>
    </w:p>
    <w:p>
      <w:pPr>
        <w:pStyle w:val="5"/>
        <w:ind w:firstLine="491"/>
        <w:rPr>
          <w:rFonts w:ascii="Times New Roman" w:hAnsi="Times New Roman" w:cs="Times New Roman"/>
        </w:rPr>
      </w:pPr>
      <w:r>
        <w:rPr>
          <w:rFonts w:ascii="Times New Roman" w:hAnsi="Times New Roman" w:cs="Times New Roman"/>
        </w:rPr>
        <w:t>2.2.4.1 三湾片区</w:t>
      </w:r>
    </w:p>
    <w:p>
      <w:pPr>
        <w:spacing w:line="360" w:lineRule="auto"/>
        <w:ind w:firstLine="488" w:firstLineChars="200"/>
        <w:rPr>
          <w:rFonts w:ascii="Times New Roman" w:hAnsi="Times New Roman" w:cs="Times New Roman"/>
        </w:rPr>
      </w:pPr>
      <w:r>
        <w:rPr>
          <w:rFonts w:ascii="Times New Roman" w:hAnsi="Times New Roman" w:cs="Times New Roman"/>
        </w:rPr>
        <w:t>根据湘环评函[2017]30号，三湾产业区主导产业为：逐步退出陶瓷企业，依托区域垂钓文化集约发展浮标产业。目前三湾产业区实际入驻主导产业为浮标行业，辅以其它行业，符合湘环评函[2017]30号的相关要求。</w:t>
      </w:r>
    </w:p>
    <w:p>
      <w:pPr>
        <w:pStyle w:val="5"/>
        <w:ind w:firstLine="491"/>
        <w:rPr>
          <w:rFonts w:ascii="Times New Roman" w:hAnsi="Times New Roman" w:cs="Times New Roman"/>
        </w:rPr>
      </w:pPr>
      <w:r>
        <w:rPr>
          <w:rFonts w:ascii="Times New Roman" w:hAnsi="Times New Roman" w:cs="Times New Roman"/>
        </w:rPr>
        <w:t>2.2.4.2 滨江片区</w:t>
      </w:r>
    </w:p>
    <w:p>
      <w:pPr>
        <w:spacing w:line="360" w:lineRule="auto"/>
        <w:ind w:firstLine="488" w:firstLineChars="200"/>
        <w:rPr>
          <w:rFonts w:ascii="Times New Roman" w:hAnsi="Times New Roman" w:cs="Times New Roman"/>
        </w:rPr>
      </w:pPr>
      <w:r>
        <w:rPr>
          <w:rFonts w:ascii="Times New Roman" w:hAnsi="Times New Roman" w:cs="Times New Roman"/>
        </w:rPr>
        <w:t>根据湘环评函[2020]1号，滨江产业区以新材料（不含以排放有毒有害污染物废水为主的项目）和电子信息（不含印刷线路板）为主导产业，以机械制造、物流仓储等为辅导产业。具体如下：</w:t>
      </w:r>
    </w:p>
    <w:p>
      <w:pPr>
        <w:spacing w:line="360" w:lineRule="auto"/>
        <w:ind w:firstLine="488" w:firstLineChars="200"/>
        <w:rPr>
          <w:rFonts w:ascii="Times New Roman" w:hAnsi="Times New Roman" w:eastAsia="宋体" w:cs="Times New Roman"/>
          <w:color w:val="000000"/>
        </w:rPr>
      </w:pPr>
      <w:bookmarkStart w:id="78" w:name="_Hlk14354821"/>
      <w:r>
        <w:rPr>
          <w:rFonts w:ascii="Times New Roman" w:hAnsi="Times New Roman" w:eastAsia="宋体" w:cs="Times New Roman"/>
          <w:color w:val="000000"/>
        </w:rPr>
        <w:t>（1）沿江绿色化工和物流产业（儒溪地块）：承接岳阳等周边地区产业转移，充分利用自身港口、铁路等交通优势与产业基础，在保护生态环境的前提下，现有化工企业处理政策出台前，保留原有的化工企业，但不再新增化工企业，相关政策出台后按要求对保留化工企业进行转型升级或改造，并进行绿色发展，达到产业有序化、高质化发展。转型升级后建议发展新材料、高端设备制造、新能源、智能化设备制造等产业。</w:t>
      </w:r>
    </w:p>
    <w:p>
      <w:pPr>
        <w:spacing w:line="360" w:lineRule="auto"/>
        <w:ind w:firstLine="488" w:firstLineChars="200"/>
        <w:rPr>
          <w:rFonts w:ascii="Times New Roman" w:hAnsi="Times New Roman" w:cs="Times New Roman"/>
        </w:rPr>
      </w:pPr>
      <w:r>
        <w:rPr>
          <w:rFonts w:ascii="Times New Roman" w:hAnsi="Times New Roman" w:eastAsia="宋体" w:cs="Times New Roman"/>
          <w:color w:val="000000"/>
        </w:rPr>
        <w:t>目前该片区内企业均已停产并搬迁，后续主要发展</w:t>
      </w:r>
      <w:r>
        <w:rPr>
          <w:rFonts w:ascii="Times New Roman" w:hAnsi="Times New Roman" w:cs="Times New Roman"/>
        </w:rPr>
        <w:t>加工制造和对非贸易，符合原规划要求。</w:t>
      </w:r>
    </w:p>
    <w:bookmarkEnd w:id="78"/>
    <w:p>
      <w:pPr>
        <w:spacing w:line="360" w:lineRule="auto"/>
        <w:ind w:firstLine="488" w:firstLineChars="200"/>
        <w:rPr>
          <w:rFonts w:ascii="Times New Roman" w:hAnsi="Times New Roman" w:eastAsia="宋体" w:cs="Times New Roman"/>
          <w:color w:val="000000"/>
        </w:rPr>
      </w:pPr>
      <w:r>
        <w:rPr>
          <w:rFonts w:ascii="Times New Roman" w:hAnsi="Times New Roman" w:eastAsia="宋体" w:cs="Times New Roman"/>
          <w:color w:val="000000"/>
        </w:rPr>
        <w:t>（2）机械制造与新材料产业（杨桥地块）：</w:t>
      </w:r>
      <w:bookmarkStart w:id="79" w:name="_Hlk14698917"/>
      <w:r>
        <w:rPr>
          <w:rFonts w:ascii="Times New Roman" w:hAnsi="Times New Roman" w:eastAsia="宋体" w:cs="Times New Roman"/>
          <w:color w:val="000000"/>
        </w:rPr>
        <w:t>以通用设备制造、专业设备制造和新材料为主，发展机械制造产业、新材料产业，与其他产业组团片区形成差异化发展。</w:t>
      </w:r>
      <w:bookmarkEnd w:id="79"/>
    </w:p>
    <w:p>
      <w:pPr>
        <w:spacing w:line="360" w:lineRule="auto"/>
        <w:ind w:firstLine="488" w:firstLineChars="200"/>
        <w:rPr>
          <w:rFonts w:ascii="Times New Roman" w:hAnsi="Times New Roman" w:cs="Times New Roman"/>
        </w:rPr>
      </w:pPr>
      <w:r>
        <w:rPr>
          <w:rFonts w:ascii="Times New Roman" w:hAnsi="Times New Roman" w:eastAsia="宋体" w:cs="Times New Roman"/>
          <w:color w:val="000000"/>
        </w:rPr>
        <w:t>由于儒溪地块企业进行搬迁，后续该地块承接儒溪地块搬迁企业，目前引入企业以</w:t>
      </w:r>
      <w:r>
        <w:rPr>
          <w:rFonts w:ascii="Times New Roman" w:hAnsi="Times New Roman" w:cs="Times New Roman"/>
        </w:rPr>
        <w:t>化工企业为主，符合原规划要求的产业类别。</w:t>
      </w:r>
    </w:p>
    <w:p>
      <w:pPr>
        <w:spacing w:line="360" w:lineRule="auto"/>
        <w:ind w:firstLine="488" w:firstLineChars="200"/>
        <w:rPr>
          <w:rFonts w:ascii="Times New Roman" w:hAnsi="Times New Roman" w:eastAsia="宋体" w:cs="Times New Roman"/>
          <w:color w:val="000000"/>
        </w:rPr>
      </w:pPr>
      <w:r>
        <w:rPr>
          <w:rFonts w:ascii="Times New Roman" w:hAnsi="Times New Roman" w:eastAsia="宋体" w:cs="Times New Roman"/>
          <w:color w:val="000000"/>
        </w:rPr>
        <w:t>（3）电子信息产业（旗杆地块）：积极承接长江经济带、长株潭“两型”集群的发展，湘江流域、“长三角”、“珠三角”等地区产业转移，着力打造中下游产业链，成为环洞庭湖地区承接产业转移的重要聚集地，构建产研结合为特色的制造区，主要以电子信息制造业、软件与信息技术服务业为主。</w:t>
      </w:r>
    </w:p>
    <w:p>
      <w:pPr>
        <w:spacing w:line="360" w:lineRule="auto"/>
        <w:ind w:firstLine="488" w:firstLineChars="200"/>
        <w:rPr>
          <w:rFonts w:ascii="Times New Roman" w:hAnsi="Times New Roman" w:cs="Times New Roman"/>
        </w:rPr>
      </w:pPr>
      <w:r>
        <w:rPr>
          <w:rFonts w:ascii="Times New Roman" w:hAnsi="Times New Roman" w:eastAsia="宋体" w:cs="Times New Roman"/>
          <w:color w:val="000000"/>
        </w:rPr>
        <w:t>目前该片区引入企业为电子信息制造企业，</w:t>
      </w:r>
      <w:r>
        <w:rPr>
          <w:rFonts w:ascii="Times New Roman" w:hAnsi="Times New Roman" w:cs="Times New Roman"/>
        </w:rPr>
        <w:t>符合原规划要求。</w:t>
      </w:r>
    </w:p>
    <w:p>
      <w:pPr>
        <w:spacing w:line="360" w:lineRule="auto"/>
        <w:ind w:firstLine="488" w:firstLineChars="200"/>
        <w:rPr>
          <w:rFonts w:ascii="Times New Roman" w:hAnsi="Times New Roman" w:eastAsia="宋体" w:cs="Times New Roman"/>
          <w:color w:val="000000"/>
        </w:rPr>
      </w:pPr>
      <w:r>
        <w:rPr>
          <w:rFonts w:ascii="Times New Roman" w:hAnsi="Times New Roman" w:eastAsia="宋体" w:cs="Times New Roman"/>
          <w:color w:val="000000"/>
        </w:rPr>
        <w:t>（4）现代航运物流产业（鸭栏地块）：依托长江黄金水道和通江达海的优势，大力发展多式联运和跨区联运，做大做强港口码头基地建设，打造现代港口物流基地，成为服务园区的窗口，与岳阳城陵矶新港区形成错位发展。滨江新区主要以杂货、散货及矿建材料、生活物资运输为主，以鸭栏码头为重点，积极推动铁路工程的建设，形成水路、公路和铁路“三位一体”的物流网络。迎合产业园区及临湘市的产业发展重点和趋势，重点发展工业品物流、原料物流、商贸物流，根据各重点发展方向对园区港口物流基地进行统筹，建设农副产品物流中心、矿石原料临时仓储中心和物流公共信息服务中心。</w:t>
      </w:r>
    </w:p>
    <w:p>
      <w:pPr>
        <w:spacing w:line="360" w:lineRule="auto"/>
        <w:ind w:firstLine="488" w:firstLineChars="200"/>
        <w:rPr>
          <w:rFonts w:ascii="Times New Roman" w:hAnsi="Times New Roman" w:cs="Times New Roman"/>
        </w:rPr>
      </w:pPr>
      <w:r>
        <w:rPr>
          <w:rFonts w:ascii="Times New Roman" w:hAnsi="Times New Roman" w:eastAsia="宋体" w:cs="Times New Roman"/>
          <w:color w:val="000000"/>
        </w:rPr>
        <w:t>该片区尚未进行开发建设，且未纳入城镇开发边界范围内，后续调出园区规划范围</w:t>
      </w:r>
      <w:r>
        <w:rPr>
          <w:rFonts w:ascii="Times New Roman" w:hAnsi="Times New Roman" w:cs="Times New Roman"/>
        </w:rPr>
        <w:t>。</w:t>
      </w:r>
    </w:p>
    <w:p>
      <w:pPr>
        <w:pStyle w:val="5"/>
        <w:ind w:firstLine="491"/>
        <w:rPr>
          <w:rFonts w:ascii="Times New Roman" w:hAnsi="Times New Roman" w:cs="Times New Roman"/>
        </w:rPr>
      </w:pPr>
      <w:r>
        <w:rPr>
          <w:rFonts w:ascii="Times New Roman" w:hAnsi="Times New Roman" w:cs="Times New Roman"/>
        </w:rPr>
        <w:t>2.2.4.</w:t>
      </w: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绿色建材产业园</w:t>
      </w:r>
    </w:p>
    <w:p>
      <w:pPr>
        <w:spacing w:line="360" w:lineRule="auto"/>
        <w:ind w:firstLine="488" w:firstLineChars="200"/>
        <w:rPr>
          <w:rFonts w:ascii="Times New Roman" w:hAnsi="Times New Roman" w:cs="Times New Roman"/>
        </w:rPr>
      </w:pPr>
      <w:r>
        <w:rPr>
          <w:rFonts w:hint="eastAsia" w:ascii="Times New Roman" w:hAnsi="Times New Roman" w:cs="Times New Roman"/>
        </w:rPr>
        <w:t>绿色建材产业园产业产业定位为建材，仅有1家企业为海螺水泥，目前已开发完成</w:t>
      </w:r>
      <w:r>
        <w:rPr>
          <w:rFonts w:hint="eastAsia" w:ascii="Times New Roman" w:hAnsi="Times New Roman" w:eastAsia="宋体" w:cs="Times New Roman"/>
          <w:color w:val="000000"/>
        </w:rPr>
        <w:t>，产业定位</w:t>
      </w:r>
      <w:r>
        <w:rPr>
          <w:rFonts w:ascii="Times New Roman" w:hAnsi="Times New Roman" w:cs="Times New Roman"/>
        </w:rPr>
        <w:t>符合</w:t>
      </w:r>
      <w:r>
        <w:rPr>
          <w:rFonts w:hint="eastAsia" w:ascii="Times New Roman" w:hAnsi="Times New Roman" w:cs="Times New Roman"/>
        </w:rPr>
        <w:t>相关</w:t>
      </w:r>
      <w:r>
        <w:rPr>
          <w:rFonts w:ascii="Times New Roman" w:hAnsi="Times New Roman" w:cs="Times New Roman"/>
        </w:rPr>
        <w:t>要求</w:t>
      </w:r>
      <w:r>
        <w:rPr>
          <w:rFonts w:hint="eastAsia" w:ascii="Times New Roman" w:hAnsi="Times New Roman" w:cs="Times New Roman"/>
        </w:rPr>
        <w:t>。</w:t>
      </w:r>
    </w:p>
    <w:p>
      <w:pPr>
        <w:pStyle w:val="4"/>
        <w:rPr>
          <w:rFonts w:ascii="Times New Roman" w:hAnsi="Times New Roman" w:cs="Times New Roman"/>
        </w:rPr>
      </w:pPr>
      <w:bookmarkStart w:id="80" w:name="_Toc146091882"/>
      <w:r>
        <w:rPr>
          <w:rFonts w:ascii="Times New Roman" w:hAnsi="Times New Roman" w:cs="Times New Roman"/>
        </w:rPr>
        <w:t>2.2.5 专项规划实施情况</w:t>
      </w:r>
      <w:bookmarkEnd w:id="80"/>
    </w:p>
    <w:bookmarkEnd w:id="76"/>
    <w:p>
      <w:pPr>
        <w:pStyle w:val="5"/>
        <w:ind w:firstLine="491"/>
        <w:rPr>
          <w:rFonts w:ascii="Times New Roman" w:hAnsi="Times New Roman" w:cs="Times New Roman"/>
        </w:rPr>
      </w:pPr>
      <w:r>
        <w:rPr>
          <w:rFonts w:ascii="Times New Roman" w:hAnsi="Times New Roman" w:cs="Times New Roman"/>
        </w:rPr>
        <w:t>2.2.5.1 给水规划</w:t>
      </w:r>
    </w:p>
    <w:p>
      <w:pPr>
        <w:spacing w:line="360" w:lineRule="auto"/>
        <w:ind w:firstLine="488" w:firstLineChars="200"/>
        <w:rPr>
          <w:rFonts w:ascii="Times New Roman" w:hAnsi="Times New Roman" w:cs="Times New Roman"/>
          <w:b/>
        </w:rPr>
      </w:pPr>
      <w:r>
        <w:rPr>
          <w:rFonts w:ascii="Times New Roman" w:hAnsi="Times New Roman" w:cs="Times New Roman"/>
          <w:b/>
        </w:rPr>
        <w:t>（1）三湾片区</w:t>
      </w:r>
    </w:p>
    <w:p>
      <w:pPr>
        <w:spacing w:line="360" w:lineRule="auto"/>
        <w:ind w:firstLine="488" w:firstLineChars="200"/>
        <w:rPr>
          <w:rFonts w:ascii="Times New Roman" w:hAnsi="Times New Roman" w:cs="Times New Roman"/>
        </w:rPr>
      </w:pPr>
      <w:r>
        <w:rPr>
          <w:rFonts w:ascii="Times New Roman" w:hAnsi="Times New Roman" w:cs="Times New Roman"/>
        </w:rPr>
        <w:t>三湾片区取水来源为城西水厂，城西水厂作为城市规划区供水水厂，城西水厂现供水能力3万m</w:t>
      </w:r>
      <w:r>
        <w:rPr>
          <w:rFonts w:ascii="Times New Roman" w:hAnsi="Times New Roman" w:cs="Times New Roman"/>
          <w:vertAlign w:val="superscript"/>
        </w:rPr>
        <w:t>3</w:t>
      </w:r>
      <w:r>
        <w:rPr>
          <w:rFonts w:ascii="Times New Roman" w:hAnsi="Times New Roman" w:cs="Times New Roman"/>
        </w:rPr>
        <w:t>/d，远期规划供水能力达到6万m</w:t>
      </w:r>
      <w:r>
        <w:rPr>
          <w:rFonts w:ascii="Times New Roman" w:hAnsi="Times New Roman" w:cs="Times New Roman"/>
          <w:vertAlign w:val="superscript"/>
        </w:rPr>
        <w:t>3</w:t>
      </w:r>
      <w:r>
        <w:rPr>
          <w:rFonts w:ascii="Times New Roman" w:hAnsi="Times New Roman" w:cs="Times New Roman"/>
        </w:rPr>
        <w:t>/d。</w:t>
      </w:r>
    </w:p>
    <w:p>
      <w:pPr>
        <w:spacing w:line="360" w:lineRule="auto"/>
        <w:ind w:firstLine="488" w:firstLineChars="200"/>
        <w:rPr>
          <w:rFonts w:ascii="Times New Roman" w:hAnsi="Times New Roman" w:cs="Times New Roman"/>
        </w:rPr>
      </w:pPr>
      <w:r>
        <w:rPr>
          <w:rFonts w:ascii="Times New Roman" w:hAnsi="Times New Roman" w:cs="Times New Roman"/>
        </w:rPr>
        <w:t>三湾产业区目前水资源用量为3688m</w:t>
      </w:r>
      <w:r>
        <w:rPr>
          <w:rFonts w:ascii="Times New Roman" w:hAnsi="Times New Roman" w:cs="Times New Roman"/>
          <w:vertAlign w:val="superscript"/>
        </w:rPr>
        <w:t>3</w:t>
      </w:r>
      <w:r>
        <w:rPr>
          <w:rFonts w:ascii="Times New Roman" w:hAnsi="Times New Roman" w:cs="Times New Roman"/>
        </w:rPr>
        <w:t>/d，占城西水厂规划供水能力的6.15%，区域水厂的供水规模可保证园区用水需求，水厂的水源产水规模远大于水厂取水量，供水水源有保障。</w:t>
      </w:r>
    </w:p>
    <w:p>
      <w:pPr>
        <w:spacing w:line="360" w:lineRule="auto"/>
        <w:ind w:firstLine="488" w:firstLineChars="200"/>
        <w:rPr>
          <w:rFonts w:ascii="Times New Roman" w:hAnsi="Times New Roman" w:cs="Times New Roman"/>
          <w:b/>
        </w:rPr>
      </w:pPr>
      <w:r>
        <w:rPr>
          <w:rFonts w:ascii="Times New Roman" w:hAnsi="Times New Roman" w:cs="Times New Roman"/>
          <w:b/>
        </w:rPr>
        <w:t>（2）滨江片区</w:t>
      </w:r>
    </w:p>
    <w:p>
      <w:pPr>
        <w:spacing w:line="360" w:lineRule="auto"/>
        <w:ind w:firstLine="488" w:firstLineChars="200"/>
        <w:rPr>
          <w:rFonts w:ascii="Times New Roman" w:hAnsi="Times New Roman" w:cs="Times New Roman"/>
        </w:rPr>
      </w:pPr>
      <w:r>
        <w:rPr>
          <w:rFonts w:ascii="Times New Roman" w:hAnsi="Times New Roman" w:cs="Times New Roman"/>
        </w:rPr>
        <w:t>临湘工业园内有一座自来水厂，位于工业大道与纬八路交叉口西南角，总占地面积为49905.4m</w:t>
      </w:r>
      <w:r>
        <w:rPr>
          <w:rFonts w:ascii="Times New Roman" w:hAnsi="Times New Roman" w:cs="Times New Roman"/>
          <w:vertAlign w:val="superscript"/>
        </w:rPr>
        <w:t>2</w:t>
      </w:r>
      <w:r>
        <w:rPr>
          <w:rFonts w:ascii="Times New Roman" w:hAnsi="Times New Roman" w:cs="Times New Roman"/>
        </w:rPr>
        <w:t>，取水水源为长江，总设计供水规模为11万m</w:t>
      </w:r>
      <w:r>
        <w:rPr>
          <w:rFonts w:ascii="Times New Roman" w:hAnsi="Times New Roman" w:cs="Times New Roman"/>
          <w:vertAlign w:val="superscript"/>
        </w:rPr>
        <w:t>3</w:t>
      </w:r>
      <w:r>
        <w:rPr>
          <w:rFonts w:ascii="Times New Roman" w:hAnsi="Times New Roman" w:cs="Times New Roman"/>
        </w:rPr>
        <w:t>/d，一期供水规模为5万m</w:t>
      </w:r>
      <w:r>
        <w:rPr>
          <w:rFonts w:ascii="Times New Roman" w:hAnsi="Times New Roman" w:cs="Times New Roman"/>
          <w:vertAlign w:val="superscript"/>
        </w:rPr>
        <w:t>3</w:t>
      </w:r>
      <w:r>
        <w:rPr>
          <w:rFonts w:ascii="Times New Roman" w:hAnsi="Times New Roman" w:cs="Times New Roman"/>
        </w:rPr>
        <w:t>/d，其中生活用水的供水规模为1万m</w:t>
      </w:r>
      <w:r>
        <w:rPr>
          <w:rFonts w:ascii="Times New Roman" w:hAnsi="Times New Roman" w:cs="Times New Roman"/>
          <w:vertAlign w:val="superscript"/>
        </w:rPr>
        <w:t>3</w:t>
      </w:r>
      <w:r>
        <w:rPr>
          <w:rFonts w:ascii="Times New Roman" w:hAnsi="Times New Roman" w:cs="Times New Roman"/>
        </w:rPr>
        <w:t>/d，工业用水的供水规模为4万m</w:t>
      </w:r>
      <w:r>
        <w:rPr>
          <w:rFonts w:ascii="Times New Roman" w:hAnsi="Times New Roman" w:cs="Times New Roman"/>
          <w:vertAlign w:val="superscript"/>
        </w:rPr>
        <w:t>3</w:t>
      </w:r>
      <w:r>
        <w:rPr>
          <w:rFonts w:ascii="Times New Roman" w:hAnsi="Times New Roman" w:cs="Times New Roman"/>
        </w:rPr>
        <w:t>/d，目前沿工业大道两侧敷设DN300的生活用水和DN700的工业生产用水输水主干管，沿主要道路敷设DN200的生活用水和DN300的生产用水配水干管。每隔120m至150m设置一消防取水口。一期工程已于2014年1月投入运行。</w:t>
      </w:r>
    </w:p>
    <w:p>
      <w:pPr>
        <w:spacing w:line="360" w:lineRule="auto"/>
        <w:ind w:firstLine="488" w:firstLineChars="200"/>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rPr>
        <w:t>绿色建材产业园</w:t>
      </w:r>
    </w:p>
    <w:p>
      <w:pPr>
        <w:spacing w:line="360" w:lineRule="auto"/>
        <w:ind w:firstLine="488" w:firstLineChars="200"/>
        <w:rPr>
          <w:rFonts w:ascii="Times New Roman" w:hAnsi="Times New Roman" w:cs="Times New Roman"/>
        </w:rPr>
      </w:pPr>
      <w:r>
        <w:rPr>
          <w:rFonts w:hint="eastAsia" w:ascii="Times New Roman" w:hAnsi="Times New Roman" w:cs="Times New Roman"/>
        </w:rPr>
        <w:t>该片区内海螺水泥的生产及生活用水由临湘市自来水厂的供水管网供应。</w:t>
      </w:r>
    </w:p>
    <w:p>
      <w:pPr>
        <w:pStyle w:val="5"/>
        <w:ind w:firstLine="491"/>
        <w:rPr>
          <w:rFonts w:ascii="Times New Roman" w:hAnsi="Times New Roman" w:cs="Times New Roman"/>
        </w:rPr>
      </w:pPr>
      <w:bookmarkStart w:id="81" w:name="_Toc50625248"/>
      <w:r>
        <w:rPr>
          <w:rFonts w:ascii="Times New Roman" w:hAnsi="Times New Roman" w:cs="Times New Roman"/>
        </w:rPr>
        <w:t>2.2.5.2 排水</w:t>
      </w:r>
      <w:bookmarkEnd w:id="81"/>
      <w:r>
        <w:rPr>
          <w:rFonts w:ascii="Times New Roman" w:hAnsi="Times New Roman" w:cs="Times New Roman"/>
        </w:rPr>
        <w:t>规划</w:t>
      </w:r>
    </w:p>
    <w:p>
      <w:pPr>
        <w:spacing w:line="360" w:lineRule="auto"/>
        <w:ind w:firstLine="488" w:firstLineChars="200"/>
        <w:rPr>
          <w:rFonts w:ascii="Times New Roman" w:hAnsi="Times New Roman" w:cs="Times New Roman"/>
          <w:b/>
        </w:rPr>
      </w:pPr>
      <w:r>
        <w:rPr>
          <w:rFonts w:ascii="Times New Roman" w:hAnsi="Times New Roman" w:cs="Times New Roman"/>
          <w:b/>
        </w:rPr>
        <w:t>（1）三湾片区</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三湾片区排水体制采用雨污分流制，在园区内已形成独立的雨污排放系统。三湾片区废水处理依托临湘市污水净化中心，</w:t>
      </w:r>
      <w:r>
        <w:rPr>
          <w:rFonts w:ascii="Times New Roman" w:hAnsi="Times New Roman" w:cs="Times New Roman"/>
        </w:rPr>
        <w:t>园区</w:t>
      </w:r>
      <w:r>
        <w:rPr>
          <w:rFonts w:ascii="Times New Roman" w:hAnsi="Times New Roman" w:cs="Times New Roman"/>
          <w:szCs w:val="24"/>
        </w:rPr>
        <w:t>内工业废水经工业园各企业设置的污水处理设施处理达到GB8978-1996表4中三级标准后，经石塘</w:t>
      </w:r>
      <w:r>
        <w:rPr>
          <w:rFonts w:ascii="Times New Roman" w:hAnsi="Times New Roman" w:cs="Times New Roman"/>
        </w:rPr>
        <w:t>大道</w:t>
      </w:r>
      <w:r>
        <w:rPr>
          <w:rFonts w:ascii="Times New Roman" w:hAnsi="Times New Roman" w:cs="Times New Roman"/>
          <w:szCs w:val="24"/>
        </w:rPr>
        <w:t>排污管道排入市政污水管网，与经化粪池处理的生活污水一道送临湘市污水净化中心处理。雨水依地势就近排入长安河。2022年4月，临湘高新技术产业开发区管理委员会已进行《临湘工业园区三湾产业区依托临湘市污水净化中心评估报告》，三湾园区废水进临湘市污水净化中心处置是可行的。</w:t>
      </w:r>
    </w:p>
    <w:p>
      <w:pPr>
        <w:autoSpaceDE w:val="0"/>
        <w:autoSpaceDN w:val="0"/>
        <w:spacing w:line="360" w:lineRule="auto"/>
        <w:ind w:firstLine="488" w:firstLineChars="200"/>
        <w:rPr>
          <w:rFonts w:ascii="Times New Roman" w:hAnsi="Times New Roman" w:cs="Times New Roman"/>
          <w:szCs w:val="24"/>
        </w:rPr>
      </w:pPr>
      <w:r>
        <w:rPr>
          <w:rFonts w:ascii="Times New Roman" w:hAnsi="Times New Roman" w:cs="Times New Roman"/>
          <w:szCs w:val="24"/>
        </w:rPr>
        <w:t>1）建设地点及污水处理规模</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临湘市污水净化中心于2000年1月开始动工建设，2004年底竣工并投入运行，实际建设规模为6万m</w:t>
      </w:r>
      <w:r>
        <w:rPr>
          <w:rFonts w:ascii="Times New Roman" w:hAnsi="Times New Roman" w:cs="Times New Roman"/>
          <w:szCs w:val="24"/>
          <w:vertAlign w:val="superscript"/>
        </w:rPr>
        <w:t>3</w:t>
      </w:r>
      <w:r>
        <w:rPr>
          <w:rFonts w:ascii="Times New Roman" w:hAnsi="Times New Roman" w:cs="Times New Roman"/>
          <w:szCs w:val="24"/>
        </w:rPr>
        <w:t>/d，主要处理集镇生活污水，主要处理集镇生活污水，出水达到《城镇污水处理厂污染物排放标准》（GB18918-2002）一级B标准后排入源潭河。为切实加大水污染防治力度，保障国家水安全，随之《水污染防治行动计划》（国发[2015]17号）等相关法律法规逐步实施，对污水处理厂出水水质提出了更高要求，为进一步降低污水排放浓度，保护源潭河流域水环境质量，临湘市污水净化中心出水水质标准由《城镇污水处理厂污染物排放标准》（GB18918-2002）一级B类标准提标至一级A类标准。2019年进行提标改造，由于多年来临湘市污水净化中心处理水量低于4万m</w:t>
      </w:r>
      <w:r>
        <w:rPr>
          <w:rFonts w:ascii="Times New Roman" w:hAnsi="Times New Roman" w:cs="Times New Roman"/>
          <w:szCs w:val="24"/>
          <w:vertAlign w:val="superscript"/>
        </w:rPr>
        <w:t>3</w:t>
      </w:r>
      <w:r>
        <w:rPr>
          <w:rFonts w:ascii="Times New Roman" w:hAnsi="Times New Roman" w:cs="Times New Roman"/>
          <w:szCs w:val="24"/>
        </w:rPr>
        <w:t>/d，且考虑近期处理规模约为4.5万m</w:t>
      </w:r>
      <w:r>
        <w:rPr>
          <w:rFonts w:ascii="Times New Roman" w:hAnsi="Times New Roman" w:cs="Times New Roman"/>
          <w:szCs w:val="24"/>
          <w:vertAlign w:val="superscript"/>
        </w:rPr>
        <w:t>3</w:t>
      </w:r>
      <w:r>
        <w:rPr>
          <w:rFonts w:ascii="Times New Roman" w:hAnsi="Times New Roman" w:cs="Times New Roman"/>
          <w:szCs w:val="24"/>
        </w:rPr>
        <w:t>/d，因此提标改造后处理规模按4.5万m</w:t>
      </w:r>
      <w:r>
        <w:rPr>
          <w:rFonts w:ascii="Times New Roman" w:hAnsi="Times New Roman" w:cs="Times New Roman"/>
          <w:szCs w:val="24"/>
          <w:vertAlign w:val="superscript"/>
        </w:rPr>
        <w:t>3</w:t>
      </w:r>
      <w:r>
        <w:rPr>
          <w:rFonts w:ascii="Times New Roman" w:hAnsi="Times New Roman" w:cs="Times New Roman"/>
          <w:szCs w:val="24"/>
        </w:rPr>
        <w:t>/d建设，提标改造主要内容为改造内容为新增高效沉淀池、气水反冲洗滤池、接触消毒池、加药间等，主要目的是将污水处理厂出水水质提升至《城镇污水处理厂污染物排放标准》（GB18918-2002）一级A类标准。已通过环保竣工验收进入正式运行。</w:t>
      </w:r>
    </w:p>
    <w:p>
      <w:pPr>
        <w:autoSpaceDE w:val="0"/>
        <w:autoSpaceDN w:val="0"/>
        <w:spacing w:line="360" w:lineRule="auto"/>
        <w:ind w:firstLine="488" w:firstLineChars="200"/>
        <w:rPr>
          <w:rFonts w:ascii="Times New Roman" w:hAnsi="Times New Roman" w:cs="Times New Roman"/>
          <w:szCs w:val="24"/>
        </w:rPr>
      </w:pPr>
      <w:r>
        <w:rPr>
          <w:rFonts w:ascii="Times New Roman" w:hAnsi="Times New Roman" w:cs="Times New Roman"/>
          <w:szCs w:val="24"/>
        </w:rPr>
        <w:t>2）处理工艺</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主要工艺构筑物由预处理构筑物（粗格栅、提升泵站、细格栅及旋流沉砂池）、DAT-IAT反应池、中间提升泵站、高效沉淀池、污泥浓缩池、贮泥池、污泥脱水车间、消毒间、气水反冲洗滤池等组成。城市污水通过污水收集系统进厂区，首先经粗格栅间去除较大固体杂物，进入提升泵站集水池。由泵提升的污水经细格栅进一步去除固体杂物，污水至旋流沉砂池处理后进入DAT-IAT反应池。再由中间提升泵站提升至高效沉淀池，经过絮凝后进入气水反冲洗滤池，最后过滤水通过次氯酸钠消毒达到《城镇污水处理厂污染物排放标准》（GB18918-2002）一级A标准后排放。</w:t>
      </w:r>
    </w:p>
    <w:p>
      <w:pPr>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171950" cy="6735445"/>
            <wp:effectExtent l="0" t="0" r="0" b="8255"/>
            <wp:docPr id="2" name="图片 3" descr="1647672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647672607(1)"/>
                    <pic:cNvPicPr>
                      <a:picLocks noChangeAspect="1"/>
                    </pic:cNvPicPr>
                  </pic:nvPicPr>
                  <pic:blipFill>
                    <a:blip r:embed="rId31"/>
                    <a:stretch>
                      <a:fillRect/>
                    </a:stretch>
                  </pic:blipFill>
                  <pic:spPr>
                    <a:xfrm>
                      <a:off x="0" y="0"/>
                      <a:ext cx="4171950" cy="6735445"/>
                    </a:xfrm>
                    <a:prstGeom prst="rect">
                      <a:avLst/>
                    </a:prstGeom>
                    <a:noFill/>
                    <a:ln>
                      <a:noFill/>
                    </a:ln>
                  </pic:spPr>
                </pic:pic>
              </a:graphicData>
            </a:graphic>
          </wp:inline>
        </w:drawing>
      </w:r>
    </w:p>
    <w:p>
      <w:pPr>
        <w:pStyle w:val="6"/>
        <w:rPr>
          <w:rFonts w:ascii="Times New Roman" w:hAnsi="Times New Roman" w:cs="Times New Roman"/>
          <w:szCs w:val="24"/>
        </w:rPr>
      </w:pPr>
      <w:r>
        <w:rPr>
          <w:rFonts w:ascii="Times New Roman" w:hAnsi="Times New Roman" w:cs="Times New Roman"/>
        </w:rPr>
        <w:t>图2.2-1  临湘市污水净化中心工艺流程图</w:t>
      </w:r>
    </w:p>
    <w:p>
      <w:pPr>
        <w:autoSpaceDE w:val="0"/>
        <w:autoSpaceDN w:val="0"/>
        <w:spacing w:line="360" w:lineRule="auto"/>
        <w:ind w:firstLine="488" w:firstLineChars="200"/>
        <w:rPr>
          <w:rFonts w:ascii="Times New Roman" w:hAnsi="Times New Roman" w:cs="Times New Roman"/>
          <w:szCs w:val="24"/>
        </w:rPr>
      </w:pPr>
      <w:r>
        <w:rPr>
          <w:rFonts w:ascii="Times New Roman" w:hAnsi="Times New Roman" w:cs="Times New Roman"/>
          <w:szCs w:val="24"/>
        </w:rPr>
        <w:t>3）纳污范围</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根据《临湘市污水净化中心提标改造工程（4.5万m</w:t>
      </w:r>
      <w:r>
        <w:rPr>
          <w:rFonts w:ascii="Times New Roman" w:hAnsi="Times New Roman" w:cs="Times New Roman"/>
          <w:szCs w:val="24"/>
          <w:vertAlign w:val="superscript"/>
        </w:rPr>
        <w:t>3</w:t>
      </w:r>
      <w:r>
        <w:rPr>
          <w:rFonts w:ascii="Times New Roman" w:hAnsi="Times New Roman" w:cs="Times New Roman"/>
          <w:szCs w:val="24"/>
        </w:rPr>
        <w:t>/d）项目环境影响报告表》，临湘市污水净化中心纳污范围如下：</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临湘市中心城区的长安城区，主要包括长安街道、五里排街道、临湘工业园三湾产业园，另外还包括临湘市垃圾无害化填埋场渗滤液（渗滤液已预处理，通过约2km专管接入临湘市污水净化中心）。</w:t>
      </w:r>
    </w:p>
    <w:p>
      <w:pPr>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5269865" cy="3963670"/>
            <wp:effectExtent l="0" t="0" r="6985" b="17780"/>
            <wp:docPr id="3" name="图片 4" descr="1647702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47702097(1)"/>
                    <pic:cNvPicPr>
                      <a:picLocks noChangeAspect="1"/>
                    </pic:cNvPicPr>
                  </pic:nvPicPr>
                  <pic:blipFill>
                    <a:blip r:embed="rId32"/>
                    <a:stretch>
                      <a:fillRect/>
                    </a:stretch>
                  </pic:blipFill>
                  <pic:spPr>
                    <a:xfrm>
                      <a:off x="0" y="0"/>
                      <a:ext cx="5269865" cy="3963670"/>
                    </a:xfrm>
                    <a:prstGeom prst="rect">
                      <a:avLst/>
                    </a:prstGeom>
                    <a:noFill/>
                    <a:ln>
                      <a:noFill/>
                    </a:ln>
                  </pic:spPr>
                </pic:pic>
              </a:graphicData>
            </a:graphic>
          </wp:inline>
        </w:drawing>
      </w:r>
    </w:p>
    <w:p>
      <w:pPr>
        <w:pStyle w:val="6"/>
        <w:rPr>
          <w:rFonts w:ascii="Times New Roman" w:hAnsi="Times New Roman" w:cs="Times New Roman"/>
          <w:szCs w:val="24"/>
        </w:rPr>
      </w:pPr>
      <w:r>
        <w:rPr>
          <w:rFonts w:ascii="Times New Roman" w:hAnsi="Times New Roman" w:cs="Times New Roman"/>
        </w:rPr>
        <w:t>图2.2-2  临湘市污水净化中心纳污范围图</w:t>
      </w:r>
    </w:p>
    <w:p>
      <w:pPr>
        <w:autoSpaceDE w:val="0"/>
        <w:autoSpaceDN w:val="0"/>
        <w:spacing w:line="360" w:lineRule="auto"/>
        <w:ind w:firstLine="488" w:firstLineChars="200"/>
        <w:rPr>
          <w:rFonts w:ascii="Times New Roman" w:hAnsi="Times New Roman" w:cs="Times New Roman"/>
          <w:szCs w:val="24"/>
        </w:rPr>
      </w:pPr>
      <w:r>
        <w:rPr>
          <w:rFonts w:ascii="Times New Roman" w:hAnsi="Times New Roman" w:cs="Times New Roman"/>
          <w:szCs w:val="24"/>
        </w:rPr>
        <w:t>4）进出口监测情况</w:t>
      </w:r>
    </w:p>
    <w:p>
      <w:pPr>
        <w:spacing w:line="360" w:lineRule="auto"/>
        <w:ind w:firstLine="488" w:firstLineChars="200"/>
        <w:rPr>
          <w:rFonts w:ascii="Times New Roman" w:hAnsi="Times New Roman" w:cs="Times New Roman"/>
          <w:szCs w:val="24"/>
        </w:rPr>
      </w:pPr>
      <w:r>
        <w:rPr>
          <w:rFonts w:ascii="Times New Roman" w:hAnsi="Times New Roman" w:cs="Times New Roman"/>
          <w:szCs w:val="24"/>
          <w:lang w:bidi="ar"/>
        </w:rPr>
        <w:t>根据岳阳</w:t>
      </w:r>
      <w:r>
        <w:rPr>
          <w:rFonts w:ascii="Times New Roman" w:hAnsi="Times New Roman" w:cs="Times New Roman"/>
        </w:rPr>
        <w:t>三峡环保运营有限公司</w:t>
      </w:r>
      <w:r>
        <w:rPr>
          <w:rFonts w:ascii="Times New Roman" w:hAnsi="Times New Roman" w:cs="Times New Roman"/>
          <w:szCs w:val="24"/>
          <w:lang w:bidi="ar"/>
        </w:rPr>
        <w:t>提供的2021年临湘市污水净化中心运行报表，临湘市污水净化中心2021年手工监测进水水质（月均值）见下表。</w:t>
      </w:r>
    </w:p>
    <w:p>
      <w:pPr>
        <w:pStyle w:val="6"/>
        <w:rPr>
          <w:rFonts w:ascii="Times New Roman" w:hAnsi="Times New Roman" w:cs="Times New Roman"/>
        </w:rPr>
      </w:pPr>
      <w:r>
        <w:rPr>
          <w:rFonts w:ascii="Times New Roman" w:hAnsi="Times New Roman" w:cs="Times New Roman"/>
          <w:lang w:bidi="ar"/>
        </w:rPr>
        <w:t>表2.2-1  2021年手工监测进水水质（月均值）   单位：mg/L  pH无量纲</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045"/>
        <w:gridCol w:w="1249"/>
        <w:gridCol w:w="1197"/>
        <w:gridCol w:w="1148"/>
        <w:gridCol w:w="1276"/>
        <w:gridCol w:w="1148"/>
        <w:gridCol w:w="1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12" w:space="0"/>
              <w:left w:val="single" w:color="auto" w:sz="12" w:space="0"/>
              <w:bottom w:val="single" w:color="auto" w:sz="4" w:space="0"/>
              <w:right w:val="single" w:color="auto" w:sz="4" w:space="0"/>
            </w:tcBorders>
            <w:shd w:val="clear" w:color="auto" w:fill="auto"/>
            <w:vAlign w:val="center"/>
          </w:tcPr>
          <w:p>
            <w:pPr>
              <w:pStyle w:val="63"/>
            </w:pPr>
            <w:r>
              <w:t>月份</w:t>
            </w:r>
          </w:p>
        </w:tc>
        <w:tc>
          <w:tcPr>
            <w:tcW w:w="580"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pH</w:t>
            </w:r>
          </w:p>
        </w:tc>
        <w:tc>
          <w:tcPr>
            <w:tcW w:w="693"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COD</w:t>
            </w:r>
          </w:p>
        </w:tc>
        <w:tc>
          <w:tcPr>
            <w:tcW w:w="664"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BOD</w:t>
            </w:r>
            <w:r>
              <w:rPr>
                <w:vertAlign w:val="subscript"/>
              </w:rPr>
              <w:t>5</w:t>
            </w:r>
          </w:p>
        </w:tc>
        <w:tc>
          <w:tcPr>
            <w:tcW w:w="637"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SS</w:t>
            </w:r>
          </w:p>
        </w:tc>
        <w:tc>
          <w:tcPr>
            <w:tcW w:w="708"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NH</w:t>
            </w:r>
            <w:r>
              <w:rPr>
                <w:vertAlign w:val="subscript"/>
              </w:rPr>
              <w:t>3</w:t>
            </w:r>
            <w:r>
              <w:t>-N</w:t>
            </w:r>
          </w:p>
        </w:tc>
        <w:tc>
          <w:tcPr>
            <w:tcW w:w="637"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TN</w:t>
            </w:r>
          </w:p>
        </w:tc>
        <w:tc>
          <w:tcPr>
            <w:tcW w:w="581" w:type="pct"/>
            <w:tcBorders>
              <w:top w:val="single" w:color="auto" w:sz="12" w:space="0"/>
              <w:left w:val="single" w:color="auto" w:sz="4" w:space="0"/>
              <w:bottom w:val="single" w:color="auto" w:sz="4" w:space="0"/>
              <w:right w:val="single" w:color="auto" w:sz="12" w:space="0"/>
            </w:tcBorders>
            <w:shd w:val="clear" w:color="auto" w:fill="auto"/>
            <w:vAlign w:val="center"/>
          </w:tcPr>
          <w:p>
            <w:pPr>
              <w:pStyle w:val="63"/>
            </w:pPr>
            <w: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1</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7.47</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105.63</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55.96</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54.68</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13.17</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20.77</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2</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7.45</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115.06</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57.11</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65.23</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15.41</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30.50</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3</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7.45</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112.17</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56.74</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62.71</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15.45</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29.45</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4</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7.46</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112.64</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57.24</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66.57</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14.08</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28.46</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5</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7.43</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110.56</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59.32</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64.26</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13.70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26.63</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6</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7.42</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101.02</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61.48</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59.00</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12.83</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25.33</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7</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7.48</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123.06</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62.86</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62.83</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14.81</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23.95</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8</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7.45</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106.78</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62.67</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54.81</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12.28</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21.02</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9</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7.50</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108.92</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62.67</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58.80</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13.59</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25.02</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10</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7.52</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111.20</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62.08</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64.26</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15.03</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29.88</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11</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7.57</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113.93</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67.09</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67.27</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15.93</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31.60</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12</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7.53</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111.98</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63.81</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64.06</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14.33</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24.77</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平均值</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7.48</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111.08</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60.75</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62.04</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14.21</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t>26.45</w:t>
            </w:r>
          </w:p>
        </w:tc>
        <w:tc>
          <w:tcPr>
            <w:tcW w:w="581"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pct"/>
            <w:tcBorders>
              <w:top w:val="single" w:color="auto" w:sz="4" w:space="0"/>
              <w:left w:val="single" w:color="auto" w:sz="12" w:space="0"/>
              <w:bottom w:val="single" w:color="auto" w:sz="12" w:space="0"/>
              <w:right w:val="single" w:color="auto" w:sz="4" w:space="0"/>
            </w:tcBorders>
            <w:shd w:val="clear" w:color="auto" w:fill="auto"/>
            <w:vAlign w:val="center"/>
          </w:tcPr>
          <w:p>
            <w:pPr>
              <w:pStyle w:val="63"/>
            </w:pPr>
            <w:r>
              <w:t>设计进水水质要求</w:t>
            </w:r>
          </w:p>
        </w:tc>
        <w:tc>
          <w:tcPr>
            <w:tcW w:w="580"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63"/>
            </w:pPr>
            <w:r>
              <w:t>/</w:t>
            </w:r>
          </w:p>
        </w:tc>
        <w:tc>
          <w:tcPr>
            <w:tcW w:w="693"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63"/>
            </w:pPr>
            <w:r>
              <w:t>300</w:t>
            </w:r>
          </w:p>
        </w:tc>
        <w:tc>
          <w:tcPr>
            <w:tcW w:w="664"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63"/>
            </w:pPr>
            <w:r>
              <w:t>150</w:t>
            </w:r>
          </w:p>
        </w:tc>
        <w:tc>
          <w:tcPr>
            <w:tcW w:w="637"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63"/>
            </w:pPr>
            <w:r>
              <w:t>150</w:t>
            </w:r>
          </w:p>
        </w:tc>
        <w:tc>
          <w:tcPr>
            <w:tcW w:w="708"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63"/>
            </w:pPr>
            <w:r>
              <w:t>30</w:t>
            </w:r>
          </w:p>
        </w:tc>
        <w:tc>
          <w:tcPr>
            <w:tcW w:w="637"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63"/>
            </w:pPr>
            <w:r>
              <w:t>40</w:t>
            </w:r>
          </w:p>
        </w:tc>
        <w:tc>
          <w:tcPr>
            <w:tcW w:w="581" w:type="pct"/>
            <w:tcBorders>
              <w:top w:val="single" w:color="auto" w:sz="4" w:space="0"/>
              <w:left w:val="single" w:color="auto" w:sz="4" w:space="0"/>
              <w:bottom w:val="single" w:color="auto" w:sz="12" w:space="0"/>
              <w:right w:val="single" w:color="auto" w:sz="12" w:space="0"/>
            </w:tcBorders>
            <w:shd w:val="clear" w:color="auto" w:fill="auto"/>
            <w:vAlign w:val="center"/>
          </w:tcPr>
          <w:p>
            <w:pPr>
              <w:pStyle w:val="63"/>
            </w:pPr>
            <w:r>
              <w:t>3</w:t>
            </w:r>
          </w:p>
        </w:tc>
      </w:tr>
    </w:tbl>
    <w:p>
      <w:pPr>
        <w:spacing w:line="360" w:lineRule="auto"/>
        <w:ind w:firstLine="488" w:firstLineChars="200"/>
        <w:rPr>
          <w:rFonts w:ascii="Times New Roman" w:hAnsi="Times New Roman" w:cs="Times New Roman"/>
          <w:szCs w:val="24"/>
        </w:rPr>
      </w:pPr>
      <w:r>
        <w:rPr>
          <w:rFonts w:ascii="Times New Roman" w:hAnsi="Times New Roman" w:cs="Times New Roman"/>
          <w:szCs w:val="24"/>
          <w:lang w:bidi="ar"/>
        </w:rPr>
        <w:t>根据上表，2021年1-12月，临湘市污水净化中心手工监测进水各指标均较稳定，能满足设计进水水质标准。</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5）污水管网建设</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园区内沿道路分别布设了雨水管网和污水管网。</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服务区范围内沿道路及长安河铺设截流干管，沿途收集污水送临湘市污水净化中心，其余污水管网布置</w:t>
      </w:r>
      <w:r>
        <w:rPr>
          <w:rFonts w:ascii="Times New Roman" w:hAnsi="Times New Roman" w:cs="Times New Roman"/>
        </w:rPr>
        <w:t>根据</w:t>
      </w:r>
      <w:r>
        <w:rPr>
          <w:rFonts w:ascii="Times New Roman" w:hAnsi="Times New Roman" w:cs="Times New Roman"/>
          <w:szCs w:val="24"/>
        </w:rPr>
        <w:t>地形敷设，收集的污水沿途就近排入截流干管。</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临湘市工业园已建污水管道14600m，园区污水干管沿道路敷设，以利于各入园企业污水管道的衔接，2008年底临湘市工业园污水管网已通过石塘大道与市政管网对接，临湘市工业园污水已全部送临湘市污水净化中心集中处理达标后，排入长安河。</w:t>
      </w:r>
    </w:p>
    <w:p>
      <w:pPr>
        <w:spacing w:line="360" w:lineRule="auto"/>
        <w:ind w:firstLine="488" w:firstLineChars="200"/>
        <w:rPr>
          <w:rFonts w:ascii="Times New Roman" w:hAnsi="Times New Roman" w:cs="Times New Roman"/>
          <w:b/>
        </w:rPr>
      </w:pPr>
      <w:r>
        <w:rPr>
          <w:rFonts w:ascii="Times New Roman" w:hAnsi="Times New Roman" w:cs="Times New Roman"/>
          <w:b/>
        </w:rPr>
        <w:t>（2）滨江片区</w:t>
      </w:r>
    </w:p>
    <w:p>
      <w:pPr>
        <w:spacing w:line="360" w:lineRule="auto"/>
        <w:ind w:firstLine="488" w:firstLineChars="200"/>
        <w:rPr>
          <w:rFonts w:ascii="Times New Roman" w:hAnsi="Times New Roman" w:cs="Times New Roman"/>
        </w:rPr>
      </w:pPr>
      <w:r>
        <w:rPr>
          <w:rFonts w:ascii="Times New Roman" w:hAnsi="Times New Roman" w:cs="Times New Roman"/>
        </w:rPr>
        <w:t>1）建设地点及污水处理规模</w:t>
      </w:r>
    </w:p>
    <w:p>
      <w:pPr>
        <w:spacing w:line="360" w:lineRule="auto"/>
        <w:ind w:firstLine="488"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深水海纳集团运营的园区污水处理厂位于工业大道与纬四路交叉口西北角，总占地面积64903m</w:t>
      </w:r>
      <w:r>
        <w:rPr>
          <w:rFonts w:ascii="Times New Roman" w:hAnsi="Times New Roman" w:eastAsia="宋体" w:cs="Times New Roman"/>
          <w:color w:val="000000"/>
          <w:szCs w:val="24"/>
          <w:vertAlign w:val="superscript"/>
        </w:rPr>
        <w:t>2</w:t>
      </w:r>
      <w:r>
        <w:rPr>
          <w:rFonts w:ascii="Times New Roman" w:hAnsi="Times New Roman" w:eastAsia="宋体" w:cs="Times New Roman"/>
          <w:color w:val="000000"/>
          <w:szCs w:val="24"/>
        </w:rPr>
        <w:t>，现处理能力为2万m</w:t>
      </w:r>
      <w:r>
        <w:rPr>
          <w:rFonts w:ascii="Times New Roman" w:hAnsi="Times New Roman" w:eastAsia="宋体" w:cs="Times New Roman"/>
          <w:color w:val="000000"/>
          <w:szCs w:val="24"/>
          <w:vertAlign w:val="superscript"/>
        </w:rPr>
        <w:t>3</w:t>
      </w:r>
      <w:r>
        <w:rPr>
          <w:rFonts w:ascii="Times New Roman" w:hAnsi="Times New Roman" w:eastAsia="宋体" w:cs="Times New Roman"/>
          <w:color w:val="000000"/>
          <w:szCs w:val="24"/>
        </w:rPr>
        <w:t>/d。</w:t>
      </w:r>
    </w:p>
    <w:p>
      <w:pPr>
        <w:spacing w:line="360" w:lineRule="auto"/>
        <w:ind w:firstLine="488" w:firstLineChars="200"/>
        <w:rPr>
          <w:rFonts w:ascii="Times New Roman" w:hAnsi="Times New Roman" w:cs="Times New Roman"/>
          <w:color w:val="000000"/>
          <w:szCs w:val="24"/>
        </w:rPr>
      </w:pPr>
      <w:r>
        <w:rPr>
          <w:rFonts w:ascii="Times New Roman" w:hAnsi="Times New Roman" w:cs="Times New Roman"/>
          <w:color w:val="000000"/>
          <w:szCs w:val="24"/>
        </w:rPr>
        <w:t>2016年园区环评要求对园区污水处理厂进行提质改造，且日处理规模控制在2万吨，不再扩建。产业区污水处理厂于2009年12月23日经湖南省环保厅审批，园区污水处理厂提质改造工程于2017年11月22日获得岳阳市环境保护批复（岳环评（2017）101号），改造后污水处理厂规模保持2万m</w:t>
      </w:r>
      <w:r>
        <w:rPr>
          <w:rFonts w:ascii="Times New Roman" w:hAnsi="Times New Roman" w:cs="Times New Roman"/>
          <w:color w:val="000000"/>
          <w:szCs w:val="24"/>
          <w:vertAlign w:val="superscript"/>
        </w:rPr>
        <w:t>3</w:t>
      </w:r>
      <w:r>
        <w:rPr>
          <w:rFonts w:ascii="Times New Roman" w:hAnsi="Times New Roman" w:cs="Times New Roman"/>
          <w:color w:val="000000"/>
          <w:szCs w:val="24"/>
        </w:rPr>
        <w:t>/d不变，并取得《湖南省生态环境厅关于临湘市白马矶入河排污口设置的批复》（湘环函[2023]180号）。该入河排污口污水排放量不得超过20000m</w:t>
      </w:r>
      <w:r>
        <w:rPr>
          <w:rFonts w:ascii="Times New Roman" w:hAnsi="Times New Roman" w:cs="Times New Roman"/>
          <w:color w:val="000000"/>
          <w:szCs w:val="24"/>
          <w:vertAlign w:val="superscript"/>
        </w:rPr>
        <w:t>3</w:t>
      </w:r>
      <w:r>
        <w:rPr>
          <w:rFonts w:ascii="Times New Roman" w:hAnsi="Times New Roman" w:cs="Times New Roman"/>
          <w:color w:val="000000"/>
          <w:szCs w:val="24"/>
        </w:rPr>
        <w:t>/d，污水排放标准为《城镇污水处理厂污染物排放标准》（GB18918-2002）中一级A标准。</w:t>
      </w:r>
    </w:p>
    <w:p>
      <w:pPr>
        <w:spacing w:line="360" w:lineRule="auto"/>
        <w:ind w:firstLine="488" w:firstLineChars="200"/>
        <w:rPr>
          <w:rFonts w:ascii="Times New Roman" w:hAnsi="Times New Roman" w:cs="Times New Roman"/>
        </w:rPr>
      </w:pPr>
      <w:r>
        <w:rPr>
          <w:rFonts w:ascii="Times New Roman" w:hAnsi="Times New Roman" w:cs="Times New Roman"/>
        </w:rPr>
        <w:t>2）处理工艺</w:t>
      </w:r>
    </w:p>
    <w:p>
      <w:pPr>
        <w:spacing w:line="360" w:lineRule="auto"/>
        <w:ind w:firstLine="488" w:firstLineChars="200"/>
        <w:rPr>
          <w:rFonts w:ascii="Times New Roman" w:hAnsi="Times New Roman" w:cs="Times New Roman"/>
        </w:rPr>
      </w:pPr>
      <w:r>
        <w:rPr>
          <w:rFonts w:ascii="Times New Roman" w:hAnsi="Times New Roman" w:cs="Times New Roman"/>
        </w:rPr>
        <w:t>污水处理采用“水解酸化＋卡鲁塞尔氧化沟+臭氧催化氧化+混凝沉淀”的处理工艺，废水排放标准提质到《污水综合排放标准》（GB8978-1996）一级A标准，经处理后的园区废水排入长江陆城段。</w:t>
      </w:r>
    </w:p>
    <w:p>
      <w:pPr>
        <w:spacing w:line="360" w:lineRule="auto"/>
        <w:rPr>
          <w:rFonts w:ascii="Times New Roman" w:hAnsi="Times New Roman" w:cs="Times New Roman"/>
        </w:rPr>
      </w:pPr>
      <w:r>
        <w:rPr>
          <w:rFonts w:ascii="Times New Roman" w:hAnsi="Times New Roman" w:cs="Times New Roman"/>
          <w:sz w:val="32"/>
          <w:szCs w:val="32"/>
        </w:rPr>
        <mc:AlternateContent>
          <mc:Choice Requires="wpc">
            <w:drawing>
              <wp:inline distT="0" distB="0" distL="0" distR="0">
                <wp:extent cx="5358765" cy="8378190"/>
                <wp:effectExtent l="0" t="0" r="13335" b="0"/>
                <wp:docPr id="174" name="画布 174"/>
                <wp:cNvGraphicFramePr/>
                <a:graphic xmlns:a="http://schemas.openxmlformats.org/drawingml/2006/main">
                  <a:graphicData uri="http://schemas.microsoft.com/office/word/2010/wordprocessingCanvas">
                    <wpc:wpc>
                      <wpc:bg>
                        <a:noFill/>
                      </wpc:bg>
                      <wpc:whole/>
                      <wps:wsp>
                        <wps:cNvPr id="83" name="Rectangle 107"/>
                        <wps:cNvSpPr>
                          <a:spLocks noChangeArrowheads="1"/>
                        </wps:cNvSpPr>
                        <wps:spPr bwMode="auto">
                          <a:xfrm>
                            <a:off x="3854095" y="7031990"/>
                            <a:ext cx="521335" cy="308610"/>
                          </a:xfrm>
                          <a:prstGeom prst="rect">
                            <a:avLst/>
                          </a:prstGeom>
                          <a:solidFill>
                            <a:srgbClr val="FFFFFF"/>
                          </a:solidFill>
                          <a:ln w="9525">
                            <a:solidFill>
                              <a:srgbClr val="000000"/>
                            </a:solidFill>
                            <a:miter lim="800000"/>
                          </a:ln>
                        </wps:spPr>
                        <wps:txbx>
                          <w:txbxContent>
                            <w:p>
                              <w:pPr>
                                <w:jc w:val="center"/>
                                <w:rPr>
                                  <w:rFonts w:ascii="仿宋_GB2312" w:eastAsia="仿宋_GB2312"/>
                                  <w:sz w:val="23"/>
                                </w:rPr>
                              </w:pPr>
                              <w:r>
                                <w:rPr>
                                  <w:rFonts w:hint="eastAsia" w:ascii="仿宋_GB2312" w:eastAsia="仿宋_GB2312"/>
                                  <w:sz w:val="23"/>
                                </w:rPr>
                                <w:t>臭氧</w:t>
                              </w:r>
                            </w:p>
                          </w:txbxContent>
                        </wps:txbx>
                        <wps:bodyPr rot="0" vert="horz" wrap="square" lIns="85954" tIns="42977" rIns="85954" bIns="42977" anchor="t" anchorCtr="0" upright="1">
                          <a:noAutofit/>
                        </wps:bodyPr>
                      </wps:wsp>
                      <wps:wsp>
                        <wps:cNvPr id="84" name="Rectangle 108"/>
                        <wps:cNvSpPr>
                          <a:spLocks noChangeArrowheads="1"/>
                        </wps:cNvSpPr>
                        <wps:spPr bwMode="auto">
                          <a:xfrm>
                            <a:off x="3382882" y="4494579"/>
                            <a:ext cx="1059180" cy="281299"/>
                          </a:xfrm>
                          <a:prstGeom prst="rect">
                            <a:avLst/>
                          </a:prstGeom>
                          <a:solidFill>
                            <a:srgbClr val="FFFFFF"/>
                          </a:solidFill>
                          <a:ln w="9525">
                            <a:solidFill>
                              <a:srgbClr val="FFFFFF"/>
                            </a:solidFill>
                            <a:prstDash val="dash"/>
                            <a:miter lim="800000"/>
                          </a:ln>
                        </wps:spPr>
                        <wps:txbx>
                          <w:txbxContent>
                            <w:p>
                              <w:pPr>
                                <w:jc w:val="center"/>
                                <w:rPr>
                                  <w:rFonts w:ascii="仿宋_GB2312" w:eastAsia="仿宋_GB2312"/>
                                  <w:sz w:val="23"/>
                                </w:rPr>
                              </w:pPr>
                              <w:r>
                                <w:rPr>
                                  <w:rFonts w:hint="eastAsia" w:ascii="仿宋_GB2312" w:eastAsia="仿宋_GB2312"/>
                                  <w:sz w:val="23"/>
                                </w:rPr>
                                <w:t>粉末活性炭</w:t>
                              </w:r>
                            </w:p>
                          </w:txbxContent>
                        </wps:txbx>
                        <wps:bodyPr rot="0" vert="horz" wrap="square" lIns="85954" tIns="42977" rIns="85954" bIns="42977" anchor="t" anchorCtr="0" upright="1">
                          <a:noAutofit/>
                        </wps:bodyPr>
                      </wps:wsp>
                      <wps:wsp>
                        <wps:cNvPr id="85" name="Rectangle 109"/>
                        <wps:cNvSpPr>
                          <a:spLocks noChangeArrowheads="1"/>
                        </wps:cNvSpPr>
                        <wps:spPr bwMode="auto">
                          <a:xfrm>
                            <a:off x="3450826" y="6565102"/>
                            <a:ext cx="1480007" cy="330428"/>
                          </a:xfrm>
                          <a:prstGeom prst="rect">
                            <a:avLst/>
                          </a:prstGeom>
                          <a:solidFill>
                            <a:srgbClr val="FFFFFF"/>
                          </a:solidFill>
                          <a:ln w="9525">
                            <a:solidFill>
                              <a:srgbClr val="FFFFFF"/>
                            </a:solidFill>
                            <a:prstDash val="dash"/>
                            <a:miter lim="800000"/>
                          </a:ln>
                        </wps:spPr>
                        <wps:txbx>
                          <w:txbxContent>
                            <w:p>
                              <w:pPr>
                                <w:jc w:val="center"/>
                                <w:rPr>
                                  <w:rFonts w:ascii="仿宋_GB2312" w:eastAsia="仿宋_GB2312"/>
                                  <w:sz w:val="23"/>
                                </w:rPr>
                              </w:pPr>
                              <w:r>
                                <w:rPr>
                                  <w:rFonts w:hint="eastAsia" w:ascii="仿宋_GB2312" w:eastAsia="仿宋_GB2312"/>
                                  <w:sz w:val="23"/>
                                </w:rPr>
                                <w:t>反冲洗水至调节池</w:t>
                              </w:r>
                            </w:p>
                          </w:txbxContent>
                        </wps:txbx>
                        <wps:bodyPr rot="0" vert="horz" wrap="square" lIns="85954" tIns="42977" rIns="85954" bIns="42977" anchor="t" anchorCtr="0" upright="1">
                          <a:noAutofit/>
                        </wps:bodyPr>
                      </wps:wsp>
                      <wps:wsp>
                        <wps:cNvPr id="86" name="AutoShape 110"/>
                        <wps:cNvCnPr/>
                        <wps:spPr bwMode="auto">
                          <a:xfrm>
                            <a:off x="3675613" y="1866850"/>
                            <a:ext cx="353055" cy="0"/>
                          </a:xfrm>
                          <a:prstGeom prst="straightConnector1">
                            <a:avLst/>
                          </a:prstGeom>
                          <a:noFill/>
                          <a:ln w="9525">
                            <a:solidFill>
                              <a:srgbClr val="000000"/>
                            </a:solidFill>
                            <a:prstDash val="dash"/>
                            <a:round/>
                            <a:tailEnd type="triangle" w="med" len="med"/>
                          </a:ln>
                        </wps:spPr>
                        <wps:bodyPr/>
                      </wps:wsp>
                      <wps:wsp>
                        <wps:cNvPr id="87" name="Rectangle 111"/>
                        <wps:cNvSpPr>
                          <a:spLocks noChangeArrowheads="1"/>
                        </wps:cNvSpPr>
                        <wps:spPr bwMode="auto">
                          <a:xfrm>
                            <a:off x="4049832" y="1725930"/>
                            <a:ext cx="792480" cy="274320"/>
                          </a:xfrm>
                          <a:prstGeom prst="rect">
                            <a:avLst/>
                          </a:prstGeom>
                          <a:solidFill>
                            <a:srgbClr val="FFFFFF"/>
                          </a:solidFill>
                          <a:ln w="9525">
                            <a:solidFill>
                              <a:srgbClr val="FFFFFF"/>
                            </a:solidFill>
                            <a:prstDash val="dash"/>
                            <a:miter lim="800000"/>
                          </a:ln>
                        </wps:spPr>
                        <wps:txbx>
                          <w:txbxContent>
                            <w:p>
                              <w:pPr>
                                <w:rPr>
                                  <w:sz w:val="23"/>
                                </w:rPr>
                              </w:pPr>
                              <w:r>
                                <w:rPr>
                                  <w:rFonts w:hint="eastAsia"/>
                                  <w:sz w:val="23"/>
                                </w:rPr>
                                <w:t>栅渣外运</w:t>
                              </w:r>
                            </w:p>
                          </w:txbxContent>
                        </wps:txbx>
                        <wps:bodyPr rot="0" vert="horz" wrap="square" lIns="85954" tIns="42977" rIns="85954" bIns="42977" anchor="t" anchorCtr="0" upright="1">
                          <a:noAutofit/>
                        </wps:bodyPr>
                      </wps:wsp>
                      <wps:wsp>
                        <wps:cNvPr id="88" name="Rectangle 112"/>
                        <wps:cNvSpPr>
                          <a:spLocks noChangeArrowheads="1"/>
                        </wps:cNvSpPr>
                        <wps:spPr bwMode="auto">
                          <a:xfrm>
                            <a:off x="1435941" y="2176128"/>
                            <a:ext cx="382344" cy="754380"/>
                          </a:xfrm>
                          <a:prstGeom prst="rect">
                            <a:avLst/>
                          </a:prstGeom>
                          <a:solidFill>
                            <a:srgbClr val="FFFFFF"/>
                          </a:solidFill>
                          <a:ln w="9525">
                            <a:solidFill>
                              <a:srgbClr val="FFFFFF"/>
                            </a:solidFill>
                            <a:prstDash val="dash"/>
                            <a:miter lim="800000"/>
                          </a:ln>
                        </wps:spPr>
                        <wps:txbx>
                          <w:txbxContent>
                            <w:p>
                              <w:pPr>
                                <w:jc w:val="center"/>
                                <w:rPr>
                                  <w:rFonts w:ascii="仿宋_GB2312" w:eastAsia="仿宋_GB2312"/>
                                  <w:sz w:val="23"/>
                                </w:rPr>
                              </w:pPr>
                              <w:r>
                                <w:rPr>
                                  <w:rFonts w:hint="eastAsia" w:ascii="仿宋_GB2312" w:eastAsia="仿宋_GB2312"/>
                                  <w:sz w:val="23"/>
                                </w:rPr>
                                <w:t>初沉污泥</w:t>
                              </w:r>
                            </w:p>
                          </w:txbxContent>
                        </wps:txbx>
                        <wps:bodyPr rot="0" vert="eaVert" wrap="square" lIns="85954" tIns="42977" rIns="85954" bIns="42977" anchor="t" anchorCtr="0" upright="1">
                          <a:noAutofit/>
                        </wps:bodyPr>
                      </wps:wsp>
                      <wps:wsp>
                        <wps:cNvPr id="89" name="Rectangle 113"/>
                        <wps:cNvSpPr>
                          <a:spLocks noChangeArrowheads="1"/>
                        </wps:cNvSpPr>
                        <wps:spPr bwMode="auto">
                          <a:xfrm>
                            <a:off x="1700982" y="6817369"/>
                            <a:ext cx="414477" cy="683488"/>
                          </a:xfrm>
                          <a:prstGeom prst="rect">
                            <a:avLst/>
                          </a:prstGeom>
                          <a:solidFill>
                            <a:srgbClr val="FFFFFF"/>
                          </a:solidFill>
                          <a:ln w="9525">
                            <a:solidFill>
                              <a:srgbClr val="FFFFFF"/>
                            </a:solidFill>
                            <a:prstDash val="dash"/>
                            <a:miter lim="800000"/>
                          </a:ln>
                        </wps:spPr>
                        <wps:txbx>
                          <w:txbxContent>
                            <w:p>
                              <w:pPr>
                                <w:jc w:val="center"/>
                                <w:rPr>
                                  <w:rFonts w:ascii="仿宋_GB2312" w:eastAsia="仿宋_GB2312"/>
                                  <w:sz w:val="23"/>
                                </w:rPr>
                              </w:pPr>
                              <w:r>
                                <w:rPr>
                                  <w:rFonts w:hint="eastAsia" w:ascii="仿宋_GB2312" w:eastAsia="仿宋_GB2312"/>
                                  <w:sz w:val="23"/>
                                </w:rPr>
                                <w:t>反冲洗</w:t>
                              </w:r>
                            </w:p>
                          </w:txbxContent>
                        </wps:txbx>
                        <wps:bodyPr rot="0" vert="eaVert" wrap="square" lIns="85954" tIns="42977" rIns="85954" bIns="42977" anchor="t" anchorCtr="0" upright="1">
                          <a:noAutofit/>
                        </wps:bodyPr>
                      </wps:wsp>
                      <wps:wsp>
                        <wps:cNvPr id="90" name="Rectangle 114"/>
                        <wps:cNvSpPr>
                          <a:spLocks noChangeArrowheads="1"/>
                        </wps:cNvSpPr>
                        <wps:spPr bwMode="auto">
                          <a:xfrm>
                            <a:off x="1767910" y="4484436"/>
                            <a:ext cx="379095" cy="754380"/>
                          </a:xfrm>
                          <a:prstGeom prst="rect">
                            <a:avLst/>
                          </a:prstGeom>
                          <a:solidFill>
                            <a:srgbClr val="FFFFFF"/>
                          </a:solidFill>
                          <a:ln w="9525">
                            <a:solidFill>
                              <a:srgbClr val="FFFFFF"/>
                            </a:solidFill>
                            <a:prstDash val="dash"/>
                            <a:miter lim="800000"/>
                          </a:ln>
                        </wps:spPr>
                        <wps:txbx>
                          <w:txbxContent>
                            <w:p>
                              <w:pPr>
                                <w:rPr>
                                  <w:sz w:val="23"/>
                                </w:rPr>
                              </w:pPr>
                              <w:r>
                                <w:rPr>
                                  <w:rFonts w:hint="eastAsia"/>
                                  <w:sz w:val="23"/>
                                </w:rPr>
                                <w:t>污泥回流</w:t>
                              </w:r>
                            </w:p>
                          </w:txbxContent>
                        </wps:txbx>
                        <wps:bodyPr rot="0" vert="eaVert" wrap="square" lIns="85954" tIns="42977" rIns="85954" bIns="42977" anchor="t" anchorCtr="0" upright="1">
                          <a:noAutofit/>
                        </wps:bodyPr>
                      </wps:wsp>
                      <wps:wsp>
                        <wps:cNvPr id="91" name="Rectangle 115"/>
                        <wps:cNvSpPr>
                          <a:spLocks noChangeArrowheads="1"/>
                        </wps:cNvSpPr>
                        <wps:spPr bwMode="auto">
                          <a:xfrm>
                            <a:off x="800380" y="31750"/>
                            <a:ext cx="1898650" cy="272415"/>
                          </a:xfrm>
                          <a:prstGeom prst="rect">
                            <a:avLst/>
                          </a:prstGeom>
                          <a:solidFill>
                            <a:srgbClr val="FFFFFF"/>
                          </a:solidFill>
                          <a:ln w="9525">
                            <a:solidFill>
                              <a:srgbClr val="000000"/>
                            </a:solidFill>
                            <a:prstDash val="dash"/>
                            <a:miter lim="800000"/>
                          </a:ln>
                        </wps:spPr>
                        <wps:txbx>
                          <w:txbxContent>
                            <w:p>
                              <w:pPr>
                                <w:jc w:val="center"/>
                                <w:rPr>
                                  <w:sz w:val="23"/>
                                </w:rPr>
                              </w:pPr>
                              <w:r>
                                <w:rPr>
                                  <w:rFonts w:hint="eastAsia" w:ascii="仿宋_GB2312" w:eastAsia="仿宋_GB2312"/>
                                  <w:sz w:val="23"/>
                                </w:rPr>
                                <w:t>企业排放废水（预处理后</w:t>
                              </w:r>
                              <w:r>
                                <w:rPr>
                                  <w:rFonts w:hint="eastAsia"/>
                                  <w:sz w:val="23"/>
                                </w:rPr>
                                <w:t>）水</w:t>
                              </w:r>
                            </w:p>
                          </w:txbxContent>
                        </wps:txbx>
                        <wps:bodyPr rot="0" vert="horz" wrap="square" lIns="85954" tIns="42977" rIns="85954" bIns="42977" anchor="t" anchorCtr="0" upright="1">
                          <a:noAutofit/>
                        </wps:bodyPr>
                      </wps:wsp>
                      <wps:wsp>
                        <wps:cNvPr id="92" name="Rectangle 116"/>
                        <wps:cNvSpPr>
                          <a:spLocks noChangeArrowheads="1"/>
                        </wps:cNvSpPr>
                        <wps:spPr bwMode="auto">
                          <a:xfrm>
                            <a:off x="2472970" y="723265"/>
                            <a:ext cx="703580" cy="271780"/>
                          </a:xfrm>
                          <a:prstGeom prst="rect">
                            <a:avLst/>
                          </a:prstGeom>
                          <a:solidFill>
                            <a:srgbClr val="FFFFFF"/>
                          </a:solidFill>
                          <a:ln w="9525">
                            <a:solidFill>
                              <a:srgbClr val="000000"/>
                            </a:solidFill>
                            <a:prstDash val="dash"/>
                            <a:miter lim="800000"/>
                          </a:ln>
                        </wps:spPr>
                        <wps:txbx>
                          <w:txbxContent>
                            <w:p>
                              <w:pPr>
                                <w:jc w:val="center"/>
                                <w:rPr>
                                  <w:sz w:val="23"/>
                                </w:rPr>
                              </w:pPr>
                              <w:r>
                                <w:rPr>
                                  <w:rFonts w:hint="eastAsia" w:ascii="仿宋_GB2312" w:eastAsia="仿宋_GB2312"/>
                                  <w:sz w:val="23"/>
                                </w:rPr>
                                <w:t>粗格栅</w:t>
                              </w:r>
                              <w:r>
                                <w:rPr>
                                  <w:rFonts w:hint="eastAsia"/>
                                  <w:sz w:val="23"/>
                                </w:rPr>
                                <w:t>栅</w:t>
                              </w:r>
                            </w:p>
                          </w:txbxContent>
                        </wps:txbx>
                        <wps:bodyPr rot="0" vert="horz" wrap="square" lIns="85954" tIns="42977" rIns="85954" bIns="42977" anchor="t" anchorCtr="0" upright="1">
                          <a:noAutofit/>
                        </wps:bodyPr>
                      </wps:wsp>
                      <wps:wsp>
                        <wps:cNvPr id="93" name="Rectangle 117"/>
                        <wps:cNvSpPr>
                          <a:spLocks noChangeArrowheads="1"/>
                        </wps:cNvSpPr>
                        <wps:spPr bwMode="auto">
                          <a:xfrm>
                            <a:off x="2115465" y="1210310"/>
                            <a:ext cx="1558925" cy="272415"/>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调节池</w:t>
                              </w:r>
                            </w:p>
                          </w:txbxContent>
                        </wps:txbx>
                        <wps:bodyPr rot="0" vert="horz" wrap="square" lIns="85954" tIns="42977" rIns="85954" bIns="42977" anchor="t" anchorCtr="0" upright="1">
                          <a:noAutofit/>
                        </wps:bodyPr>
                      </wps:wsp>
                      <wps:wsp>
                        <wps:cNvPr id="94" name="Rectangle 118"/>
                        <wps:cNvSpPr>
                          <a:spLocks noChangeArrowheads="1"/>
                        </wps:cNvSpPr>
                        <wps:spPr bwMode="auto">
                          <a:xfrm>
                            <a:off x="2215795" y="1725930"/>
                            <a:ext cx="1463675" cy="270510"/>
                          </a:xfrm>
                          <a:prstGeom prst="rect">
                            <a:avLst/>
                          </a:prstGeom>
                          <a:solidFill>
                            <a:srgbClr val="FFFFFF"/>
                          </a:solidFill>
                          <a:ln w="9525">
                            <a:solidFill>
                              <a:srgbClr val="000000"/>
                            </a:solidFill>
                            <a:prstDash val="dash"/>
                            <a:miter lim="800000"/>
                          </a:ln>
                        </wps:spPr>
                        <wps:txbx>
                          <w:txbxContent>
                            <w:p>
                              <w:pPr>
                                <w:jc w:val="center"/>
                                <w:rPr>
                                  <w:sz w:val="23"/>
                                </w:rPr>
                              </w:pPr>
                              <w:r>
                                <w:rPr>
                                  <w:rFonts w:hint="eastAsia" w:ascii="仿宋_GB2312" w:eastAsia="仿宋_GB2312"/>
                                  <w:sz w:val="23"/>
                                </w:rPr>
                                <w:t>细格栅、旋流沉砂池</w:t>
                              </w:r>
                              <w:r>
                                <w:rPr>
                                  <w:rFonts w:hint="eastAsia"/>
                                  <w:sz w:val="23"/>
                                </w:rPr>
                                <w:t>栅</w:t>
                              </w:r>
                            </w:p>
                          </w:txbxContent>
                        </wps:txbx>
                        <wps:bodyPr rot="0" vert="horz" wrap="square" lIns="85954" tIns="42977" rIns="85954" bIns="42977" anchor="t" anchorCtr="0" upright="1">
                          <a:noAutofit/>
                        </wps:bodyPr>
                      </wps:wsp>
                      <wps:wsp>
                        <wps:cNvPr id="95" name="Rectangle 120"/>
                        <wps:cNvSpPr>
                          <a:spLocks noChangeArrowheads="1"/>
                        </wps:cNvSpPr>
                        <wps:spPr bwMode="auto">
                          <a:xfrm>
                            <a:off x="2218335" y="2225675"/>
                            <a:ext cx="1461135" cy="271145"/>
                          </a:xfrm>
                          <a:prstGeom prst="rect">
                            <a:avLst/>
                          </a:prstGeom>
                          <a:solidFill>
                            <a:srgbClr val="FFFFFF"/>
                          </a:solidFill>
                          <a:ln w="19050">
                            <a:solidFill>
                              <a:srgbClr val="FF0000"/>
                            </a:solidFill>
                            <a:miter lim="800000"/>
                          </a:ln>
                        </wps:spPr>
                        <wps:txbx>
                          <w:txbxContent>
                            <w:p>
                              <w:pPr>
                                <w:jc w:val="center"/>
                                <w:rPr>
                                  <w:sz w:val="23"/>
                                </w:rPr>
                              </w:pPr>
                              <w:r>
                                <w:rPr>
                                  <w:rFonts w:hint="eastAsia"/>
                                  <w:sz w:val="23"/>
                                </w:rPr>
                                <w:t>Fenton</w:t>
                              </w:r>
                              <w:r>
                                <w:rPr>
                                  <w:rFonts w:hint="eastAsia" w:ascii="仿宋_GB2312" w:eastAsia="仿宋_GB2312"/>
                                  <w:sz w:val="23"/>
                                </w:rPr>
                                <w:t>反应池</w:t>
                              </w:r>
                            </w:p>
                          </w:txbxContent>
                        </wps:txbx>
                        <wps:bodyPr rot="0" vert="horz" wrap="square" lIns="85954" tIns="42977" rIns="85954" bIns="42977" anchor="t" anchorCtr="0" upright="1">
                          <a:noAutofit/>
                        </wps:bodyPr>
                      </wps:wsp>
                      <wps:wsp>
                        <wps:cNvPr id="96" name="Rectangle 121"/>
                        <wps:cNvSpPr>
                          <a:spLocks noChangeArrowheads="1"/>
                        </wps:cNvSpPr>
                        <wps:spPr bwMode="auto">
                          <a:xfrm>
                            <a:off x="2220240" y="2718435"/>
                            <a:ext cx="1462405" cy="269875"/>
                          </a:xfrm>
                          <a:prstGeom prst="rect">
                            <a:avLst/>
                          </a:prstGeom>
                          <a:solidFill>
                            <a:srgbClr val="FFFFFF"/>
                          </a:solidFill>
                          <a:ln w="19050">
                            <a:solidFill>
                              <a:srgbClr val="FF0000"/>
                            </a:solidFill>
                            <a:miter lim="800000"/>
                          </a:ln>
                        </wps:spPr>
                        <wps:txbx>
                          <w:txbxContent>
                            <w:p>
                              <w:pPr>
                                <w:jc w:val="center"/>
                                <w:rPr>
                                  <w:rFonts w:ascii="仿宋_GB2312" w:eastAsia="仿宋_GB2312"/>
                                  <w:sz w:val="23"/>
                                </w:rPr>
                              </w:pPr>
                              <w:r>
                                <w:rPr>
                                  <w:rFonts w:hint="eastAsia" w:ascii="仿宋_GB2312" w:eastAsia="仿宋_GB2312"/>
                                  <w:sz w:val="23"/>
                                </w:rPr>
                                <w:t>絮凝、斜管沉淀池</w:t>
                              </w:r>
                            </w:p>
                          </w:txbxContent>
                        </wps:txbx>
                        <wps:bodyPr rot="0" vert="horz" wrap="square" lIns="85954" tIns="42977" rIns="85954" bIns="42977" anchor="t" anchorCtr="0" upright="1">
                          <a:noAutofit/>
                        </wps:bodyPr>
                      </wps:wsp>
                      <wps:wsp>
                        <wps:cNvPr id="97" name="Rectangle 122"/>
                        <wps:cNvSpPr>
                          <a:spLocks noChangeArrowheads="1"/>
                        </wps:cNvSpPr>
                        <wps:spPr bwMode="auto">
                          <a:xfrm>
                            <a:off x="2221510" y="3218815"/>
                            <a:ext cx="1461135" cy="271145"/>
                          </a:xfrm>
                          <a:prstGeom prst="rect">
                            <a:avLst/>
                          </a:prstGeom>
                          <a:solidFill>
                            <a:srgbClr val="FFFFFF"/>
                          </a:solidFill>
                          <a:ln w="19050">
                            <a:solidFill>
                              <a:srgbClr val="FF0000"/>
                            </a:solidFill>
                            <a:miter lim="800000"/>
                          </a:ln>
                        </wps:spPr>
                        <wps:txbx>
                          <w:txbxContent>
                            <w:p>
                              <w:pPr>
                                <w:jc w:val="center"/>
                                <w:rPr>
                                  <w:sz w:val="23"/>
                                </w:rPr>
                              </w:pPr>
                              <w:r>
                                <w:rPr>
                                  <w:rFonts w:hint="eastAsia" w:ascii="仿宋_GB2312" w:eastAsia="仿宋_GB2312"/>
                                  <w:sz w:val="23"/>
                                </w:rPr>
                                <w:t>中间提升池</w:t>
                              </w:r>
                              <w:r>
                                <w:rPr>
                                  <w:rFonts w:hint="eastAsia"/>
                                  <w:sz w:val="23"/>
                                </w:rPr>
                                <w:t>1</w:t>
                              </w:r>
                            </w:p>
                          </w:txbxContent>
                        </wps:txbx>
                        <wps:bodyPr rot="0" vert="horz" wrap="square" lIns="85954" tIns="42977" rIns="85954" bIns="42977" anchor="t" anchorCtr="0" upright="1">
                          <a:noAutofit/>
                        </wps:bodyPr>
                      </wps:wsp>
                      <wps:wsp>
                        <wps:cNvPr id="98" name="Rectangle 123"/>
                        <wps:cNvSpPr>
                          <a:spLocks noChangeArrowheads="1"/>
                        </wps:cNvSpPr>
                        <wps:spPr bwMode="auto">
                          <a:xfrm>
                            <a:off x="2221510" y="3702685"/>
                            <a:ext cx="1756410" cy="269240"/>
                          </a:xfrm>
                          <a:prstGeom prst="rect">
                            <a:avLst/>
                          </a:prstGeom>
                          <a:solidFill>
                            <a:srgbClr val="FFFFFF"/>
                          </a:solidFill>
                          <a:ln w="19050">
                            <a:solidFill>
                              <a:srgbClr val="FF0000"/>
                            </a:solidFill>
                            <a:miter lim="800000"/>
                          </a:ln>
                        </wps:spPr>
                        <wps:txbx>
                          <w:txbxContent>
                            <w:p>
                              <w:pPr>
                                <w:jc w:val="center"/>
                                <w:rPr>
                                  <w:rFonts w:ascii="仿宋_GB2312" w:eastAsia="仿宋_GB2312"/>
                                  <w:sz w:val="23"/>
                                </w:rPr>
                              </w:pPr>
                              <w:r>
                                <w:rPr>
                                  <w:rFonts w:hint="eastAsia" w:ascii="仿宋_GB2312" w:eastAsia="仿宋_GB2312"/>
                                  <w:sz w:val="23"/>
                                </w:rPr>
                                <w:t>复合水解酸化池（新增）</w:t>
                              </w:r>
                            </w:p>
                          </w:txbxContent>
                        </wps:txbx>
                        <wps:bodyPr rot="0" vert="horz" wrap="square" lIns="85954" tIns="42977" rIns="85954" bIns="42977" anchor="t" anchorCtr="0" upright="1">
                          <a:noAutofit/>
                        </wps:bodyPr>
                      </wps:wsp>
                      <wps:wsp>
                        <wps:cNvPr id="99" name="Rectangle 124"/>
                        <wps:cNvSpPr>
                          <a:spLocks noChangeArrowheads="1"/>
                        </wps:cNvSpPr>
                        <wps:spPr bwMode="auto">
                          <a:xfrm>
                            <a:off x="2242465" y="4223385"/>
                            <a:ext cx="1433195" cy="269240"/>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水解酸化池</w:t>
                              </w:r>
                            </w:p>
                          </w:txbxContent>
                        </wps:txbx>
                        <wps:bodyPr rot="0" vert="horz" wrap="square" lIns="85954" tIns="42977" rIns="85954" bIns="42977" anchor="t" anchorCtr="0" upright="1">
                          <a:noAutofit/>
                        </wps:bodyPr>
                      </wps:wsp>
                      <wps:wsp>
                        <wps:cNvPr id="100" name="Rectangle 125"/>
                        <wps:cNvSpPr>
                          <a:spLocks noChangeArrowheads="1"/>
                        </wps:cNvSpPr>
                        <wps:spPr bwMode="auto">
                          <a:xfrm>
                            <a:off x="2221510" y="4748530"/>
                            <a:ext cx="1463675" cy="270510"/>
                          </a:xfrm>
                          <a:prstGeom prst="rect">
                            <a:avLst/>
                          </a:prstGeom>
                          <a:solidFill>
                            <a:srgbClr val="FFFFFF"/>
                          </a:solidFill>
                          <a:ln w="9525">
                            <a:solidFill>
                              <a:srgbClr val="000000"/>
                            </a:solidFill>
                            <a:prstDash val="dash"/>
                            <a:miter lim="800000"/>
                          </a:ln>
                        </wps:spPr>
                        <wps:txbx>
                          <w:txbxContent>
                            <w:p>
                              <w:pPr>
                                <w:jc w:val="center"/>
                                <w:rPr>
                                  <w:sz w:val="23"/>
                                </w:rPr>
                              </w:pPr>
                              <w:r>
                                <w:rPr>
                                  <w:rFonts w:hint="eastAsia" w:ascii="仿宋_GB2312" w:eastAsia="仿宋_GB2312"/>
                                  <w:sz w:val="23"/>
                                </w:rPr>
                                <w:t>氧化沟</w:t>
                              </w:r>
                              <w:r>
                                <w:rPr>
                                  <w:rFonts w:hint="eastAsia"/>
                                  <w:color w:val="FF0000"/>
                                  <w:sz w:val="23"/>
                                </w:rPr>
                                <w:t>(MBBR)</w:t>
                              </w:r>
                            </w:p>
                          </w:txbxContent>
                        </wps:txbx>
                        <wps:bodyPr rot="0" vert="horz" wrap="square" lIns="85954" tIns="42977" rIns="85954" bIns="42977" anchor="t" anchorCtr="0" upright="1">
                          <a:noAutofit/>
                        </wps:bodyPr>
                      </wps:wsp>
                      <wps:wsp>
                        <wps:cNvPr id="101" name="Rectangle 126"/>
                        <wps:cNvSpPr>
                          <a:spLocks noChangeArrowheads="1"/>
                        </wps:cNvSpPr>
                        <wps:spPr bwMode="auto">
                          <a:xfrm>
                            <a:off x="2222780" y="5254625"/>
                            <a:ext cx="1462405" cy="271145"/>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二沉池</w:t>
                              </w:r>
                            </w:p>
                          </w:txbxContent>
                        </wps:txbx>
                        <wps:bodyPr rot="0" vert="horz" wrap="square" lIns="85954" tIns="42977" rIns="85954" bIns="42977" anchor="t" anchorCtr="0" upright="1">
                          <a:noAutofit/>
                        </wps:bodyPr>
                      </wps:wsp>
                      <wps:wsp>
                        <wps:cNvPr id="102" name="Rectangle 127"/>
                        <wps:cNvSpPr>
                          <a:spLocks noChangeArrowheads="1"/>
                        </wps:cNvSpPr>
                        <wps:spPr bwMode="auto">
                          <a:xfrm>
                            <a:off x="2251990" y="5750560"/>
                            <a:ext cx="1327150" cy="270510"/>
                          </a:xfrm>
                          <a:prstGeom prst="rect">
                            <a:avLst/>
                          </a:prstGeom>
                          <a:solidFill>
                            <a:srgbClr val="FFFFFF"/>
                          </a:solidFill>
                          <a:ln w="19050">
                            <a:solidFill>
                              <a:srgbClr val="00B0F0"/>
                            </a:solidFill>
                            <a:miter lim="800000"/>
                          </a:ln>
                        </wps:spPr>
                        <wps:txbx>
                          <w:txbxContent>
                            <w:p>
                              <w:pPr>
                                <w:jc w:val="center"/>
                                <w:rPr>
                                  <w:rFonts w:ascii="仿宋_GB2312" w:eastAsia="仿宋_GB2312"/>
                                  <w:sz w:val="23"/>
                                </w:rPr>
                              </w:pPr>
                              <w:r>
                                <w:rPr>
                                  <w:rFonts w:hint="eastAsia" w:ascii="仿宋_GB2312" w:eastAsia="仿宋_GB2312"/>
                                  <w:sz w:val="23"/>
                                </w:rPr>
                                <w:t>臭氧催化氧化池</w:t>
                              </w:r>
                            </w:p>
                          </w:txbxContent>
                        </wps:txbx>
                        <wps:bodyPr rot="0" vert="horz" wrap="square" lIns="85954" tIns="42977" rIns="85954" bIns="42977" anchor="t" anchorCtr="0" upright="1">
                          <a:noAutofit/>
                        </wps:bodyPr>
                      </wps:wsp>
                      <wps:wsp>
                        <wps:cNvPr id="103" name="Rectangle 128"/>
                        <wps:cNvSpPr>
                          <a:spLocks noChangeArrowheads="1"/>
                        </wps:cNvSpPr>
                        <wps:spPr bwMode="auto">
                          <a:xfrm>
                            <a:off x="2323745" y="6655435"/>
                            <a:ext cx="1177290" cy="269240"/>
                          </a:xfrm>
                          <a:prstGeom prst="rect">
                            <a:avLst/>
                          </a:prstGeom>
                          <a:solidFill>
                            <a:srgbClr val="FFFFFF"/>
                          </a:solidFill>
                          <a:ln w="19050">
                            <a:solidFill>
                              <a:srgbClr val="FF0000"/>
                            </a:solidFill>
                            <a:miter lim="800000"/>
                          </a:ln>
                        </wps:spPr>
                        <wps:txbx>
                          <w:txbxContent>
                            <w:p>
                              <w:pPr>
                                <w:jc w:val="center"/>
                                <w:rPr>
                                  <w:sz w:val="23"/>
                                </w:rPr>
                              </w:pPr>
                              <w:r>
                                <w:rPr>
                                  <w:rFonts w:hint="eastAsia"/>
                                  <w:sz w:val="23"/>
                                </w:rPr>
                                <w:t>BAF</w:t>
                              </w:r>
                              <w:r>
                                <w:rPr>
                                  <w:rFonts w:hint="eastAsia" w:ascii="仿宋_GB2312" w:eastAsia="仿宋_GB2312"/>
                                  <w:sz w:val="23"/>
                                </w:rPr>
                                <w:t>滤池</w:t>
                              </w:r>
                            </w:p>
                          </w:txbxContent>
                        </wps:txbx>
                        <wps:bodyPr rot="0" vert="horz" wrap="square" lIns="85954" tIns="42977" rIns="85954" bIns="42977" anchor="t" anchorCtr="0" upright="1">
                          <a:noAutofit/>
                        </wps:bodyPr>
                      </wps:wsp>
                      <wps:wsp>
                        <wps:cNvPr id="104" name="Rectangle 129"/>
                        <wps:cNvSpPr>
                          <a:spLocks noChangeArrowheads="1"/>
                        </wps:cNvSpPr>
                        <wps:spPr bwMode="auto">
                          <a:xfrm>
                            <a:off x="2368195" y="6222365"/>
                            <a:ext cx="1096645" cy="269240"/>
                          </a:xfrm>
                          <a:prstGeom prst="rect">
                            <a:avLst/>
                          </a:prstGeom>
                          <a:solidFill>
                            <a:srgbClr val="FFFFFF"/>
                          </a:solidFill>
                          <a:ln w="19050">
                            <a:solidFill>
                              <a:srgbClr val="00B0F0"/>
                            </a:solidFill>
                            <a:miter lim="800000"/>
                          </a:ln>
                        </wps:spPr>
                        <wps:txbx>
                          <w:txbxContent>
                            <w:p>
                              <w:pPr>
                                <w:jc w:val="center"/>
                                <w:rPr>
                                  <w:sz w:val="23"/>
                                </w:rPr>
                              </w:pPr>
                              <w:r>
                                <w:rPr>
                                  <w:rFonts w:hint="eastAsia" w:ascii="仿宋_GB2312" w:eastAsia="仿宋_GB2312"/>
                                  <w:sz w:val="23"/>
                                </w:rPr>
                                <w:t>中间提升池</w:t>
                              </w:r>
                              <w:r>
                                <w:rPr>
                                  <w:rFonts w:hint="eastAsia"/>
                                  <w:sz w:val="23"/>
                                </w:rPr>
                                <w:t>2</w:t>
                              </w:r>
                            </w:p>
                          </w:txbxContent>
                        </wps:txbx>
                        <wps:bodyPr rot="0" vert="horz" wrap="square" lIns="85954" tIns="42977" rIns="85954" bIns="42977" anchor="t" anchorCtr="0" upright="1">
                          <a:noAutofit/>
                        </wps:bodyPr>
                      </wps:wsp>
                      <wps:wsp>
                        <wps:cNvPr id="105" name="AutoShape 130"/>
                        <wps:cNvCnPr/>
                        <wps:spPr bwMode="auto">
                          <a:xfrm>
                            <a:off x="2812660" y="168271"/>
                            <a:ext cx="1905" cy="557517"/>
                          </a:xfrm>
                          <a:prstGeom prst="straightConnector1">
                            <a:avLst/>
                          </a:prstGeom>
                          <a:noFill/>
                          <a:ln w="9525">
                            <a:solidFill>
                              <a:srgbClr val="000000"/>
                            </a:solidFill>
                            <a:prstDash val="dash"/>
                            <a:round/>
                            <a:tailEnd type="triangle" w="med" len="med"/>
                          </a:ln>
                        </wps:spPr>
                        <wps:bodyPr/>
                      </wps:wsp>
                      <wps:wsp>
                        <wps:cNvPr id="106" name="AutoShape 131"/>
                        <wps:cNvCnPr/>
                        <wps:spPr bwMode="auto">
                          <a:xfrm>
                            <a:off x="2814600" y="998855"/>
                            <a:ext cx="5080" cy="211455"/>
                          </a:xfrm>
                          <a:prstGeom prst="straightConnector1">
                            <a:avLst/>
                          </a:prstGeom>
                          <a:noFill/>
                          <a:ln w="9525">
                            <a:solidFill>
                              <a:srgbClr val="000000"/>
                            </a:solidFill>
                            <a:prstDash val="dash"/>
                            <a:round/>
                            <a:tailEnd type="triangle" w="med" len="med"/>
                          </a:ln>
                        </wps:spPr>
                        <wps:bodyPr/>
                      </wps:wsp>
                      <wps:wsp>
                        <wps:cNvPr id="107" name="AutoShape 132"/>
                        <wps:cNvCnPr/>
                        <wps:spPr bwMode="auto">
                          <a:xfrm>
                            <a:off x="2831745" y="1514475"/>
                            <a:ext cx="5715" cy="211455"/>
                          </a:xfrm>
                          <a:prstGeom prst="straightConnector1">
                            <a:avLst/>
                          </a:prstGeom>
                          <a:noFill/>
                          <a:ln w="9525">
                            <a:solidFill>
                              <a:srgbClr val="000000"/>
                            </a:solidFill>
                            <a:prstDash val="dash"/>
                            <a:round/>
                            <a:tailEnd type="triangle" w="med" len="med"/>
                          </a:ln>
                        </wps:spPr>
                        <wps:bodyPr/>
                      </wps:wsp>
                      <wps:wsp>
                        <wps:cNvPr id="108" name="AutoShape 134"/>
                        <wps:cNvCnPr/>
                        <wps:spPr bwMode="auto">
                          <a:xfrm>
                            <a:off x="2851430" y="1987550"/>
                            <a:ext cx="5080" cy="211455"/>
                          </a:xfrm>
                          <a:prstGeom prst="straightConnector1">
                            <a:avLst/>
                          </a:prstGeom>
                          <a:noFill/>
                          <a:ln w="9525">
                            <a:solidFill>
                              <a:srgbClr val="000000"/>
                            </a:solidFill>
                            <a:round/>
                            <a:tailEnd type="triangle" w="med" len="med"/>
                          </a:ln>
                        </wps:spPr>
                        <wps:bodyPr/>
                      </wps:wsp>
                      <wps:wsp>
                        <wps:cNvPr id="109" name="AutoShape 135"/>
                        <wps:cNvCnPr/>
                        <wps:spPr bwMode="auto">
                          <a:xfrm>
                            <a:off x="2856510" y="2506980"/>
                            <a:ext cx="5715" cy="211455"/>
                          </a:xfrm>
                          <a:prstGeom prst="straightConnector1">
                            <a:avLst/>
                          </a:prstGeom>
                          <a:noFill/>
                          <a:ln w="9525">
                            <a:solidFill>
                              <a:srgbClr val="000000"/>
                            </a:solidFill>
                            <a:round/>
                            <a:tailEnd type="triangle" w="med" len="med"/>
                          </a:ln>
                        </wps:spPr>
                        <wps:bodyPr/>
                      </wps:wsp>
                      <wps:wsp>
                        <wps:cNvPr id="110" name="AutoShape 136"/>
                        <wps:cNvCnPr/>
                        <wps:spPr bwMode="auto">
                          <a:xfrm>
                            <a:off x="2862225" y="2988310"/>
                            <a:ext cx="5080" cy="211455"/>
                          </a:xfrm>
                          <a:prstGeom prst="straightConnector1">
                            <a:avLst/>
                          </a:prstGeom>
                          <a:noFill/>
                          <a:ln w="9525">
                            <a:solidFill>
                              <a:srgbClr val="000000"/>
                            </a:solidFill>
                            <a:round/>
                            <a:tailEnd type="triangle" w="med" len="med"/>
                          </a:ln>
                        </wps:spPr>
                        <wps:bodyPr/>
                      </wps:wsp>
                      <wps:wsp>
                        <wps:cNvPr id="111" name="AutoShape 137"/>
                        <wps:cNvCnPr>
                          <a:cxnSpLocks noChangeShapeType="1"/>
                        </wps:cNvCnPr>
                        <wps:spPr bwMode="auto">
                          <a:xfrm>
                            <a:off x="2867305" y="3490595"/>
                            <a:ext cx="5080" cy="212090"/>
                          </a:xfrm>
                          <a:prstGeom prst="straightConnector1">
                            <a:avLst/>
                          </a:prstGeom>
                          <a:noFill/>
                          <a:ln w="9525">
                            <a:solidFill>
                              <a:srgbClr val="000000"/>
                            </a:solidFill>
                            <a:round/>
                            <a:tailEnd type="triangle" w="med" len="med"/>
                          </a:ln>
                        </wps:spPr>
                        <wps:bodyPr/>
                      </wps:wsp>
                      <wps:wsp>
                        <wps:cNvPr id="112" name="AutoShape 138"/>
                        <wps:cNvCnPr>
                          <a:cxnSpLocks noChangeShapeType="1"/>
                        </wps:cNvCnPr>
                        <wps:spPr bwMode="auto">
                          <a:xfrm>
                            <a:off x="2878100" y="4014470"/>
                            <a:ext cx="5080" cy="212090"/>
                          </a:xfrm>
                          <a:prstGeom prst="straightConnector1">
                            <a:avLst/>
                          </a:prstGeom>
                          <a:noFill/>
                          <a:ln w="9525">
                            <a:solidFill>
                              <a:srgbClr val="000000"/>
                            </a:solidFill>
                            <a:round/>
                            <a:tailEnd type="triangle" w="med" len="med"/>
                          </a:ln>
                        </wps:spPr>
                        <wps:bodyPr/>
                      </wps:wsp>
                      <wps:wsp>
                        <wps:cNvPr id="113" name="AutoShape 139"/>
                        <wps:cNvCnPr/>
                        <wps:spPr bwMode="auto">
                          <a:xfrm>
                            <a:off x="2902230" y="4508500"/>
                            <a:ext cx="5715" cy="211455"/>
                          </a:xfrm>
                          <a:prstGeom prst="straightConnector1">
                            <a:avLst/>
                          </a:prstGeom>
                          <a:noFill/>
                          <a:ln w="9525">
                            <a:solidFill>
                              <a:srgbClr val="000000"/>
                            </a:solidFill>
                            <a:prstDash val="dash"/>
                            <a:round/>
                            <a:tailEnd type="triangle" w="med" len="med"/>
                          </a:ln>
                        </wps:spPr>
                        <wps:bodyPr/>
                      </wps:wsp>
                      <wps:wsp>
                        <wps:cNvPr id="114" name="AutoShape 140"/>
                        <wps:cNvCnPr/>
                        <wps:spPr bwMode="auto">
                          <a:xfrm>
                            <a:off x="2907945" y="5057140"/>
                            <a:ext cx="5080" cy="211455"/>
                          </a:xfrm>
                          <a:prstGeom prst="straightConnector1">
                            <a:avLst/>
                          </a:prstGeom>
                          <a:noFill/>
                          <a:ln w="9525">
                            <a:solidFill>
                              <a:srgbClr val="000000"/>
                            </a:solidFill>
                            <a:prstDash val="dash"/>
                            <a:round/>
                            <a:tailEnd type="triangle" w="med" len="med"/>
                          </a:ln>
                        </wps:spPr>
                        <wps:bodyPr/>
                      </wps:wsp>
                      <wps:wsp>
                        <wps:cNvPr id="115" name="AutoShape 141"/>
                        <wps:cNvCnPr>
                          <a:cxnSpLocks noChangeShapeType="1"/>
                          <a:endCxn id="102" idx="0"/>
                        </wps:cNvCnPr>
                        <wps:spPr bwMode="auto">
                          <a:xfrm>
                            <a:off x="2912988" y="5531356"/>
                            <a:ext cx="2577" cy="219204"/>
                          </a:xfrm>
                          <a:prstGeom prst="straightConnector1">
                            <a:avLst/>
                          </a:prstGeom>
                          <a:noFill/>
                          <a:ln w="9525">
                            <a:solidFill>
                              <a:srgbClr val="000000"/>
                            </a:solidFill>
                            <a:prstDash val="dash"/>
                            <a:round/>
                            <a:tailEnd type="triangle" w="med" len="med"/>
                          </a:ln>
                        </wps:spPr>
                        <wps:bodyPr/>
                      </wps:wsp>
                      <wps:wsp>
                        <wps:cNvPr id="116" name="AutoShape 142"/>
                        <wps:cNvCnPr>
                          <a:cxnSpLocks noChangeShapeType="1"/>
                          <a:stCxn id="102" idx="2"/>
                          <a:endCxn id="104" idx="0"/>
                        </wps:cNvCnPr>
                        <wps:spPr bwMode="auto">
                          <a:xfrm>
                            <a:off x="2915565" y="6021070"/>
                            <a:ext cx="953" cy="201295"/>
                          </a:xfrm>
                          <a:prstGeom prst="straightConnector1">
                            <a:avLst/>
                          </a:prstGeom>
                          <a:noFill/>
                          <a:ln w="9525">
                            <a:solidFill>
                              <a:srgbClr val="000000"/>
                            </a:solidFill>
                            <a:round/>
                            <a:tailEnd type="triangle" w="med" len="med"/>
                          </a:ln>
                        </wps:spPr>
                        <wps:bodyPr/>
                      </wps:wsp>
                      <wps:wsp>
                        <wps:cNvPr id="117" name="AutoShape 143"/>
                        <wps:cNvCnPr>
                          <a:cxnSpLocks noChangeShapeType="1"/>
                          <a:stCxn id="104" idx="2"/>
                          <a:endCxn id="103" idx="0"/>
                        </wps:cNvCnPr>
                        <wps:spPr bwMode="auto">
                          <a:xfrm flipH="1">
                            <a:off x="2912390" y="6491605"/>
                            <a:ext cx="4128" cy="163830"/>
                          </a:xfrm>
                          <a:prstGeom prst="straightConnector1">
                            <a:avLst/>
                          </a:prstGeom>
                          <a:noFill/>
                          <a:ln w="9525">
                            <a:solidFill>
                              <a:srgbClr val="000000"/>
                            </a:solidFill>
                            <a:round/>
                            <a:tailEnd type="triangle" w="med" len="med"/>
                          </a:ln>
                        </wps:spPr>
                        <wps:bodyPr/>
                      </wps:wsp>
                      <wps:wsp>
                        <wps:cNvPr id="118" name="Rectangle 144"/>
                        <wps:cNvSpPr>
                          <a:spLocks noChangeArrowheads="1"/>
                        </wps:cNvSpPr>
                        <wps:spPr bwMode="auto">
                          <a:xfrm>
                            <a:off x="1598818" y="5184246"/>
                            <a:ext cx="340817" cy="730780"/>
                          </a:xfrm>
                          <a:prstGeom prst="rect">
                            <a:avLst/>
                          </a:prstGeom>
                          <a:solidFill>
                            <a:srgbClr val="FFFFFF"/>
                          </a:solidFill>
                          <a:ln w="9525">
                            <a:solidFill>
                              <a:srgbClr val="000000"/>
                            </a:solidFill>
                            <a:prstDash val="dash"/>
                            <a:miter lim="800000"/>
                          </a:ln>
                        </wps:spPr>
                        <wps:txbx>
                          <w:txbxContent>
                            <w:p>
                              <w:pPr>
                                <w:jc w:val="center"/>
                                <w:rPr>
                                  <w:sz w:val="23"/>
                                </w:rPr>
                              </w:pPr>
                              <w:r>
                                <w:rPr>
                                  <w:rFonts w:hint="eastAsia" w:ascii="仿宋_GB2312" w:eastAsia="仿宋_GB2312"/>
                                  <w:sz w:val="23"/>
                                </w:rPr>
                                <w:t>污泥贮池</w:t>
                              </w:r>
                            </w:p>
                          </w:txbxContent>
                        </wps:txbx>
                        <wps:bodyPr rot="0" vert="eaVert" wrap="square" lIns="85954" tIns="42977" rIns="85954" bIns="42977" anchor="t" anchorCtr="0" upright="1">
                          <a:noAutofit/>
                        </wps:bodyPr>
                      </wps:wsp>
                      <wps:wsp>
                        <wps:cNvPr id="119" name="Rectangle 146"/>
                        <wps:cNvSpPr>
                          <a:spLocks noChangeArrowheads="1"/>
                        </wps:cNvSpPr>
                        <wps:spPr bwMode="auto">
                          <a:xfrm>
                            <a:off x="408583" y="4538761"/>
                            <a:ext cx="382727" cy="1952692"/>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污泥外运至有资质处理单位</w:t>
                              </w:r>
                            </w:p>
                          </w:txbxContent>
                        </wps:txbx>
                        <wps:bodyPr rot="0" vert="eaVert" wrap="square" lIns="85954" tIns="42977" rIns="85954" bIns="42977" anchor="t" anchorCtr="0" upright="1">
                          <a:noAutofit/>
                        </wps:bodyPr>
                      </wps:wsp>
                      <wps:wsp>
                        <wps:cNvPr id="120" name="AutoShape 147"/>
                        <wps:cNvCnPr/>
                        <wps:spPr bwMode="auto">
                          <a:xfrm flipH="1">
                            <a:off x="1933220" y="5447665"/>
                            <a:ext cx="289560" cy="8255"/>
                          </a:xfrm>
                          <a:prstGeom prst="straightConnector1">
                            <a:avLst/>
                          </a:prstGeom>
                          <a:noFill/>
                          <a:ln w="9525">
                            <a:solidFill>
                              <a:srgbClr val="000000"/>
                            </a:solidFill>
                            <a:prstDash val="dash"/>
                            <a:round/>
                            <a:tailEnd type="triangle" w="med" len="med"/>
                          </a:ln>
                        </wps:spPr>
                        <wps:bodyPr/>
                      </wps:wsp>
                      <wps:wsp>
                        <wps:cNvPr id="121" name="AutoShape 148"/>
                        <wps:cNvCnPr/>
                        <wps:spPr bwMode="auto">
                          <a:xfrm flipH="1">
                            <a:off x="1325512" y="5464682"/>
                            <a:ext cx="273288" cy="0"/>
                          </a:xfrm>
                          <a:prstGeom prst="straightConnector1">
                            <a:avLst/>
                          </a:prstGeom>
                          <a:noFill/>
                          <a:ln w="9525">
                            <a:solidFill>
                              <a:srgbClr val="000000"/>
                            </a:solidFill>
                            <a:prstDash val="dash"/>
                            <a:round/>
                            <a:tailEnd type="triangle" w="med" len="med"/>
                          </a:ln>
                        </wps:spPr>
                        <wps:bodyPr/>
                      </wps:wsp>
                      <wps:wsp>
                        <wps:cNvPr id="122" name="AutoShape 149"/>
                        <wps:cNvCnPr/>
                        <wps:spPr bwMode="auto">
                          <a:xfrm flipH="1">
                            <a:off x="789876" y="5447531"/>
                            <a:ext cx="180837" cy="0"/>
                          </a:xfrm>
                          <a:prstGeom prst="straightConnector1">
                            <a:avLst/>
                          </a:prstGeom>
                          <a:noFill/>
                          <a:ln w="9525">
                            <a:solidFill>
                              <a:srgbClr val="000000"/>
                            </a:solidFill>
                            <a:prstDash val="dash"/>
                            <a:round/>
                            <a:tailEnd type="triangle" w="med" len="med"/>
                          </a:ln>
                        </wps:spPr>
                        <wps:bodyPr/>
                      </wps:wsp>
                      <wps:wsp>
                        <wps:cNvPr id="123" name="AutoShape 150"/>
                        <wps:cNvCnPr>
                          <a:cxnSpLocks noChangeShapeType="1"/>
                        </wps:cNvCnPr>
                        <wps:spPr bwMode="auto">
                          <a:xfrm flipH="1">
                            <a:off x="1774390" y="4405527"/>
                            <a:ext cx="468049" cy="0"/>
                          </a:xfrm>
                          <a:prstGeom prst="straightConnector1">
                            <a:avLst/>
                          </a:prstGeom>
                          <a:noFill/>
                          <a:ln w="9525">
                            <a:solidFill>
                              <a:srgbClr val="000000"/>
                            </a:solidFill>
                            <a:prstDash val="dash"/>
                            <a:round/>
                          </a:ln>
                        </wps:spPr>
                        <wps:bodyPr/>
                      </wps:wsp>
                      <wps:wsp>
                        <wps:cNvPr id="124" name="AutoShape 151"/>
                        <wps:cNvCnPr>
                          <a:cxnSpLocks noChangeShapeType="1"/>
                        </wps:cNvCnPr>
                        <wps:spPr bwMode="auto">
                          <a:xfrm>
                            <a:off x="1757236" y="1432175"/>
                            <a:ext cx="17174" cy="3752223"/>
                          </a:xfrm>
                          <a:prstGeom prst="straightConnector1">
                            <a:avLst/>
                          </a:prstGeom>
                          <a:noFill/>
                          <a:ln w="9525">
                            <a:solidFill>
                              <a:srgbClr val="000000"/>
                            </a:solidFill>
                            <a:prstDash val="dash"/>
                            <a:round/>
                            <a:tailEnd type="triangle" w="med" len="med"/>
                          </a:ln>
                        </wps:spPr>
                        <wps:bodyPr/>
                      </wps:wsp>
                      <wps:wsp>
                        <wps:cNvPr id="125" name="AutoShape 152"/>
                        <wps:cNvCnPr/>
                        <wps:spPr bwMode="auto">
                          <a:xfrm>
                            <a:off x="2059126" y="4474740"/>
                            <a:ext cx="0" cy="989809"/>
                          </a:xfrm>
                          <a:prstGeom prst="straightConnector1">
                            <a:avLst/>
                          </a:prstGeom>
                          <a:noFill/>
                          <a:ln w="9525">
                            <a:solidFill>
                              <a:srgbClr val="000000"/>
                            </a:solidFill>
                            <a:prstDash val="dash"/>
                            <a:round/>
                          </a:ln>
                        </wps:spPr>
                        <wps:bodyPr/>
                      </wps:wsp>
                      <wps:wsp>
                        <wps:cNvPr id="126" name="AutoShape 153"/>
                        <wps:cNvCnPr/>
                        <wps:spPr bwMode="auto">
                          <a:xfrm>
                            <a:off x="2053235" y="4474210"/>
                            <a:ext cx="189230" cy="635"/>
                          </a:xfrm>
                          <a:prstGeom prst="straightConnector1">
                            <a:avLst/>
                          </a:prstGeom>
                          <a:noFill/>
                          <a:ln w="9525">
                            <a:solidFill>
                              <a:srgbClr val="000000"/>
                            </a:solidFill>
                            <a:prstDash val="dash"/>
                            <a:round/>
                            <a:tailEnd type="triangle" w="med" len="med"/>
                          </a:ln>
                        </wps:spPr>
                        <wps:bodyPr/>
                      </wps:wsp>
                      <wps:wsp>
                        <wps:cNvPr id="127" name="AutoShape 154"/>
                        <wps:cNvCnPr>
                          <a:stCxn id="92" idx="3"/>
                          <a:endCxn id="167" idx="1"/>
                        </wps:cNvCnPr>
                        <wps:spPr bwMode="auto">
                          <a:xfrm flipV="1">
                            <a:off x="3176550" y="857885"/>
                            <a:ext cx="380365" cy="1270"/>
                          </a:xfrm>
                          <a:prstGeom prst="straightConnector1">
                            <a:avLst/>
                          </a:prstGeom>
                          <a:noFill/>
                          <a:ln w="9525">
                            <a:solidFill>
                              <a:srgbClr val="000000"/>
                            </a:solidFill>
                            <a:prstDash val="dash"/>
                            <a:round/>
                            <a:tailEnd type="triangle" w="med" len="med"/>
                          </a:ln>
                        </wps:spPr>
                        <wps:bodyPr/>
                      </wps:wsp>
                      <wps:wsp>
                        <wps:cNvPr id="128" name="AutoShape 156"/>
                        <wps:cNvCnPr>
                          <a:cxnSpLocks noChangeShapeType="1"/>
                        </wps:cNvCnPr>
                        <wps:spPr bwMode="auto">
                          <a:xfrm flipH="1">
                            <a:off x="1774410" y="1432209"/>
                            <a:ext cx="341031" cy="0"/>
                          </a:xfrm>
                          <a:prstGeom prst="straightConnector1">
                            <a:avLst/>
                          </a:prstGeom>
                          <a:noFill/>
                          <a:ln w="9525">
                            <a:solidFill>
                              <a:srgbClr val="000000"/>
                            </a:solidFill>
                            <a:prstDash val="dash"/>
                            <a:round/>
                          </a:ln>
                        </wps:spPr>
                        <wps:bodyPr/>
                      </wps:wsp>
                      <wps:wsp>
                        <wps:cNvPr id="129" name="Rectangle 157"/>
                        <wps:cNvSpPr>
                          <a:spLocks noChangeArrowheads="1"/>
                        </wps:cNvSpPr>
                        <wps:spPr bwMode="auto">
                          <a:xfrm>
                            <a:off x="4349337" y="4608081"/>
                            <a:ext cx="393329" cy="609600"/>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鼓风机</w:t>
                              </w:r>
                            </w:p>
                          </w:txbxContent>
                        </wps:txbx>
                        <wps:bodyPr rot="0" vert="eaVert" wrap="square" lIns="85954" tIns="42977" rIns="85954" bIns="42977" anchor="t" anchorCtr="0" upright="1">
                          <a:noAutofit/>
                        </wps:bodyPr>
                      </wps:wsp>
                      <wps:wsp>
                        <wps:cNvPr id="130" name="AutoShape 158"/>
                        <wps:cNvCnPr/>
                        <wps:spPr bwMode="auto">
                          <a:xfrm flipH="1">
                            <a:off x="3685185" y="4912995"/>
                            <a:ext cx="664210" cy="8890"/>
                          </a:xfrm>
                          <a:prstGeom prst="straightConnector1">
                            <a:avLst/>
                          </a:prstGeom>
                          <a:noFill/>
                          <a:ln w="9525">
                            <a:solidFill>
                              <a:srgbClr val="000000"/>
                            </a:solidFill>
                            <a:prstDash val="dash"/>
                            <a:round/>
                            <a:tailEnd type="triangle" w="med" len="med"/>
                          </a:ln>
                        </wps:spPr>
                        <wps:bodyPr/>
                      </wps:wsp>
                      <wps:wsp>
                        <wps:cNvPr id="131" name="AutoShape 159"/>
                        <wps:cNvCnPr>
                          <a:cxnSpLocks noChangeShapeType="1"/>
                        </wps:cNvCnPr>
                        <wps:spPr bwMode="auto">
                          <a:xfrm>
                            <a:off x="2047034" y="6717490"/>
                            <a:ext cx="276860" cy="635"/>
                          </a:xfrm>
                          <a:prstGeom prst="straightConnector1">
                            <a:avLst/>
                          </a:prstGeom>
                          <a:noFill/>
                          <a:ln w="9525">
                            <a:solidFill>
                              <a:srgbClr val="000000"/>
                            </a:solidFill>
                            <a:round/>
                            <a:tailEnd type="triangle" w="med" len="med"/>
                          </a:ln>
                        </wps:spPr>
                        <wps:bodyPr/>
                      </wps:wsp>
                      <wps:wsp>
                        <wps:cNvPr id="132" name="AutoShape 160"/>
                        <wps:cNvCnPr/>
                        <wps:spPr bwMode="auto">
                          <a:xfrm flipH="1" flipV="1">
                            <a:off x="3675613" y="2852982"/>
                            <a:ext cx="400044" cy="562"/>
                          </a:xfrm>
                          <a:prstGeom prst="straightConnector1">
                            <a:avLst/>
                          </a:prstGeom>
                          <a:noFill/>
                          <a:ln w="9525">
                            <a:solidFill>
                              <a:srgbClr val="000000"/>
                            </a:solidFill>
                            <a:round/>
                            <a:tailEnd type="triangle" w="med" len="med"/>
                          </a:ln>
                        </wps:spPr>
                        <wps:bodyPr/>
                      </wps:wsp>
                      <wps:wsp>
                        <wps:cNvPr id="133" name="Rectangle 161"/>
                        <wps:cNvSpPr>
                          <a:spLocks noChangeArrowheads="1"/>
                        </wps:cNvSpPr>
                        <wps:spPr bwMode="auto">
                          <a:xfrm>
                            <a:off x="4075392" y="2615715"/>
                            <a:ext cx="855270" cy="507045"/>
                          </a:xfrm>
                          <a:prstGeom prst="rect">
                            <a:avLst/>
                          </a:prstGeom>
                          <a:solidFill>
                            <a:srgbClr val="FFFFFF"/>
                          </a:solidFill>
                          <a:ln w="19050">
                            <a:solidFill>
                              <a:srgbClr val="000000"/>
                            </a:solidFill>
                            <a:miter lim="800000"/>
                          </a:ln>
                        </wps:spPr>
                        <wps:txbx>
                          <w:txbxContent>
                            <w:p>
                              <w:pPr>
                                <w:jc w:val="center"/>
                                <w:rPr>
                                  <w:rFonts w:ascii="仿宋_GB2312" w:eastAsia="仿宋_GB2312"/>
                                  <w:sz w:val="23"/>
                                </w:rPr>
                              </w:pPr>
                              <w:r>
                                <w:rPr>
                                  <w:rFonts w:hint="eastAsia" w:ascii="仿宋_GB2312" w:eastAsia="仿宋_GB2312"/>
                                  <w:sz w:val="23"/>
                                </w:rPr>
                                <w:t>絮凝药剂、中和药剂</w:t>
                              </w:r>
                            </w:p>
                          </w:txbxContent>
                        </wps:txbx>
                        <wps:bodyPr rot="0" vert="horz" wrap="square" lIns="85954" tIns="42977" rIns="85954" bIns="42977" anchor="t" anchorCtr="0" upright="1">
                          <a:noAutofit/>
                        </wps:bodyPr>
                      </wps:wsp>
                      <wps:wsp>
                        <wps:cNvPr id="134" name="AutoShape 162"/>
                        <wps:cNvCnPr>
                          <a:cxnSpLocks noChangeShapeType="1"/>
                        </wps:cNvCnPr>
                        <wps:spPr bwMode="auto">
                          <a:xfrm flipH="1">
                            <a:off x="1774410" y="2853471"/>
                            <a:ext cx="436861" cy="0"/>
                          </a:xfrm>
                          <a:prstGeom prst="straightConnector1">
                            <a:avLst/>
                          </a:prstGeom>
                          <a:noFill/>
                          <a:ln w="9525">
                            <a:solidFill>
                              <a:srgbClr val="000000"/>
                            </a:solidFill>
                            <a:round/>
                          </a:ln>
                        </wps:spPr>
                        <wps:bodyPr/>
                      </wps:wsp>
                      <wps:wsp>
                        <wps:cNvPr id="135" name="AutoShape 163"/>
                        <wps:cNvCnPr/>
                        <wps:spPr bwMode="auto">
                          <a:xfrm flipH="1">
                            <a:off x="3674343" y="2318960"/>
                            <a:ext cx="375437" cy="1"/>
                          </a:xfrm>
                          <a:prstGeom prst="straightConnector1">
                            <a:avLst/>
                          </a:prstGeom>
                          <a:noFill/>
                          <a:ln w="9525">
                            <a:solidFill>
                              <a:srgbClr val="000000"/>
                            </a:solidFill>
                            <a:round/>
                            <a:tailEnd type="triangle" w="med" len="med"/>
                          </a:ln>
                        </wps:spPr>
                        <wps:bodyPr/>
                      </wps:wsp>
                      <wps:wsp>
                        <wps:cNvPr id="136" name="Rectangle 164"/>
                        <wps:cNvSpPr>
                          <a:spLocks noChangeArrowheads="1"/>
                        </wps:cNvSpPr>
                        <wps:spPr bwMode="auto">
                          <a:xfrm>
                            <a:off x="4067032" y="2175723"/>
                            <a:ext cx="1288312" cy="287655"/>
                          </a:xfrm>
                          <a:prstGeom prst="rect">
                            <a:avLst/>
                          </a:prstGeom>
                          <a:solidFill>
                            <a:srgbClr val="FFFFFF"/>
                          </a:solidFill>
                          <a:ln w="19050">
                            <a:solidFill>
                              <a:srgbClr val="000000"/>
                            </a:solidFill>
                            <a:miter lim="800000"/>
                          </a:ln>
                        </wps:spPr>
                        <wps:txbx>
                          <w:txbxContent>
                            <w:p>
                              <w:pPr>
                                <w:rPr>
                                  <w:sz w:val="23"/>
                                </w:rPr>
                              </w:pPr>
                              <w:r>
                                <w:rPr>
                                  <w:rFonts w:hint="eastAsia" w:ascii="仿宋_GB2312" w:eastAsia="仿宋_GB2312"/>
                                  <w:sz w:val="23"/>
                                </w:rPr>
                                <w:t>酸、双氧水</w:t>
                              </w:r>
                              <w:r>
                                <w:rPr>
                                  <w:rFonts w:hint="eastAsia"/>
                                  <w:sz w:val="23"/>
                                </w:rPr>
                                <w:t>、Fe</w:t>
                              </w:r>
                              <w:r>
                                <w:rPr>
                                  <w:rFonts w:hint="eastAsia"/>
                                  <w:sz w:val="23"/>
                                  <w:vertAlign w:val="superscript"/>
                                </w:rPr>
                                <w:t>2+</w:t>
                              </w:r>
                            </w:p>
                          </w:txbxContent>
                        </wps:txbx>
                        <wps:bodyPr rot="0" vert="horz" wrap="square" lIns="85954" tIns="42977" rIns="85954" bIns="42977" anchor="t" anchorCtr="0" upright="1">
                          <a:noAutofit/>
                        </wps:bodyPr>
                      </wps:wsp>
                      <wps:wsp>
                        <wps:cNvPr id="137" name="AutoShape 165"/>
                        <wps:cNvCnPr>
                          <a:stCxn id="103" idx="2"/>
                          <a:endCxn id="160" idx="0"/>
                        </wps:cNvCnPr>
                        <wps:spPr bwMode="auto">
                          <a:xfrm>
                            <a:off x="2912390" y="6924675"/>
                            <a:ext cx="3175" cy="146050"/>
                          </a:xfrm>
                          <a:prstGeom prst="straightConnector1">
                            <a:avLst/>
                          </a:prstGeom>
                          <a:noFill/>
                          <a:ln w="9525">
                            <a:solidFill>
                              <a:srgbClr val="000000"/>
                            </a:solidFill>
                            <a:round/>
                            <a:tailEnd type="triangle" w="med" len="med"/>
                          </a:ln>
                        </wps:spPr>
                        <wps:bodyPr/>
                      </wps:wsp>
                      <wpg:wgp>
                        <wpg:cNvPr id="1" name="组合 1"/>
                        <wpg:cNvGrpSpPr/>
                        <wpg:grpSpPr>
                          <a:xfrm>
                            <a:off x="342545" y="7302561"/>
                            <a:ext cx="1383665" cy="658260"/>
                            <a:chOff x="33655" y="7302561"/>
                            <a:chExt cx="1383665" cy="658260"/>
                          </a:xfrm>
                        </wpg:grpSpPr>
                        <wps:wsp>
                          <wps:cNvPr id="139" name="Rectangle 167"/>
                          <wps:cNvSpPr>
                            <a:spLocks noChangeArrowheads="1"/>
                          </wps:cNvSpPr>
                          <wps:spPr bwMode="auto">
                            <a:xfrm>
                              <a:off x="33655" y="7302561"/>
                              <a:ext cx="916171" cy="658260"/>
                            </a:xfrm>
                            <a:prstGeom prst="rect">
                              <a:avLst/>
                            </a:prstGeom>
                            <a:solidFill>
                              <a:srgbClr val="FFFFFF"/>
                            </a:solidFill>
                            <a:ln w="9525">
                              <a:solidFill>
                                <a:srgbClr val="FFFFFF"/>
                              </a:solidFill>
                              <a:miter lim="800000"/>
                            </a:ln>
                          </wps:spPr>
                          <wps:txbx>
                            <w:txbxContent>
                              <w:p>
                                <w:pPr>
                                  <w:rPr>
                                    <w:rFonts w:ascii="仿宋_GB2312" w:eastAsia="仿宋_GB2312"/>
                                    <w:sz w:val="17"/>
                                    <w:szCs w:val="18"/>
                                  </w:rPr>
                                </w:pPr>
                                <w:r>
                                  <w:rPr>
                                    <w:rFonts w:hint="eastAsia" w:ascii="仿宋_GB2312" w:eastAsia="仿宋_GB2312"/>
                                    <w:sz w:val="17"/>
                                    <w:szCs w:val="18"/>
                                  </w:rPr>
                                  <w:t>说明：</w:t>
                                </w:r>
                              </w:p>
                              <w:p>
                                <w:pPr>
                                  <w:rPr>
                                    <w:rFonts w:ascii="仿宋_GB2312" w:eastAsia="仿宋_GB2312"/>
                                    <w:sz w:val="17"/>
                                    <w:szCs w:val="18"/>
                                  </w:rPr>
                                </w:pPr>
                                <w:r>
                                  <w:rPr>
                                    <w:rFonts w:hint="eastAsia" w:ascii="仿宋_GB2312" w:eastAsia="仿宋_GB2312"/>
                                    <w:sz w:val="17"/>
                                    <w:szCs w:val="18"/>
                                  </w:rPr>
                                  <w:t>现有工艺单元：</w:t>
                                </w:r>
                              </w:p>
                              <w:p>
                                <w:pPr>
                                  <w:rPr>
                                    <w:sz w:val="17"/>
                                    <w:szCs w:val="18"/>
                                  </w:rPr>
                                </w:pPr>
                                <w:r>
                                  <w:rPr>
                                    <w:rFonts w:hint="eastAsia" w:ascii="仿宋_GB2312" w:eastAsia="仿宋_GB2312"/>
                                    <w:sz w:val="17"/>
                                    <w:szCs w:val="18"/>
                                  </w:rPr>
                                  <w:t>新增工艺单元</w:t>
                                </w:r>
                                <w:r>
                                  <w:rPr>
                                    <w:rFonts w:hint="eastAsia"/>
                                    <w:sz w:val="17"/>
                                    <w:szCs w:val="18"/>
                                  </w:rPr>
                                  <w:t>：</w:t>
                                </w:r>
                              </w:p>
                            </w:txbxContent>
                          </wps:txbx>
                          <wps:bodyPr rot="0" vert="horz" wrap="square" lIns="85954" tIns="42977" rIns="85954" bIns="42977" anchor="t" anchorCtr="0" upright="1">
                            <a:noAutofit/>
                          </wps:bodyPr>
                        </wps:wsp>
                        <wps:wsp>
                          <wps:cNvPr id="140" name="AutoShape 168"/>
                          <wps:cNvCnPr/>
                          <wps:spPr bwMode="auto">
                            <a:xfrm>
                              <a:off x="835158" y="7680459"/>
                              <a:ext cx="582162" cy="565"/>
                            </a:xfrm>
                            <a:prstGeom prst="straightConnector1">
                              <a:avLst/>
                            </a:prstGeom>
                            <a:noFill/>
                            <a:ln w="9525">
                              <a:solidFill>
                                <a:srgbClr val="000000"/>
                              </a:solidFill>
                              <a:prstDash val="dash"/>
                              <a:round/>
                            </a:ln>
                          </wps:spPr>
                          <wps:bodyPr/>
                        </wps:wsp>
                        <wps:wsp>
                          <wps:cNvPr id="141" name="AutoShape 169"/>
                          <wps:cNvCnPr/>
                          <wps:spPr bwMode="auto">
                            <a:xfrm>
                              <a:off x="835158" y="7829120"/>
                              <a:ext cx="582162" cy="565"/>
                            </a:xfrm>
                            <a:prstGeom prst="straightConnector1">
                              <a:avLst/>
                            </a:prstGeom>
                            <a:noFill/>
                            <a:ln w="9525">
                              <a:solidFill>
                                <a:srgbClr val="000000"/>
                              </a:solidFill>
                              <a:round/>
                            </a:ln>
                          </wps:spPr>
                          <wps:bodyPr/>
                        </wps:wsp>
                      </wpg:wgp>
                      <wps:wsp>
                        <wps:cNvPr id="142" name="Rectangle 170"/>
                        <wps:cNvSpPr>
                          <a:spLocks noChangeArrowheads="1"/>
                        </wps:cNvSpPr>
                        <wps:spPr bwMode="auto">
                          <a:xfrm>
                            <a:off x="2975255" y="31750"/>
                            <a:ext cx="1702435" cy="272415"/>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生活废水、初期雨水等</w:t>
                              </w:r>
                            </w:p>
                          </w:txbxContent>
                        </wps:txbx>
                        <wps:bodyPr rot="0" vert="horz" wrap="square" lIns="85954" tIns="42977" rIns="85954" bIns="42977" anchor="t" anchorCtr="0" upright="1">
                          <a:noAutofit/>
                        </wps:bodyPr>
                      </wps:wsp>
                      <wps:wsp>
                        <wps:cNvPr id="143" name="AutoShape 171"/>
                        <wps:cNvCnPr/>
                        <wps:spPr bwMode="auto">
                          <a:xfrm>
                            <a:off x="2699030" y="168275"/>
                            <a:ext cx="276225" cy="0"/>
                          </a:xfrm>
                          <a:prstGeom prst="straightConnector1">
                            <a:avLst/>
                          </a:prstGeom>
                          <a:noFill/>
                          <a:ln w="9525">
                            <a:solidFill>
                              <a:srgbClr val="000000"/>
                            </a:solidFill>
                            <a:prstDash val="dash"/>
                            <a:round/>
                          </a:ln>
                        </wps:spPr>
                        <wps:bodyPr/>
                      </wps:wsp>
                      <wps:wsp>
                        <wps:cNvPr id="144" name="Rectangle 174"/>
                        <wps:cNvSpPr>
                          <a:spLocks noChangeArrowheads="1"/>
                        </wps:cNvSpPr>
                        <wps:spPr bwMode="auto">
                          <a:xfrm>
                            <a:off x="2503765" y="7906485"/>
                            <a:ext cx="826770" cy="268605"/>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排水泵房</w:t>
                              </w:r>
                            </w:p>
                          </w:txbxContent>
                        </wps:txbx>
                        <wps:bodyPr rot="0" vert="horz" wrap="square" lIns="85954" tIns="42977" rIns="85954" bIns="42977" anchor="t" anchorCtr="0" upright="1">
                          <a:noAutofit/>
                        </wps:bodyPr>
                      </wps:wsp>
                      <wps:wsp>
                        <wps:cNvPr id="145" name="Rectangle 175"/>
                        <wps:cNvSpPr>
                          <a:spLocks noChangeArrowheads="1"/>
                        </wps:cNvSpPr>
                        <wps:spPr bwMode="auto">
                          <a:xfrm>
                            <a:off x="3571730" y="7906485"/>
                            <a:ext cx="718820" cy="268605"/>
                          </a:xfrm>
                          <a:prstGeom prst="rect">
                            <a:avLst/>
                          </a:prstGeom>
                          <a:solidFill>
                            <a:srgbClr val="FFFFFF"/>
                          </a:solidFill>
                          <a:ln w="9525">
                            <a:solidFill>
                              <a:srgbClr val="FFFFFF"/>
                            </a:solidFill>
                            <a:miter lim="800000"/>
                          </a:ln>
                        </wps:spPr>
                        <wps:txbx>
                          <w:txbxContent>
                            <w:p>
                              <w:pPr>
                                <w:jc w:val="center"/>
                                <w:rPr>
                                  <w:rFonts w:ascii="仿宋_GB2312" w:eastAsia="仿宋_GB2312"/>
                                  <w:sz w:val="23"/>
                                </w:rPr>
                              </w:pPr>
                              <w:r>
                                <w:rPr>
                                  <w:rFonts w:hint="eastAsia" w:ascii="仿宋_GB2312" w:eastAsia="仿宋_GB2312"/>
                                  <w:sz w:val="23"/>
                                </w:rPr>
                                <w:t>排放</w:t>
                              </w:r>
                            </w:p>
                          </w:txbxContent>
                        </wps:txbx>
                        <wps:bodyPr rot="0" vert="horz" wrap="square" lIns="85954" tIns="42977" rIns="85954" bIns="42977" anchor="t" anchorCtr="0" upright="1">
                          <a:noAutofit/>
                        </wps:bodyPr>
                      </wps:wsp>
                      <wps:wsp>
                        <wps:cNvPr id="146" name="AutoShape 177"/>
                        <wps:cNvCnPr>
                          <a:cxnSpLocks noChangeShapeType="1"/>
                        </wps:cNvCnPr>
                        <wps:spPr bwMode="auto">
                          <a:xfrm>
                            <a:off x="3356890" y="8034860"/>
                            <a:ext cx="325755" cy="635"/>
                          </a:xfrm>
                          <a:prstGeom prst="straightConnector1">
                            <a:avLst/>
                          </a:prstGeom>
                          <a:noFill/>
                          <a:ln w="9525">
                            <a:solidFill>
                              <a:srgbClr val="000000"/>
                            </a:solidFill>
                            <a:prstDash val="dashDot"/>
                            <a:round/>
                            <a:tailEnd type="triangle" w="med" len="med"/>
                          </a:ln>
                        </wps:spPr>
                        <wps:bodyPr/>
                      </wps:wsp>
                      <wps:wsp>
                        <wps:cNvPr id="147" name="AutoShape 179"/>
                        <wps:cNvCnPr>
                          <a:cxnSpLocks noChangeShapeType="1"/>
                        </wps:cNvCnPr>
                        <wps:spPr bwMode="auto">
                          <a:xfrm>
                            <a:off x="3519950" y="6799795"/>
                            <a:ext cx="546129" cy="3205"/>
                          </a:xfrm>
                          <a:prstGeom prst="straightConnector1">
                            <a:avLst/>
                          </a:prstGeom>
                          <a:noFill/>
                          <a:ln w="9525">
                            <a:solidFill>
                              <a:srgbClr val="000000"/>
                            </a:solidFill>
                            <a:round/>
                            <a:tailEnd type="triangle" w="med" len="med"/>
                          </a:ln>
                        </wps:spPr>
                        <wps:bodyPr/>
                      </wps:wsp>
                      <wps:wsp>
                        <wps:cNvPr id="148" name="AutoShape 180"/>
                        <wps:cNvCnPr>
                          <a:cxnSpLocks noChangeShapeType="1"/>
                        </wps:cNvCnPr>
                        <wps:spPr bwMode="auto">
                          <a:xfrm>
                            <a:off x="2066059" y="6878472"/>
                            <a:ext cx="0" cy="326853"/>
                          </a:xfrm>
                          <a:prstGeom prst="straightConnector1">
                            <a:avLst/>
                          </a:prstGeom>
                          <a:noFill/>
                          <a:ln w="9525">
                            <a:solidFill>
                              <a:srgbClr val="000000"/>
                            </a:solidFill>
                            <a:round/>
                          </a:ln>
                        </wps:spPr>
                        <wps:bodyPr/>
                      </wps:wsp>
                      <wps:wsp>
                        <wps:cNvPr id="149" name="AutoShape 181"/>
                        <wps:cNvCnPr>
                          <a:cxnSpLocks noChangeShapeType="1"/>
                          <a:stCxn id="160" idx="1"/>
                        </wps:cNvCnPr>
                        <wps:spPr bwMode="auto">
                          <a:xfrm flipH="1" flipV="1">
                            <a:off x="2059236" y="7205494"/>
                            <a:ext cx="328009" cy="169"/>
                          </a:xfrm>
                          <a:prstGeom prst="straightConnector1">
                            <a:avLst/>
                          </a:prstGeom>
                          <a:noFill/>
                          <a:ln w="9525">
                            <a:solidFill>
                              <a:srgbClr val="000000"/>
                            </a:solidFill>
                            <a:round/>
                          </a:ln>
                        </wps:spPr>
                        <wps:bodyPr/>
                      </wps:wsp>
                      <wps:wsp>
                        <wps:cNvPr id="150" name="Rectangle 182"/>
                        <wps:cNvSpPr>
                          <a:spLocks noChangeArrowheads="1"/>
                        </wps:cNvSpPr>
                        <wps:spPr bwMode="auto">
                          <a:xfrm>
                            <a:off x="3874415" y="5750560"/>
                            <a:ext cx="624840" cy="271780"/>
                          </a:xfrm>
                          <a:prstGeom prst="rect">
                            <a:avLst/>
                          </a:prstGeom>
                          <a:solidFill>
                            <a:srgbClr val="FFFFFF"/>
                          </a:solidFill>
                          <a:ln w="9525">
                            <a:solidFill>
                              <a:srgbClr val="000000"/>
                            </a:solidFill>
                            <a:miter lim="800000"/>
                          </a:ln>
                        </wps:spPr>
                        <wps:txbx>
                          <w:txbxContent>
                            <w:p>
                              <w:pPr>
                                <w:jc w:val="center"/>
                                <w:rPr>
                                  <w:rFonts w:ascii="仿宋_GB2312" w:eastAsia="仿宋_GB2312"/>
                                  <w:sz w:val="23"/>
                                </w:rPr>
                              </w:pPr>
                              <w:r>
                                <w:rPr>
                                  <w:rFonts w:hint="eastAsia" w:ascii="仿宋_GB2312" w:eastAsia="仿宋_GB2312"/>
                                  <w:sz w:val="23"/>
                                </w:rPr>
                                <w:t>臭氧</w:t>
                              </w:r>
                            </w:p>
                          </w:txbxContent>
                        </wps:txbx>
                        <wps:bodyPr rot="0" vert="horz" wrap="square" lIns="85954" tIns="42977" rIns="85954" bIns="42977" anchor="t" anchorCtr="0" upright="1">
                          <a:noAutofit/>
                        </wps:bodyPr>
                      </wps:wsp>
                      <wps:wsp>
                        <wps:cNvPr id="151" name="AutoShape 183"/>
                        <wps:cNvCnPr>
                          <a:cxnSpLocks noChangeShapeType="1"/>
                          <a:stCxn id="150" idx="1"/>
                          <a:endCxn id="102" idx="3"/>
                        </wps:cNvCnPr>
                        <wps:spPr bwMode="auto">
                          <a:xfrm flipH="1" flipV="1">
                            <a:off x="3579140" y="5885815"/>
                            <a:ext cx="295275" cy="635"/>
                          </a:xfrm>
                          <a:prstGeom prst="straightConnector1">
                            <a:avLst/>
                          </a:prstGeom>
                          <a:noFill/>
                          <a:ln w="9525">
                            <a:solidFill>
                              <a:srgbClr val="000000"/>
                            </a:solidFill>
                            <a:round/>
                            <a:tailEnd type="triangle" w="med" len="med"/>
                          </a:ln>
                        </wps:spPr>
                        <wps:bodyPr/>
                      </wps:wsp>
                      <wps:wsp>
                        <wps:cNvPr id="152" name="AutoShape 186"/>
                        <wps:cNvCnPr/>
                        <wps:spPr bwMode="auto">
                          <a:xfrm>
                            <a:off x="3445790" y="7194550"/>
                            <a:ext cx="408305" cy="635"/>
                          </a:xfrm>
                          <a:prstGeom prst="straightConnector1">
                            <a:avLst/>
                          </a:prstGeom>
                          <a:noFill/>
                          <a:ln w="9525">
                            <a:solidFill>
                              <a:srgbClr val="000000"/>
                            </a:solidFill>
                            <a:round/>
                            <a:headEnd type="triangle" w="med" len="med"/>
                          </a:ln>
                        </wps:spPr>
                        <wps:bodyPr/>
                      </wps:wsp>
                      <wps:wsp>
                        <wps:cNvPr id="153" name="AutoShape 187"/>
                        <wps:cNvCnPr>
                          <a:cxnSpLocks noChangeShapeType="1"/>
                        </wps:cNvCnPr>
                        <wps:spPr bwMode="auto">
                          <a:xfrm>
                            <a:off x="2059261" y="6869430"/>
                            <a:ext cx="276860" cy="635"/>
                          </a:xfrm>
                          <a:prstGeom prst="straightConnector1">
                            <a:avLst/>
                          </a:prstGeom>
                          <a:noFill/>
                          <a:ln w="9525">
                            <a:solidFill>
                              <a:srgbClr val="000000"/>
                            </a:solidFill>
                            <a:round/>
                            <a:tailEnd type="triangle" w="med" len="med"/>
                          </a:ln>
                        </wps:spPr>
                        <wps:bodyPr/>
                      </wps:wsp>
                      <wps:wsp>
                        <wps:cNvPr id="154" name="AutoShape 189"/>
                        <wps:cNvCnPr/>
                        <wps:spPr bwMode="auto">
                          <a:xfrm>
                            <a:off x="3088285" y="4608195"/>
                            <a:ext cx="5080" cy="135890"/>
                          </a:xfrm>
                          <a:prstGeom prst="straightConnector1">
                            <a:avLst/>
                          </a:prstGeom>
                          <a:noFill/>
                          <a:ln w="9525">
                            <a:solidFill>
                              <a:srgbClr val="000000"/>
                            </a:solidFill>
                            <a:round/>
                            <a:tailEnd type="triangle" w="med" len="med"/>
                          </a:ln>
                        </wps:spPr>
                        <wps:bodyPr/>
                      </wps:wsp>
                      <wps:wsp>
                        <wps:cNvPr id="155" name="AutoShape 190"/>
                        <wps:cNvCnPr/>
                        <wps:spPr bwMode="auto">
                          <a:xfrm>
                            <a:off x="3093365" y="4608195"/>
                            <a:ext cx="294640" cy="635"/>
                          </a:xfrm>
                          <a:prstGeom prst="straightConnector1">
                            <a:avLst/>
                          </a:prstGeom>
                          <a:noFill/>
                          <a:ln w="9525">
                            <a:solidFill>
                              <a:srgbClr val="000000"/>
                            </a:solidFill>
                            <a:round/>
                          </a:ln>
                        </wps:spPr>
                        <wps:bodyPr/>
                      </wps:wsp>
                      <wps:wsp>
                        <wps:cNvPr id="160" name="Rectangle 195"/>
                        <wps:cNvSpPr>
                          <a:spLocks noChangeArrowheads="1"/>
                        </wps:cNvSpPr>
                        <wps:spPr bwMode="auto">
                          <a:xfrm>
                            <a:off x="2387245" y="7070725"/>
                            <a:ext cx="1056640" cy="269875"/>
                          </a:xfrm>
                          <a:prstGeom prst="rect">
                            <a:avLst/>
                          </a:prstGeom>
                          <a:solidFill>
                            <a:srgbClr val="FFFFFF"/>
                          </a:solidFill>
                          <a:ln w="19050">
                            <a:solidFill>
                              <a:srgbClr val="00B0F0"/>
                            </a:solidFill>
                            <a:miter lim="800000"/>
                          </a:ln>
                        </wps:spPr>
                        <wps:txbx>
                          <w:txbxContent>
                            <w:p>
                              <w:pPr>
                                <w:jc w:val="center"/>
                                <w:rPr>
                                  <w:rFonts w:ascii="仿宋_GB2312" w:eastAsia="仿宋_GB2312"/>
                                  <w:sz w:val="23"/>
                                </w:rPr>
                              </w:pPr>
                              <w:r>
                                <w:rPr>
                                  <w:rFonts w:hint="eastAsia" w:ascii="仿宋_GB2312" w:eastAsia="仿宋_GB2312"/>
                                  <w:sz w:val="23"/>
                                </w:rPr>
                                <w:t>消毒池</w:t>
                              </w:r>
                            </w:p>
                          </w:txbxContent>
                        </wps:txbx>
                        <wps:bodyPr rot="0" vert="horz" wrap="square" lIns="85954" tIns="42977" rIns="85954" bIns="42977" anchor="t" anchorCtr="0" upright="1">
                          <a:noAutofit/>
                        </wps:bodyPr>
                      </wps:wsp>
                      <wps:wsp>
                        <wps:cNvPr id="161" name="AutoShape 196"/>
                        <wps:cNvCnPr>
                          <a:cxnSpLocks noChangeShapeType="1"/>
                          <a:stCxn id="179" idx="2"/>
                          <a:endCxn id="144" idx="0"/>
                        </wps:cNvCnPr>
                        <wps:spPr bwMode="auto">
                          <a:xfrm>
                            <a:off x="2916274" y="7755424"/>
                            <a:ext cx="876" cy="151061"/>
                          </a:xfrm>
                          <a:prstGeom prst="straightConnector1">
                            <a:avLst/>
                          </a:prstGeom>
                          <a:noFill/>
                          <a:ln w="9525">
                            <a:solidFill>
                              <a:srgbClr val="000000"/>
                            </a:solidFill>
                            <a:round/>
                            <a:tailEnd type="triangle" w="med" len="med"/>
                          </a:ln>
                        </wps:spPr>
                        <wps:bodyPr/>
                      </wps:wsp>
                      <wps:wsp>
                        <wps:cNvPr id="162" name="Rectangle 888"/>
                        <wps:cNvSpPr>
                          <a:spLocks noChangeArrowheads="1"/>
                        </wps:cNvSpPr>
                        <wps:spPr bwMode="auto">
                          <a:xfrm>
                            <a:off x="981328" y="4395785"/>
                            <a:ext cx="344170" cy="2321548"/>
                          </a:xfrm>
                          <a:prstGeom prst="rect">
                            <a:avLst/>
                          </a:prstGeom>
                          <a:solidFill>
                            <a:srgbClr val="FFFFFF"/>
                          </a:solidFill>
                          <a:ln w="9525">
                            <a:solidFill>
                              <a:srgbClr val="000000"/>
                            </a:solidFill>
                            <a:prstDash val="dash"/>
                            <a:miter lim="800000"/>
                          </a:ln>
                        </wps:spPr>
                        <wps:txbx>
                          <w:txbxContent>
                            <w:p>
                              <w:pPr>
                                <w:rPr>
                                  <w:sz w:val="23"/>
                                </w:rPr>
                              </w:pPr>
                              <w:r>
                                <w:rPr>
                                  <w:rFonts w:hint="eastAsia" w:ascii="仿宋_GB2312" w:eastAsia="仿宋_GB2312"/>
                                  <w:sz w:val="23"/>
                                </w:rPr>
                                <w:t>脱水机房</w:t>
                              </w:r>
                              <w:r>
                                <w:rPr>
                                  <w:rFonts w:hint="eastAsia"/>
                                  <w:sz w:val="23"/>
                                </w:rPr>
                                <w:t>（</w:t>
                              </w:r>
                              <w:r>
                                <w:rPr>
                                  <w:rFonts w:hint="eastAsia" w:ascii="仿宋_GB2312" w:eastAsia="仿宋_GB2312"/>
                                  <w:color w:val="FF0000"/>
                                  <w:sz w:val="23"/>
                                </w:rPr>
                                <w:t>增加污泥深度脱水机</w:t>
                              </w:r>
                              <w:r>
                                <w:rPr>
                                  <w:rFonts w:hint="eastAsia"/>
                                  <w:sz w:val="23"/>
                                </w:rPr>
                                <w:t>）</w:t>
                              </w:r>
                            </w:p>
                          </w:txbxContent>
                        </wps:txbx>
                        <wps:bodyPr rot="0" vert="eaVert" wrap="square" lIns="85954" tIns="42977" rIns="85954" bIns="42977" anchor="t" anchorCtr="0" upright="1">
                          <a:noAutofit/>
                        </wps:bodyPr>
                      </wps:wsp>
                      <wps:wsp>
                        <wps:cNvPr id="163" name="Rectangle 201"/>
                        <wps:cNvSpPr>
                          <a:spLocks noChangeArrowheads="1"/>
                        </wps:cNvSpPr>
                        <wps:spPr bwMode="auto">
                          <a:xfrm>
                            <a:off x="3926164" y="1234069"/>
                            <a:ext cx="624840" cy="271780"/>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鼓风机</w:t>
                              </w:r>
                            </w:p>
                          </w:txbxContent>
                        </wps:txbx>
                        <wps:bodyPr rot="0" vert="horz" wrap="square" lIns="85954" tIns="42977" rIns="85954" bIns="42977" anchor="t" anchorCtr="0" upright="1">
                          <a:noAutofit/>
                        </wps:bodyPr>
                      </wps:wsp>
                      <wps:wsp>
                        <wps:cNvPr id="164" name="AutoShape 202"/>
                        <wps:cNvCnPr/>
                        <wps:spPr bwMode="auto">
                          <a:xfrm flipH="1">
                            <a:off x="3679470" y="1348105"/>
                            <a:ext cx="204470" cy="635"/>
                          </a:xfrm>
                          <a:prstGeom prst="straightConnector1">
                            <a:avLst/>
                          </a:prstGeom>
                          <a:noFill/>
                          <a:ln w="9525">
                            <a:solidFill>
                              <a:srgbClr val="000000"/>
                            </a:solidFill>
                            <a:prstDash val="dash"/>
                            <a:round/>
                            <a:tailEnd type="triangle" w="med" len="med"/>
                          </a:ln>
                        </wps:spPr>
                        <wps:bodyPr/>
                      </wps:wsp>
                      <wps:wsp>
                        <wps:cNvPr id="167" name="Rectangle 111"/>
                        <wps:cNvSpPr>
                          <a:spLocks noChangeArrowheads="1"/>
                        </wps:cNvSpPr>
                        <wps:spPr bwMode="auto">
                          <a:xfrm>
                            <a:off x="3556915" y="720725"/>
                            <a:ext cx="792480" cy="274320"/>
                          </a:xfrm>
                          <a:prstGeom prst="rect">
                            <a:avLst/>
                          </a:prstGeom>
                          <a:solidFill>
                            <a:srgbClr val="FFFFFF"/>
                          </a:solidFill>
                          <a:ln w="9525">
                            <a:solidFill>
                              <a:srgbClr val="FFFFFF"/>
                            </a:solidFill>
                            <a:prstDash val="dash"/>
                            <a:miter lim="800000"/>
                          </a:ln>
                        </wps:spPr>
                        <wps:txbx>
                          <w:txbxContent>
                            <w:p>
                              <w:pPr>
                                <w:jc w:val="center"/>
                                <w:rPr>
                                  <w:rFonts w:ascii="仿宋_GB2312" w:eastAsia="仿宋_GB2312"/>
                                  <w:sz w:val="23"/>
                                </w:rPr>
                              </w:pPr>
                              <w:r>
                                <w:rPr>
                                  <w:rFonts w:hint="eastAsia" w:ascii="仿宋_GB2312" w:eastAsia="仿宋_GB2312"/>
                                  <w:sz w:val="23"/>
                                </w:rPr>
                                <w:t>栅渣外运</w:t>
                              </w:r>
                            </w:p>
                          </w:txbxContent>
                        </wps:txbx>
                        <wps:bodyPr rot="0" vert="horz" wrap="square" lIns="85954" tIns="42977" rIns="85954" bIns="42977" anchor="t" anchorCtr="0" upright="1">
                          <a:noAutofit/>
                        </wps:bodyPr>
                      </wps:wsp>
                      <wps:wsp>
                        <wps:cNvPr id="168" name="Rectangle 191"/>
                        <wps:cNvSpPr>
                          <a:spLocks noChangeArrowheads="1"/>
                        </wps:cNvSpPr>
                        <wps:spPr bwMode="auto">
                          <a:xfrm>
                            <a:off x="1511580" y="424815"/>
                            <a:ext cx="891540" cy="272415"/>
                          </a:xfrm>
                          <a:prstGeom prst="rect">
                            <a:avLst/>
                          </a:prstGeom>
                          <a:solidFill>
                            <a:srgbClr val="FFFFFF"/>
                          </a:solidFill>
                          <a:ln w="19050">
                            <a:solidFill>
                              <a:srgbClr val="FF0000"/>
                            </a:solidFill>
                            <a:miter lim="800000"/>
                          </a:ln>
                        </wps:spPr>
                        <wps:txbx>
                          <w:txbxContent>
                            <w:p>
                              <w:pPr>
                                <w:jc w:val="center"/>
                                <w:rPr>
                                  <w:rFonts w:ascii="仿宋_GB2312" w:eastAsia="仿宋_GB2312"/>
                                  <w:sz w:val="23"/>
                                </w:rPr>
                              </w:pPr>
                              <w:r>
                                <w:rPr>
                                  <w:rFonts w:hint="eastAsia" w:ascii="仿宋_GB2312" w:eastAsia="仿宋_GB2312"/>
                                  <w:sz w:val="23"/>
                                </w:rPr>
                                <w:t>事故池</w:t>
                              </w:r>
                            </w:p>
                          </w:txbxContent>
                        </wps:txbx>
                        <wps:bodyPr rot="0" vert="horz" wrap="square" lIns="85954" tIns="42977" rIns="85954" bIns="42977" anchor="t" anchorCtr="0" upright="1">
                          <a:noAutofit/>
                        </wps:bodyPr>
                      </wps:wsp>
                      <wps:wsp>
                        <wps:cNvPr id="169" name="AutoShape 192"/>
                        <wps:cNvCnPr/>
                        <wps:spPr bwMode="auto">
                          <a:xfrm flipH="1">
                            <a:off x="2387880" y="562610"/>
                            <a:ext cx="424815" cy="635"/>
                          </a:xfrm>
                          <a:prstGeom prst="straightConnector1">
                            <a:avLst/>
                          </a:prstGeom>
                          <a:noFill/>
                          <a:ln w="9525">
                            <a:solidFill>
                              <a:srgbClr val="000000"/>
                            </a:solidFill>
                            <a:round/>
                            <a:tailEnd type="triangle" w="med" len="med"/>
                          </a:ln>
                        </wps:spPr>
                        <wps:bodyPr/>
                      </wps:wsp>
                      <wps:wsp>
                        <wps:cNvPr id="173" name="AutoShape 130"/>
                        <wps:cNvCnPr/>
                        <wps:spPr bwMode="auto">
                          <a:xfrm>
                            <a:off x="2255111" y="697214"/>
                            <a:ext cx="0" cy="504146"/>
                          </a:xfrm>
                          <a:prstGeom prst="straightConnector1">
                            <a:avLst/>
                          </a:prstGeom>
                          <a:noFill/>
                          <a:ln w="9525">
                            <a:solidFill>
                              <a:srgbClr val="000000"/>
                            </a:solidFill>
                            <a:prstDash val="dash"/>
                            <a:round/>
                            <a:tailEnd type="triangle" w="med" len="med"/>
                          </a:ln>
                        </wps:spPr>
                        <wps:bodyPr/>
                      </wps:wsp>
                      <wps:wsp>
                        <wps:cNvPr id="175" name="AutoShape 153"/>
                        <wps:cNvCnPr/>
                        <wps:spPr bwMode="auto">
                          <a:xfrm>
                            <a:off x="2064030" y="4912350"/>
                            <a:ext cx="189230" cy="635"/>
                          </a:xfrm>
                          <a:prstGeom prst="straightConnector1">
                            <a:avLst/>
                          </a:prstGeom>
                          <a:noFill/>
                          <a:ln w="9525">
                            <a:solidFill>
                              <a:srgbClr val="000000"/>
                            </a:solidFill>
                            <a:prstDash val="dash"/>
                            <a:round/>
                            <a:tailEnd type="triangle" w="med" len="med"/>
                          </a:ln>
                        </wps:spPr>
                        <wps:bodyPr/>
                      </wps:wsp>
                      <wps:wsp>
                        <wps:cNvPr id="82" name="Rectangle 106"/>
                        <wps:cNvSpPr>
                          <a:spLocks noChangeArrowheads="1"/>
                        </wps:cNvSpPr>
                        <wps:spPr bwMode="auto">
                          <a:xfrm>
                            <a:off x="1521667" y="6545588"/>
                            <a:ext cx="624205" cy="271780"/>
                          </a:xfrm>
                          <a:prstGeom prst="rect">
                            <a:avLst/>
                          </a:prstGeom>
                          <a:solidFill>
                            <a:srgbClr val="FFFFFF"/>
                          </a:solidFill>
                          <a:ln w="9525">
                            <a:solidFill>
                              <a:srgbClr val="FFFFFF"/>
                            </a:solidFill>
                            <a:miter lim="800000"/>
                          </a:ln>
                        </wps:spPr>
                        <wps:txbx>
                          <w:txbxContent>
                            <w:p>
                              <w:pPr>
                                <w:jc w:val="center"/>
                                <w:rPr>
                                  <w:rFonts w:ascii="仿宋_GB2312" w:eastAsia="仿宋_GB2312"/>
                                  <w:sz w:val="23"/>
                                </w:rPr>
                              </w:pPr>
                              <w:r>
                                <w:rPr>
                                  <w:rFonts w:hint="eastAsia" w:ascii="仿宋_GB2312" w:eastAsia="仿宋_GB2312"/>
                                  <w:sz w:val="23"/>
                                </w:rPr>
                                <w:t>鼓风机</w:t>
                              </w:r>
                            </w:p>
                          </w:txbxContent>
                        </wps:txbx>
                        <wps:bodyPr rot="0" vert="horz" wrap="square" lIns="85954" tIns="42977" rIns="85954" bIns="42977" anchor="t" anchorCtr="0" upright="1">
                          <a:noAutofit/>
                        </wps:bodyPr>
                      </wps:wsp>
                      <wps:wsp>
                        <wps:cNvPr id="158" name="AutoShape 156"/>
                        <wps:cNvCnPr>
                          <a:cxnSpLocks noChangeShapeType="1"/>
                          <a:stCxn id="94" idx="1"/>
                        </wps:cNvCnPr>
                        <wps:spPr bwMode="auto">
                          <a:xfrm flipH="1">
                            <a:off x="1030226" y="1861185"/>
                            <a:ext cx="1185569" cy="9034"/>
                          </a:xfrm>
                          <a:prstGeom prst="straightConnector1">
                            <a:avLst/>
                          </a:prstGeom>
                          <a:noFill/>
                          <a:ln w="9525">
                            <a:solidFill>
                              <a:srgbClr val="000000"/>
                            </a:solidFill>
                            <a:prstDash val="dash"/>
                            <a:round/>
                          </a:ln>
                        </wps:spPr>
                        <wps:bodyPr/>
                      </wps:wsp>
                      <wps:wsp>
                        <wps:cNvPr id="159" name="AutoShape 152"/>
                        <wps:cNvCnPr/>
                        <wps:spPr bwMode="auto">
                          <a:xfrm>
                            <a:off x="1030226" y="1870169"/>
                            <a:ext cx="0" cy="2449643"/>
                          </a:xfrm>
                          <a:prstGeom prst="straightConnector1">
                            <a:avLst/>
                          </a:prstGeom>
                          <a:noFill/>
                          <a:ln w="9525">
                            <a:solidFill>
                              <a:srgbClr val="000000"/>
                            </a:solidFill>
                            <a:prstDash val="dash"/>
                            <a:round/>
                          </a:ln>
                        </wps:spPr>
                        <wps:bodyPr/>
                      </wps:wsp>
                      <wps:wsp>
                        <wps:cNvPr id="166" name="AutoShape 153"/>
                        <wps:cNvCnPr/>
                        <wps:spPr bwMode="auto">
                          <a:xfrm>
                            <a:off x="1030236" y="4311044"/>
                            <a:ext cx="1204632" cy="0"/>
                          </a:xfrm>
                          <a:prstGeom prst="straightConnector1">
                            <a:avLst/>
                          </a:prstGeom>
                          <a:noFill/>
                          <a:ln w="9525">
                            <a:solidFill>
                              <a:srgbClr val="000000"/>
                            </a:solidFill>
                            <a:prstDash val="dash"/>
                            <a:round/>
                            <a:tailEnd type="triangle" w="med" len="med"/>
                          </a:ln>
                        </wps:spPr>
                        <wps:bodyPr/>
                      </wps:wsp>
                      <wps:wsp>
                        <wps:cNvPr id="177" name="AutoShape 176"/>
                        <wps:cNvCnPr>
                          <a:cxnSpLocks noChangeShapeType="1"/>
                        </wps:cNvCnPr>
                        <wps:spPr bwMode="auto">
                          <a:xfrm>
                            <a:off x="1030226" y="3845464"/>
                            <a:ext cx="1188082" cy="635"/>
                          </a:xfrm>
                          <a:prstGeom prst="straightConnector1">
                            <a:avLst/>
                          </a:prstGeom>
                          <a:noFill/>
                          <a:ln w="9525">
                            <a:solidFill>
                              <a:srgbClr val="000000"/>
                            </a:solidFill>
                            <a:round/>
                            <a:tailEnd type="triangle" w="med" len="med"/>
                          </a:ln>
                        </wps:spPr>
                        <wps:bodyPr/>
                      </wps:wsp>
                      <wps:wsp>
                        <wps:cNvPr id="178" name="AutoShape 196"/>
                        <wps:cNvCnPr>
                          <a:cxnSpLocks noChangeShapeType="1"/>
                          <a:stCxn id="160" idx="2"/>
                          <a:endCxn id="179" idx="0"/>
                        </wps:cNvCnPr>
                        <wps:spPr bwMode="auto">
                          <a:xfrm>
                            <a:off x="2915565" y="7340600"/>
                            <a:ext cx="709" cy="146219"/>
                          </a:xfrm>
                          <a:prstGeom prst="straightConnector1">
                            <a:avLst/>
                          </a:prstGeom>
                          <a:noFill/>
                          <a:ln w="9525">
                            <a:solidFill>
                              <a:srgbClr val="000000"/>
                            </a:solidFill>
                            <a:round/>
                            <a:tailEnd type="triangle" w="med" len="med"/>
                          </a:ln>
                        </wps:spPr>
                        <wps:bodyPr/>
                      </wps:wsp>
                      <wps:wsp>
                        <wps:cNvPr id="179" name="Rectangle 174"/>
                        <wps:cNvSpPr>
                          <a:spLocks noChangeArrowheads="1"/>
                        </wps:cNvSpPr>
                        <wps:spPr bwMode="auto">
                          <a:xfrm>
                            <a:off x="2415708" y="7486819"/>
                            <a:ext cx="1001131" cy="268605"/>
                          </a:xfrm>
                          <a:prstGeom prst="rect">
                            <a:avLst/>
                          </a:prstGeom>
                          <a:solidFill>
                            <a:srgbClr val="FFFFFF"/>
                          </a:solidFill>
                          <a:ln w="9525">
                            <a:solidFill>
                              <a:srgbClr val="000000"/>
                            </a:solidFill>
                            <a:prstDash val="dash"/>
                            <a:miter lim="800000"/>
                          </a:ln>
                        </wps:spPr>
                        <wps:txbx>
                          <w:txbxContent>
                            <w:p>
                              <w:pPr>
                                <w:jc w:val="center"/>
                                <w:rPr>
                                  <w:rFonts w:ascii="仿宋_GB2312" w:eastAsia="仿宋_GB2312"/>
                                  <w:sz w:val="23"/>
                                </w:rPr>
                              </w:pPr>
                              <w:r>
                                <w:rPr>
                                  <w:rFonts w:hint="eastAsia" w:ascii="仿宋_GB2312" w:eastAsia="仿宋_GB2312"/>
                                  <w:sz w:val="23"/>
                                </w:rPr>
                                <w:t>絮凝沉淀池</w:t>
                              </w:r>
                            </w:p>
                          </w:txbxContent>
                        </wps:txbx>
                        <wps:bodyPr rot="0" vert="horz" wrap="square" lIns="85954" tIns="42977" rIns="85954" bIns="42977" anchor="t" anchorCtr="0" upright="1">
                          <a:noAutofit/>
                        </wps:bodyPr>
                      </wps:wsp>
                      <wps:wsp>
                        <wps:cNvPr id="138" name="Rectangle 112"/>
                        <wps:cNvSpPr>
                          <a:spLocks noChangeArrowheads="1"/>
                        </wps:cNvSpPr>
                        <wps:spPr bwMode="auto">
                          <a:xfrm>
                            <a:off x="616787" y="2176077"/>
                            <a:ext cx="382344" cy="946610"/>
                          </a:xfrm>
                          <a:prstGeom prst="rect">
                            <a:avLst/>
                          </a:prstGeom>
                          <a:solidFill>
                            <a:srgbClr val="FFFFFF"/>
                          </a:solidFill>
                          <a:ln w="9525">
                            <a:solidFill>
                              <a:srgbClr val="FFFFFF"/>
                            </a:solidFill>
                            <a:prstDash val="dash"/>
                            <a:miter lim="800000"/>
                          </a:ln>
                        </wps:spPr>
                        <wps:txbx>
                          <w:txbxContent>
                            <w:p>
                              <w:pPr>
                                <w:jc w:val="center"/>
                                <w:rPr>
                                  <w:rFonts w:ascii="仿宋_GB2312" w:eastAsia="仿宋_GB2312"/>
                                  <w:sz w:val="23"/>
                                </w:rPr>
                              </w:pPr>
                              <w:r>
                                <w:rPr>
                                  <w:rFonts w:hint="eastAsia" w:ascii="仿宋_GB2312" w:eastAsia="仿宋_GB2312"/>
                                  <w:sz w:val="23"/>
                                </w:rPr>
                                <w:t>污水超越管</w:t>
                              </w:r>
                            </w:p>
                          </w:txbxContent>
                        </wps:txbx>
                        <wps:bodyPr rot="0" vert="eaVert" wrap="square" lIns="85954" tIns="42977" rIns="85954" bIns="42977" anchor="t" anchorCtr="0" upright="1">
                          <a:noAutofit/>
                        </wps:bodyPr>
                      </wps:wsp>
                      <wps:wsp>
                        <wps:cNvPr id="156" name="AutoShape 160"/>
                        <wps:cNvCnPr/>
                        <wps:spPr bwMode="auto">
                          <a:xfrm flipH="1" flipV="1">
                            <a:off x="1767940" y="2853548"/>
                            <a:ext cx="399415" cy="0"/>
                          </a:xfrm>
                          <a:prstGeom prst="straightConnector1">
                            <a:avLst/>
                          </a:prstGeom>
                          <a:noFill/>
                          <a:ln w="9525">
                            <a:solidFill>
                              <a:srgbClr val="000000"/>
                            </a:solidFill>
                            <a:round/>
                            <a:tailEnd type="triangle" w="med" len="med"/>
                          </a:ln>
                        </wps:spPr>
                        <wps:bodyPr/>
                      </wps:wsp>
                      <wps:wsp>
                        <wps:cNvPr id="165" name="AutoShape 202"/>
                        <wps:cNvCnPr/>
                        <wps:spPr bwMode="auto">
                          <a:xfrm flipH="1">
                            <a:off x="1780167" y="4414736"/>
                            <a:ext cx="203835" cy="635"/>
                          </a:xfrm>
                          <a:prstGeom prst="straightConnector1">
                            <a:avLst/>
                          </a:prstGeom>
                          <a:noFill/>
                          <a:ln w="9525">
                            <a:solidFill>
                              <a:srgbClr val="000000"/>
                            </a:solidFill>
                            <a:prstDash val="dash"/>
                            <a:round/>
                            <a:tailEnd type="triangle" w="med" len="med"/>
                          </a:ln>
                        </wps:spPr>
                        <wps:bodyPr/>
                      </wps:wsp>
                      <wps:wsp>
                        <wps:cNvPr id="170" name="AutoShape 202"/>
                        <wps:cNvCnPr/>
                        <wps:spPr bwMode="auto">
                          <a:xfrm flipH="1">
                            <a:off x="1770644" y="1432183"/>
                            <a:ext cx="203835" cy="635"/>
                          </a:xfrm>
                          <a:prstGeom prst="straightConnector1">
                            <a:avLst/>
                          </a:prstGeom>
                          <a:noFill/>
                          <a:ln w="9525">
                            <a:solidFill>
                              <a:srgbClr val="000000"/>
                            </a:solidFill>
                            <a:prstDash val="dash"/>
                            <a:round/>
                            <a:tailEnd type="triangle" w="med" len="med"/>
                          </a:ln>
                        </wps:spPr>
                        <wps:bodyPr/>
                      </wps:wsp>
                      <wps:wsp>
                        <wps:cNvPr id="171" name="AutoShape 202"/>
                        <wps:cNvCnPr/>
                        <wps:spPr bwMode="auto">
                          <a:xfrm flipH="1">
                            <a:off x="1011179" y="1870179"/>
                            <a:ext cx="203200" cy="635"/>
                          </a:xfrm>
                          <a:prstGeom prst="straightConnector1">
                            <a:avLst/>
                          </a:prstGeom>
                          <a:noFill/>
                          <a:ln w="9525">
                            <a:solidFill>
                              <a:srgbClr val="000000"/>
                            </a:solidFill>
                            <a:prstDash val="dash"/>
                            <a:round/>
                            <a:tailEnd type="triangle" w="med" len="med"/>
                          </a:ln>
                        </wps:spPr>
                        <wps:bodyPr/>
                      </wps:wsp>
                    </wpc:wpc>
                  </a:graphicData>
                </a:graphic>
              </wp:inline>
            </w:drawing>
          </mc:Choice>
          <mc:Fallback>
            <w:pict>
              <v:group id="_x0000_s1026" o:spid="_x0000_s1026" o:spt="203" style="height:659.7pt;width:421.95pt;" coordsize="5358809,8378456" editas="canvas" o:gfxdata="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">
                <o:lock v:ext="edit" aspectratio="f"/>
                <v:shape id="_x0000_s1026" o:spid="_x0000_s1026" style="position:absolute;left:0;top:0;height:8378456;width:5358809;" filled="f" stroked="f" coordsize="21600,21600" o:gfxdata="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">
                  <v:fill on="f" focussize="0,0"/>
                  <v:stroke on="f"/>
                  <v:imagedata o:title=""/>
                  <o:lock v:ext="edit" aspectratio="f"/>
                </v:shape>
                <v:rect id="Rectangle 107" o:spid="_x0000_s1026" o:spt="1" style="position:absolute;left:3854095;top:7031990;height:308610;width:521335;" fillcolor="#FFFFFF" filled="t" stroked="t" coordsize="21600,21600" o:gfxdata="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Q8ZQ9cAAAAGAQAADwAAAAAAAAABACAAAAAiAAAAZHJz&#10;L2Rvd25yZXYueG1sUEsBAhQAFAAAAAgAh07iQHAaCgs+AgAAiwQAAA4AAAAAAAAAAQAgAAAAJgEA&#10;AGRycy9lMm9Eb2MueG1sUEsFBgAAAAAGAAYAWQEAANYFAAAAAA==&#10;">
                  <v:fill on="t" focussize="0,0"/>
                  <v:stroke color="#00000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臭氧</w:t>
                        </w:r>
                      </w:p>
                    </w:txbxContent>
                  </v:textbox>
                </v:rect>
                <v:rect id="Rectangle 108" o:spid="_x0000_s1026" o:spt="1" style="position:absolute;left:3382882;top:4494579;height:281299;width:1059180;" fillcolor="#FFFFFF" filled="t" stroked="t" coordsize="21600,21600" o:gfxdata="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pKJh9QAAAAGAQAADwAAAAAAAAABACAAAAAi&#10;AAAAZHJzL2Rvd25yZXYueG1sUEsBAhQAFAAAAAgAh07iQCaJVEZHAgAApAQAAA4AAAAAAAAAAQAg&#10;AAAAIwEAAGRycy9lMm9Eb2MueG1sUEsFBgAAAAAGAAYAWQEAANwFAAAAAA==&#10;">
                  <v:fill on="t" focussize="0,0"/>
                  <v:stroke color="#FFFFFF"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粉末活性炭</w:t>
                        </w:r>
                      </w:p>
                    </w:txbxContent>
                  </v:textbox>
                </v:rect>
                <v:rect id="Rectangle 109" o:spid="_x0000_s1026" o:spt="1" style="position:absolute;left:3450826;top:6565102;height:330428;width:1480007;" fillcolor="#FFFFFF" filled="t" stroked="t" coordsize="21600,21600" o:gfxdata="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komH1AAAAAYBAAAPAAAAAAAAAAEAIAAA&#10;ACIAAABkcnMvZG93bnJldi54bWxQSwECFAAUAAAACACHTuJANyxjxUkCAACkBAAADgAAAAAAAAAB&#10;ACAAAAAjAQAAZHJzL2Uyb0RvYy54bWxQSwUGAAAAAAYABgBZAQAA3gUAAAAA&#10;">
                  <v:fill on="t" focussize="0,0"/>
                  <v:stroke color="#FFFFFF"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反冲洗水至调节池</w:t>
                        </w:r>
                      </w:p>
                    </w:txbxContent>
                  </v:textbox>
                </v:rect>
                <v:shape id="AutoShape 110" o:spid="_x0000_s1026" o:spt="32" type="#_x0000_t32" style="position:absolute;left:3675613;top:1866850;height:0;width:353055;"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KBLzdQAAAAGAQAADwAAAAAAAAABACAAAAAiAAAAZHJzL2Rvd25yZXYueG1sUEsBAhQAFAAAAAgA&#10;h07iQF/3UdTwAQAA1AMAAA4AAAAAAAAAAQAgAAAAIwEAAGRycy9lMm9Eb2MueG1sUEsFBgAAAAAG&#10;AAYAWQEAAIUFAAAAAA==&#10;">
                  <v:fill on="f" focussize="0,0"/>
                  <v:stroke color="#000000" joinstyle="round" dashstyle="dash" endarrow="block"/>
                  <v:imagedata o:title=""/>
                  <o:lock v:ext="edit" aspectratio="f"/>
                </v:shape>
                <v:rect id="Rectangle 111" o:spid="_x0000_s1026" o:spt="1" style="position:absolute;left:4049832;top:1725930;height:274320;width:792480;" fillcolor="#FFFFFF" filled="t" stroked="t" coordsize="21600,21600" o:gfxdata="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komH1AAAAAYBAAAPAAAAAAAAAAEAIAAAACIA&#10;AABkcnMvZG93bnJldi54bWxQSwECFAAUAAAACACHTuJA2LhcgkYCAACjBAAADgAAAAAAAAABACAA&#10;AAAjAQAAZHJzL2Uyb0RvYy54bWxQSwUGAAAAAAYABgBZAQAA2wUAAAAA&#10;">
                  <v:fill on="t" focussize="0,0"/>
                  <v:stroke color="#FFFFFF" miterlimit="8" joinstyle="miter" dashstyle="dash"/>
                  <v:imagedata o:title=""/>
                  <o:lock v:ext="edit" aspectratio="f"/>
                  <v:textbox inset="6.76803149606299pt,3.3840157480315pt,6.76803149606299pt,3.3840157480315pt">
                    <w:txbxContent>
                      <w:p>
                        <w:pPr>
                          <w:rPr>
                            <w:sz w:val="23"/>
                          </w:rPr>
                        </w:pPr>
                        <w:r>
                          <w:rPr>
                            <w:rFonts w:hint="eastAsia"/>
                            <w:sz w:val="23"/>
                          </w:rPr>
                          <w:t>栅渣外运</w:t>
                        </w:r>
                      </w:p>
                    </w:txbxContent>
                  </v:textbox>
                </v:rect>
                <v:rect id="Rectangle 112" o:spid="_x0000_s1026" o:spt="1" style="position:absolute;left:1435941;top:2176128;height:754380;width:382344;" fillcolor="#FFFFFF" filled="t" stroked="t" coordsize="21600,21600" o:gfxdata="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p7sm1gAAAAYBAAAPAAAAAAAAAAEAIAAA&#10;ACIAAABkcnMvZG93bnJldi54bWxQSwECFAAUAAAACACHTuJAex4eDUcCAAClBAAADgAAAAAAAAAB&#10;ACAAAAAlAQAAZHJzL2Uyb0RvYy54bWxQSwUGAAAAAAYABgBZAQAA3gUAAAAA&#10;">
                  <v:fill on="t" focussize="0,0"/>
                  <v:stroke color="#FFFFFF" miterlimit="8" joinstyle="miter" dashstyle="dash"/>
                  <v:imagedata o:title=""/>
                  <o:lock v:ext="edit" aspectratio="f"/>
                  <v:textbox inset="6.76803149606299pt,3.3840157480315pt,6.76803149606299pt,3.3840157480315pt" style="layout-flow:vertical-ideographic;">
                    <w:txbxContent>
                      <w:p>
                        <w:pPr>
                          <w:jc w:val="center"/>
                          <w:rPr>
                            <w:rFonts w:ascii="仿宋_GB2312" w:eastAsia="仿宋_GB2312"/>
                            <w:sz w:val="23"/>
                          </w:rPr>
                        </w:pPr>
                        <w:r>
                          <w:rPr>
                            <w:rFonts w:hint="eastAsia" w:ascii="仿宋_GB2312" w:eastAsia="仿宋_GB2312"/>
                            <w:sz w:val="23"/>
                          </w:rPr>
                          <w:t>初沉污泥</w:t>
                        </w:r>
                      </w:p>
                    </w:txbxContent>
                  </v:textbox>
                </v:rect>
                <v:rect id="Rectangle 113" o:spid="_x0000_s1026" o:spt="1" style="position:absolute;left:1700982;top:6817369;height:683488;width:414477;" fillcolor="#FFFFFF" filled="t" stroked="t" coordsize="21600,21600" o:gfxdata="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ae7JtYAAAAGAQAADwAAAAAAAAABACAAAAAi&#10;AAAAZHJzL2Rvd25yZXYueG1sUEsBAhQAFAAAAAgAh07iQCtSL3xFAgAApQQAAA4AAAAAAAAAAQAg&#10;AAAAJQEAAGRycy9lMm9Eb2MueG1sUEsFBgAAAAAGAAYAWQEAANwFAAAAAA==&#10;">
                  <v:fill on="t" focussize="0,0"/>
                  <v:stroke color="#FFFFFF" miterlimit="8" joinstyle="miter" dashstyle="dash"/>
                  <v:imagedata o:title=""/>
                  <o:lock v:ext="edit" aspectratio="f"/>
                  <v:textbox inset="6.76803149606299pt,3.3840157480315pt,6.76803149606299pt,3.3840157480315pt" style="layout-flow:vertical-ideographic;">
                    <w:txbxContent>
                      <w:p>
                        <w:pPr>
                          <w:jc w:val="center"/>
                          <w:rPr>
                            <w:rFonts w:ascii="仿宋_GB2312" w:eastAsia="仿宋_GB2312"/>
                            <w:sz w:val="23"/>
                          </w:rPr>
                        </w:pPr>
                        <w:r>
                          <w:rPr>
                            <w:rFonts w:hint="eastAsia" w:ascii="仿宋_GB2312" w:eastAsia="仿宋_GB2312"/>
                            <w:sz w:val="23"/>
                          </w:rPr>
                          <w:t>反冲洗</w:t>
                        </w:r>
                      </w:p>
                    </w:txbxContent>
                  </v:textbox>
                </v:rect>
                <v:rect id="Rectangle 114" o:spid="_x0000_s1026" o:spt="1" style="position:absolute;left:1767910;top:4484436;height:754380;width:379095;" fillcolor="#FFFFFF" filled="t" stroked="t" coordsize="21600,21600" o:gfxdata="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p7sm1gAAAAYBAAAPAAAAAAAAAAEAIAAA&#10;ACIAAABkcnMvZG93bnJldi54bWxQSwECFAAUAAAACACHTuJANH4Te0cCAAClBAAADgAAAAAAAAAB&#10;ACAAAAAlAQAAZHJzL2Uyb0RvYy54bWxQSwUGAAAAAAYABgBZAQAA3gUAAAAA&#10;">
                  <v:fill on="t" focussize="0,0"/>
                  <v:stroke color="#FFFFFF" miterlimit="8" joinstyle="miter" dashstyle="dash"/>
                  <v:imagedata o:title=""/>
                  <o:lock v:ext="edit" aspectratio="f"/>
                  <v:textbox inset="6.76803149606299pt,3.3840157480315pt,6.76803149606299pt,3.3840157480315pt" style="layout-flow:vertical-ideographic;">
                    <w:txbxContent>
                      <w:p>
                        <w:pPr>
                          <w:rPr>
                            <w:sz w:val="23"/>
                          </w:rPr>
                        </w:pPr>
                        <w:r>
                          <w:rPr>
                            <w:rFonts w:hint="eastAsia"/>
                            <w:sz w:val="23"/>
                          </w:rPr>
                          <w:t>污泥回流</w:t>
                        </w:r>
                      </w:p>
                    </w:txbxContent>
                  </v:textbox>
                </v:rect>
                <v:rect id="Rectangle 115" o:spid="_x0000_s1026" o:spt="1" style="position:absolute;left:800380;top:31750;height:272415;width:1898650;"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2rrdUAAAAGAQAADwAAAAAAAAABACAA&#10;AAAiAAAAZHJzL2Rvd25yZXYueG1sUEsBAhQAFAAAAAgAh07iQCVJmd5JAgAAoQQAAA4AAAAAAAAA&#10;AQAgAAAAJAEAAGRycy9lMm9Eb2MueG1sUEsFBgAAAAAGAAYAWQEAAN8FAAAAAA==&#10;">
                  <v:fill on="t" focussize="0,0"/>
                  <v:stroke color="#000000" miterlimit="8" joinstyle="miter" dashstyle="dash"/>
                  <v:imagedata o:title=""/>
                  <o:lock v:ext="edit" aspectratio="f"/>
                  <v:textbox inset="6.76803149606299pt,3.3840157480315pt,6.76803149606299pt,3.3840157480315pt">
                    <w:txbxContent>
                      <w:p>
                        <w:pPr>
                          <w:jc w:val="center"/>
                          <w:rPr>
                            <w:sz w:val="23"/>
                          </w:rPr>
                        </w:pPr>
                        <w:r>
                          <w:rPr>
                            <w:rFonts w:hint="eastAsia" w:ascii="仿宋_GB2312" w:eastAsia="仿宋_GB2312"/>
                            <w:sz w:val="23"/>
                          </w:rPr>
                          <w:t>企业排放废水（预处理后</w:t>
                        </w:r>
                        <w:r>
                          <w:rPr>
                            <w:rFonts w:hint="eastAsia"/>
                            <w:sz w:val="23"/>
                          </w:rPr>
                          <w:t>）水</w:t>
                        </w:r>
                      </w:p>
                    </w:txbxContent>
                  </v:textbox>
                </v:rect>
                <v:rect id="Rectangle 116" o:spid="_x0000_s1026" o:spt="1" style="position:absolute;left:2472970;top:723265;height:271780;width:703580;"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zaut1QAAAAYBAAAPAAAAAAAAAAEAIAAAACIA&#10;AABkcnMvZG93bnJldi54bWxQSwECFAAUAAAACACHTuJAG4ueiUUCAACiBAAADgAAAAAAAAABACAA&#10;AAAkAQAAZHJzL2Uyb0RvYy54bWxQSwUGAAAAAAYABgBZAQAA2wUAAAAA&#10;">
                  <v:fill on="t" focussize="0,0"/>
                  <v:stroke color="#000000" miterlimit="8" joinstyle="miter" dashstyle="dash"/>
                  <v:imagedata o:title=""/>
                  <o:lock v:ext="edit" aspectratio="f"/>
                  <v:textbox inset="6.76803149606299pt,3.3840157480315pt,6.76803149606299pt,3.3840157480315pt">
                    <w:txbxContent>
                      <w:p>
                        <w:pPr>
                          <w:jc w:val="center"/>
                          <w:rPr>
                            <w:sz w:val="23"/>
                          </w:rPr>
                        </w:pPr>
                        <w:r>
                          <w:rPr>
                            <w:rFonts w:hint="eastAsia" w:ascii="仿宋_GB2312" w:eastAsia="仿宋_GB2312"/>
                            <w:sz w:val="23"/>
                          </w:rPr>
                          <w:t>粗格栅</w:t>
                        </w:r>
                        <w:r>
                          <w:rPr>
                            <w:rFonts w:hint="eastAsia"/>
                            <w:sz w:val="23"/>
                          </w:rPr>
                          <w:t>栅</w:t>
                        </w:r>
                      </w:p>
                    </w:txbxContent>
                  </v:textbox>
                </v:rect>
                <v:rect id="Rectangle 117" o:spid="_x0000_s1026" o:spt="1" style="position:absolute;left:2115465;top:1210310;height:272415;width:1558925;"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zaut1QAAAAYBAAAPAAAAAAAAAAEAIAAAACIA&#10;AABkcnMvZG93bnJldi54bWxQSwECFAAUAAAACACHTuJAhB0KG0UCAACkBAAADgAAAAAAAAABACAA&#10;AAAkAQAAZHJzL2Uyb0RvYy54bWxQSwUGAAAAAAYABgBZAQAA2wU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调节池</w:t>
                        </w:r>
                      </w:p>
                    </w:txbxContent>
                  </v:textbox>
                </v:rect>
                <v:rect id="Rectangle 118" o:spid="_x0000_s1026" o:spt="1" style="position:absolute;left:2215795;top:1725930;height:270510;width:1463675;"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nNq63VAAAABgEAAA8AAAAAAAAAAQAg&#10;AAAAIgAAAGRycy9kb3ducmV2LnhtbFBLAQIUABQAAAAIAIdO4kAM5EV6SgIAAKQEAAAOAAAAAAAA&#10;AAEAIAAAACQBAABkcnMvZTJvRG9jLnhtbFBLBQYAAAAABgAGAFkBAADgBQAAAAA=&#10;">
                  <v:fill on="t" focussize="0,0"/>
                  <v:stroke color="#000000" miterlimit="8" joinstyle="miter" dashstyle="dash"/>
                  <v:imagedata o:title=""/>
                  <o:lock v:ext="edit" aspectratio="f"/>
                  <v:textbox inset="6.76803149606299pt,3.3840157480315pt,6.76803149606299pt,3.3840157480315pt">
                    <w:txbxContent>
                      <w:p>
                        <w:pPr>
                          <w:jc w:val="center"/>
                          <w:rPr>
                            <w:sz w:val="23"/>
                          </w:rPr>
                        </w:pPr>
                        <w:r>
                          <w:rPr>
                            <w:rFonts w:hint="eastAsia" w:ascii="仿宋_GB2312" w:eastAsia="仿宋_GB2312"/>
                            <w:sz w:val="23"/>
                          </w:rPr>
                          <w:t>细格栅、旋流沉砂池</w:t>
                        </w:r>
                        <w:r>
                          <w:rPr>
                            <w:rFonts w:hint="eastAsia"/>
                            <w:sz w:val="23"/>
                          </w:rPr>
                          <w:t>栅</w:t>
                        </w:r>
                      </w:p>
                    </w:txbxContent>
                  </v:textbox>
                </v:rect>
                <v:rect id="Rectangle 120" o:spid="_x0000_s1026" o:spt="1" style="position:absolute;left:2218335;top:2225675;height:271145;width:1461135;" fillcolor="#FFFFFF" filled="t" stroked="t" coordsize="21600,21600" o:gfxdata="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rNXIzWAAAABgEAAA8AAAAAAAAAAQAgAAAAIgAAAGRycy9k&#10;b3ducmV2LnhtbFBLAQIUABQAAAAIAIdO4kBut4HBPQIAAI0EAAAOAAAAAAAAAAEAIAAAACUBAABk&#10;cnMvZTJvRG9jLnhtbFBLBQYAAAAABgAGAFkBAADUBQAAAAA=&#10;">
                  <v:fill on="t" focussize="0,0"/>
                  <v:stroke weight="1.5pt" color="#FF0000" miterlimit="8" joinstyle="miter"/>
                  <v:imagedata o:title=""/>
                  <o:lock v:ext="edit" aspectratio="f"/>
                  <v:textbox inset="6.76803149606299pt,3.3840157480315pt,6.76803149606299pt,3.3840157480315pt">
                    <w:txbxContent>
                      <w:p>
                        <w:pPr>
                          <w:jc w:val="center"/>
                          <w:rPr>
                            <w:sz w:val="23"/>
                          </w:rPr>
                        </w:pPr>
                        <w:r>
                          <w:rPr>
                            <w:rFonts w:hint="eastAsia"/>
                            <w:sz w:val="23"/>
                          </w:rPr>
                          <w:t>Fenton</w:t>
                        </w:r>
                        <w:r>
                          <w:rPr>
                            <w:rFonts w:hint="eastAsia" w:ascii="仿宋_GB2312" w:eastAsia="仿宋_GB2312"/>
                            <w:sz w:val="23"/>
                          </w:rPr>
                          <w:t>反应池</w:t>
                        </w:r>
                      </w:p>
                    </w:txbxContent>
                  </v:textbox>
                </v:rect>
                <v:rect id="Rectangle 121" o:spid="_x0000_s1026" o:spt="1" style="position:absolute;left:2220240;top:2718435;height:269875;width:1462405;" fillcolor="#FFFFFF" filled="t" stroked="t" coordsize="21600,21600" o:gfxdata="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zVyM1gAAAAYBAAAPAAAAAAAAAAEAIAAAACIAAABkcnMv&#10;ZG93bnJldi54bWxQSwECFAAUAAAACACHTuJAFZ4dST4CAACNBAAADgAAAAAAAAABACAAAAAlAQAA&#10;ZHJzL2Uyb0RvYy54bWxQSwUGAAAAAAYABgBZAQAA1QUAAAAA&#10;">
                  <v:fill on="t" focussize="0,0"/>
                  <v:stroke weight="1.5pt" color="#FF000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絮凝、斜管沉淀池</w:t>
                        </w:r>
                      </w:p>
                    </w:txbxContent>
                  </v:textbox>
                </v:rect>
                <v:rect id="Rectangle 122" o:spid="_x0000_s1026" o:spt="1" style="position:absolute;left:2221510;top:3218815;height:271145;width:1461135;" fillcolor="#FFFFFF" filled="t" stroked="t" coordsize="21600,21600" o:gfxdata="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&#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s1cjNYAAAAGAQAADwAAAAAAAAABACAAAAAiAAAA&#10;ZHJzL2Rvd25yZXYueG1sUEsBAhQAFAAAAAgAh07iQBfJAC5CAgAAjQQAAA4AAAAAAAAAAQAgAAAA&#10;JQEAAGRycy9lMm9Eb2MueG1sUEsFBgAAAAAGAAYAWQEAANkFAAAAAA==&#10;">
                  <v:fill on="t" focussize="0,0"/>
                  <v:stroke weight="1.5pt" color="#FF0000" miterlimit="8" joinstyle="miter"/>
                  <v:imagedata o:title=""/>
                  <o:lock v:ext="edit" aspectratio="f"/>
                  <v:textbox inset="6.76803149606299pt,3.3840157480315pt,6.76803149606299pt,3.3840157480315pt">
                    <w:txbxContent>
                      <w:p>
                        <w:pPr>
                          <w:jc w:val="center"/>
                          <w:rPr>
                            <w:sz w:val="23"/>
                          </w:rPr>
                        </w:pPr>
                        <w:r>
                          <w:rPr>
                            <w:rFonts w:hint="eastAsia" w:ascii="仿宋_GB2312" w:eastAsia="仿宋_GB2312"/>
                            <w:sz w:val="23"/>
                          </w:rPr>
                          <w:t>中间提升池</w:t>
                        </w:r>
                        <w:r>
                          <w:rPr>
                            <w:rFonts w:hint="eastAsia"/>
                            <w:sz w:val="23"/>
                          </w:rPr>
                          <w:t>1</w:t>
                        </w:r>
                      </w:p>
                    </w:txbxContent>
                  </v:textbox>
                </v:rect>
                <v:rect id="Rectangle 123" o:spid="_x0000_s1026" o:spt="1" style="position:absolute;left:2221510;top:3702685;height:269240;width:1756410;" fillcolor="#FFFFFF" filled="t" stroked="t" coordsize="21600,21600" o:gfxdata="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NXIzWAAAABgEAAA8AAAAAAAAAAQAgAAAAIgAAAGRy&#10;cy9kb3ducmV2LnhtbFBLAQIUABQAAAAIAIdO4kDx6a1UQAIAAI0EAAAOAAAAAAAAAAEAIAAAACUB&#10;AABkcnMvZTJvRG9jLnhtbFBLBQYAAAAABgAGAFkBAADXBQAAAAA=&#10;">
                  <v:fill on="t" focussize="0,0"/>
                  <v:stroke weight="1.5pt" color="#FF000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复合水解酸化池（新增）</w:t>
                        </w:r>
                      </w:p>
                    </w:txbxContent>
                  </v:textbox>
                </v:rect>
                <v:rect id="Rectangle 124" o:spid="_x0000_s1026" o:spt="1" style="position:absolute;left:2242465;top:4223385;height:269240;width:1433195;"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zaut1QAAAAYBAAAPAAAAAAAAAAEA&#10;IAAAACIAAABkcnMvZG93bnJldi54bWxQSwECFAAUAAAACACHTuJAeA/DLEsCAACkBAAADgAAAAAA&#10;AAABACAAAAAkAQAAZHJzL2Uyb0RvYy54bWxQSwUGAAAAAAYABgBZAQAA4QU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水解酸化池</w:t>
                        </w:r>
                      </w:p>
                    </w:txbxContent>
                  </v:textbox>
                </v:rect>
                <v:rect id="Rectangle 125" o:spid="_x0000_s1026" o:spt="1" style="position:absolute;left:2221510;top:4748530;height:270510;width:1463675;"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zaut1QAAAAYBAAAPAAAAAAAAAAEAIAAAACIA&#10;AABkcnMvZG93bnJldi54bWxQSwECFAAUAAAACACHTuJAHBec60UCAAClBAAADgAAAAAAAAABACAA&#10;AAAkAQAAZHJzL2Uyb0RvYy54bWxQSwUGAAAAAAYABgBZAQAA2wUAAAAA&#10;">
                  <v:fill on="t" focussize="0,0"/>
                  <v:stroke color="#000000" miterlimit="8" joinstyle="miter" dashstyle="dash"/>
                  <v:imagedata o:title=""/>
                  <o:lock v:ext="edit" aspectratio="f"/>
                  <v:textbox inset="6.76803149606299pt,3.3840157480315pt,6.76803149606299pt,3.3840157480315pt">
                    <w:txbxContent>
                      <w:p>
                        <w:pPr>
                          <w:jc w:val="center"/>
                          <w:rPr>
                            <w:sz w:val="23"/>
                          </w:rPr>
                        </w:pPr>
                        <w:r>
                          <w:rPr>
                            <w:rFonts w:hint="eastAsia" w:ascii="仿宋_GB2312" w:eastAsia="仿宋_GB2312"/>
                            <w:sz w:val="23"/>
                          </w:rPr>
                          <w:t>氧化沟</w:t>
                        </w:r>
                        <w:r>
                          <w:rPr>
                            <w:rFonts w:hint="eastAsia"/>
                            <w:color w:val="FF0000"/>
                            <w:sz w:val="23"/>
                          </w:rPr>
                          <w:t>(MBBR)</w:t>
                        </w:r>
                      </w:p>
                    </w:txbxContent>
                  </v:textbox>
                </v:rect>
                <v:rect id="Rectangle 126" o:spid="_x0000_s1026" o:spt="1" style="position:absolute;left:2222780;top:5254625;height:271145;width:1462405;"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2rrdUAAAAGAQAADwAAAAAAAAABACAA&#10;AAAiAAAAZHJzL2Rvd25yZXYueG1sUEsBAhQAFAAAAAgAh07iQD2SsihJAgAApQQAAA4AAAAAAAAA&#10;AQAgAAAAJAEAAGRycy9lMm9Eb2MueG1sUEsFBgAAAAAGAAYAWQEAAN8FA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二沉池</w:t>
                        </w:r>
                      </w:p>
                    </w:txbxContent>
                  </v:textbox>
                </v:rect>
                <v:rect id="Rectangle 127" o:spid="_x0000_s1026" o:spt="1" style="position:absolute;left:2251990;top:5750560;height:270510;width:1327150;" fillcolor="#FFFFFF" filled="t" stroked="t" coordsize="21600,21600" o:gfxdata="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&#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6nMR1QAAAAYBAAAPAAAAAAAAAAEAIAAAACIAAABk&#10;cnMvZG93bnJldi54bWxQSwECFAAUAAAACACHTuJAeJZyskICAACOBAAADgAAAAAAAAABACAAAAAk&#10;AQAAZHJzL2Uyb0RvYy54bWxQSwUGAAAAAAYABgBZAQAA2AUAAAAA&#10;">
                  <v:fill on="t" focussize="0,0"/>
                  <v:stroke weight="1.5pt" color="#00B0F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臭氧催化氧化池</w:t>
                        </w:r>
                      </w:p>
                    </w:txbxContent>
                  </v:textbox>
                </v:rect>
                <v:rect id="Rectangle 128" o:spid="_x0000_s1026" o:spt="1" style="position:absolute;left:2323745;top:6655435;height:269240;width:1177290;" fillcolor="#FFFFFF" filled="t" stroked="t" coordsize="21600,21600" o:gfxdata="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rNXIzWAAAABgEAAA8AAAAAAAAAAQAgAAAAIgAA&#10;AGRycy9kb3ducmV2LnhtbFBLAQIUABQAAAAIAIdO4kA5Zp1jQwIAAI4EAAAOAAAAAAAAAAEAIAAA&#10;ACUBAABkcnMvZTJvRG9jLnhtbFBLBQYAAAAABgAGAFkBAADaBQAAAAA=&#10;">
                  <v:fill on="t" focussize="0,0"/>
                  <v:stroke weight="1.5pt" color="#FF0000" miterlimit="8" joinstyle="miter"/>
                  <v:imagedata o:title=""/>
                  <o:lock v:ext="edit" aspectratio="f"/>
                  <v:textbox inset="6.76803149606299pt,3.3840157480315pt,6.76803149606299pt,3.3840157480315pt">
                    <w:txbxContent>
                      <w:p>
                        <w:pPr>
                          <w:jc w:val="center"/>
                          <w:rPr>
                            <w:sz w:val="23"/>
                          </w:rPr>
                        </w:pPr>
                        <w:r>
                          <w:rPr>
                            <w:rFonts w:hint="eastAsia"/>
                            <w:sz w:val="23"/>
                          </w:rPr>
                          <w:t>BAF</w:t>
                        </w:r>
                        <w:r>
                          <w:rPr>
                            <w:rFonts w:hint="eastAsia" w:ascii="仿宋_GB2312" w:eastAsia="仿宋_GB2312"/>
                            <w:sz w:val="23"/>
                          </w:rPr>
                          <w:t>滤池</w:t>
                        </w:r>
                      </w:p>
                    </w:txbxContent>
                  </v:textbox>
                </v:rect>
                <v:rect id="Rectangle 129" o:spid="_x0000_s1026" o:spt="1" style="position:absolute;left:2368195;top:6222365;height:269240;width:1096645;" fillcolor="#FFFFFF" filled="t" stroked="t" coordsize="21600,21600" o:gfxdata="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f6nMR1QAAAAYBAAAPAAAAAAAAAAEAIAAAACIA&#10;AABkcnMvZG93bnJldi54bWxQSwECFAAUAAAACACHTuJAEXl17kUCAACOBAAADgAAAAAAAAABACAA&#10;AAAkAQAAZHJzL2Uyb0RvYy54bWxQSwUGAAAAAAYABgBZAQAA2wUAAAAA&#10;">
                  <v:fill on="t" focussize="0,0"/>
                  <v:stroke weight="1.5pt" color="#00B0F0" miterlimit="8" joinstyle="miter"/>
                  <v:imagedata o:title=""/>
                  <o:lock v:ext="edit" aspectratio="f"/>
                  <v:textbox inset="6.76803149606299pt,3.3840157480315pt,6.76803149606299pt,3.3840157480315pt">
                    <w:txbxContent>
                      <w:p>
                        <w:pPr>
                          <w:jc w:val="center"/>
                          <w:rPr>
                            <w:sz w:val="23"/>
                          </w:rPr>
                        </w:pPr>
                        <w:r>
                          <w:rPr>
                            <w:rFonts w:hint="eastAsia" w:ascii="仿宋_GB2312" w:eastAsia="仿宋_GB2312"/>
                            <w:sz w:val="23"/>
                          </w:rPr>
                          <w:t>中间提升池</w:t>
                        </w:r>
                        <w:r>
                          <w:rPr>
                            <w:rFonts w:hint="eastAsia"/>
                            <w:sz w:val="23"/>
                          </w:rPr>
                          <w:t>2</w:t>
                        </w:r>
                      </w:p>
                    </w:txbxContent>
                  </v:textbox>
                </v:rect>
                <v:shape id="AutoShape 130" o:spid="_x0000_s1026" o:spt="32" type="#_x0000_t32" style="position:absolute;left:2812660;top:168271;height:557517;width:1905;"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oEvN1AAAAAYBAAAPAAAAAAAAAAEAIAAAACIAAABkcnMvZG93bnJldi54bWxQSwECFAAUAAAACACH&#10;TuJAl8h3ku8BAADXAwAADgAAAAAAAAABACAAAAAjAQAAZHJzL2Uyb0RvYy54bWxQSwUGAAAAAAYA&#10;BgBZAQAAhAUAAAAA&#10;">
                  <v:fill on="f" focussize="0,0"/>
                  <v:stroke color="#000000" joinstyle="round" dashstyle="dash" endarrow="block"/>
                  <v:imagedata o:title=""/>
                  <o:lock v:ext="edit" aspectratio="f"/>
                </v:shape>
                <v:shape id="AutoShape 131" o:spid="_x0000_s1026" o:spt="32" type="#_x0000_t32" style="position:absolute;left:2814600;top:998855;height:211455;width:5080;"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oEvN1AAAAAYBAAAPAAAAAAAAAAEAIAAAACIAAABkcnMvZG93bnJldi54bWxQSwECFAAUAAAA&#10;CACHTuJARoqb6/IBAADXAwAADgAAAAAAAAABACAAAAAjAQAAZHJzL2Uyb0RvYy54bWxQSwUGAAAA&#10;AAYABgBZAQAAhwUAAAAA&#10;">
                  <v:fill on="f" focussize="0,0"/>
                  <v:stroke color="#000000" joinstyle="round" dashstyle="dash" endarrow="block"/>
                  <v:imagedata o:title=""/>
                  <o:lock v:ext="edit" aspectratio="f"/>
                </v:shape>
                <v:shape id="AutoShape 132" o:spid="_x0000_s1026" o:spt="32" type="#_x0000_t32" style="position:absolute;left:2831745;top:1514475;height:211455;width:5715;"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ygS83UAAAABgEAAA8AAAAAAAAAAQAgAAAAIgAAAGRycy9kb3ducmV2LnhtbFBLAQIUABQA&#10;AAAIAIdO4kBuL/0N9AEAANgDAAAOAAAAAAAAAAEAIAAAACMBAABkcnMvZTJvRG9jLnhtbFBLBQYA&#10;AAAABgAGAFkBAACJBQAAAAA=&#10;">
                  <v:fill on="f" focussize="0,0"/>
                  <v:stroke color="#000000" joinstyle="round" dashstyle="dash" endarrow="block"/>
                  <v:imagedata o:title=""/>
                  <o:lock v:ext="edit" aspectratio="f"/>
                </v:shape>
                <v:shape id="AutoShape 134" o:spid="_x0000_s1026" o:spt="32" type="#_x0000_t32" style="position:absolute;left:2851430;top:1987550;height:211455;width:508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BHCCXY&#10;AAAABgEAAA8AAAAAAAAAAQAgAAAAIgAAAGRycy9kb3ducmV2LnhtbFBLAQIUABQAAAAIAIdO4kB2&#10;MKax5wEAAMADAAAOAAAAAAAAAAEAIAAAACcBAABkcnMvZTJvRG9jLnhtbFBLBQYAAAAABgAGAFkB&#10;AACABQAAAAA=&#10;">
                  <v:fill on="f" focussize="0,0"/>
                  <v:stroke color="#000000" joinstyle="round" endarrow="block"/>
                  <v:imagedata o:title=""/>
                  <o:lock v:ext="edit" aspectratio="f"/>
                </v:shape>
                <v:shape id="AutoShape 135" o:spid="_x0000_s1026" o:spt="32" type="#_x0000_t32" style="position:absolute;left:2856510;top:2506980;height:211455;width:5715;"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Rwgl&#10;2AAAAAYBAAAPAAAAAAAAAAEAIAAAACIAAABkcnMvZG93bnJldi54bWxQSwECFAAUAAAACACHTuJA&#10;MhjJuOgBAADAAwAADgAAAAAAAAABACAAAAAnAQAAZHJzL2Uyb0RvYy54bWxQSwUGAAAAAAYABgBZ&#10;AQAAgQUAAAAA&#10;">
                  <v:fill on="f" focussize="0,0"/>
                  <v:stroke color="#000000" joinstyle="round" endarrow="block"/>
                  <v:imagedata o:title=""/>
                  <o:lock v:ext="edit" aspectratio="f"/>
                </v:shape>
                <v:shape id="AutoShape 136" o:spid="_x0000_s1026" o:spt="32" type="#_x0000_t32" style="position:absolute;left:2862225;top:2988310;height:211455;width:508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wRwgl2AAA&#10;AAYBAAAPAAAAAAAAAAEAIAAAACIAAABkcnMvZG93bnJldi54bWxQSwECFAAUAAAACACHTuJAmkjU&#10;ZuUBAADAAwAADgAAAAAAAAABACAAAAAnAQAAZHJzL2Uyb0RvYy54bWxQSwUGAAAAAAYABgBZAQAA&#10;fgUAAAAA&#10;">
                  <v:fill on="f" focussize="0,0"/>
                  <v:stroke color="#000000" joinstyle="round" endarrow="block"/>
                  <v:imagedata o:title=""/>
                  <o:lock v:ext="edit" aspectratio="f"/>
                </v:shape>
                <v:shape id="AutoShape 137" o:spid="_x0000_s1026" o:spt="32" type="#_x0000_t32" style="position:absolute;left:2867305;top:3490595;height:212090;width:508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CCXYAAAABgEAAA8AAAAAAAAAAQAgAAAAIgAAAGRy&#10;cy9kb3ducmV2LnhtbFBLAQIUABQAAAAIAIdO4kAf8KZdBQIAAPIDAAAOAAAAAAAAAAEAIAAAACcB&#10;AABkcnMvZTJvRG9jLnhtbFBLBQYAAAAABgAGAFkBAACeBQAAAAA=&#10;">
                  <v:fill on="f" focussize="0,0"/>
                  <v:stroke color="#000000" joinstyle="round" endarrow="block"/>
                  <v:imagedata o:title=""/>
                  <o:lock v:ext="edit" aspectratio="f"/>
                </v:shape>
                <v:shape id="AutoShape 138" o:spid="_x0000_s1026" o:spt="32" type="#_x0000_t32" style="position:absolute;left:2878100;top:4014470;height:212090;width:508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HCCXYAAAABgEAAA8AAAAAAAAAAQAgAAAAIgAAAGRycy9k&#10;b3ducmV2LnhtbFBLAQIUABQAAAAIAIdO4kDO0Y9TAgIAAPIDAAAOAAAAAAAAAAEAIAAAACcBAABk&#10;cnMvZTJvRG9jLnhtbFBLBQYAAAAABgAGAFkBAACbBQAAAAA=&#10;">
                  <v:fill on="f" focussize="0,0"/>
                  <v:stroke color="#000000" joinstyle="round" endarrow="block"/>
                  <v:imagedata o:title=""/>
                  <o:lock v:ext="edit" aspectratio="f"/>
                </v:shape>
                <v:shape id="AutoShape 139" o:spid="_x0000_s1026" o:spt="32" type="#_x0000_t32" style="position:absolute;left:2902230;top:4508500;height:211455;width:5715;"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KBLzdQAAAAGAQAADwAAAAAAAAABACAAAAAiAAAAZHJzL2Rvd25yZXYueG1sUEsBAhQAFAAA&#10;AAgAh07iQH7cBKXzAQAA2AMAAA4AAAAAAAAAAQAgAAAAIwEAAGRycy9lMm9Eb2MueG1sUEsFBgAA&#10;AAAGAAYAWQEAAIgFAAAAAA==&#10;">
                  <v:fill on="f" focussize="0,0"/>
                  <v:stroke color="#000000" joinstyle="round" dashstyle="dash" endarrow="block"/>
                  <v:imagedata o:title=""/>
                  <o:lock v:ext="edit" aspectratio="f"/>
                </v:shape>
                <v:shape id="AutoShape 140" o:spid="_x0000_s1026" o:spt="32" type="#_x0000_t32" style="position:absolute;left:2907945;top:5057140;height:211455;width:5080;"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gS83UAAAABgEAAA8AAAAAAAAAAQAgAAAAIgAAAGRycy9kb3ducmV2LnhtbFBLAQIUABQAAAAI&#10;AIdO4kDExtLI8QEAANgDAAAOAAAAAAAAAAEAIAAAACMBAABkcnMvZTJvRG9jLnhtbFBLBQYAAAAA&#10;BgAGAFkBAACGBQAAAAA=&#10;">
                  <v:fill on="f" focussize="0,0"/>
                  <v:stroke color="#000000" joinstyle="round" dashstyle="dash" endarrow="block"/>
                  <v:imagedata o:title=""/>
                  <o:lock v:ext="edit" aspectratio="f"/>
                </v:shape>
                <v:shape id="AutoShape 141" o:spid="_x0000_s1026" o:spt="32" type="#_x0000_t32" style="position:absolute;left:2912988;top:5531356;height:219204;width:2577;"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oEvN1AAAAAYBAAAPAAAA&#10;AAAAAAEAIAAAACIAAABkcnMvZG93bnJldi54bWxQSwECFAAUAAAACACHTuJA07KW4BkCAAAmBAAA&#10;DgAAAAAAAAABACAAAAAjAQAAZHJzL2Uyb0RvYy54bWxQSwUGAAAAAAYABgBZAQAArgUAAAAA&#10;">
                  <v:fill on="f" focussize="0,0"/>
                  <v:stroke color="#000000" joinstyle="round" dashstyle="dash" endarrow="block"/>
                  <v:imagedata o:title=""/>
                  <o:lock v:ext="edit" aspectratio="f"/>
                </v:shape>
                <v:shape id="AutoShape 142" o:spid="_x0000_s1026" o:spt="32" type="#_x0000_t32" style="position:absolute;left:2915565;top:6021070;height:201295;width:953;"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Rwgl2AAAAAYBAAAPAAAA&#10;AAAAAAEAIAAAACIAAABkcnMvZG93bnJldi54bWxQSwECFAAUAAAACACHTuJAGgwHWRUCAAAoBAAA&#10;DgAAAAAAAAABACAAAAAnAQAAZHJzL2Uyb0RvYy54bWxQSwUGAAAAAAYABgBZAQAArgUAAAAA&#10;">
                  <v:fill on="f" focussize="0,0"/>
                  <v:stroke color="#000000" joinstyle="round" endarrow="block"/>
                  <v:imagedata o:title=""/>
                  <o:lock v:ext="edit" aspectratio="f"/>
                </v:shape>
                <v:shape id="AutoShape 143" o:spid="_x0000_s1026" o:spt="32" type="#_x0000_t32" style="position:absolute;left:2912390;top:6491605;flip:x;height:163830;width:4128;" filled="f" stroked="t" coordsize="21600,21600" o:gfxdata="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X68D1wAA&#10;AAYBAAAPAAAAAAAAAAEAIAAAACIAAABkcnMvZG93bnJldi54bWxQSwECFAAUAAAACACHTuJA32OJ&#10;6h8CAAAzBAAADgAAAAAAAAABACAAAAAmAQAAZHJzL2Uyb0RvYy54bWxQSwUGAAAAAAYABgBZAQAA&#10;twUAAAAA&#10;">
                  <v:fill on="f" focussize="0,0"/>
                  <v:stroke color="#000000" joinstyle="round" endarrow="block"/>
                  <v:imagedata o:title=""/>
                  <o:lock v:ext="edit" aspectratio="f"/>
                </v:shape>
                <v:rect id="Rectangle 144" o:spid="_x0000_s1026" o:spt="1" style="position:absolute;left:1598818;top:5184246;height:730780;width:340817;" fillcolor="#FFFFFF" filled="t" stroked="t" coordsize="21600,21600" o:gfxdata="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rGLu1gAAAAYBAAAPAAAAAAAAAAEA&#10;IAAAACIAAABkcnMvZG93bnJldi54bWxQSwECFAAUAAAACACHTuJAO/Y+N0oCAACmBAAADgAAAAAA&#10;AAABACAAAAAlAQAAZHJzL2Uyb0RvYy54bWxQSwUGAAAAAAYABgBZAQAA4QUAAAAA&#10;">
                  <v:fill on="t" focussize="0,0"/>
                  <v:stroke color="#000000" miterlimit="8" joinstyle="miter" dashstyle="dash"/>
                  <v:imagedata o:title=""/>
                  <o:lock v:ext="edit" aspectratio="f"/>
                  <v:textbox inset="6.76803149606299pt,3.3840157480315pt,6.76803149606299pt,3.3840157480315pt" style="layout-flow:vertical-ideographic;">
                    <w:txbxContent>
                      <w:p>
                        <w:pPr>
                          <w:jc w:val="center"/>
                          <w:rPr>
                            <w:sz w:val="23"/>
                          </w:rPr>
                        </w:pPr>
                        <w:r>
                          <w:rPr>
                            <w:rFonts w:hint="eastAsia" w:ascii="仿宋_GB2312" w:eastAsia="仿宋_GB2312"/>
                            <w:sz w:val="23"/>
                          </w:rPr>
                          <w:t>污泥贮池</w:t>
                        </w:r>
                      </w:p>
                    </w:txbxContent>
                  </v:textbox>
                </v:rect>
                <v:rect id="Rectangle 146" o:spid="_x0000_s1026" o:spt="1" style="position:absolute;left:408583;top:4538761;height:1952692;width:382727;" fillcolor="#FFFFFF" filled="t" stroked="t" coordsize="21600,21600" o:gfxdata="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rGLu1gAAAAYBAAAPAAAAAAAAAAEA&#10;IAAAACIAAABkcnMvZG93bnJldi54bWxQSwECFAAUAAAACACHTuJAGHYn00oCAACmBAAADgAAAAAA&#10;AAABACAAAAAlAQAAZHJzL2Uyb0RvYy54bWxQSwUGAAAAAAYABgBZAQAA4QUAAAAA&#10;">
                  <v:fill on="t" focussize="0,0"/>
                  <v:stroke color="#000000" miterlimit="8" joinstyle="miter" dashstyle="dash"/>
                  <v:imagedata o:title=""/>
                  <o:lock v:ext="edit" aspectratio="f"/>
                  <v:textbox inset="6.76803149606299pt,3.3840157480315pt,6.76803149606299pt,3.3840157480315pt" style="layout-flow:vertical-ideographic;">
                    <w:txbxContent>
                      <w:p>
                        <w:pPr>
                          <w:jc w:val="center"/>
                          <w:rPr>
                            <w:rFonts w:ascii="仿宋_GB2312" w:eastAsia="仿宋_GB2312"/>
                            <w:sz w:val="23"/>
                          </w:rPr>
                        </w:pPr>
                        <w:r>
                          <w:rPr>
                            <w:rFonts w:hint="eastAsia" w:ascii="仿宋_GB2312" w:eastAsia="仿宋_GB2312"/>
                            <w:sz w:val="23"/>
                          </w:rPr>
                          <w:t>污泥外运至有资质处理单位</w:t>
                        </w:r>
                      </w:p>
                    </w:txbxContent>
                  </v:textbox>
                </v:rect>
                <v:shape id="AutoShape 147" o:spid="_x0000_s1026" o:spt="32" type="#_x0000_t32" style="position:absolute;left:1933220;top:5447665;flip:x;height:8255;width:289560;"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awo2dMAAAAGAQAADwAAAAAAAAABACAAAAAiAAAAZHJzL2Rvd25yZXYueG1sUEsB&#10;AhQAFAAAAAgAh07iQLwmAb76AQAA4gMAAA4AAAAAAAAAAQAgAAAAIgEAAGRycy9lMm9Eb2MueG1s&#10;UEsFBgAAAAAGAAYAWQEAAI4FAAAAAA==&#10;">
                  <v:fill on="f" focussize="0,0"/>
                  <v:stroke color="#000000" joinstyle="round" dashstyle="dash" endarrow="block"/>
                  <v:imagedata o:title=""/>
                  <o:lock v:ext="edit" aspectratio="f"/>
                </v:shape>
                <v:shape id="AutoShape 148" o:spid="_x0000_s1026" o:spt="32" type="#_x0000_t32" style="position:absolute;left:1325512;top:5464682;flip:x;height:0;width:273288;"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rCjZ0wAAAAYBAAAPAAAAAAAAAAEAIAAAACIAAABkcnMvZG93bnJldi54bWxQSwEC&#10;FAAUAAAACACHTuJA4bt6c/kBAADfAwAADgAAAAAAAAABACAAAAAiAQAAZHJzL2Uyb0RvYy54bWxQ&#10;SwUGAAAAAAYABgBZAQAAjQUAAAAA&#10;">
                  <v:fill on="f" focussize="0,0"/>
                  <v:stroke color="#000000" joinstyle="round" dashstyle="dash" endarrow="block"/>
                  <v:imagedata o:title=""/>
                  <o:lock v:ext="edit" aspectratio="f"/>
                </v:shape>
                <v:shape id="AutoShape 149" o:spid="_x0000_s1026" o:spt="32" type="#_x0000_t32" style="position:absolute;left:789876;top:5447531;flip:x;height:0;width:180837;"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awo2dMAAAAGAQAADwAAAAAAAAABACAAAAAiAAAAZHJzL2Rvd25yZXYueG1sUEsB&#10;AhQAFAAAAAgAh07iQD6+jt/6AQAA3gMAAA4AAAAAAAAAAQAgAAAAIgEAAGRycy9lMm9Eb2MueG1s&#10;UEsFBgAAAAAGAAYAWQEAAI4FAAAAAA==&#10;">
                  <v:fill on="f" focussize="0,0"/>
                  <v:stroke color="#000000" joinstyle="round" dashstyle="dash" endarrow="block"/>
                  <v:imagedata o:title=""/>
                  <o:lock v:ext="edit" aspectratio="f"/>
                </v:shape>
                <v:shape id="AutoShape 150" o:spid="_x0000_s1026" o:spt="32" type="#_x0000_t32" style="position:absolute;left:1774390;top:4405527;flip:x;height:0;width:468049;" filled="f" stroked="t" coordsize="21600,21600" o:gfxdata="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c0HDPWAAAABgEAAA8AAAAAAAAAAQAgAAAAIgAAAGRycy9kb3ducmV2LnhtbFBL&#10;AQIUABQAAAAIAIdO4kDxPxCx+AEAAOMDAAAOAAAAAAAAAAEAIAAAACUBAABkcnMvZTJvRG9jLnht&#10;bFBLBQYAAAAABgAGAFkBAACPBQAAAAA=&#10;">
                  <v:fill on="f" focussize="0,0"/>
                  <v:stroke color="#000000" joinstyle="round" dashstyle="dash"/>
                  <v:imagedata o:title=""/>
                  <o:lock v:ext="edit" aspectratio="f"/>
                </v:shape>
                <v:shape id="AutoShape 151" o:spid="_x0000_s1026" o:spt="32" type="#_x0000_t32" style="position:absolute;left:1757236;top:1432175;height:3752223;width:17174;"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gS83UAAAABgEAAA8AAAAAAAAAAQAgAAAAIgAAAGRy&#10;cy9kb3ducmV2LnhtbFBLAQIUABQAAAAIAIdO4kDrhSywCQIAAAwEAAAOAAAAAAAAAAEAIAAAACMB&#10;AABkcnMvZTJvRG9jLnhtbFBLBQYAAAAABgAGAFkBAACeBQAAAAA=&#10;">
                  <v:fill on="f" focussize="0,0"/>
                  <v:stroke color="#000000" joinstyle="round" dashstyle="dash" endarrow="block"/>
                  <v:imagedata o:title=""/>
                  <o:lock v:ext="edit" aspectratio="f"/>
                </v:shape>
                <v:shape id="AutoShape 152" o:spid="_x0000_s1026" o:spt="32" type="#_x0000_t32" style="position:absolute;left:2059126;top:4474740;height:989809;width:0;" filled="f" stroked="t" coordsize="21600,21600" o:gfxdata="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7TisNcAAAAGAQAADwAAAAAAAAABACAA&#10;AAAiAAAAZHJzL2Rvd25yZXYueG1sUEsBAhQAFAAAAAgAh07iQKUUcXjVAQAApwMAAA4AAAAAAAAA&#10;AQAgAAAAJgEAAGRycy9lMm9Eb2MueG1sUEsFBgAAAAAGAAYAWQEAAG0FAAAAAA==&#10;">
                  <v:fill on="f" focussize="0,0"/>
                  <v:stroke color="#000000" joinstyle="round" dashstyle="dash"/>
                  <v:imagedata o:title=""/>
                  <o:lock v:ext="edit" aspectratio="f"/>
                </v:shape>
                <v:shape id="AutoShape 153" o:spid="_x0000_s1026" o:spt="32" type="#_x0000_t32" style="position:absolute;left:2053235;top:4474210;height:635;width:189230;"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KBLzdQAAAAGAQAADwAAAAAAAAABACAAAAAiAAAAZHJzL2Rvd25yZXYueG1sUEsBAhQAFAAA&#10;AAgAh07iQGMbjazzAQAA1wMAAA4AAAAAAAAAAQAgAAAAIwEAAGRycy9lMm9Eb2MueG1sUEsFBgAA&#10;AAAGAAYAWQEAAIgFAAAAAA==&#10;">
                  <v:fill on="f" focussize="0,0"/>
                  <v:stroke color="#000000" joinstyle="round" dashstyle="dash" endarrow="block"/>
                  <v:imagedata o:title=""/>
                  <o:lock v:ext="edit" aspectratio="f"/>
                </v:shape>
                <v:shape id="AutoShape 154" o:spid="_x0000_s1026" o:spt="32" type="#_x0000_t32" style="position:absolute;left:3176550;top:857885;flip:y;height:1270;width:380365;"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WsKNnTAAAABgEAAA8AAAAAAAAAAQAg&#10;AAAAIgAAAGRycy9kb3ducmV2LnhtbFBLAQIUABQAAAAIAIdO4kCB0UtAEwIAACQEAAAOAAAAAAAA&#10;AAEAIAAAACIBAABkcnMvZTJvRG9jLnhtbFBLBQYAAAAABgAGAFkBAACnBQAAAAA=&#10;">
                  <v:fill on="f" focussize="0,0"/>
                  <v:stroke color="#000000" joinstyle="round" dashstyle="dash" endarrow="block"/>
                  <v:imagedata o:title=""/>
                  <o:lock v:ext="edit" aspectratio="f"/>
                </v:shape>
                <v:shape id="AutoShape 156" o:spid="_x0000_s1026" o:spt="32" type="#_x0000_t32" style="position:absolute;left:1774410;top:1432209;flip:x;height:0;width:341031;" filled="f" stroked="t" coordsize="21600,21600" o:gfxdata="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c0HDPWAAAABgEAAA8AAAAAAAAAAQAgAAAAIgAAAGRycy9kb3ducmV2LnhtbFBLAQIU&#10;ABQAAAAIAIdO4kDxoFhg9QEAAOMDAAAOAAAAAAAAAAEAIAAAACUBAABkcnMvZTJvRG9jLnhtbFBL&#10;BQYAAAAABgAGAFkBAACMBQAAAAA=&#10;">
                  <v:fill on="f" focussize="0,0"/>
                  <v:stroke color="#000000" joinstyle="round" dashstyle="dash"/>
                  <v:imagedata o:title=""/>
                  <o:lock v:ext="edit" aspectratio="f"/>
                </v:shape>
                <v:rect id="Rectangle 157" o:spid="_x0000_s1026" o:spt="1" style="position:absolute;left:4349337;top:4608081;height:609600;width:393329;" fillcolor="#FFFFFF" filled="t" stroked="t" coordsize="21600,21600" o:gfxdata="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rGLu1gAAAAYBAAAPAAAAAAAAAAEA&#10;IAAAACIAAABkcnMvZG93bnJldi54bWxQSwECFAAUAAAACACHTuJAAXIIE0oCAACmBAAADgAAAAAA&#10;AAABACAAAAAlAQAAZHJzL2Uyb0RvYy54bWxQSwUGAAAAAAYABgBZAQAA4QUAAAAA&#10;">
                  <v:fill on="t" focussize="0,0"/>
                  <v:stroke color="#000000" miterlimit="8" joinstyle="miter" dashstyle="dash"/>
                  <v:imagedata o:title=""/>
                  <o:lock v:ext="edit" aspectratio="f"/>
                  <v:textbox inset="6.76803149606299pt,3.3840157480315pt,6.76803149606299pt,3.3840157480315pt" style="layout-flow:vertical-ideographic;">
                    <w:txbxContent>
                      <w:p>
                        <w:pPr>
                          <w:jc w:val="center"/>
                          <w:rPr>
                            <w:rFonts w:ascii="仿宋_GB2312" w:eastAsia="仿宋_GB2312"/>
                            <w:sz w:val="23"/>
                          </w:rPr>
                        </w:pPr>
                        <w:r>
                          <w:rPr>
                            <w:rFonts w:hint="eastAsia" w:ascii="仿宋_GB2312" w:eastAsia="仿宋_GB2312"/>
                            <w:sz w:val="23"/>
                          </w:rPr>
                          <w:t>鼓风机</w:t>
                        </w:r>
                      </w:p>
                    </w:txbxContent>
                  </v:textbox>
                </v:rect>
                <v:shape id="AutoShape 158" o:spid="_x0000_s1026" o:spt="32" type="#_x0000_t32" style="position:absolute;left:3685185;top:4912995;flip:x;height:8890;width:664210;"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rCjZ0wAAAAYBAAAPAAAAAAAAAAEAIAAAACIAAABkcnMvZG93bnJldi54bWxQ&#10;SwECFAAUAAAACACHTuJA6OkskPwBAADiAwAADgAAAAAAAAABACAAAAAiAQAAZHJzL2Uyb0RvYy54&#10;bWxQSwUGAAAAAAYABgBZAQAAkAUAAAAA&#10;">
                  <v:fill on="f" focussize="0,0"/>
                  <v:stroke color="#000000" joinstyle="round" dashstyle="dash" endarrow="block"/>
                  <v:imagedata o:title=""/>
                  <o:lock v:ext="edit" aspectratio="f"/>
                </v:shape>
                <v:shape id="AutoShape 159" o:spid="_x0000_s1026" o:spt="32" type="#_x0000_t32" style="position:absolute;left:2047034;top:6717490;height:635;width:27686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Rwgl2AAAAAYBAAAPAAAAAAAAAAEAIAAAACIAAABkcnMvZG93&#10;bnJldi54bWxQSwECFAAUAAAACACHTuJAs3CsdwACAADxAwAADgAAAAAAAAABACAAAAAnAQAAZHJz&#10;L2Uyb0RvYy54bWxQSwUGAAAAAAYABgBZAQAAmQUAAAAA&#10;">
                  <v:fill on="f" focussize="0,0"/>
                  <v:stroke color="#000000" joinstyle="round" endarrow="block"/>
                  <v:imagedata o:title=""/>
                  <o:lock v:ext="edit" aspectratio="f"/>
                </v:shape>
                <v:shape id="AutoShape 160" o:spid="_x0000_s1026" o:spt="32" type="#_x0000_t32" style="position:absolute;left:3675613;top:2852982;flip:x y;height:562;width:400044;" filled="f" stroked="t" coordsize="21600,21600" o:gfxdata="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iFFvLWAAAABgEAAA8AAAAAAAAAAQAgAAAAIgAAAGRycy9kb3ducmV2LnhtbFBLAQIU&#10;ABQAAAAIAIdO4kB3bv6E9QEAANMDAAAOAAAAAAAAAAEAIAAAACUBAABkcnMvZTJvRG9jLnhtbFBL&#10;BQYAAAAABgAGAFkBAACMBQAAAAA=&#10;">
                  <v:fill on="f" focussize="0,0"/>
                  <v:stroke color="#000000" joinstyle="round" endarrow="block"/>
                  <v:imagedata o:title=""/>
                  <o:lock v:ext="edit" aspectratio="f"/>
                </v:shape>
                <v:rect id="Rectangle 161" o:spid="_x0000_s1026" o:spt="1" style="position:absolute;left:4075392;top:2615715;height:507045;width:855270;" fillcolor="#FFFFFF" filled="t" stroked="t" coordsize="21600,21600" o:gfxdata="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uVWdDXAAAABgEAAA8AAAAAAAAAAQAgAAAAIgAAAGRy&#10;cy9kb3ducmV2LnhtbFBLAQIUABQAAAAIAIdO4kAfRaB9PwIAAI0EAAAOAAAAAAAAAAEAIAAAACYB&#10;AABkcnMvZTJvRG9jLnhtbFBLBQYAAAAABgAGAFkBAADXBQAAAAA=&#10;">
                  <v:fill on="t" focussize="0,0"/>
                  <v:stroke weight="1.5pt" color="#00000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絮凝药剂、中和药剂</w:t>
                        </w:r>
                      </w:p>
                    </w:txbxContent>
                  </v:textbox>
                </v:rect>
                <v:shape id="AutoShape 162" o:spid="_x0000_s1026" o:spt="32" type="#_x0000_t32" style="position:absolute;left:1774410;top:2853471;flip:x;height:0;width:436861;" filled="f" stroked="t" coordsize="21600,21600" o:gfxdata="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4&#10;4yX81gAAAAYBAAAPAAAAAAAAAAEAIAAAACIAAABkcnMvZG93bnJldi54bWxQSwECFAAUAAAACACH&#10;TuJAHi1+iO0BAADLAwAADgAAAAAAAAABACAAAAAlAQAAZHJzL2Uyb0RvYy54bWxQSwUGAAAAAAYA&#10;BgBZAQAAhAUAAAAA&#10;">
                  <v:fill on="f" focussize="0,0"/>
                  <v:stroke color="#000000" joinstyle="round"/>
                  <v:imagedata o:title=""/>
                  <o:lock v:ext="edit" aspectratio="f"/>
                </v:shape>
                <v:shape id="AutoShape 163" o:spid="_x0000_s1026" o:spt="32" type="#_x0000_t32" style="position:absolute;left:3674343;top:2318960;flip:x;height:1;width:375437;" filled="f" stroked="t" coordsize="21600,21600" o:gfxdata="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F+vA9cAAAAGAQAADwAAAAAAAAABACAAAAAiAAAAZHJzL2Rvd25yZXYueG1sUEsBAhQAFAAAAAgA&#10;h07iQECeyl/tAQAAxwMAAA4AAAAAAAAAAQAgAAAAJgEAAGRycy9lMm9Eb2MueG1sUEsFBgAAAAAG&#10;AAYAWQEAAIUFAAAAAA==&#10;">
                  <v:fill on="f" focussize="0,0"/>
                  <v:stroke color="#000000" joinstyle="round" endarrow="block"/>
                  <v:imagedata o:title=""/>
                  <o:lock v:ext="edit" aspectratio="f"/>
                </v:shape>
                <v:rect id="Rectangle 164" o:spid="_x0000_s1026" o:spt="1" style="position:absolute;left:4067032;top:2175723;height:287655;width:1288312;" fillcolor="#FFFFFF" filled="t" stroked="t" coordsize="21600,21600" o:gfxdata="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uVWdDXAAAABgEAAA8AAAAAAAAAAQAgAAAAIgAAAGRy&#10;cy9kb3ducmV2LnhtbFBLAQIUABQAAAAIAIdO4kDbGad6PwIAAI4EAAAOAAAAAAAAAAEAIAAAACYB&#10;AABkcnMvZTJvRG9jLnhtbFBLBQYAAAAABgAGAFkBAADXBQAAAAA=&#10;">
                  <v:fill on="t" focussize="0,0"/>
                  <v:stroke weight="1.5pt" color="#000000" miterlimit="8" joinstyle="miter"/>
                  <v:imagedata o:title=""/>
                  <o:lock v:ext="edit" aspectratio="f"/>
                  <v:textbox inset="6.76803149606299pt,3.3840157480315pt,6.76803149606299pt,3.3840157480315pt">
                    <w:txbxContent>
                      <w:p>
                        <w:pPr>
                          <w:rPr>
                            <w:sz w:val="23"/>
                          </w:rPr>
                        </w:pPr>
                        <w:r>
                          <w:rPr>
                            <w:rFonts w:hint="eastAsia" w:ascii="仿宋_GB2312" w:eastAsia="仿宋_GB2312"/>
                            <w:sz w:val="23"/>
                          </w:rPr>
                          <w:t>酸、双氧水</w:t>
                        </w:r>
                        <w:r>
                          <w:rPr>
                            <w:rFonts w:hint="eastAsia"/>
                            <w:sz w:val="23"/>
                          </w:rPr>
                          <w:t>、Fe</w:t>
                        </w:r>
                        <w:r>
                          <w:rPr>
                            <w:rFonts w:hint="eastAsia"/>
                            <w:sz w:val="23"/>
                            <w:vertAlign w:val="superscript"/>
                          </w:rPr>
                          <w:t>2+</w:t>
                        </w:r>
                      </w:p>
                    </w:txbxContent>
                  </v:textbox>
                </v:rect>
                <v:shape id="AutoShape 165" o:spid="_x0000_s1026" o:spt="32" type="#_x0000_t32" style="position:absolute;left:2912390;top:6924675;height:146050;width:3175;"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EcIJdgAAAAGAQAADwAAAAAAAAABACAAAAAiAAAAZHJz&#10;L2Rvd25yZXYueG1sUEsBAhQAFAAAAAgAh07iQFu5oUoEAgAABAQAAA4AAAAAAAAAAQAgAAAAJwEA&#10;AGRycy9lMm9Eb2MueG1sUEsFBgAAAAAGAAYAWQEAAJ0FAAAAAA==&#10;">
                  <v:fill on="f" focussize="0,0"/>
                  <v:stroke color="#000000" joinstyle="round" endarrow="block"/>
                  <v:imagedata o:title=""/>
                  <o:lock v:ext="edit" aspectratio="f"/>
                </v:shape>
                <v:group id="_x0000_s1026" o:spid="_x0000_s1026" o:spt="203" style="position:absolute;left:342545;top:7302561;height:658260;width:1383665;" coordorigin="33655,7302561" coordsize="1383665,658260" o:gfxdata="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P&#10;AxyF1wAAAAYBAAAPAAAAAAAAAAEAIAAAACIAAABkcnMvZG93bnJldi54bWxQSwECFAAUAAAACACH&#10;TuJA7o+FTkIDAABKCQAADgAAAAAAAAABACAAAAAmAQAAZHJzL2Uyb0RvYy54bWxQSwUGAAAAAAYA&#10;BgBZAQAA2gYAAAAA&#10;">
                  <o:lock v:ext="edit" aspectratio="f"/>
                  <v:rect id="Rectangle 167" o:spid="_x0000_s1026" o:spt="1" style="position:absolute;left:33655;top:7302561;height:658260;width:916171;" fillcolor="#FFFFFF" filled="t" stroked="t" coordsize="21600,21600" o:gfxdata="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RSobsAAADc&#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inset="6.76803149606299pt,3.3840157480315pt,6.76803149606299pt,3.3840157480315pt">
                      <w:txbxContent>
                        <w:p>
                          <w:pPr>
                            <w:rPr>
                              <w:rFonts w:ascii="仿宋_GB2312" w:eastAsia="仿宋_GB2312"/>
                              <w:sz w:val="17"/>
                              <w:szCs w:val="18"/>
                            </w:rPr>
                          </w:pPr>
                          <w:r>
                            <w:rPr>
                              <w:rFonts w:hint="eastAsia" w:ascii="仿宋_GB2312" w:eastAsia="仿宋_GB2312"/>
                              <w:sz w:val="17"/>
                              <w:szCs w:val="18"/>
                            </w:rPr>
                            <w:t>说明：</w:t>
                          </w:r>
                        </w:p>
                        <w:p>
                          <w:pPr>
                            <w:rPr>
                              <w:rFonts w:ascii="仿宋_GB2312" w:eastAsia="仿宋_GB2312"/>
                              <w:sz w:val="17"/>
                              <w:szCs w:val="18"/>
                            </w:rPr>
                          </w:pPr>
                          <w:r>
                            <w:rPr>
                              <w:rFonts w:hint="eastAsia" w:ascii="仿宋_GB2312" w:eastAsia="仿宋_GB2312"/>
                              <w:sz w:val="17"/>
                              <w:szCs w:val="18"/>
                            </w:rPr>
                            <w:t>现有工艺单元：</w:t>
                          </w:r>
                        </w:p>
                        <w:p>
                          <w:pPr>
                            <w:rPr>
                              <w:sz w:val="17"/>
                              <w:szCs w:val="18"/>
                            </w:rPr>
                          </w:pPr>
                          <w:r>
                            <w:rPr>
                              <w:rFonts w:hint="eastAsia" w:ascii="仿宋_GB2312" w:eastAsia="仿宋_GB2312"/>
                              <w:sz w:val="17"/>
                              <w:szCs w:val="18"/>
                            </w:rPr>
                            <w:t>新增工艺单元</w:t>
                          </w:r>
                          <w:r>
                            <w:rPr>
                              <w:rFonts w:hint="eastAsia"/>
                              <w:sz w:val="17"/>
                              <w:szCs w:val="18"/>
                            </w:rPr>
                            <w:t>：</w:t>
                          </w:r>
                        </w:p>
                      </w:txbxContent>
                    </v:textbox>
                  </v:rect>
                  <v:shape id="AutoShape 168" o:spid="_x0000_s1026" o:spt="32" type="#_x0000_t32" style="position:absolute;left:835158;top:7680459;height:565;width:582162;" filled="f" stroked="t" coordsize="21600,21600" o:gfxdata="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rk36/&#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AutoShape 169" o:spid="_x0000_s1026" o:spt="32" type="#_x0000_t32" style="position:absolute;left:835158;top:7829120;height:565;width:582162;" filled="f" stroked="t" coordsize="21600,21600" o:gfxdata="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La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rect id="Rectangle 170" o:spid="_x0000_s1026" o:spt="1" style="position:absolute;left:2975255;top:31750;height:272415;width:1702435;"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nNq63VAAAABgEAAA8AAAAAAAAAAQAgAAAA&#10;IgAAAGRycy9kb3ducmV2LnhtbFBLAQIUABQAAAAIAIdO4kDx/dDmRwIAAKMEAAAOAAAAAAAAAAEA&#10;IAAAACQBAABkcnMvZTJvRG9jLnhtbFBLBQYAAAAABgAGAFkBAADdBQ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生活废水、初期雨水等</w:t>
                        </w:r>
                      </w:p>
                    </w:txbxContent>
                  </v:textbox>
                </v:rect>
                <v:shape id="AutoShape 171" o:spid="_x0000_s1026" o:spt="32" type="#_x0000_t32" style="position:absolute;left:2699030;top:168275;height:0;width:276225;" filled="f" stroked="t" coordsize="21600,21600" o:gfxdata="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7TisNcAAAAGAQAADwAAAAAAAAABACAA&#10;AAAiAAAAZHJzL2Rvd25yZXYueG1sUEsBAhQAFAAAAAgAh07iQLyZo73VAQAApgMAAA4AAAAAAAAA&#10;AQAgAAAAJgEAAGRycy9lMm9Eb2MueG1sUEsFBgAAAAAGAAYAWQEAAG0FAAAAAA==&#10;">
                  <v:fill on="f" focussize="0,0"/>
                  <v:stroke color="#000000" joinstyle="round" dashstyle="dash"/>
                  <v:imagedata o:title=""/>
                  <o:lock v:ext="edit" aspectratio="f"/>
                </v:shape>
                <v:rect id="Rectangle 174" o:spid="_x0000_s1026" o:spt="1" style="position:absolute;left:2503765;top:7906485;height:268605;width:826770;"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nNq63VAAAABgEAAA8AAAAAAAAAAQAg&#10;AAAAIgAAAGRycy9kb3ducmV2LnhtbFBLAQIUABQAAAAIAIdO4kBJhj6lSgIAAKQEAAAOAAAAAAAA&#10;AAEAIAAAACQBAABkcnMvZTJvRG9jLnhtbFBLBQYAAAAABgAGAFkBAADgBQ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排水泵房</w:t>
                        </w:r>
                      </w:p>
                    </w:txbxContent>
                  </v:textbox>
                </v:rect>
                <v:rect id="Rectangle 175" o:spid="_x0000_s1026" o:spt="1" style="position:absolute;left:3571730;top:7906485;height:268605;width:718820;" fillcolor="#FFFFFF" filled="t" stroked="t" coordsize="21600,21600" o:gfxdata="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x934d1AAAAAYBAAAPAAAAAAAAAAEAIAAAACIAAABkcnMvZG93&#10;bnJldi54bWxQSwECFAAUAAAACACHTuJAzZrNtD0CAACMBAAADgAAAAAAAAABACAAAAAjAQAAZHJz&#10;L2Uyb0RvYy54bWxQSwUGAAAAAAYABgBZAQAA0gUAAAAA&#10;">
                  <v:fill on="t" focussize="0,0"/>
                  <v:stroke color="#FFFFFF"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排放</w:t>
                        </w:r>
                      </w:p>
                    </w:txbxContent>
                  </v:textbox>
                </v:rect>
                <v:shape id="AutoShape 177" o:spid="_x0000_s1026" o:spt="32" type="#_x0000_t32" style="position:absolute;left:3356890;top:8034860;height:635;width:325755;" filled="f" stroked="t" coordsize="21600,21600" o:gfxdata="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f8mB1QAAAAYBAAAPAAAAAAAAAAEAIAAA&#10;ACIAAABkcnMvZG93bnJldi54bWxQSwECFAAUAAAACACHTuJA0nahcA8CAAAMBAAADgAAAAAAAAAB&#10;ACAAAAAkAQAAZHJzL2Uyb0RvYy54bWxQSwUGAAAAAAYABgBZAQAApQUAAAAA&#10;">
                  <v:fill on="f" focussize="0,0"/>
                  <v:stroke color="#000000" joinstyle="round" dashstyle="dashDot" endarrow="block"/>
                  <v:imagedata o:title=""/>
                  <o:lock v:ext="edit" aspectratio="f"/>
                </v:shape>
                <v:shape id="AutoShape 179" o:spid="_x0000_s1026" o:spt="32" type="#_x0000_t32" style="position:absolute;left:3519950;top:6799795;height:3205;width:546129;"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EcIJdgAAAAGAQAADwAAAAAAAAABACAAAAAiAAAAZHJz&#10;L2Rvd25yZXYueG1sUEsBAhQAFAAAAAgAh07iQGG4WzIEAgAA8gMAAA4AAAAAAAAAAQAgAAAAJwEA&#10;AGRycy9lMm9Eb2MueG1sUEsFBgAAAAAGAAYAWQEAAJ0FAAAAAA==&#10;">
                  <v:fill on="f" focussize="0,0"/>
                  <v:stroke color="#000000" joinstyle="round" endarrow="block"/>
                  <v:imagedata o:title=""/>
                  <o:lock v:ext="edit" aspectratio="f"/>
                </v:shape>
                <v:shape id="AutoShape 180" o:spid="_x0000_s1026" o:spt="32" type="#_x0000_t32" style="position:absolute;left:2066059;top:6878472;height:326853;width:0;" filled="f" stroked="t" coordsize="21600,21600" o:gfxdata="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bjCSdYA&#10;AAAGAQAADwAAAAAAAAABACAAAAAiAAAAZHJzL2Rvd25yZXYueG1sUEsBAhQAFAAAAAgAh07iQCAZ&#10;M/roAQAAwQMAAA4AAAAAAAAAAQAgAAAAJQEAAGRycy9lMm9Eb2MueG1sUEsFBgAAAAAGAAYAWQEA&#10;AH8FAAAAAA==&#10;">
                  <v:fill on="f" focussize="0,0"/>
                  <v:stroke color="#000000" joinstyle="round"/>
                  <v:imagedata o:title=""/>
                  <o:lock v:ext="edit" aspectratio="f"/>
                </v:shape>
                <v:shape id="AutoShape 181" o:spid="_x0000_s1026" o:spt="32" type="#_x0000_t32" style="position:absolute;left:2059236;top:7205494;flip:x y;height:169;width:328009;" filled="f" stroked="t" coordsize="21600,21600" o:gfxdata="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5lVM1wAAAAYBAAAPAAAAAAAAAAEAIAAAACIAAABkcnMvZG93bnJl&#10;di54bWxQSwECFAAUAAAACACHTuJA/Roh1P4BAADyAwAADgAAAAAAAAABACAAAAAmAQAAZHJzL2Uy&#10;b0RvYy54bWxQSwUGAAAAAAYABgBZAQAAlgUAAAAA&#10;">
                  <v:fill on="f" focussize="0,0"/>
                  <v:stroke color="#000000" joinstyle="round"/>
                  <v:imagedata o:title=""/>
                  <o:lock v:ext="edit" aspectratio="f"/>
                </v:shape>
                <v:rect id="Rectangle 182" o:spid="_x0000_s1026" o:spt="1" style="position:absolute;left:3874415;top:5750560;height:271780;width:624840;" fillcolor="#FFFFFF" filled="t" stroked="t" coordsize="21600,21600" o:gfxdata="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UPGUPXAAAABgEAAA8AAAAAAAAAAQAgAAAAIgAAAGRy&#10;cy9kb3ducmV2LnhtbFBLAQIUABQAAAAIAIdO4kATQfxUPwIAAIwEAAAOAAAAAAAAAAEAIAAAACYB&#10;AABkcnMvZTJvRG9jLnhtbFBLBQYAAAAABgAGAFkBAADXBQAAAAA=&#10;">
                  <v:fill on="t" focussize="0,0"/>
                  <v:stroke color="#00000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臭氧</w:t>
                        </w:r>
                      </w:p>
                    </w:txbxContent>
                  </v:textbox>
                </v:rect>
                <v:shape id="AutoShape 183" o:spid="_x0000_s1026" o:spt="32" type="#_x0000_t32" style="position:absolute;left:3579140;top:5885815;flip:x y;height:635;width:295275;" filled="f" stroked="t" coordsize="21600,21600" o:gfxdata="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hRby1gAA&#10;AAYBAAAPAAAAAAAAAAEAIAAAACIAAABkcnMvZG93bnJldi54bWxQSwECFAAUAAAACACHTuJA8tOw&#10;LSACAAA8BAAADgAAAAAAAAABACAAAAAlAQAAZHJzL2Uyb0RvYy54bWxQSwUGAAAAAAYABgBZAQAA&#10;twUAAAAA&#10;">
                  <v:fill on="f" focussize="0,0"/>
                  <v:stroke color="#000000" joinstyle="round" endarrow="block"/>
                  <v:imagedata o:title=""/>
                  <o:lock v:ext="edit" aspectratio="f"/>
                </v:shape>
                <v:shape id="AutoShape 186" o:spid="_x0000_s1026" o:spt="32" type="#_x0000_t32" style="position:absolute;left:3445790;top:7194550;height:635;width:408305;" filled="f" stroked="t" coordsize="21600,21600" o:gfxdata="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1Udl1AAA&#10;AAYBAAAPAAAAAAAAAAEAIAAAACIAAABkcnMvZG93bnJldi54bWxQSwECFAAUAAAACACHTuJAQ0FM&#10;C+kBAAC/AwAADgAAAAAAAAABACAAAAAjAQAAZHJzL2Uyb0RvYy54bWxQSwUGAAAAAAYABgBZAQAA&#10;fgUAAAAA&#10;">
                  <v:fill on="f" focussize="0,0"/>
                  <v:stroke color="#000000" joinstyle="round" startarrow="block"/>
                  <v:imagedata o:title=""/>
                  <o:lock v:ext="edit" aspectratio="f"/>
                </v:shape>
                <v:shape id="AutoShape 187" o:spid="_x0000_s1026" o:spt="32" type="#_x0000_t32" style="position:absolute;left:2059261;top:6869430;height:635;width:27686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Rwgl2AAAAAYBAAAPAAAAAAAAAAEAIAAAACIAAABkcnMvZG93&#10;bnJldi54bWxQSwECFAAUAAAACACHTuJAtf314AACAADxAwAADgAAAAAAAAABACAAAAAnAQAAZHJz&#10;L2Uyb0RvYy54bWxQSwUGAAAAAAYABgBZAQAAmQUAAAAA&#10;">
                  <v:fill on="f" focussize="0,0"/>
                  <v:stroke color="#000000" joinstyle="round" endarrow="block"/>
                  <v:imagedata o:title=""/>
                  <o:lock v:ext="edit" aspectratio="f"/>
                </v:shape>
                <v:shape id="AutoShape 189" o:spid="_x0000_s1026" o:spt="32" type="#_x0000_t32" style="position:absolute;left:3088285;top:4608195;height:135890;width:5080;"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w&#10;Rwgl2AAAAAYBAAAPAAAAAAAAAAEAIAAAACIAAABkcnMvZG93bnJldi54bWxQSwECFAAUAAAACACH&#10;TuJAyE45vOsBAADAAwAADgAAAAAAAAABACAAAAAnAQAAZHJzL2Uyb0RvYy54bWxQSwUGAAAAAAYA&#10;BgBZAQAAhAUAAAAA&#10;">
                  <v:fill on="f" focussize="0,0"/>
                  <v:stroke color="#000000" joinstyle="round" endarrow="block"/>
                  <v:imagedata o:title=""/>
                  <o:lock v:ext="edit" aspectratio="f"/>
                </v:shape>
                <v:shape id="AutoShape 190" o:spid="_x0000_s1026" o:spt="32" type="#_x0000_t32" style="position:absolute;left:3093365;top:4608195;height:635;width:294640;" filled="f" stroked="t" coordsize="21600,21600" o:gfxdata="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bjCSdYAAAAGAQAADwAAAAAAAAABACAAAAAiAAAAZHJz&#10;L2Rvd25yZXYueG1sUEsBAhQAFAAAAAgAh07iQF1s13rNAQAAkQMAAA4AAAAAAAAAAQAgAAAAJQEA&#10;AGRycy9lMm9Eb2MueG1sUEsFBgAAAAAGAAYAWQEAAGQFAAAAAA==&#10;">
                  <v:fill on="f" focussize="0,0"/>
                  <v:stroke color="#000000" joinstyle="round"/>
                  <v:imagedata o:title=""/>
                  <o:lock v:ext="edit" aspectratio="f"/>
                </v:shape>
                <v:rect id="Rectangle 195" o:spid="_x0000_s1026" o:spt="1" style="position:absolute;left:2387245;top:7070725;height:269875;width:1056640;" fillcolor="#FFFFFF" filled="t" stroked="t" coordsize="21600,21600" o:gfxdata="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qcxHVAAAABgEAAA8AAAAAAAAAAQAgAAAA&#10;IgAAAGRycy9kb3ducmV2LnhtbFBLAQIUABQAAAAIAIdO4kDbqvLsRwIAAI4EAAAOAAAAAAAAAAEA&#10;IAAAACQBAABkcnMvZTJvRG9jLnhtbFBLBQYAAAAABgAGAFkBAADdBQAAAAA=&#10;">
                  <v:fill on="t" focussize="0,0"/>
                  <v:stroke weight="1.5pt" color="#00B0F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消毒池</w:t>
                        </w:r>
                      </w:p>
                    </w:txbxContent>
                  </v:textbox>
                </v:rect>
                <v:shape id="AutoShape 196" o:spid="_x0000_s1026" o:spt="32" type="#_x0000_t32" style="position:absolute;left:2916274;top:7755424;height:151061;width:876;"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BHCCXYAAAABgEAAA8A&#10;AAAAAAAAAQAgAAAAIgAAAGRycy9kb3ducmV2LnhtbFBLAQIUABQAAAAIAIdO4kAvxgsAFwIAACgE&#10;AAAOAAAAAAAAAAEAIAAAACcBAABkcnMvZTJvRG9jLnhtbFBLBQYAAAAABgAGAFkBAACwBQAAAAA=&#10;">
                  <v:fill on="f" focussize="0,0"/>
                  <v:stroke color="#000000" joinstyle="round" endarrow="block"/>
                  <v:imagedata o:title=""/>
                  <o:lock v:ext="edit" aspectratio="f"/>
                </v:shape>
                <v:rect id="Rectangle 888" o:spid="_x0000_s1026" o:spt="1" style="position:absolute;left:981328;top:4395785;height:2321548;width:344170;" fillcolor="#FFFFFF" filled="t" stroked="t" coordsize="21600,21600" o:gfxdata="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KsYu7WAAAABgEAAA8AAAAAAAAA&#10;AQAgAAAAIgAAAGRycy9kb3ducmV2LnhtbFBLAQIUABQAAAAIAIdO4kCK1TKpTAIAAKYEAAAOAAAA&#10;AAAAAAEAIAAAACUBAABkcnMvZTJvRG9jLnhtbFBLBQYAAAAABgAGAFkBAADjBQAAAAA=&#10;">
                  <v:fill on="t" focussize="0,0"/>
                  <v:stroke color="#000000" miterlimit="8" joinstyle="miter" dashstyle="dash"/>
                  <v:imagedata o:title=""/>
                  <o:lock v:ext="edit" aspectratio="f"/>
                  <v:textbox inset="6.76803149606299pt,3.3840157480315pt,6.76803149606299pt,3.3840157480315pt" style="layout-flow:vertical-ideographic;">
                    <w:txbxContent>
                      <w:p>
                        <w:pPr>
                          <w:rPr>
                            <w:sz w:val="23"/>
                          </w:rPr>
                        </w:pPr>
                        <w:r>
                          <w:rPr>
                            <w:rFonts w:hint="eastAsia" w:ascii="仿宋_GB2312" w:eastAsia="仿宋_GB2312"/>
                            <w:sz w:val="23"/>
                          </w:rPr>
                          <w:t>脱水机房</w:t>
                        </w:r>
                        <w:r>
                          <w:rPr>
                            <w:rFonts w:hint="eastAsia"/>
                            <w:sz w:val="23"/>
                          </w:rPr>
                          <w:t>（</w:t>
                        </w:r>
                        <w:r>
                          <w:rPr>
                            <w:rFonts w:hint="eastAsia" w:ascii="仿宋_GB2312" w:eastAsia="仿宋_GB2312"/>
                            <w:color w:val="FF0000"/>
                            <w:sz w:val="23"/>
                          </w:rPr>
                          <w:t>增加污泥深度脱水机</w:t>
                        </w:r>
                        <w:r>
                          <w:rPr>
                            <w:rFonts w:hint="eastAsia"/>
                            <w:sz w:val="23"/>
                          </w:rPr>
                          <w:t>）</w:t>
                        </w:r>
                      </w:p>
                    </w:txbxContent>
                  </v:textbox>
                </v:rect>
                <v:rect id="Rectangle 201" o:spid="_x0000_s1026" o:spt="1" style="position:absolute;left:3926164;top:1234069;height:271780;width:624840;"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2rrdUAAAAGAQAADwAAAAAAAAABACAA&#10;AAAiAAAAZHJzL2Rvd25yZXYueG1sUEsBAhQAFAAAAAgAh07iQHagA75JAgAApAQAAA4AAAAAAAAA&#10;AQAgAAAAJAEAAGRycy9lMm9Eb2MueG1sUEsFBgAAAAAGAAYAWQEAAN8FA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鼓风机</w:t>
                        </w:r>
                      </w:p>
                    </w:txbxContent>
                  </v:textbox>
                </v:rect>
                <v:shape id="AutoShape 202" o:spid="_x0000_s1026" o:spt="32" type="#_x0000_t32" style="position:absolute;left:3679470;top:1348105;flip:x;height:635;width:204470;"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rCjZ0wAAAAYBAAAPAAAAAAAAAAEAIAAAACIAAABkcnMvZG93bnJldi54bWxQSwEC&#10;FAAUAAAACACHTuJAprKfzPkBAADhAwAADgAAAAAAAAABACAAAAAiAQAAZHJzL2Uyb0RvYy54bWxQ&#10;SwUGAAAAAAYABgBZAQAAjQUAAAAA&#10;">
                  <v:fill on="f" focussize="0,0"/>
                  <v:stroke color="#000000" joinstyle="round" dashstyle="dash" endarrow="block"/>
                  <v:imagedata o:title=""/>
                  <o:lock v:ext="edit" aspectratio="f"/>
                </v:shape>
                <v:rect id="Rectangle 111" o:spid="_x0000_s1026" o:spt="1" style="position:absolute;left:3556915;top:720725;height:274320;width:792480;" fillcolor="#FFFFFF" filled="t" stroked="t" coordsize="21600,21600" o:gfxdata="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pKJh9QAAAAGAQAADwAAAAAAAAABACAAAAAiAAAA&#10;ZHJzL2Rvd25yZXYueG1sUEsBAhQAFAAAAAgAh07iQEaSMM1EAgAAowQAAA4AAAAAAAAAAQAgAAAA&#10;IwEAAGRycy9lMm9Eb2MueG1sUEsFBgAAAAAGAAYAWQEAANkFAAAAAA==&#10;">
                  <v:fill on="t" focussize="0,0"/>
                  <v:stroke color="#FFFFFF"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栅渣外运</w:t>
                        </w:r>
                      </w:p>
                    </w:txbxContent>
                  </v:textbox>
                </v:rect>
                <v:rect id="Rectangle 191" o:spid="_x0000_s1026" o:spt="1" style="position:absolute;left:1511580;top:424815;height:272415;width:891540;" fillcolor="#FFFFFF" filled="t" stroked="t" coordsize="21600,21600" o:gfxdata="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rNXIzWAAAABgEAAA8AAAAAAAAAAQAgAAAAIgAAAGRycy9k&#10;b3ducmV2LnhtbFBLAQIUABQAAAAIAIdO4kC2r9WNPQIAAIwEAAAOAAAAAAAAAAEAIAAAACUBAABk&#10;cnMvZTJvRG9jLnhtbFBLBQYAAAAABgAGAFkBAADUBQAAAAA=&#10;">
                  <v:fill on="t" focussize="0,0"/>
                  <v:stroke weight="1.5pt" color="#FF0000"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事故池</w:t>
                        </w:r>
                      </w:p>
                    </w:txbxContent>
                  </v:textbox>
                </v:rect>
                <v:shape id="AutoShape 192" o:spid="_x0000_s1026" o:spt="32" type="#_x0000_t32" style="position:absolute;left:2387880;top:562610;flip:x;height:635;width:424815;" filled="f" stroked="t" coordsize="21600,21600" o:gfxdata="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frwPXAAAABgEAAA8AAAAAAAAAAQAgAAAAIgAAAGRycy9kb3ducmV2LnhtbFBLAQIUABQAAAAI&#10;AIdO4kBMw3tA7gEAAMgDAAAOAAAAAAAAAAEAIAAAACYBAABkcnMvZTJvRG9jLnhtbFBLBQYAAAAA&#10;BgAGAFkBAACGBQAAAAA=&#10;">
                  <v:fill on="f" focussize="0,0"/>
                  <v:stroke color="#000000" joinstyle="round" endarrow="block"/>
                  <v:imagedata o:title=""/>
                  <o:lock v:ext="edit" aspectratio="f"/>
                </v:shape>
                <v:shape id="AutoShape 130" o:spid="_x0000_s1026" o:spt="32" type="#_x0000_t32" style="position:absolute;left:2255111;top:697214;height:504146;width:0;"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oEvN1AAAAAYBAAAPAAAAAAAAAAEAIAAAACIAAABkcnMvZG93bnJldi54bWxQSwECFAAUAAAACACH&#10;TuJAi/vA7e8BAADUAwAADgAAAAAAAAABACAAAAAjAQAAZHJzL2Uyb0RvYy54bWxQSwUGAAAAAAYA&#10;BgBZAQAAhAUAAAAA&#10;">
                  <v:fill on="f" focussize="0,0"/>
                  <v:stroke color="#000000" joinstyle="round" dashstyle="dash" endarrow="block"/>
                  <v:imagedata o:title=""/>
                  <o:lock v:ext="edit" aspectratio="f"/>
                </v:shape>
                <v:shape id="AutoShape 153" o:spid="_x0000_s1026" o:spt="32" type="#_x0000_t32" style="position:absolute;left:2064030;top:4912350;height:635;width:189230;"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oEvN1AAAAAYBAAAPAAAAAAAAAAEAIAAAACIAAABkcnMvZG93bnJldi54bWxQSwECFAAUAAAA&#10;CACHTuJAVMiuFPIBAADXAwAADgAAAAAAAAABACAAAAAjAQAAZHJzL2Uyb0RvYy54bWxQSwUGAAAA&#10;AAYABgBZAQAAhwUAAAAA&#10;">
                  <v:fill on="f" focussize="0,0"/>
                  <v:stroke color="#000000" joinstyle="round" dashstyle="dash" endarrow="block"/>
                  <v:imagedata o:title=""/>
                  <o:lock v:ext="edit" aspectratio="f"/>
                </v:shape>
                <v:rect id="Rectangle 106" o:spid="_x0000_s1026" o:spt="1" style="position:absolute;left:1521667;top:6545588;height:271780;width:624205;" fillcolor="#FFFFFF" filled="t" stroked="t" coordsize="21600,21600" o:gfxdata="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H3fh3UAAAABgEAAA8AAAAAAAAAAQAgAAAAIgAAAGRycy9kb3du&#10;cmV2LnhtbFBLAQIUABQAAAAIAIdO4kBFumA/PAIAAIsEAAAOAAAAAAAAAAEAIAAAACMBAABkcnMv&#10;ZTJvRG9jLnhtbFBLBQYAAAAABgAGAFkBAADRBQAAAAA=&#10;">
                  <v:fill on="t" focussize="0,0"/>
                  <v:stroke color="#FFFFFF" miterlimit="8" joinstyle="miter"/>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鼓风机</w:t>
                        </w:r>
                      </w:p>
                    </w:txbxContent>
                  </v:textbox>
                </v:rect>
                <v:shape id="AutoShape 156" o:spid="_x0000_s1026" o:spt="32" type="#_x0000_t32" style="position:absolute;left:1030226;top:1861185;flip:x;height:9034;width:1185569;" filled="f" stroked="t" coordsize="21600,21600" o:gfxdata="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NBwz1gAAAAYBAAAPAAAAAAAAAAEAIAAAACIAAABkcnMvZG93&#10;bnJldi54bWxQSwECFAAUAAAACACHTuJAumu7dQICAAABBAAADgAAAAAAAAABACAAAAAlAQAAZHJz&#10;L2Uyb0RvYy54bWxQSwUGAAAAAAYABgBZAQAAmQUAAAAA&#10;">
                  <v:fill on="f" focussize="0,0"/>
                  <v:stroke color="#000000" joinstyle="round" dashstyle="dash"/>
                  <v:imagedata o:title=""/>
                  <o:lock v:ext="edit" aspectratio="f"/>
                </v:shape>
                <v:shape id="AutoShape 152" o:spid="_x0000_s1026" o:spt="32" type="#_x0000_t32" style="position:absolute;left:1030226;top:1870169;height:2449643;width:0;" filled="f" stroked="t" coordsize="21600,21600" o:gfxdata="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u04rDXAAAABgEAAA8AAAAAAAAAAQAg&#10;AAAAIgAAAGRycy9kb3ducmV2LnhtbFBLAQIUABQAAAAIAIdO4kCfco1i1gEAAKgDAAAOAAAAAAAA&#10;AAEAIAAAACYBAABkcnMvZTJvRG9jLnhtbFBLBQYAAAAABgAGAFkBAABuBQAAAAA=&#10;">
                  <v:fill on="f" focussize="0,0"/>
                  <v:stroke color="#000000" joinstyle="round" dashstyle="dash"/>
                  <v:imagedata o:title=""/>
                  <o:lock v:ext="edit" aspectratio="f"/>
                </v:shape>
                <v:shape id="AutoShape 153" o:spid="_x0000_s1026" o:spt="32" type="#_x0000_t32" style="position:absolute;left:1030236;top:4311044;height:0;width:1204632;" filled="f" stroked="t" coordsize="21600,21600" o:gfxdata="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gS83UAAAABgEAAA8AAAAAAAAAAQAgAAAAIgAAAGRycy9kb3ducmV2LnhtbFBLAQIUABQAAAAI&#10;AIdO4kAOpVoB8QEAANYDAAAOAAAAAAAAAAEAIAAAACMBAABkcnMvZTJvRG9jLnhtbFBLBQYAAAAA&#10;BgAGAFkBAACGBQAAAAA=&#10;">
                  <v:fill on="f" focussize="0,0"/>
                  <v:stroke color="#000000" joinstyle="round" dashstyle="dash" endarrow="block"/>
                  <v:imagedata o:title=""/>
                  <o:lock v:ext="edit" aspectratio="f"/>
                </v:shape>
                <v:shape id="AutoShape 176" o:spid="_x0000_s1026" o:spt="32" type="#_x0000_t32" style="position:absolute;left:1030226;top:3845464;height:635;width:1188082;"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wgl2AAAAAYBAAAPAAAAAAAAAAEAIAAAACIAAABkcnMv&#10;ZG93bnJldi54bWxQSwECFAAUAAAACACHTuJAWDhrLQMCAADyAwAADgAAAAAAAAABACAAAAAnAQAA&#10;ZHJzL2Uyb0RvYy54bWxQSwUGAAAAAAYABgBZAQAAnAUAAAAA&#10;">
                  <v:fill on="f" focussize="0,0"/>
                  <v:stroke color="#000000" joinstyle="round" endarrow="block"/>
                  <v:imagedata o:title=""/>
                  <o:lock v:ext="edit" aspectratio="f"/>
                </v:shape>
                <v:shape id="AutoShape 196" o:spid="_x0000_s1026" o:spt="32" type="#_x0000_t32" style="position:absolute;left:2915565;top:7340600;height:146219;width:709;" filled="f" stroked="t" coordsize="21600,21600" o:gfxdata="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BHCCXYAAAABgEAAA8A&#10;AAAAAAAAAQAgAAAAIgAAAGRycy9kb3ducmV2LnhtbFBLAQIUABQAAAAIAIdO4kDjedkVFwIAACgE&#10;AAAOAAAAAAAAAAEAIAAAACcBAABkcnMvZTJvRG9jLnhtbFBLBQYAAAAABgAGAFkBAACwBQAAAAA=&#10;">
                  <v:fill on="f" focussize="0,0"/>
                  <v:stroke color="#000000" joinstyle="round" endarrow="block"/>
                  <v:imagedata o:title=""/>
                  <o:lock v:ext="edit" aspectratio="f"/>
                </v:shape>
                <v:rect id="Rectangle 174" o:spid="_x0000_s1026" o:spt="1" style="position:absolute;left:2415708;top:7486819;height:268605;width:1001131;" fillcolor="#FFFFFF" filled="t" stroked="t" coordsize="21600,21600" o:gfxdata="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zaut1QAAAAYBAAAPAAAAAAAAAAEA&#10;IAAAACIAAABkcnMvZG93bnJldi54bWxQSwECFAAUAAAACACHTuJA0rzDp0sCAAClBAAADgAAAAAA&#10;AAABACAAAAAkAQAAZHJzL2Uyb0RvYy54bWxQSwUGAAAAAAYABgBZAQAA4QUAAAAA&#10;">
                  <v:fill on="t" focussize="0,0"/>
                  <v:stroke color="#000000" miterlimit="8" joinstyle="miter" dashstyle="dash"/>
                  <v:imagedata o:title=""/>
                  <o:lock v:ext="edit" aspectratio="f"/>
                  <v:textbox inset="6.76803149606299pt,3.3840157480315pt,6.76803149606299pt,3.3840157480315pt">
                    <w:txbxContent>
                      <w:p>
                        <w:pPr>
                          <w:jc w:val="center"/>
                          <w:rPr>
                            <w:rFonts w:ascii="仿宋_GB2312" w:eastAsia="仿宋_GB2312"/>
                            <w:sz w:val="23"/>
                          </w:rPr>
                        </w:pPr>
                        <w:r>
                          <w:rPr>
                            <w:rFonts w:hint="eastAsia" w:ascii="仿宋_GB2312" w:eastAsia="仿宋_GB2312"/>
                            <w:sz w:val="23"/>
                          </w:rPr>
                          <w:t>絮凝沉淀池</w:t>
                        </w:r>
                      </w:p>
                    </w:txbxContent>
                  </v:textbox>
                </v:rect>
                <v:rect id="Rectangle 112" o:spid="_x0000_s1026" o:spt="1" style="position:absolute;left:616787;top:2176077;height:946610;width:382344;" fillcolor="#FFFFFF" filled="t" stroked="t" coordsize="21600,21600" o:gfxdata="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GnuybWAAAABgEAAA8AAAAAAAAAAQAgAAAA&#10;IgAAAGRycy9kb3ducmV2LnhtbFBLAQIUABQAAAAIAIdO4kAKhsCARgIAAKUEAAAOAAAAAAAAAAEA&#10;IAAAACUBAABkcnMvZTJvRG9jLnhtbFBLBQYAAAAABgAGAFkBAADdBQAAAAA=&#10;">
                  <v:fill on="t" focussize="0,0"/>
                  <v:stroke color="#FFFFFF" miterlimit="8" joinstyle="miter" dashstyle="dash"/>
                  <v:imagedata o:title=""/>
                  <o:lock v:ext="edit" aspectratio="f"/>
                  <v:textbox inset="6.76803149606299pt,3.3840157480315pt,6.76803149606299pt,3.3840157480315pt" style="layout-flow:vertical-ideographic;">
                    <w:txbxContent>
                      <w:p>
                        <w:pPr>
                          <w:jc w:val="center"/>
                          <w:rPr>
                            <w:rFonts w:ascii="仿宋_GB2312" w:eastAsia="仿宋_GB2312"/>
                            <w:sz w:val="23"/>
                          </w:rPr>
                        </w:pPr>
                        <w:r>
                          <w:rPr>
                            <w:rFonts w:hint="eastAsia" w:ascii="仿宋_GB2312" w:eastAsia="仿宋_GB2312"/>
                            <w:sz w:val="23"/>
                          </w:rPr>
                          <w:t>污水超越管</w:t>
                        </w:r>
                      </w:p>
                    </w:txbxContent>
                  </v:textbox>
                </v:rect>
                <v:shape id="AutoShape 160" o:spid="_x0000_s1026" o:spt="32" type="#_x0000_t32" style="position:absolute;left:1767940;top:2853548;flip:x y;height:0;width:399415;" filled="f" stroked="t" coordsize="21600,21600" o:gfxdata="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hRby1gAAAAYBAAAPAAAAAAAAAAEAIAAAACIAAABkcnMvZG93bnJldi54bWxQSwECFAAU&#10;AAAACACHTuJAKI4N2PMBAADRAwAADgAAAAAAAAABACAAAAAlAQAAZHJzL2Uyb0RvYy54bWxQSwUG&#10;AAAAAAYABgBZAQAAigUAAAAA&#10;">
                  <v:fill on="f" focussize="0,0"/>
                  <v:stroke color="#000000" joinstyle="round" endarrow="block"/>
                  <v:imagedata o:title=""/>
                  <o:lock v:ext="edit" aspectratio="f"/>
                </v:shape>
                <v:shape id="AutoShape 202" o:spid="_x0000_s1026" o:spt="32" type="#_x0000_t32" style="position:absolute;left:1780167;top:4414736;flip:x;height:635;width:203835;"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sKNnTAAAABgEAAA8AAAAAAAAAAQAgAAAAIgAAAGRycy9kb3ducmV2LnhtbFBLAQIU&#10;ABQAAAAIAIdO4kAy8tfS+AEAAOEDAAAOAAAAAAAAAAEAIAAAACIBAABkcnMvZTJvRG9jLnhtbFBL&#10;BQYAAAAABgAGAFkBAACMBQAAAAA=&#10;">
                  <v:fill on="f" focussize="0,0"/>
                  <v:stroke color="#000000" joinstyle="round" dashstyle="dash" endarrow="block"/>
                  <v:imagedata o:title=""/>
                  <o:lock v:ext="edit" aspectratio="f"/>
                </v:shape>
                <v:shape id="AutoShape 202" o:spid="_x0000_s1026" o:spt="32" type="#_x0000_t32" style="position:absolute;left:1770644;top:1432183;flip:x;height:635;width:203835;"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awo2dMAAAAGAQAADwAAAAAAAAABACAAAAAiAAAAZHJzL2Rvd25yZXYueG1sUEsBAhQA&#10;FAAAAAgAh07iQMzfL/L3AQAA4QMAAA4AAAAAAAAAAQAgAAAAIgEAAGRycy9lMm9Eb2MueG1sUEsF&#10;BgAAAAAGAAYAWQEAAIsFAAAAAA==&#10;">
                  <v:fill on="f" focussize="0,0"/>
                  <v:stroke color="#000000" joinstyle="round" dashstyle="dash" endarrow="block"/>
                  <v:imagedata o:title=""/>
                  <o:lock v:ext="edit" aspectratio="f"/>
                </v:shape>
                <v:shape id="AutoShape 202" o:spid="_x0000_s1026" o:spt="32" type="#_x0000_t32" style="position:absolute;left:1011179;top:1870179;flip:x;height:635;width:203200;" filled="f" stroked="t" coordsize="21600,21600" o:gfxdata="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sKNnTAAAABgEAAA8AAAAAAAAAAQAgAAAAIgAAAGRycy9kb3ducmV2LnhtbFBLAQIUABQA&#10;AAAIAIdO4kBXwGy99QEAAOEDAAAOAAAAAAAAAAEAIAAAACIBAABkcnMvZTJvRG9jLnhtbFBLBQYA&#10;AAAABgAGAFkBAACJBQAAAAA=&#10;">
                  <v:fill on="f" focussize="0,0"/>
                  <v:stroke color="#000000" joinstyle="round" dashstyle="dash" endarrow="block"/>
                  <v:imagedata o:title=""/>
                  <o:lock v:ext="edit" aspectratio="f"/>
                </v:shape>
                <w10:wrap type="none"/>
                <w10:anchorlock/>
              </v:group>
            </w:pict>
          </mc:Fallback>
        </mc:AlternateContent>
      </w:r>
    </w:p>
    <w:p>
      <w:pPr>
        <w:pStyle w:val="6"/>
        <w:rPr>
          <w:rFonts w:ascii="Times New Roman" w:hAnsi="Times New Roman" w:cs="Times New Roman"/>
          <w:szCs w:val="24"/>
        </w:rPr>
      </w:pPr>
      <w:r>
        <w:rPr>
          <w:rFonts w:ascii="Times New Roman" w:hAnsi="Times New Roman" w:cs="Times New Roman"/>
        </w:rPr>
        <w:t>图2.2-3  工业污水处理厂工艺流程图</w:t>
      </w:r>
    </w:p>
    <w:p>
      <w:pPr>
        <w:spacing w:line="360" w:lineRule="auto"/>
        <w:ind w:firstLine="488" w:firstLineChars="200"/>
        <w:rPr>
          <w:rFonts w:ascii="Times New Roman" w:hAnsi="Times New Roman" w:cs="Times New Roman"/>
        </w:rPr>
      </w:pPr>
      <w:r>
        <w:rPr>
          <w:rFonts w:ascii="Times New Roman" w:hAnsi="Times New Roman" w:cs="Times New Roman"/>
        </w:rPr>
        <w:t>3）进出口监测情况</w:t>
      </w:r>
    </w:p>
    <w:p>
      <w:pPr>
        <w:spacing w:line="360" w:lineRule="auto"/>
        <w:ind w:firstLine="488" w:firstLineChars="200"/>
        <w:rPr>
          <w:rFonts w:ascii="Times New Roman" w:hAnsi="Times New Roman" w:cs="Times New Roman"/>
          <w:szCs w:val="24"/>
          <w:lang w:bidi="ar"/>
        </w:rPr>
      </w:pPr>
      <w:r>
        <w:rPr>
          <w:rFonts w:ascii="Times New Roman" w:hAnsi="Times New Roman" w:cs="Times New Roman"/>
          <w:szCs w:val="24"/>
          <w:lang w:bidi="ar"/>
        </w:rPr>
        <w:t>根据</w:t>
      </w:r>
      <w:r>
        <w:rPr>
          <w:rFonts w:ascii="Times New Roman" w:hAnsi="Times New Roman" w:cs="Times New Roman"/>
        </w:rPr>
        <w:t>运营有限公司</w:t>
      </w:r>
      <w:r>
        <w:rPr>
          <w:rFonts w:ascii="Times New Roman" w:hAnsi="Times New Roman" w:cs="Times New Roman"/>
          <w:szCs w:val="24"/>
          <w:lang w:bidi="ar"/>
        </w:rPr>
        <w:t>提供的2022年-2023年6月工业污水处理厂进出口数据，工业污水处理厂各指标均较稳定，能满足设计进水水质标准。</w:t>
      </w:r>
    </w:p>
    <w:p>
      <w:pPr>
        <w:spacing w:line="360" w:lineRule="auto"/>
        <w:ind w:firstLine="488" w:firstLineChars="200"/>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rPr>
        <w:t>绿色建材产业园</w:t>
      </w:r>
    </w:p>
    <w:p>
      <w:pPr>
        <w:spacing w:line="360" w:lineRule="auto"/>
        <w:ind w:firstLine="488" w:firstLineChars="200"/>
        <w:rPr>
          <w:rFonts w:ascii="Times New Roman" w:hAnsi="Times New Roman" w:cs="Times New Roman"/>
          <w:szCs w:val="24"/>
        </w:rPr>
      </w:pPr>
      <w:r>
        <w:rPr>
          <w:rFonts w:hint="eastAsia" w:ascii="Times New Roman" w:hAnsi="Times New Roman" w:cs="Times New Roman"/>
          <w:szCs w:val="24"/>
        </w:rPr>
        <w:t>目前园区内仅有1家海螺水泥，企业生产废水经厂区污水站处理后全部回用，不外排。</w:t>
      </w:r>
    </w:p>
    <w:p>
      <w:pPr>
        <w:spacing w:line="360" w:lineRule="auto"/>
        <w:ind w:firstLine="488" w:firstLineChars="200"/>
        <w:rPr>
          <w:rFonts w:ascii="Times New Roman" w:hAnsi="Times New Roman" w:cs="Times New Roman"/>
          <w:szCs w:val="24"/>
        </w:rPr>
      </w:pPr>
      <w:r>
        <w:rPr>
          <w:rFonts w:hint="eastAsia" w:ascii="Times New Roman" w:hAnsi="Times New Roman" w:cs="Times New Roman"/>
          <w:szCs w:val="24"/>
        </w:rPr>
        <w:t>生活污水经化粪池和地埋式生活污水处理设施处理后水质符合《污水综合排放标准》（GB8978-1996）表4中的一级标准，储存厂区蓄水池，用于厂区绿化、厂区堆场及道路洒水降尘不外排。</w:t>
      </w:r>
    </w:p>
    <w:p>
      <w:pPr>
        <w:pStyle w:val="5"/>
        <w:ind w:firstLine="491"/>
        <w:rPr>
          <w:rFonts w:ascii="Times New Roman" w:hAnsi="Times New Roman" w:cs="Times New Roman"/>
        </w:rPr>
      </w:pPr>
      <w:r>
        <w:rPr>
          <w:rFonts w:ascii="Times New Roman" w:hAnsi="Times New Roman" w:cs="Times New Roman"/>
        </w:rPr>
        <w:t>2.2.5.3 雨水规划</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（1）三湾片区</w:t>
      </w:r>
    </w:p>
    <w:p>
      <w:pPr>
        <w:spacing w:line="360" w:lineRule="auto"/>
        <w:ind w:firstLine="488" w:firstLineChars="200"/>
        <w:rPr>
          <w:rFonts w:ascii="Times New Roman" w:hAnsi="Times New Roman" w:cs="Times New Roman"/>
          <w:szCs w:val="24"/>
        </w:rPr>
      </w:pPr>
      <w:r>
        <w:rPr>
          <w:rFonts w:ascii="Times New Roman" w:hAnsi="Times New Roman" w:cs="Times New Roman"/>
          <w:szCs w:val="24"/>
        </w:rPr>
        <w:t>三湾片区范围有独立的雨污水管网，雨水管网已覆盖园区核准范围内建成区，园区共设2个雨水排口（其中雨水排放口1#紧邻兆邦陶瓷有限责任公司，地理坐标为“E113度23分53.69秒，N29度27分27.21秒”；雨水排放口2#位于三湾产业区东面，地理坐标为“E113度26分15.44秒，N29度27分4.00秒”）。</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（2）滨江片区</w:t>
      </w:r>
    </w:p>
    <w:p>
      <w:pPr>
        <w:spacing w:line="360" w:lineRule="auto"/>
        <w:ind w:firstLine="488" w:firstLineChars="200"/>
        <w:rPr>
          <w:rFonts w:ascii="Times New Roman" w:hAnsi="Times New Roman" w:cs="Times New Roman"/>
        </w:rPr>
      </w:pPr>
      <w:r>
        <w:rPr>
          <w:rFonts w:ascii="Times New Roman" w:hAnsi="Times New Roman" w:cs="Times New Roman"/>
          <w:szCs w:val="24"/>
        </w:rPr>
        <w:t>采用雨污分流制排水系统。已建设初期雨水缓冲池24500m</w:t>
      </w:r>
      <w:r>
        <w:rPr>
          <w:rFonts w:ascii="Times New Roman" w:hAnsi="Times New Roman" w:cs="Times New Roman"/>
          <w:szCs w:val="24"/>
          <w:vertAlign w:val="superscript"/>
        </w:rPr>
        <w:t>3</w:t>
      </w:r>
      <w:r>
        <w:rPr>
          <w:rFonts w:ascii="Times New Roman" w:hAnsi="Times New Roman" w:cs="Times New Roman"/>
          <w:szCs w:val="24"/>
        </w:rPr>
        <w:t>，配水池664m</w:t>
      </w:r>
      <w:r>
        <w:rPr>
          <w:rFonts w:ascii="Times New Roman" w:hAnsi="Times New Roman" w:cs="Times New Roman"/>
          <w:szCs w:val="24"/>
          <w:vertAlign w:val="superscript"/>
        </w:rPr>
        <w:t>3</w:t>
      </w:r>
      <w:r>
        <w:rPr>
          <w:rFonts w:ascii="Times New Roman" w:hAnsi="Times New Roman" w:cs="Times New Roman"/>
          <w:szCs w:val="24"/>
        </w:rPr>
        <w:t>，集水池1375m</w:t>
      </w:r>
      <w:r>
        <w:rPr>
          <w:rFonts w:ascii="Times New Roman" w:hAnsi="Times New Roman" w:cs="Times New Roman"/>
          <w:szCs w:val="24"/>
          <w:vertAlign w:val="superscript"/>
        </w:rPr>
        <w:t>3</w:t>
      </w:r>
      <w:r>
        <w:rPr>
          <w:rFonts w:ascii="Times New Roman" w:hAnsi="Times New Roman" w:cs="Times New Roman"/>
          <w:szCs w:val="24"/>
        </w:rPr>
        <w:t>，</w:t>
      </w:r>
      <w:r>
        <w:rPr>
          <w:rFonts w:ascii="Times New Roman" w:hAnsi="Times New Roman" w:cs="Times New Roman"/>
        </w:rPr>
        <w:t>滨江工业区工业大道以西的初期雨水经收集沿综合管廊引入雨水缓冲池，排放至污水处理厂，滨江工业区工业大道以东的初期雨水，则直接排放至洋溪湖；南部工业区各企业设置雨水收集池，初期雨水经预处理达标后就近排放至附近水体；生活区雨水排放遵循就近排放的原则，排放至周边水体。</w:t>
      </w:r>
    </w:p>
    <w:p>
      <w:pPr>
        <w:spacing w:line="360" w:lineRule="auto"/>
        <w:ind w:firstLine="488" w:firstLineChars="200"/>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rPr>
        <w:t>绿色建材产业园</w:t>
      </w:r>
    </w:p>
    <w:p>
      <w:pPr>
        <w:spacing w:line="360" w:lineRule="auto"/>
        <w:ind w:firstLine="488" w:firstLineChars="200"/>
        <w:rPr>
          <w:rFonts w:ascii="Times New Roman" w:hAnsi="Times New Roman" w:cs="Times New Roman"/>
          <w:szCs w:val="24"/>
        </w:rPr>
      </w:pPr>
      <w:r>
        <w:rPr>
          <w:rFonts w:hint="eastAsia" w:ascii="Times New Roman" w:hAnsi="Times New Roman" w:cs="Times New Roman"/>
          <w:szCs w:val="24"/>
        </w:rPr>
        <w:t>目前园区内仅有1家海螺水泥，企业初期雨水收集后，经厂区污水站处理后全部回用，不外排，后期雨水外排至周边地表</w:t>
      </w:r>
    </w:p>
    <w:p>
      <w:pPr>
        <w:pStyle w:val="5"/>
        <w:ind w:firstLine="491"/>
        <w:rPr>
          <w:rFonts w:ascii="Times New Roman" w:hAnsi="Times New Roman" w:cs="Times New Roman"/>
        </w:rPr>
      </w:pPr>
      <w:bookmarkStart w:id="82" w:name="_Toc50625251"/>
      <w:r>
        <w:rPr>
          <w:rFonts w:ascii="Times New Roman" w:hAnsi="Times New Roman" w:cs="Times New Roman"/>
        </w:rPr>
        <w:t>2.2.5.4 能源规划</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（1）三湾片区</w:t>
      </w:r>
    </w:p>
    <w:p>
      <w:pPr>
        <w:spacing w:line="360" w:lineRule="auto"/>
        <w:ind w:firstLine="488" w:firstLineChars="200"/>
        <w:rPr>
          <w:rFonts w:ascii="Times New Roman" w:hAnsi="Times New Roman" w:cs="Times New Roman"/>
        </w:rPr>
      </w:pPr>
      <w:r>
        <w:rPr>
          <w:rFonts w:ascii="Times New Roman" w:hAnsi="Times New Roman" w:cs="Times New Roman"/>
        </w:rPr>
        <w:t>1）电力</w:t>
      </w:r>
    </w:p>
    <w:p>
      <w:pPr>
        <w:autoSpaceDE w:val="0"/>
        <w:autoSpaceDN w:val="0"/>
        <w:adjustRightInd w:val="0"/>
        <w:spacing w:line="360" w:lineRule="auto"/>
        <w:ind w:firstLine="488" w:firstLineChars="200"/>
        <w:jc w:val="left"/>
        <w:rPr>
          <w:rFonts w:ascii="Times New Roman" w:hAnsi="Times New Roman" w:eastAsia="宋体" w:cs="Times New Roman"/>
          <w:szCs w:val="24"/>
        </w:rPr>
      </w:pPr>
      <w:r>
        <w:rPr>
          <w:rFonts w:ascii="Times New Roman" w:hAnsi="Times New Roman" w:eastAsia="宋体" w:cs="Times New Roman"/>
          <w:szCs w:val="24"/>
        </w:rPr>
        <w:t>三湾产业区供电电源采用双回路电源供电，由临湘市110KV变电站引入。电源进线采用延时速断及过电流保护。相关变电站基础设施配置完善，用电资源需求有保障。</w:t>
      </w:r>
    </w:p>
    <w:p>
      <w:pPr>
        <w:spacing w:line="360" w:lineRule="auto"/>
        <w:ind w:firstLine="488" w:firstLineChars="200"/>
        <w:rPr>
          <w:rFonts w:ascii="Times New Roman" w:hAnsi="Times New Roman" w:cs="Times New Roman"/>
        </w:rPr>
      </w:pPr>
      <w:r>
        <w:rPr>
          <w:rFonts w:ascii="Times New Roman" w:hAnsi="Times New Roman" w:cs="Times New Roman"/>
        </w:rPr>
        <w:t>2）天然气</w:t>
      </w:r>
    </w:p>
    <w:p>
      <w:pPr>
        <w:spacing w:line="360" w:lineRule="auto"/>
        <w:ind w:firstLine="488" w:firstLineChars="200"/>
        <w:rPr>
          <w:rFonts w:ascii="Times New Roman" w:hAnsi="Times New Roman" w:cs="Times New Roman"/>
        </w:rPr>
      </w:pPr>
      <w:r>
        <w:rPr>
          <w:rFonts w:ascii="Times New Roman" w:hAnsi="Times New Roman" w:cs="Times New Roman"/>
        </w:rPr>
        <w:t>园区暂未接通天然气</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（2）滨江片区</w:t>
      </w:r>
    </w:p>
    <w:p>
      <w:pPr>
        <w:pStyle w:val="93"/>
        <w:ind w:firstLine="489"/>
        <w:rPr>
          <w:color w:val="000000"/>
          <w:szCs w:val="18"/>
        </w:rPr>
      </w:pPr>
      <w:r>
        <w:rPr>
          <w:color w:val="000000"/>
          <w:szCs w:val="18"/>
        </w:rPr>
        <w:t>1）</w:t>
      </w:r>
      <w:r>
        <w:t>电力</w:t>
      </w:r>
    </w:p>
    <w:p>
      <w:pPr>
        <w:pStyle w:val="93"/>
        <w:ind w:firstLine="489"/>
        <w:jc w:val="both"/>
        <w:rPr>
          <w:color w:val="000000"/>
          <w:szCs w:val="18"/>
        </w:rPr>
      </w:pPr>
      <w:r>
        <w:t>滨江片区供电电源采用双回路电源供电，由</w:t>
      </w:r>
      <w:r>
        <w:rPr>
          <w:color w:val="000000"/>
          <w:szCs w:val="18"/>
        </w:rPr>
        <w:t>110kV临港1号变电站，作为滨江产业区未来供电电源。采用三级供电模式：110千伏变电站→10千伏开闭所→10/0.4千伏配电房。</w:t>
      </w:r>
    </w:p>
    <w:p>
      <w:pPr>
        <w:spacing w:line="360" w:lineRule="auto"/>
        <w:ind w:firstLine="488" w:firstLineChars="200"/>
        <w:rPr>
          <w:rFonts w:ascii="Times New Roman" w:hAnsi="Times New Roman" w:cs="Times New Roman"/>
        </w:rPr>
      </w:pPr>
      <w:r>
        <w:rPr>
          <w:rFonts w:ascii="Times New Roman" w:hAnsi="Times New Roman" w:cs="Times New Roman"/>
        </w:rPr>
        <w:t>2）天然气</w:t>
      </w:r>
    </w:p>
    <w:p>
      <w:pPr>
        <w:spacing w:line="360" w:lineRule="auto"/>
        <w:ind w:firstLine="488" w:firstLineChars="200"/>
        <w:rPr>
          <w:rFonts w:ascii="Times New Roman" w:hAnsi="Times New Roman" w:cs="Times New Roman"/>
        </w:rPr>
      </w:pPr>
      <w:r>
        <w:rPr>
          <w:rFonts w:ascii="Times New Roman" w:hAnsi="Times New Roman" w:cs="Times New Roman"/>
        </w:rPr>
        <w:t>园区暂未接通天然气</w:t>
      </w:r>
    </w:p>
    <w:p>
      <w:pPr>
        <w:pStyle w:val="93"/>
        <w:ind w:firstLine="489"/>
        <w:rPr>
          <w:color w:val="000000"/>
          <w:szCs w:val="18"/>
        </w:rPr>
      </w:pPr>
      <w:r>
        <w:rPr>
          <w:color w:val="000000"/>
          <w:szCs w:val="18"/>
        </w:rPr>
        <w:t>3）供热</w:t>
      </w:r>
    </w:p>
    <w:p>
      <w:pPr>
        <w:pStyle w:val="93"/>
        <w:ind w:firstLine="489"/>
        <w:rPr>
          <w:color w:val="000000"/>
          <w:szCs w:val="18"/>
        </w:rPr>
      </w:pPr>
      <w:r>
        <w:rPr>
          <w:color w:val="000000"/>
          <w:szCs w:val="18"/>
        </w:rPr>
        <w:t>企业生产用蒸汽均由区内的岳阳市龙正节能环保科技有限公司集中供应，该公司拟设置4台DHS25-1.6/245-MF煤粉炉蒸汽锅炉，总供汽能力为72万t/a，供汽时间为24h/d、300d/a，满足园区供热要求，实际建设2台粉煤灰蒸汽锅炉，总供汽能力总供汽能力为36万t/a（已验收）。</w:t>
      </w:r>
    </w:p>
    <w:p>
      <w:pPr>
        <w:spacing w:line="360" w:lineRule="auto"/>
        <w:ind w:firstLine="488" w:firstLineChars="200"/>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rPr>
        <w:t>绿色建材产业园</w:t>
      </w:r>
    </w:p>
    <w:p>
      <w:pPr>
        <w:pStyle w:val="93"/>
        <w:ind w:firstLine="489"/>
        <w:rPr>
          <w:color w:val="000000"/>
          <w:szCs w:val="18"/>
        </w:rPr>
      </w:pPr>
      <w:r>
        <w:rPr>
          <w:color w:val="000000"/>
          <w:szCs w:val="18"/>
        </w:rPr>
        <w:t>1）</w:t>
      </w:r>
      <w:r>
        <w:t>电力</w:t>
      </w:r>
    </w:p>
    <w:p>
      <w:pPr>
        <w:pStyle w:val="93"/>
        <w:ind w:firstLine="489"/>
        <w:rPr>
          <w:color w:val="000000"/>
          <w:szCs w:val="18"/>
        </w:rPr>
      </w:pPr>
      <w:r>
        <w:rPr>
          <w:rFonts w:hint="eastAsia"/>
          <w:color w:val="000000"/>
          <w:szCs w:val="18"/>
        </w:rPr>
        <w:t>依托临湘市现有供电设施，供电电源引自距厂址约6.8km的220kV峡山变电站，110kV线路双回路供电。</w:t>
      </w:r>
    </w:p>
    <w:p>
      <w:pPr>
        <w:spacing w:line="360" w:lineRule="auto"/>
        <w:ind w:firstLine="488" w:firstLineChars="200"/>
        <w:rPr>
          <w:color w:val="000000"/>
          <w:szCs w:val="18"/>
        </w:rPr>
      </w:pPr>
      <w:r>
        <w:rPr>
          <w:rFonts w:ascii="Times New Roman" w:hAnsi="Times New Roman" w:cs="Times New Roman"/>
        </w:rPr>
        <w:t>2）</w:t>
      </w:r>
      <w:r>
        <w:rPr>
          <w:rFonts w:hint="eastAsia"/>
          <w:color w:val="000000"/>
          <w:szCs w:val="18"/>
        </w:rPr>
        <w:t>煤炭</w:t>
      </w:r>
    </w:p>
    <w:p>
      <w:pPr>
        <w:pStyle w:val="93"/>
        <w:ind w:firstLine="489"/>
        <w:rPr>
          <w:color w:val="000000"/>
          <w:szCs w:val="18"/>
        </w:rPr>
      </w:pPr>
      <w:r>
        <w:rPr>
          <w:rFonts w:hint="eastAsia" w:asciiTheme="minorHAnsi" w:hAnsiTheme="minorHAnsi" w:eastAsiaTheme="minorEastAsia" w:cstheme="minorBidi"/>
          <w:color w:val="000000"/>
          <w:szCs w:val="18"/>
        </w:rPr>
        <w:t>海螺水泥主要能源为煤炭，外购株洲自攸县煤矿。</w:t>
      </w:r>
    </w:p>
    <w:p>
      <w:pPr>
        <w:pStyle w:val="5"/>
        <w:ind w:firstLine="491"/>
        <w:rPr>
          <w:rFonts w:ascii="Times New Roman" w:hAnsi="Times New Roman" w:cs="Times New Roman"/>
        </w:rPr>
      </w:pPr>
      <w:r>
        <w:rPr>
          <w:rFonts w:ascii="Times New Roman" w:hAnsi="Times New Roman" w:cs="Times New Roman"/>
        </w:rPr>
        <w:t>2.2.5.5 交通规划</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（1）三湾片区</w:t>
      </w:r>
    </w:p>
    <w:p>
      <w:pPr>
        <w:pStyle w:val="93"/>
        <w:ind w:firstLine="489"/>
        <w:rPr>
          <w:color w:val="000000"/>
          <w:szCs w:val="18"/>
        </w:rPr>
      </w:pPr>
      <w:r>
        <w:rPr>
          <w:color w:val="000000"/>
          <w:szCs w:val="18"/>
        </w:rPr>
        <w:t>园区道路系统比较完善，已建道路9.5km，已建成S206、建陶大道、三湾大道等主要园区内交通干线、支线。</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（2）滨江片区</w:t>
      </w:r>
    </w:p>
    <w:p>
      <w:pPr>
        <w:spacing w:line="360" w:lineRule="auto"/>
        <w:ind w:firstLine="488" w:firstLineChars="200"/>
        <w:rPr>
          <w:rFonts w:ascii="Times New Roman" w:hAnsi="Times New Roman" w:cs="Times New Roman"/>
        </w:rPr>
      </w:pPr>
      <w:r>
        <w:rPr>
          <w:rFonts w:ascii="Times New Roman" w:hAnsi="Times New Roman" w:cs="Times New Roman"/>
        </w:rPr>
        <w:t>1）外部交通</w:t>
      </w:r>
    </w:p>
    <w:p>
      <w:pPr>
        <w:spacing w:line="360" w:lineRule="auto"/>
        <w:ind w:firstLine="488" w:firstLineChars="200"/>
        <w:rPr>
          <w:rFonts w:ascii="Times New Roman" w:hAnsi="Times New Roman" w:cs="Times New Roman"/>
        </w:rPr>
      </w:pPr>
      <w:r>
        <w:rPr>
          <w:rFonts w:ascii="Times New Roman" w:hAnsi="Times New Roman" w:cs="Times New Roman"/>
        </w:rPr>
        <w:t>产业区目前依托的交通运输方式为航运与公路，产业区西侧紧邻长江鸭栏港为长江沿岸的3000吨级大港，省道201从园区内穿过，对外交通运输较为便捷。</w:t>
      </w:r>
    </w:p>
    <w:p>
      <w:pPr>
        <w:spacing w:line="360" w:lineRule="auto"/>
        <w:ind w:firstLine="488" w:firstLineChars="200"/>
        <w:rPr>
          <w:rFonts w:ascii="Times New Roman" w:hAnsi="Times New Roman" w:cs="Times New Roman"/>
        </w:rPr>
      </w:pPr>
      <w:r>
        <w:rPr>
          <w:rFonts w:ascii="Times New Roman" w:hAnsi="Times New Roman" w:cs="Times New Roman"/>
        </w:rPr>
        <w:t>2）内部交通</w:t>
      </w:r>
    </w:p>
    <w:p>
      <w:pPr>
        <w:spacing w:line="360" w:lineRule="auto"/>
        <w:ind w:firstLine="488" w:firstLineChars="200"/>
        <w:rPr>
          <w:rFonts w:ascii="Times New Roman" w:hAnsi="Times New Roman" w:cs="Times New Roman"/>
        </w:rPr>
      </w:pPr>
      <w:r>
        <w:rPr>
          <w:rFonts w:ascii="Times New Roman" w:hAnsi="Times New Roman" w:cs="Times New Roman"/>
        </w:rPr>
        <w:t>目前产业区已经完成临港大道的建设以及省道201（工业大道）的改造。其余道路尚处于规划阶段，未开工建设。</w:t>
      </w:r>
    </w:p>
    <w:p>
      <w:pPr>
        <w:spacing w:line="360" w:lineRule="auto"/>
        <w:ind w:firstLine="488" w:firstLineChars="200"/>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rPr>
        <w:t>绿色建材产业园</w:t>
      </w:r>
    </w:p>
    <w:p>
      <w:pPr>
        <w:spacing w:line="360" w:lineRule="auto"/>
        <w:ind w:firstLine="488" w:firstLineChars="200"/>
        <w:rPr>
          <w:rFonts w:ascii="Times New Roman" w:hAnsi="Times New Roman" w:cs="Times New Roman"/>
        </w:rPr>
      </w:pPr>
      <w:r>
        <w:rPr>
          <w:rFonts w:hint="eastAsia" w:ascii="Times New Roman" w:hAnsi="Times New Roman" w:cs="Times New Roman"/>
        </w:rPr>
        <w:t>该片区位于临鸭公路东侧1km处，已建成一条与临鸭公路相接的进厂公路。临湘海螺公司厂区与国道G322之间有两条道路连接：一条从322国道通往公司生活区，路面宽9m，长约0.9km，主要方便人员进出厂区；一条从322国道通往公司生产区，路面宽18m，长约1.5km，主要承担厂区除石灰石外所有原料的运输进入和成品水泥的运出。</w:t>
      </w:r>
    </w:p>
    <w:p>
      <w:pPr>
        <w:pStyle w:val="5"/>
        <w:ind w:firstLine="491"/>
        <w:rPr>
          <w:rFonts w:ascii="Times New Roman" w:hAnsi="Times New Roman" w:cs="Times New Roman"/>
        </w:rPr>
      </w:pPr>
      <w:r>
        <w:rPr>
          <w:rFonts w:ascii="Times New Roman" w:hAnsi="Times New Roman" w:cs="Times New Roman"/>
        </w:rPr>
        <w:t>2.2.5.6 固废处理情况</w:t>
      </w:r>
      <w:bookmarkEnd w:id="82"/>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（1）三湾片区</w:t>
      </w:r>
    </w:p>
    <w:p>
      <w:pPr>
        <w:spacing w:line="360" w:lineRule="auto"/>
        <w:ind w:firstLine="488" w:firstLineChars="200"/>
        <w:rPr>
          <w:rFonts w:ascii="Times New Roman" w:hAnsi="Times New Roman" w:cs="Times New Roman"/>
        </w:rPr>
      </w:pPr>
      <w:r>
        <w:rPr>
          <w:rFonts w:ascii="Times New Roman" w:hAnsi="Times New Roman" w:cs="Times New Roman"/>
        </w:rPr>
        <w:t>工业园对生活垃圾建立垃圾收集站，规划建设3个垃圾收集站，3个垃圾分别布局于工业园北面入口处、工业园变电站的西面以及东面的唯楚新材与鲁湘酒业公司之间，3个垃圾收集站的服务半径约为0.6km，占地面积约80m2，采取与公共厕所合建的房屋建筑结构，周围无居民住户，与企业的围墙距离大于15m。3个垃圾收集站布局较合理。目前工业园变电站的西面以及东面的唯楚新材与鲁湘酒业公司之间的垃圾收集站即将建成营运，工业园生活垃圾送垃圾收集站，由临湘市环卫部门统一送到临湘市杨天磨刀垃圾填埋场处理，采用卫生填埋法填埋。</w:t>
      </w:r>
    </w:p>
    <w:p>
      <w:pPr>
        <w:spacing w:line="360" w:lineRule="auto"/>
        <w:ind w:firstLine="488" w:firstLineChars="200"/>
        <w:rPr>
          <w:rFonts w:ascii="Times New Roman" w:hAnsi="Times New Roman" w:cs="Times New Roman"/>
        </w:rPr>
      </w:pPr>
      <w:r>
        <w:rPr>
          <w:rFonts w:ascii="Times New Roman" w:hAnsi="Times New Roman" w:cs="Times New Roman"/>
        </w:rPr>
        <w:t>临湘市杨天磨刀垃圾场位于临湘市北面白云镇杨天磨刀村，距城市边缘6km，距工业园11km，设计规模为日处理垃圾360t，垃圾场占地22公顷，填埋库容354万m3，服务年限25年，主要处理城市生活垃圾和工业固体废物。</w:t>
      </w:r>
    </w:p>
    <w:p>
      <w:pPr>
        <w:spacing w:line="360" w:lineRule="auto"/>
        <w:ind w:firstLine="488" w:firstLineChars="200"/>
        <w:rPr>
          <w:rFonts w:ascii="Times New Roman" w:hAnsi="Times New Roman" w:cs="Times New Roman"/>
        </w:rPr>
      </w:pPr>
      <w:r>
        <w:rPr>
          <w:rFonts w:ascii="Times New Roman" w:hAnsi="Times New Roman" w:cs="Times New Roman"/>
        </w:rPr>
        <w:t>园区各企业工业固体废物由企业自行处理处置，各企业坚持“资源化、减量化、无害化”的原则，确保工业固废处置率达到100%。</w:t>
      </w:r>
    </w:p>
    <w:p>
      <w:pPr>
        <w:spacing w:line="360" w:lineRule="auto"/>
        <w:ind w:firstLine="488" w:firstLineChars="200"/>
        <w:rPr>
          <w:rFonts w:ascii="Times New Roman" w:hAnsi="Times New Roman" w:cs="Times New Roman"/>
        </w:rPr>
      </w:pPr>
      <w:r>
        <w:rPr>
          <w:rFonts w:ascii="Times New Roman" w:hAnsi="Times New Roman" w:cs="Times New Roman"/>
        </w:rPr>
        <w:t>各企业危险固废按照《危险废物贮存污染控制标准》GB18597-20</w:t>
      </w:r>
      <w:r>
        <w:rPr>
          <w:rFonts w:hint="eastAsia" w:ascii="Times New Roman" w:hAnsi="Times New Roman" w:cs="Times New Roman"/>
        </w:rPr>
        <w:t>23</w:t>
      </w:r>
      <w:r>
        <w:rPr>
          <w:rFonts w:ascii="Times New Roman" w:hAnsi="Times New Roman" w:cs="Times New Roman"/>
        </w:rPr>
        <w:t>要求自行储存，定期送岳阳市危险固废处置中心进行处置。</w:t>
      </w:r>
    </w:p>
    <w:p>
      <w:pPr>
        <w:spacing w:line="360" w:lineRule="auto"/>
        <w:ind w:firstLine="488" w:firstLineChars="200"/>
        <w:rPr>
          <w:rFonts w:ascii="Times New Roman" w:hAnsi="Times New Roman" w:cs="Times New Roman"/>
        </w:rPr>
      </w:pPr>
      <w:r>
        <w:rPr>
          <w:rFonts w:ascii="Times New Roman" w:hAnsi="Times New Roman" w:cs="Times New Roman"/>
        </w:rPr>
        <w:t>园区内兆邦陶瓷公司于2010年6月在工业园区东北面大岭村的一个谷地建成大岭村一般工业固体废物处置场，该工业固废处置场周围500m范围内无居民住户，其库容的服务年限可达50年。该固废贮存场主要堆存兆邦陶瓷公司的一般工业固体废物煤灰渣，按《一般工业固体废物贮存、处置场污染控制标准》GB18599-2001要求规范建设，对周围环境影响甚微。</w:t>
      </w:r>
    </w:p>
    <w:p>
      <w:pPr>
        <w:spacing w:line="360" w:lineRule="auto"/>
        <w:ind w:firstLine="488" w:firstLineChars="200"/>
        <w:rPr>
          <w:rFonts w:ascii="Times New Roman" w:hAnsi="Times New Roman" w:cs="Times New Roman"/>
          <w:b/>
          <w:szCs w:val="24"/>
        </w:rPr>
      </w:pPr>
      <w:r>
        <w:rPr>
          <w:rFonts w:ascii="Times New Roman" w:hAnsi="Times New Roman" w:cs="Times New Roman"/>
          <w:b/>
          <w:szCs w:val="24"/>
        </w:rPr>
        <w:t>（2）滨江片区</w:t>
      </w:r>
    </w:p>
    <w:p>
      <w:pPr>
        <w:spacing w:line="360" w:lineRule="auto"/>
        <w:ind w:firstLine="488" w:firstLineChars="200"/>
        <w:rPr>
          <w:rFonts w:ascii="Times New Roman" w:hAnsi="Times New Roman" w:cs="Times New Roman"/>
        </w:rPr>
      </w:pPr>
      <w:r>
        <w:rPr>
          <w:rFonts w:ascii="Times New Roman" w:hAnsi="Times New Roman" w:cs="Times New Roman"/>
        </w:rPr>
        <w:t>生活垃圾：产业区设置垃圾中转站，集中收集生活垃圾，送距产业区26km的临湘市垃圾填埋场填埋处理。目前，该垃圾填埋场处置量约为200吨/日，规划服务临湘市全市的垃圾填埋，可以满足本基地区的生活垃圾处置要求，后续依托生活垃圾焚烧进行处置。</w:t>
      </w:r>
    </w:p>
    <w:p>
      <w:pPr>
        <w:spacing w:line="360" w:lineRule="auto"/>
        <w:ind w:firstLine="488" w:firstLineChars="200"/>
        <w:rPr>
          <w:rFonts w:ascii="Times New Roman" w:hAnsi="Times New Roman" w:cs="Times New Roman"/>
        </w:rPr>
      </w:pPr>
      <w:r>
        <w:rPr>
          <w:rFonts w:ascii="Times New Roman" w:hAnsi="Times New Roman" w:cs="Times New Roman"/>
        </w:rPr>
        <w:t>一般工业固体废物：以综合利用为主。</w:t>
      </w:r>
    </w:p>
    <w:p>
      <w:pPr>
        <w:spacing w:line="360" w:lineRule="auto"/>
        <w:ind w:firstLine="488" w:firstLineChars="200"/>
        <w:rPr>
          <w:rFonts w:ascii="Times New Roman" w:hAnsi="Times New Roman" w:cs="Times New Roman"/>
        </w:rPr>
      </w:pPr>
      <w:r>
        <w:rPr>
          <w:rFonts w:ascii="Times New Roman" w:hAnsi="Times New Roman" w:cs="Times New Roman"/>
        </w:rPr>
        <w:t>危险废物：产业区目前建成了岳阳地区首个、全省第三个固体废渣焚烧处理项目——湖南德泽环保科技有限公司危废焚烧，项目总投资5622万元，其处置的危险废物主要来自滨江产业区内企业产生的的高热值可燃有机物废物，该项目已于2014年3月申请试生产，园区现有企业产生的部分符合德泽处理要求的危险废物可送入该公司进行无害化处置。德泽环保的处理能力30t/d，目前的实际处理量约为7.81t/d，剩余22.19t/d的处理能力。根据岳阳市衡润检测有限公司2018年9月18日对德泽环保排气筒检测数据（见表2.2-6），其污染物排放浓度满足《危险废物焚烧污染控制标准》（GB18484-2001） 表3相应标准。</w:t>
      </w:r>
    </w:p>
    <w:p>
      <w:pPr>
        <w:pStyle w:val="4"/>
        <w:rPr>
          <w:rFonts w:ascii="Times New Roman" w:hAnsi="Times New Roman" w:cs="Times New Roman"/>
        </w:rPr>
      </w:pPr>
      <w:bookmarkStart w:id="83" w:name="_Toc146091883"/>
      <w:bookmarkStart w:id="84" w:name="_Toc134088443"/>
      <w:bookmarkStart w:id="85" w:name="_Toc82606963"/>
      <w:bookmarkStart w:id="86" w:name="_Toc50625244"/>
      <w:r>
        <w:rPr>
          <w:rFonts w:ascii="Times New Roman" w:hAnsi="Times New Roman" w:cs="Times New Roman"/>
        </w:rPr>
        <w:t>2.2.6 企业概况</w:t>
      </w:r>
      <w:bookmarkEnd w:id="83"/>
      <w:bookmarkEnd w:id="84"/>
    </w:p>
    <w:p>
      <w:pPr>
        <w:pStyle w:val="5"/>
        <w:ind w:firstLine="491"/>
        <w:rPr>
          <w:rFonts w:ascii="Times New Roman" w:hAnsi="Times New Roman" w:cs="Times New Roman" w:eastAsiaTheme="minorEastAsia"/>
        </w:rPr>
      </w:pPr>
      <w:r>
        <w:rPr>
          <w:rFonts w:ascii="Times New Roman" w:hAnsi="Times New Roman" w:cs="Times New Roman" w:eastAsiaTheme="minorEastAsia"/>
        </w:rPr>
        <w:t>2.2.6.1企业环保手续</w:t>
      </w:r>
    </w:p>
    <w:p>
      <w:pPr>
        <w:spacing w:line="360" w:lineRule="auto"/>
        <w:ind w:firstLine="488" w:firstLineChars="200"/>
        <w:rPr>
          <w:rFonts w:ascii="Times New Roman" w:hAnsi="Times New Roman" w:cs="Times New Roman"/>
        </w:rPr>
      </w:pPr>
      <w:r>
        <w:rPr>
          <w:rFonts w:hint="eastAsia" w:ascii="Times New Roman" w:hAnsi="Times New Roman" w:cs="Times New Roman"/>
        </w:rPr>
        <w:t>园区已有企业</w:t>
      </w:r>
      <w:r>
        <w:rPr>
          <w:rFonts w:ascii="Times New Roman" w:hAnsi="Times New Roman" w:cs="Times New Roman"/>
        </w:rPr>
        <w:t>77</w:t>
      </w:r>
      <w:r>
        <w:rPr>
          <w:rFonts w:hint="eastAsia" w:ascii="Times New Roman" w:hAnsi="Times New Roman" w:cs="Times New Roman"/>
        </w:rPr>
        <w:t>家</w:t>
      </w:r>
      <w:r>
        <w:rPr>
          <w:rFonts w:hint="eastAsia"/>
        </w:rPr>
        <w:t>，环评</w:t>
      </w:r>
      <w:r>
        <w:t>50</w:t>
      </w:r>
      <w:r>
        <w:rPr>
          <w:rFonts w:hint="eastAsia"/>
        </w:rPr>
        <w:t>家，验收</w:t>
      </w:r>
      <w:r>
        <w:t>42</w:t>
      </w:r>
      <w:r>
        <w:rPr>
          <w:rFonts w:hint="eastAsia"/>
        </w:rPr>
        <w:t>家，应急预案</w:t>
      </w:r>
      <w:r>
        <w:t>33</w:t>
      </w:r>
      <w:r>
        <w:rPr>
          <w:rFonts w:hint="eastAsia"/>
        </w:rPr>
        <w:t>家，排污许可办理</w:t>
      </w:r>
      <w:r>
        <w:t>51</w:t>
      </w:r>
      <w:r>
        <w:rPr>
          <w:rFonts w:hint="eastAsia"/>
        </w:rPr>
        <w:t>家</w:t>
      </w:r>
      <w:r>
        <w:rPr>
          <w:rFonts w:hint="eastAsia" w:ascii="Times New Roman" w:hAnsi="Times New Roman" w:cs="Times New Roman"/>
        </w:rPr>
        <w:t>，</w:t>
      </w:r>
    </w:p>
    <w:p>
      <w:pPr>
        <w:spacing w:line="360" w:lineRule="auto"/>
        <w:ind w:firstLine="488" w:firstLineChars="200"/>
        <w:rPr>
          <w:rFonts w:ascii="Times New Roman" w:hAnsi="Times New Roman" w:cs="Times New Roman"/>
        </w:rPr>
      </w:pPr>
      <w:r>
        <w:rPr>
          <w:rFonts w:hint="eastAsia" w:ascii="Times New Roman" w:hAnsi="Times New Roman" w:cs="Times New Roman"/>
        </w:rPr>
        <w:t>其中三湾产业园企业4</w:t>
      </w:r>
      <w:r>
        <w:rPr>
          <w:rFonts w:ascii="Times New Roman" w:hAnsi="Times New Roman" w:cs="Times New Roman"/>
        </w:rPr>
        <w:t>9</w:t>
      </w:r>
      <w:r>
        <w:rPr>
          <w:rFonts w:hint="eastAsia" w:ascii="Times New Roman" w:hAnsi="Times New Roman" w:cs="Times New Roman"/>
        </w:rPr>
        <w:t>家</w:t>
      </w:r>
      <w:r>
        <w:rPr>
          <w:rFonts w:hint="eastAsia"/>
        </w:rPr>
        <w:t>，环评</w:t>
      </w:r>
      <w:r>
        <w:rPr>
          <w:rFonts w:ascii="Times New Roman" w:hAnsi="Times New Roman" w:cs="Times New Roman"/>
        </w:rPr>
        <w:t>45</w:t>
      </w:r>
      <w:r>
        <w:rPr>
          <w:rFonts w:hint="eastAsia"/>
        </w:rPr>
        <w:t>家，验收</w:t>
      </w:r>
      <w:r>
        <w:rPr>
          <w:rFonts w:ascii="Times New Roman" w:hAnsi="Times New Roman" w:cs="Times New Roman"/>
        </w:rPr>
        <w:t>38</w:t>
      </w:r>
      <w:r>
        <w:rPr>
          <w:rFonts w:hint="eastAsia"/>
        </w:rPr>
        <w:t>家，应急预案</w:t>
      </w:r>
      <w:r>
        <w:rPr>
          <w:rFonts w:ascii="Times New Roman" w:hAnsi="Times New Roman" w:cs="Times New Roman"/>
        </w:rPr>
        <w:t>26</w:t>
      </w:r>
      <w:r>
        <w:rPr>
          <w:rFonts w:hint="eastAsia"/>
        </w:rPr>
        <w:t>家，排污许可办理</w:t>
      </w:r>
      <w:r>
        <w:rPr>
          <w:rFonts w:ascii="Times New Roman" w:hAnsi="Times New Roman" w:cs="Times New Roman"/>
        </w:rPr>
        <w:t>37</w:t>
      </w:r>
      <w:r>
        <w:rPr>
          <w:rFonts w:hint="eastAsia"/>
        </w:rPr>
        <w:t>家</w:t>
      </w:r>
      <w:r>
        <w:rPr>
          <w:rFonts w:hint="eastAsia" w:ascii="Times New Roman" w:hAnsi="Times New Roman" w:cs="Times New Roman"/>
        </w:rPr>
        <w:t>；</w:t>
      </w:r>
    </w:p>
    <w:p>
      <w:pPr>
        <w:spacing w:line="360" w:lineRule="auto"/>
        <w:ind w:firstLine="488" w:firstLineChars="200"/>
        <w:rPr>
          <w:rFonts w:ascii="Times New Roman" w:hAnsi="Times New Roman" w:cs="Times New Roman"/>
        </w:rPr>
      </w:pPr>
      <w:r>
        <w:rPr>
          <w:rFonts w:hint="eastAsia" w:ascii="Times New Roman" w:hAnsi="Times New Roman" w:cs="Times New Roman"/>
        </w:rPr>
        <w:t>滨江片区绿色化工产业园企业15家</w:t>
      </w:r>
      <w:r>
        <w:rPr>
          <w:rFonts w:hint="eastAsia"/>
        </w:rPr>
        <w:t>，环评</w:t>
      </w:r>
      <w:r>
        <w:rPr>
          <w:rFonts w:ascii="Times New Roman" w:hAnsi="Times New Roman" w:cs="Times New Roman"/>
        </w:rPr>
        <w:t>1</w:t>
      </w:r>
      <w:r>
        <w:rPr>
          <w:rFonts w:hint="eastAsia"/>
        </w:rPr>
        <w:t>家，验收</w:t>
      </w:r>
      <w:r>
        <w:rPr>
          <w:rFonts w:ascii="Times New Roman" w:hAnsi="Times New Roman" w:cs="Times New Roman"/>
        </w:rPr>
        <w:t>0</w:t>
      </w:r>
      <w:r>
        <w:rPr>
          <w:rFonts w:hint="eastAsia"/>
        </w:rPr>
        <w:t>家，应急预案</w:t>
      </w:r>
      <w:r>
        <w:rPr>
          <w:rFonts w:ascii="Times New Roman" w:hAnsi="Times New Roman" w:cs="Times New Roman"/>
        </w:rPr>
        <w:t>0</w:t>
      </w:r>
      <w:r>
        <w:rPr>
          <w:rFonts w:hint="eastAsia"/>
        </w:rPr>
        <w:t>家，排污许可办理</w:t>
      </w:r>
      <w:r>
        <w:rPr>
          <w:rFonts w:ascii="Times New Roman" w:hAnsi="Times New Roman" w:cs="Times New Roman"/>
        </w:rPr>
        <w:t>7</w:t>
      </w:r>
      <w:r>
        <w:rPr>
          <w:rFonts w:hint="eastAsia"/>
        </w:rPr>
        <w:t>家</w:t>
      </w:r>
      <w:r>
        <w:rPr>
          <w:rFonts w:hint="eastAsia" w:ascii="Times New Roman" w:hAnsi="Times New Roman" w:cs="Times New Roman"/>
        </w:rPr>
        <w:t>；</w:t>
      </w:r>
    </w:p>
    <w:p>
      <w:pPr>
        <w:spacing w:line="360" w:lineRule="auto"/>
        <w:ind w:firstLine="488" w:firstLineChars="200"/>
        <w:rPr>
          <w:rFonts w:ascii="Times New Roman" w:hAnsi="Times New Roman" w:cs="Times New Roman"/>
        </w:rPr>
      </w:pPr>
      <w:r>
        <w:rPr>
          <w:rFonts w:hint="eastAsia" w:ascii="Times New Roman" w:hAnsi="Times New Roman" w:cs="Times New Roman"/>
        </w:rPr>
        <w:t>滨江片区中非工贸产业园企业</w:t>
      </w:r>
      <w:r>
        <w:rPr>
          <w:rFonts w:ascii="Times New Roman" w:hAnsi="Times New Roman" w:cs="Times New Roman"/>
        </w:rPr>
        <w:t>6</w:t>
      </w:r>
      <w:r>
        <w:rPr>
          <w:rFonts w:hint="eastAsia" w:ascii="Times New Roman" w:hAnsi="Times New Roman" w:cs="Times New Roman"/>
        </w:rPr>
        <w:t>家</w:t>
      </w:r>
      <w:r>
        <w:rPr>
          <w:rFonts w:hint="eastAsia"/>
        </w:rPr>
        <w:t>，环评</w:t>
      </w:r>
      <w:r>
        <w:rPr>
          <w:rFonts w:ascii="Times New Roman" w:hAnsi="Times New Roman" w:cs="Times New Roman"/>
        </w:rPr>
        <w:t>4</w:t>
      </w:r>
      <w:r>
        <w:rPr>
          <w:rFonts w:hint="eastAsia"/>
        </w:rPr>
        <w:t>家，验收</w:t>
      </w:r>
      <w:r>
        <w:rPr>
          <w:rFonts w:ascii="Times New Roman" w:hAnsi="Times New Roman" w:cs="Times New Roman"/>
        </w:rPr>
        <w:t>4</w:t>
      </w:r>
      <w:r>
        <w:rPr>
          <w:rFonts w:hint="eastAsia"/>
        </w:rPr>
        <w:t>家，应急预案</w:t>
      </w:r>
      <w:r>
        <w:rPr>
          <w:rFonts w:ascii="Times New Roman" w:hAnsi="Times New Roman" w:cs="Times New Roman"/>
        </w:rPr>
        <w:t>3</w:t>
      </w:r>
      <w:r>
        <w:rPr>
          <w:rFonts w:hint="eastAsia"/>
        </w:rPr>
        <w:t>家，排污许可办理</w:t>
      </w:r>
      <w:r>
        <w:rPr>
          <w:rFonts w:ascii="Times New Roman" w:hAnsi="Times New Roman" w:cs="Times New Roman"/>
        </w:rPr>
        <w:t>3</w:t>
      </w:r>
      <w:r>
        <w:rPr>
          <w:rFonts w:hint="eastAsia"/>
        </w:rPr>
        <w:t>家</w:t>
      </w:r>
      <w:r>
        <w:rPr>
          <w:rFonts w:hint="eastAsia" w:ascii="Times New Roman" w:hAnsi="Times New Roman" w:cs="Times New Roman"/>
        </w:rPr>
        <w:t>；</w:t>
      </w:r>
    </w:p>
    <w:p>
      <w:pPr>
        <w:spacing w:line="360" w:lineRule="auto"/>
        <w:ind w:firstLine="488" w:firstLineChars="200"/>
      </w:pPr>
      <w:r>
        <w:rPr>
          <w:rFonts w:hint="eastAsia" w:ascii="Times New Roman" w:hAnsi="Times New Roman" w:cs="Times New Roman"/>
          <w:highlight w:val="yellow"/>
        </w:rPr>
        <w:t>滨江片区加工制造产业园，企业6家</w:t>
      </w:r>
      <w:r>
        <w:rPr>
          <w:rFonts w:hint="eastAsia"/>
          <w:highlight w:val="yellow"/>
        </w:rPr>
        <w:t>，环评</w:t>
      </w:r>
      <w:r>
        <w:rPr>
          <w:rFonts w:ascii="Times New Roman" w:hAnsi="Times New Roman" w:cs="Times New Roman"/>
          <w:highlight w:val="yellow"/>
        </w:rPr>
        <w:t>0</w:t>
      </w:r>
      <w:r>
        <w:rPr>
          <w:rFonts w:hint="eastAsia"/>
          <w:highlight w:val="yellow"/>
        </w:rPr>
        <w:t>家，验收</w:t>
      </w:r>
      <w:r>
        <w:rPr>
          <w:rFonts w:ascii="Times New Roman" w:hAnsi="Times New Roman" w:cs="Times New Roman"/>
          <w:highlight w:val="yellow"/>
        </w:rPr>
        <w:t>0</w:t>
      </w:r>
      <w:r>
        <w:rPr>
          <w:rFonts w:hint="eastAsia"/>
          <w:highlight w:val="yellow"/>
        </w:rPr>
        <w:t>家，应急预案</w:t>
      </w:r>
      <w:r>
        <w:rPr>
          <w:rFonts w:ascii="Times New Roman" w:hAnsi="Times New Roman" w:cs="Times New Roman"/>
          <w:highlight w:val="yellow"/>
        </w:rPr>
        <w:t>2</w:t>
      </w:r>
      <w:r>
        <w:rPr>
          <w:rFonts w:hint="eastAsia"/>
          <w:highlight w:val="yellow"/>
        </w:rPr>
        <w:t>家，排污许可办理</w:t>
      </w:r>
      <w:r>
        <w:rPr>
          <w:rFonts w:ascii="Times New Roman" w:hAnsi="Times New Roman" w:cs="Times New Roman"/>
          <w:highlight w:val="yellow"/>
        </w:rPr>
        <w:t>2</w:t>
      </w:r>
      <w:r>
        <w:rPr>
          <w:rFonts w:hint="eastAsia"/>
          <w:highlight w:val="yellow"/>
        </w:rPr>
        <w:t>家；</w:t>
      </w:r>
    </w:p>
    <w:p>
      <w:pPr>
        <w:spacing w:line="360" w:lineRule="auto"/>
        <w:ind w:firstLine="488" w:firstLineChars="200"/>
        <w:rPr>
          <w:rFonts w:ascii="Times New Roman" w:hAnsi="Times New Roman" w:cs="Times New Roman"/>
        </w:rPr>
      </w:pPr>
      <w:r>
        <w:rPr>
          <w:rFonts w:hint="eastAsia" w:ascii="Times New Roman" w:hAnsi="Times New Roman" w:cs="Times New Roman"/>
        </w:rPr>
        <w:t>绿色建材产业园企业</w:t>
      </w:r>
      <w:r>
        <w:rPr>
          <w:rFonts w:ascii="Times New Roman" w:hAnsi="Times New Roman" w:cs="Times New Roman"/>
        </w:rPr>
        <w:t>1</w:t>
      </w:r>
      <w:r>
        <w:rPr>
          <w:rFonts w:hint="eastAsia" w:ascii="Times New Roman" w:hAnsi="Times New Roman" w:cs="Times New Roman"/>
        </w:rPr>
        <w:t>家</w:t>
      </w:r>
      <w:r>
        <w:rPr>
          <w:rFonts w:hint="eastAsia"/>
        </w:rPr>
        <w:t>，环评</w:t>
      </w:r>
      <w:r>
        <w:rPr>
          <w:rFonts w:ascii="Times New Roman" w:hAnsi="Times New Roman" w:cs="Times New Roman"/>
        </w:rPr>
        <w:t>1</w:t>
      </w:r>
      <w:r>
        <w:rPr>
          <w:rFonts w:hint="eastAsia"/>
        </w:rPr>
        <w:t>家，验收</w:t>
      </w:r>
      <w:r>
        <w:rPr>
          <w:rFonts w:ascii="Times New Roman" w:hAnsi="Times New Roman" w:cs="Times New Roman"/>
        </w:rPr>
        <w:t>1</w:t>
      </w:r>
      <w:r>
        <w:rPr>
          <w:rFonts w:hint="eastAsia"/>
        </w:rPr>
        <w:t>家，应急预案</w:t>
      </w:r>
      <w:r>
        <w:rPr>
          <w:rFonts w:ascii="Times New Roman" w:hAnsi="Times New Roman" w:cs="Times New Roman"/>
        </w:rPr>
        <w:t>1</w:t>
      </w:r>
      <w:r>
        <w:rPr>
          <w:rFonts w:hint="eastAsia"/>
        </w:rPr>
        <w:t>家，排污许可办理</w:t>
      </w:r>
      <w:r>
        <w:rPr>
          <w:rFonts w:ascii="Times New Roman" w:hAnsi="Times New Roman" w:cs="Times New Roman"/>
        </w:rPr>
        <w:t>1</w:t>
      </w:r>
      <w:r>
        <w:rPr>
          <w:rFonts w:hint="eastAsia"/>
        </w:rPr>
        <w:t>家</w:t>
      </w:r>
      <w:r>
        <w:rPr>
          <w:rFonts w:hint="eastAsia" w:ascii="Times New Roman" w:hAnsi="Times New Roman" w:cs="Times New Roman"/>
        </w:rPr>
        <w:t>。</w:t>
      </w:r>
    </w:p>
    <w:p>
      <w:pPr>
        <w:spacing w:line="360" w:lineRule="auto"/>
        <w:ind w:firstLine="488" w:firstLineChars="200"/>
        <w:rPr>
          <w:rFonts w:ascii="Times New Roman" w:hAnsi="Times New Roman" w:cs="Times New Roman"/>
        </w:rPr>
      </w:pPr>
      <w:r>
        <w:rPr>
          <w:rFonts w:hint="eastAsia" w:ascii="Times New Roman" w:hAnsi="Times New Roman" w:cs="Times New Roman"/>
        </w:rPr>
        <w:t>规划范围外企业：4-5家</w:t>
      </w:r>
    </w:p>
    <w:p>
      <w:pPr>
        <w:pStyle w:val="6"/>
        <w:rPr>
          <w:rFonts w:ascii="Times New Roman" w:hAnsi="Times New Roman" w:cs="Times New Roman"/>
        </w:rPr>
      </w:pPr>
      <w:r>
        <w:rPr>
          <w:rFonts w:ascii="Times New Roman" w:hAnsi="Times New Roman" w:cs="Times New Roman"/>
        </w:rPr>
        <w:t>表2.2-</w:t>
      </w:r>
      <w:r>
        <w:rPr>
          <w:rFonts w:hint="eastAsia" w:ascii="Times New Roman" w:hAnsi="Times New Roman" w:cs="Times New Roman"/>
        </w:rPr>
        <w:t>7</w:t>
      </w:r>
      <w:r>
        <w:rPr>
          <w:rFonts w:ascii="Times New Roman" w:hAnsi="Times New Roman" w:cs="Times New Roman"/>
        </w:rPr>
        <w:t xml:space="preserve">  园区企业概况</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50"/>
        <w:gridCol w:w="1054"/>
        <w:gridCol w:w="1200"/>
        <w:gridCol w:w="1199"/>
        <w:gridCol w:w="1200"/>
        <w:gridCol w:w="1199"/>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Align w:val="center"/>
          </w:tcPr>
          <w:p>
            <w:pPr>
              <w:pStyle w:val="63"/>
            </w:pPr>
            <w:r>
              <w:rPr>
                <w:rFonts w:hint="eastAsia"/>
              </w:rPr>
              <w:t>片区</w:t>
            </w:r>
          </w:p>
        </w:tc>
        <w:tc>
          <w:tcPr>
            <w:tcW w:w="850" w:type="dxa"/>
            <w:vAlign w:val="center"/>
          </w:tcPr>
          <w:p>
            <w:pPr>
              <w:pStyle w:val="63"/>
            </w:pPr>
            <w:r>
              <w:rPr>
                <w:rFonts w:hint="eastAsia"/>
              </w:rPr>
              <w:t>企业总数</w:t>
            </w:r>
          </w:p>
        </w:tc>
        <w:tc>
          <w:tcPr>
            <w:tcW w:w="1054" w:type="dxa"/>
            <w:vAlign w:val="center"/>
          </w:tcPr>
          <w:p>
            <w:pPr>
              <w:pStyle w:val="63"/>
            </w:pPr>
            <w:r>
              <w:rPr>
                <w:rFonts w:hint="eastAsia"/>
              </w:rPr>
              <w:t>状态</w:t>
            </w:r>
          </w:p>
        </w:tc>
        <w:tc>
          <w:tcPr>
            <w:tcW w:w="1200" w:type="dxa"/>
            <w:vAlign w:val="center"/>
          </w:tcPr>
          <w:p>
            <w:pPr>
              <w:pStyle w:val="63"/>
            </w:pPr>
            <w:r>
              <w:rPr>
                <w:rFonts w:hint="eastAsia"/>
              </w:rPr>
              <w:t>企业数</w:t>
            </w:r>
          </w:p>
        </w:tc>
        <w:tc>
          <w:tcPr>
            <w:tcW w:w="1199" w:type="dxa"/>
            <w:vAlign w:val="center"/>
          </w:tcPr>
          <w:p>
            <w:pPr>
              <w:pStyle w:val="63"/>
            </w:pPr>
            <w:r>
              <w:rPr>
                <w:rFonts w:hint="eastAsia"/>
              </w:rPr>
              <w:t>环评</w:t>
            </w:r>
          </w:p>
        </w:tc>
        <w:tc>
          <w:tcPr>
            <w:tcW w:w="1200" w:type="dxa"/>
            <w:vAlign w:val="center"/>
          </w:tcPr>
          <w:p>
            <w:pPr>
              <w:pStyle w:val="63"/>
            </w:pPr>
            <w:r>
              <w:rPr>
                <w:rFonts w:hint="eastAsia"/>
              </w:rPr>
              <w:t>验收</w:t>
            </w:r>
          </w:p>
        </w:tc>
        <w:tc>
          <w:tcPr>
            <w:tcW w:w="1199" w:type="dxa"/>
            <w:vAlign w:val="center"/>
          </w:tcPr>
          <w:p>
            <w:pPr>
              <w:pStyle w:val="63"/>
            </w:pPr>
            <w:r>
              <w:rPr>
                <w:rFonts w:hint="eastAsia"/>
              </w:rPr>
              <w:t>排污许可</w:t>
            </w:r>
          </w:p>
        </w:tc>
        <w:tc>
          <w:tcPr>
            <w:tcW w:w="1200"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Merge w:val="restart"/>
            <w:vAlign w:val="center"/>
          </w:tcPr>
          <w:p>
            <w:pPr>
              <w:pStyle w:val="63"/>
            </w:pPr>
            <w:r>
              <w:rPr>
                <w:rFonts w:hint="eastAsia"/>
              </w:rPr>
              <w:t>三湾产业园（规划范围内）</w:t>
            </w:r>
          </w:p>
        </w:tc>
        <w:tc>
          <w:tcPr>
            <w:tcW w:w="850" w:type="dxa"/>
            <w:vMerge w:val="restart"/>
            <w:vAlign w:val="center"/>
          </w:tcPr>
          <w:p>
            <w:pPr>
              <w:pStyle w:val="63"/>
            </w:pPr>
            <w:r>
              <w:rPr>
                <w:rFonts w:hint="eastAsia"/>
              </w:rPr>
              <w:t>49</w:t>
            </w:r>
          </w:p>
        </w:tc>
        <w:tc>
          <w:tcPr>
            <w:tcW w:w="1054" w:type="dxa"/>
            <w:vAlign w:val="center"/>
          </w:tcPr>
          <w:p>
            <w:pPr>
              <w:pStyle w:val="63"/>
            </w:pPr>
            <w:r>
              <w:t>运行</w:t>
            </w:r>
          </w:p>
        </w:tc>
        <w:tc>
          <w:tcPr>
            <w:tcW w:w="1200" w:type="dxa"/>
            <w:vAlign w:val="center"/>
          </w:tcPr>
          <w:p>
            <w:pPr>
              <w:pStyle w:val="63"/>
            </w:pPr>
            <w:r>
              <w:rPr>
                <w:rFonts w:hint="eastAsia"/>
              </w:rPr>
              <w:t>47</w:t>
            </w:r>
          </w:p>
        </w:tc>
        <w:tc>
          <w:tcPr>
            <w:tcW w:w="1199" w:type="dxa"/>
            <w:vAlign w:val="center"/>
          </w:tcPr>
          <w:p>
            <w:pPr>
              <w:pStyle w:val="63"/>
            </w:pPr>
            <w:r>
              <w:rPr>
                <w:rFonts w:hint="eastAsia"/>
              </w:rPr>
              <w:t>47</w:t>
            </w:r>
          </w:p>
        </w:tc>
        <w:tc>
          <w:tcPr>
            <w:tcW w:w="1200" w:type="dxa"/>
            <w:vAlign w:val="center"/>
          </w:tcPr>
          <w:p>
            <w:pPr>
              <w:pStyle w:val="63"/>
            </w:pPr>
            <w:r>
              <w:rPr>
                <w:rFonts w:hint="eastAsia"/>
              </w:rPr>
              <w:t>47</w:t>
            </w:r>
          </w:p>
        </w:tc>
        <w:tc>
          <w:tcPr>
            <w:tcW w:w="1199" w:type="dxa"/>
            <w:vAlign w:val="center"/>
          </w:tcPr>
          <w:p>
            <w:pPr>
              <w:pStyle w:val="63"/>
            </w:pPr>
            <w:r>
              <w:rPr>
                <w:rFonts w:hint="eastAsia"/>
              </w:rPr>
              <w:t>47</w:t>
            </w:r>
          </w:p>
        </w:tc>
        <w:tc>
          <w:tcPr>
            <w:tcW w:w="1200"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Merge w:val="continue"/>
            <w:vAlign w:val="center"/>
          </w:tcPr>
          <w:p>
            <w:pPr>
              <w:pStyle w:val="63"/>
            </w:pPr>
          </w:p>
        </w:tc>
        <w:tc>
          <w:tcPr>
            <w:tcW w:w="850" w:type="dxa"/>
            <w:vMerge w:val="continue"/>
            <w:vAlign w:val="center"/>
          </w:tcPr>
          <w:p>
            <w:pPr>
              <w:pStyle w:val="63"/>
            </w:pPr>
          </w:p>
        </w:tc>
        <w:tc>
          <w:tcPr>
            <w:tcW w:w="1054" w:type="dxa"/>
            <w:vAlign w:val="center"/>
          </w:tcPr>
          <w:p>
            <w:pPr>
              <w:pStyle w:val="63"/>
            </w:pPr>
            <w:r>
              <w:rPr>
                <w:rFonts w:hint="eastAsia"/>
              </w:rPr>
              <w:t>停产</w:t>
            </w:r>
          </w:p>
        </w:tc>
        <w:tc>
          <w:tcPr>
            <w:tcW w:w="1200" w:type="dxa"/>
            <w:vAlign w:val="center"/>
          </w:tcPr>
          <w:p>
            <w:pPr>
              <w:pStyle w:val="63"/>
            </w:pPr>
            <w:r>
              <w:rPr>
                <w:rFonts w:hint="eastAsia"/>
              </w:rPr>
              <w:t>1</w:t>
            </w:r>
          </w:p>
        </w:tc>
        <w:tc>
          <w:tcPr>
            <w:tcW w:w="1199" w:type="dxa"/>
            <w:vAlign w:val="center"/>
          </w:tcPr>
          <w:p>
            <w:pPr>
              <w:pStyle w:val="63"/>
            </w:pPr>
            <w:r>
              <w:rPr>
                <w:rFonts w:hint="eastAsia"/>
              </w:rPr>
              <w:t>1</w:t>
            </w:r>
          </w:p>
        </w:tc>
        <w:tc>
          <w:tcPr>
            <w:tcW w:w="1200" w:type="dxa"/>
            <w:vAlign w:val="center"/>
          </w:tcPr>
          <w:p>
            <w:pPr>
              <w:pStyle w:val="63"/>
            </w:pPr>
            <w:r>
              <w:rPr>
                <w:rFonts w:hint="eastAsia"/>
              </w:rPr>
              <w:t>1</w:t>
            </w:r>
          </w:p>
        </w:tc>
        <w:tc>
          <w:tcPr>
            <w:tcW w:w="1199" w:type="dxa"/>
            <w:vAlign w:val="center"/>
          </w:tcPr>
          <w:p>
            <w:pPr>
              <w:pStyle w:val="63"/>
            </w:pPr>
          </w:p>
        </w:tc>
        <w:tc>
          <w:tcPr>
            <w:tcW w:w="1200"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Merge w:val="continue"/>
            <w:vAlign w:val="center"/>
          </w:tcPr>
          <w:p>
            <w:pPr>
              <w:pStyle w:val="63"/>
            </w:pPr>
          </w:p>
        </w:tc>
        <w:tc>
          <w:tcPr>
            <w:tcW w:w="850" w:type="dxa"/>
            <w:vMerge w:val="continue"/>
            <w:vAlign w:val="center"/>
          </w:tcPr>
          <w:p>
            <w:pPr>
              <w:pStyle w:val="63"/>
            </w:pPr>
          </w:p>
        </w:tc>
        <w:tc>
          <w:tcPr>
            <w:tcW w:w="1054" w:type="dxa"/>
            <w:vAlign w:val="center"/>
          </w:tcPr>
          <w:p>
            <w:pPr>
              <w:pStyle w:val="63"/>
            </w:pPr>
            <w:r>
              <w:rPr>
                <w:rFonts w:hint="eastAsia"/>
              </w:rPr>
              <w:t>在建</w:t>
            </w:r>
          </w:p>
        </w:tc>
        <w:tc>
          <w:tcPr>
            <w:tcW w:w="1200" w:type="dxa"/>
            <w:vAlign w:val="center"/>
          </w:tcPr>
          <w:p>
            <w:pPr>
              <w:pStyle w:val="63"/>
            </w:pPr>
            <w:r>
              <w:rPr>
                <w:rFonts w:hint="eastAsia"/>
              </w:rPr>
              <w:t>5</w:t>
            </w:r>
          </w:p>
        </w:tc>
        <w:tc>
          <w:tcPr>
            <w:tcW w:w="1199" w:type="dxa"/>
            <w:vAlign w:val="center"/>
          </w:tcPr>
          <w:p>
            <w:pPr>
              <w:pStyle w:val="63"/>
            </w:pPr>
            <w:r>
              <w:rPr>
                <w:rFonts w:hint="eastAsia"/>
              </w:rPr>
              <w:t>5</w:t>
            </w:r>
          </w:p>
        </w:tc>
        <w:tc>
          <w:tcPr>
            <w:tcW w:w="1200" w:type="dxa"/>
            <w:vAlign w:val="center"/>
          </w:tcPr>
          <w:p>
            <w:pPr>
              <w:pStyle w:val="63"/>
            </w:pPr>
            <w:r>
              <w:rPr>
                <w:rFonts w:hint="eastAsia"/>
              </w:rPr>
              <w:t>0</w:t>
            </w:r>
          </w:p>
        </w:tc>
        <w:tc>
          <w:tcPr>
            <w:tcW w:w="1199" w:type="dxa"/>
            <w:vAlign w:val="center"/>
          </w:tcPr>
          <w:p>
            <w:pPr>
              <w:pStyle w:val="63"/>
            </w:pPr>
          </w:p>
        </w:tc>
        <w:tc>
          <w:tcPr>
            <w:tcW w:w="1200"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Align w:val="center"/>
          </w:tcPr>
          <w:p>
            <w:pPr>
              <w:pStyle w:val="63"/>
            </w:pPr>
            <w:r>
              <w:rPr>
                <w:rFonts w:hint="eastAsia"/>
              </w:rPr>
              <w:t>三湾产业园（规划范围外）</w:t>
            </w:r>
          </w:p>
        </w:tc>
        <w:tc>
          <w:tcPr>
            <w:tcW w:w="850" w:type="dxa"/>
            <w:vAlign w:val="center"/>
          </w:tcPr>
          <w:p>
            <w:pPr>
              <w:pStyle w:val="63"/>
            </w:pPr>
          </w:p>
        </w:tc>
        <w:tc>
          <w:tcPr>
            <w:tcW w:w="1054" w:type="dxa"/>
            <w:vAlign w:val="center"/>
          </w:tcPr>
          <w:p>
            <w:pPr>
              <w:pStyle w:val="63"/>
            </w:pPr>
          </w:p>
        </w:tc>
        <w:tc>
          <w:tcPr>
            <w:tcW w:w="1200" w:type="dxa"/>
            <w:vAlign w:val="center"/>
          </w:tcPr>
          <w:p>
            <w:pPr>
              <w:pStyle w:val="63"/>
            </w:pPr>
          </w:p>
        </w:tc>
        <w:tc>
          <w:tcPr>
            <w:tcW w:w="1199" w:type="dxa"/>
            <w:vAlign w:val="center"/>
          </w:tcPr>
          <w:p>
            <w:pPr>
              <w:pStyle w:val="63"/>
            </w:pPr>
          </w:p>
        </w:tc>
        <w:tc>
          <w:tcPr>
            <w:tcW w:w="1200" w:type="dxa"/>
            <w:vAlign w:val="center"/>
          </w:tcPr>
          <w:p>
            <w:pPr>
              <w:pStyle w:val="63"/>
            </w:pPr>
          </w:p>
        </w:tc>
        <w:tc>
          <w:tcPr>
            <w:tcW w:w="1199" w:type="dxa"/>
            <w:vAlign w:val="center"/>
          </w:tcPr>
          <w:p>
            <w:pPr>
              <w:pStyle w:val="63"/>
            </w:pPr>
          </w:p>
        </w:tc>
        <w:tc>
          <w:tcPr>
            <w:tcW w:w="1200"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Align w:val="center"/>
          </w:tcPr>
          <w:p>
            <w:pPr>
              <w:pStyle w:val="63"/>
            </w:pPr>
          </w:p>
        </w:tc>
        <w:tc>
          <w:tcPr>
            <w:tcW w:w="850" w:type="dxa"/>
            <w:vAlign w:val="center"/>
          </w:tcPr>
          <w:p>
            <w:pPr>
              <w:pStyle w:val="63"/>
            </w:pPr>
          </w:p>
        </w:tc>
        <w:tc>
          <w:tcPr>
            <w:tcW w:w="1054" w:type="dxa"/>
            <w:vAlign w:val="center"/>
          </w:tcPr>
          <w:p>
            <w:pPr>
              <w:pStyle w:val="63"/>
            </w:pPr>
          </w:p>
        </w:tc>
        <w:tc>
          <w:tcPr>
            <w:tcW w:w="1200" w:type="dxa"/>
            <w:vAlign w:val="center"/>
          </w:tcPr>
          <w:p>
            <w:pPr>
              <w:pStyle w:val="63"/>
            </w:pPr>
          </w:p>
        </w:tc>
        <w:tc>
          <w:tcPr>
            <w:tcW w:w="1199" w:type="dxa"/>
            <w:vAlign w:val="center"/>
          </w:tcPr>
          <w:p>
            <w:pPr>
              <w:pStyle w:val="63"/>
            </w:pPr>
          </w:p>
        </w:tc>
        <w:tc>
          <w:tcPr>
            <w:tcW w:w="1200" w:type="dxa"/>
            <w:vAlign w:val="center"/>
          </w:tcPr>
          <w:p>
            <w:pPr>
              <w:pStyle w:val="63"/>
            </w:pPr>
          </w:p>
        </w:tc>
        <w:tc>
          <w:tcPr>
            <w:tcW w:w="1199" w:type="dxa"/>
            <w:vAlign w:val="center"/>
          </w:tcPr>
          <w:p>
            <w:pPr>
              <w:pStyle w:val="63"/>
            </w:pPr>
          </w:p>
        </w:tc>
        <w:tc>
          <w:tcPr>
            <w:tcW w:w="1200"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1" w:type="dxa"/>
            <w:vAlign w:val="center"/>
          </w:tcPr>
          <w:p>
            <w:pPr>
              <w:pStyle w:val="63"/>
            </w:pPr>
          </w:p>
        </w:tc>
        <w:tc>
          <w:tcPr>
            <w:tcW w:w="850" w:type="dxa"/>
            <w:vAlign w:val="center"/>
          </w:tcPr>
          <w:p>
            <w:pPr>
              <w:pStyle w:val="63"/>
            </w:pPr>
          </w:p>
        </w:tc>
        <w:tc>
          <w:tcPr>
            <w:tcW w:w="1054" w:type="dxa"/>
            <w:vAlign w:val="center"/>
          </w:tcPr>
          <w:p>
            <w:pPr>
              <w:pStyle w:val="63"/>
            </w:pPr>
          </w:p>
        </w:tc>
        <w:tc>
          <w:tcPr>
            <w:tcW w:w="1200" w:type="dxa"/>
            <w:vAlign w:val="center"/>
          </w:tcPr>
          <w:p>
            <w:pPr>
              <w:pStyle w:val="63"/>
            </w:pPr>
          </w:p>
        </w:tc>
        <w:tc>
          <w:tcPr>
            <w:tcW w:w="1199" w:type="dxa"/>
            <w:vAlign w:val="center"/>
          </w:tcPr>
          <w:p>
            <w:pPr>
              <w:pStyle w:val="63"/>
            </w:pPr>
          </w:p>
        </w:tc>
        <w:tc>
          <w:tcPr>
            <w:tcW w:w="1200" w:type="dxa"/>
            <w:vAlign w:val="center"/>
          </w:tcPr>
          <w:p>
            <w:pPr>
              <w:pStyle w:val="63"/>
            </w:pPr>
          </w:p>
        </w:tc>
        <w:tc>
          <w:tcPr>
            <w:tcW w:w="1199" w:type="dxa"/>
            <w:vAlign w:val="center"/>
          </w:tcPr>
          <w:p>
            <w:pPr>
              <w:pStyle w:val="63"/>
            </w:pPr>
          </w:p>
        </w:tc>
        <w:tc>
          <w:tcPr>
            <w:tcW w:w="1200" w:type="dxa"/>
            <w:vAlign w:val="center"/>
          </w:tcPr>
          <w:p>
            <w:pPr>
              <w:pStyle w:val="63"/>
            </w:pPr>
          </w:p>
        </w:tc>
      </w:tr>
    </w:tbl>
    <w:p>
      <w:pPr>
        <w:pStyle w:val="6"/>
      </w:pPr>
      <w:r>
        <w:rPr>
          <w:rFonts w:hint="eastAsia"/>
        </w:rPr>
        <w:t>规划范围外企业名单XX</w:t>
      </w:r>
    </w:p>
    <w:p/>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6"/>
        <w:gridCol w:w="835"/>
        <w:gridCol w:w="958"/>
        <w:gridCol w:w="679"/>
        <w:gridCol w:w="1982"/>
        <w:gridCol w:w="942"/>
        <w:gridCol w:w="2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shd w:val="clear" w:color="auto" w:fill="auto"/>
            <w:vAlign w:val="center"/>
          </w:tcPr>
          <w:p>
            <w:pPr>
              <w:pStyle w:val="63"/>
            </w:pPr>
            <w:r>
              <w:t>片区</w:t>
            </w:r>
          </w:p>
        </w:tc>
        <w:tc>
          <w:tcPr>
            <w:tcW w:w="1373" w:type="pct"/>
            <w:gridSpan w:val="3"/>
            <w:shd w:val="clear" w:color="auto" w:fill="auto"/>
            <w:vAlign w:val="center"/>
          </w:tcPr>
          <w:p>
            <w:pPr>
              <w:pStyle w:val="63"/>
            </w:pPr>
            <w:r>
              <w:t>企业数量（家）</w:t>
            </w:r>
          </w:p>
        </w:tc>
        <w:tc>
          <w:tcPr>
            <w:tcW w:w="1624" w:type="pct"/>
            <w:gridSpan w:val="2"/>
            <w:shd w:val="clear" w:color="auto" w:fill="auto"/>
            <w:vAlign w:val="center"/>
          </w:tcPr>
          <w:p>
            <w:pPr>
              <w:pStyle w:val="63"/>
            </w:pPr>
            <w:r>
              <w:t>企业环评与验收情况（家）</w:t>
            </w:r>
          </w:p>
        </w:tc>
        <w:tc>
          <w:tcPr>
            <w:tcW w:w="1500" w:type="pct"/>
            <w:shd w:val="clear" w:color="auto" w:fill="auto"/>
            <w:vAlign w:val="center"/>
          </w:tcPr>
          <w:p>
            <w:pPr>
              <w:pStyle w:val="63"/>
            </w:pPr>
            <w: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restart"/>
            <w:shd w:val="clear" w:color="auto" w:fill="auto"/>
            <w:vAlign w:val="center"/>
          </w:tcPr>
          <w:p>
            <w:pPr>
              <w:pStyle w:val="63"/>
            </w:pPr>
            <w:r>
              <w:rPr>
                <w:rFonts w:hint="eastAsia"/>
              </w:rPr>
              <w:t>三湾产业园</w:t>
            </w:r>
          </w:p>
        </w:tc>
        <w:tc>
          <w:tcPr>
            <w:tcW w:w="464" w:type="pct"/>
            <w:vMerge w:val="restart"/>
            <w:shd w:val="clear" w:color="auto" w:fill="auto"/>
            <w:vAlign w:val="center"/>
          </w:tcPr>
          <w:p>
            <w:pPr>
              <w:pStyle w:val="63"/>
            </w:pPr>
            <w:r>
              <w:t>49</w:t>
            </w:r>
          </w:p>
        </w:tc>
        <w:tc>
          <w:tcPr>
            <w:tcW w:w="532" w:type="pct"/>
            <w:vMerge w:val="restart"/>
            <w:shd w:val="clear" w:color="auto" w:fill="auto"/>
            <w:vAlign w:val="center"/>
          </w:tcPr>
          <w:p>
            <w:pPr>
              <w:pStyle w:val="63"/>
            </w:pPr>
            <w:r>
              <w:t>运行</w:t>
            </w:r>
          </w:p>
        </w:tc>
        <w:tc>
          <w:tcPr>
            <w:tcW w:w="377" w:type="pct"/>
            <w:vMerge w:val="restart"/>
            <w:shd w:val="clear" w:color="auto" w:fill="auto"/>
            <w:vAlign w:val="center"/>
          </w:tcPr>
          <w:p>
            <w:pPr>
              <w:pStyle w:val="63"/>
            </w:pPr>
            <w:r>
              <w:t>47</w:t>
            </w:r>
          </w:p>
        </w:tc>
        <w:tc>
          <w:tcPr>
            <w:tcW w:w="1101" w:type="pct"/>
            <w:shd w:val="clear" w:color="auto" w:fill="auto"/>
            <w:vAlign w:val="center"/>
          </w:tcPr>
          <w:p>
            <w:pPr>
              <w:pStyle w:val="63"/>
            </w:pPr>
            <w:r>
              <w:t>已环评、已验收</w:t>
            </w:r>
          </w:p>
        </w:tc>
        <w:tc>
          <w:tcPr>
            <w:tcW w:w="523" w:type="pct"/>
            <w:shd w:val="clear" w:color="auto" w:fill="auto"/>
            <w:vAlign w:val="center"/>
          </w:tcPr>
          <w:p>
            <w:pPr>
              <w:pStyle w:val="63"/>
            </w:pPr>
            <w:r>
              <w:t>38</w:t>
            </w:r>
          </w:p>
        </w:tc>
        <w:tc>
          <w:tcPr>
            <w:tcW w:w="1500" w:type="pct"/>
            <w:shd w:val="clear" w:color="auto" w:fill="auto"/>
            <w:vAlign w:val="center"/>
          </w:tcPr>
          <w:p>
            <w:pPr>
              <w:pStyle w:val="63"/>
            </w:pPr>
            <w:r>
              <w:t>12家企业为</w:t>
            </w:r>
            <w:r>
              <w:rPr>
                <w:rFonts w:hint="eastAsia"/>
              </w:rPr>
              <w:t>备案管理</w:t>
            </w:r>
            <w:r>
              <w:t>或</w:t>
            </w:r>
            <w:r>
              <w:rPr>
                <w:rFonts w:hint="eastAsia"/>
              </w:rPr>
              <w:t>正面豁免</w:t>
            </w:r>
            <w:r>
              <w:t>企业，无需进行环保竣工验收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vMerge w:val="continue"/>
            <w:shd w:val="clear" w:color="auto" w:fill="auto"/>
            <w:vAlign w:val="center"/>
          </w:tcPr>
          <w:p>
            <w:pPr>
              <w:pStyle w:val="63"/>
            </w:pPr>
          </w:p>
        </w:tc>
        <w:tc>
          <w:tcPr>
            <w:tcW w:w="377" w:type="pct"/>
            <w:vMerge w:val="continue"/>
            <w:shd w:val="clear" w:color="auto" w:fill="auto"/>
            <w:vAlign w:val="center"/>
          </w:tcPr>
          <w:p>
            <w:pPr>
              <w:pStyle w:val="63"/>
            </w:pPr>
          </w:p>
        </w:tc>
        <w:tc>
          <w:tcPr>
            <w:tcW w:w="1101" w:type="pct"/>
            <w:shd w:val="clear" w:color="auto" w:fill="auto"/>
            <w:vAlign w:val="center"/>
          </w:tcPr>
          <w:p>
            <w:pPr>
              <w:pStyle w:val="63"/>
            </w:pPr>
            <w:r>
              <w:t>已环评、未验收</w:t>
            </w:r>
          </w:p>
        </w:tc>
        <w:tc>
          <w:tcPr>
            <w:tcW w:w="523" w:type="pct"/>
            <w:shd w:val="clear" w:color="auto" w:fill="auto"/>
            <w:vAlign w:val="center"/>
          </w:tcPr>
          <w:p>
            <w:pPr>
              <w:pStyle w:val="63"/>
            </w:pPr>
            <w:r>
              <w:rPr>
                <w:rFonts w:hint="eastAsia"/>
              </w:rPr>
              <w:t>7</w:t>
            </w:r>
          </w:p>
        </w:tc>
        <w:tc>
          <w:tcPr>
            <w:tcW w:w="1500" w:type="pct"/>
            <w:shd w:val="clear" w:color="auto" w:fill="auto"/>
            <w:vAlign w:val="center"/>
          </w:tcPr>
          <w:p>
            <w:pPr>
              <w:pStyle w:val="63"/>
            </w:pPr>
            <w:r>
              <w:rPr>
                <w:rFonts w:hint="eastAsia"/>
              </w:rPr>
              <w:t>临湘市南岛科技有限公司试运营中，手续正在办理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vMerge w:val="continue"/>
            <w:shd w:val="clear" w:color="auto" w:fill="auto"/>
            <w:vAlign w:val="center"/>
          </w:tcPr>
          <w:p>
            <w:pPr>
              <w:pStyle w:val="63"/>
            </w:pPr>
          </w:p>
        </w:tc>
        <w:tc>
          <w:tcPr>
            <w:tcW w:w="377" w:type="pct"/>
            <w:vMerge w:val="continue"/>
            <w:shd w:val="clear" w:color="auto" w:fill="auto"/>
            <w:vAlign w:val="center"/>
          </w:tcPr>
          <w:p>
            <w:pPr>
              <w:pStyle w:val="63"/>
            </w:pPr>
          </w:p>
        </w:tc>
        <w:tc>
          <w:tcPr>
            <w:tcW w:w="1101" w:type="pct"/>
            <w:shd w:val="clear" w:color="auto" w:fill="auto"/>
            <w:vAlign w:val="center"/>
          </w:tcPr>
          <w:p>
            <w:pPr>
              <w:pStyle w:val="63"/>
            </w:pPr>
            <w:r>
              <w:rPr>
                <w:rFonts w:hint="eastAsia"/>
              </w:rPr>
              <w:t>未办理</w:t>
            </w:r>
            <w:r>
              <w:t>环评</w:t>
            </w:r>
          </w:p>
        </w:tc>
        <w:tc>
          <w:tcPr>
            <w:tcW w:w="523" w:type="pct"/>
            <w:shd w:val="clear" w:color="auto" w:fill="auto"/>
            <w:vAlign w:val="center"/>
          </w:tcPr>
          <w:p>
            <w:pPr>
              <w:pStyle w:val="63"/>
            </w:pPr>
            <w:r>
              <w:t>2</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停产</w:t>
            </w:r>
          </w:p>
        </w:tc>
        <w:tc>
          <w:tcPr>
            <w:tcW w:w="377" w:type="pct"/>
            <w:shd w:val="clear" w:color="auto" w:fill="auto"/>
            <w:vAlign w:val="center"/>
          </w:tcPr>
          <w:p>
            <w:pPr>
              <w:pStyle w:val="63"/>
            </w:pPr>
            <w:r>
              <w:t>2</w:t>
            </w:r>
          </w:p>
        </w:tc>
        <w:tc>
          <w:tcPr>
            <w:tcW w:w="1101" w:type="pct"/>
            <w:shd w:val="clear" w:color="auto" w:fill="auto"/>
            <w:vAlign w:val="center"/>
          </w:tcPr>
          <w:p>
            <w:pPr>
              <w:pStyle w:val="63"/>
            </w:pPr>
            <w:r>
              <w:t>/</w:t>
            </w:r>
          </w:p>
        </w:tc>
        <w:tc>
          <w:tcPr>
            <w:tcW w:w="523" w:type="pct"/>
            <w:shd w:val="clear" w:color="auto" w:fill="auto"/>
            <w:vAlign w:val="center"/>
          </w:tcPr>
          <w:p>
            <w:pPr>
              <w:pStyle w:val="63"/>
            </w:pPr>
            <w: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在建</w:t>
            </w:r>
          </w:p>
        </w:tc>
        <w:tc>
          <w:tcPr>
            <w:tcW w:w="377" w:type="pct"/>
            <w:shd w:val="clear" w:color="auto" w:fill="auto"/>
            <w:vAlign w:val="center"/>
          </w:tcPr>
          <w:p>
            <w:pPr>
              <w:pStyle w:val="63"/>
            </w:pPr>
            <w:r>
              <w:rPr>
                <w:rFonts w:hint="eastAsia"/>
              </w:rPr>
              <w:t>/</w:t>
            </w:r>
          </w:p>
        </w:tc>
        <w:tc>
          <w:tcPr>
            <w:tcW w:w="1101" w:type="pct"/>
            <w:shd w:val="clear" w:color="auto" w:fill="auto"/>
            <w:vAlign w:val="center"/>
          </w:tcPr>
          <w:p>
            <w:pPr>
              <w:pStyle w:val="63"/>
            </w:pPr>
            <w:r>
              <w:t>已环评</w:t>
            </w:r>
          </w:p>
        </w:tc>
        <w:tc>
          <w:tcPr>
            <w:tcW w:w="523" w:type="pct"/>
            <w:shd w:val="clear" w:color="auto" w:fill="auto"/>
            <w:vAlign w:val="center"/>
          </w:tcPr>
          <w:p>
            <w:pPr>
              <w:pStyle w:val="63"/>
            </w:pPr>
            <w:r>
              <w:t>/</w:t>
            </w:r>
          </w:p>
        </w:tc>
        <w:tc>
          <w:tcPr>
            <w:tcW w:w="1500" w:type="pct"/>
            <w:shd w:val="clear" w:color="auto" w:fill="auto"/>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restart"/>
            <w:shd w:val="clear" w:color="auto" w:fill="auto"/>
            <w:vAlign w:val="center"/>
          </w:tcPr>
          <w:p>
            <w:pPr>
              <w:pStyle w:val="63"/>
            </w:pPr>
            <w:r>
              <w:rPr>
                <w:rFonts w:hint="eastAsia"/>
              </w:rPr>
              <w:t>滨江片区绿色化工产业园</w:t>
            </w:r>
          </w:p>
        </w:tc>
        <w:tc>
          <w:tcPr>
            <w:tcW w:w="464" w:type="pct"/>
            <w:vMerge w:val="restart"/>
            <w:shd w:val="clear" w:color="auto" w:fill="auto"/>
            <w:vAlign w:val="center"/>
          </w:tcPr>
          <w:p>
            <w:pPr>
              <w:pStyle w:val="63"/>
            </w:pPr>
            <w:r>
              <w:t>15</w:t>
            </w:r>
          </w:p>
        </w:tc>
        <w:tc>
          <w:tcPr>
            <w:tcW w:w="532" w:type="pct"/>
            <w:vMerge w:val="restart"/>
            <w:shd w:val="clear" w:color="auto" w:fill="auto"/>
            <w:vAlign w:val="center"/>
          </w:tcPr>
          <w:p>
            <w:pPr>
              <w:pStyle w:val="63"/>
            </w:pPr>
            <w:r>
              <w:t>运行</w:t>
            </w:r>
          </w:p>
        </w:tc>
        <w:tc>
          <w:tcPr>
            <w:tcW w:w="377" w:type="pct"/>
            <w:vMerge w:val="restart"/>
            <w:shd w:val="clear" w:color="auto" w:fill="auto"/>
            <w:vAlign w:val="center"/>
          </w:tcPr>
          <w:p>
            <w:pPr>
              <w:pStyle w:val="63"/>
            </w:pPr>
            <w:r>
              <w:rPr>
                <w:rFonts w:hint="eastAsia"/>
              </w:rPr>
              <w:t>1</w:t>
            </w:r>
          </w:p>
        </w:tc>
        <w:tc>
          <w:tcPr>
            <w:tcW w:w="1101" w:type="pct"/>
            <w:shd w:val="clear" w:color="auto" w:fill="auto"/>
            <w:vAlign w:val="center"/>
          </w:tcPr>
          <w:p>
            <w:pPr>
              <w:pStyle w:val="63"/>
            </w:pPr>
            <w:r>
              <w:t>已环评、已验收</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vMerge w:val="continue"/>
            <w:shd w:val="clear" w:color="auto" w:fill="auto"/>
            <w:vAlign w:val="center"/>
          </w:tcPr>
          <w:p>
            <w:pPr>
              <w:pStyle w:val="63"/>
            </w:pPr>
          </w:p>
        </w:tc>
        <w:tc>
          <w:tcPr>
            <w:tcW w:w="377" w:type="pct"/>
            <w:vMerge w:val="continue"/>
            <w:shd w:val="clear" w:color="auto" w:fill="auto"/>
            <w:vAlign w:val="center"/>
          </w:tcPr>
          <w:p>
            <w:pPr>
              <w:pStyle w:val="63"/>
            </w:pPr>
          </w:p>
        </w:tc>
        <w:tc>
          <w:tcPr>
            <w:tcW w:w="1101" w:type="pct"/>
            <w:shd w:val="clear" w:color="auto" w:fill="auto"/>
            <w:vAlign w:val="center"/>
          </w:tcPr>
          <w:p>
            <w:pPr>
              <w:pStyle w:val="63"/>
            </w:pPr>
            <w:r>
              <w:t>已环评、未验收</w:t>
            </w:r>
          </w:p>
        </w:tc>
        <w:tc>
          <w:tcPr>
            <w:tcW w:w="523" w:type="pct"/>
            <w:shd w:val="clear" w:color="auto" w:fill="auto"/>
            <w:vAlign w:val="center"/>
          </w:tcPr>
          <w:p>
            <w:pPr>
              <w:pStyle w:val="63"/>
            </w:pPr>
            <w:r>
              <w:t>1</w:t>
            </w:r>
          </w:p>
        </w:tc>
        <w:tc>
          <w:tcPr>
            <w:tcW w:w="1500" w:type="pct"/>
            <w:shd w:val="clear" w:color="auto" w:fill="auto"/>
            <w:vAlign w:val="center"/>
          </w:tcPr>
          <w:p>
            <w:pPr>
              <w:pStyle w:val="63"/>
            </w:pPr>
            <w:r>
              <w:rPr>
                <w:rFonts w:hint="eastAsia"/>
              </w:rPr>
              <w:t>湖南滨晟新材料有限公司试运行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停产</w:t>
            </w:r>
          </w:p>
        </w:tc>
        <w:tc>
          <w:tcPr>
            <w:tcW w:w="377" w:type="pct"/>
            <w:shd w:val="clear" w:color="auto" w:fill="auto"/>
            <w:vAlign w:val="center"/>
          </w:tcPr>
          <w:p>
            <w:pPr>
              <w:pStyle w:val="63"/>
            </w:pPr>
            <w:r>
              <w:t>/</w:t>
            </w:r>
          </w:p>
        </w:tc>
        <w:tc>
          <w:tcPr>
            <w:tcW w:w="1101" w:type="pct"/>
            <w:shd w:val="clear" w:color="auto" w:fill="auto"/>
            <w:vAlign w:val="center"/>
          </w:tcPr>
          <w:p>
            <w:pPr>
              <w:pStyle w:val="63"/>
            </w:pPr>
            <w:r>
              <w:t>/</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在建</w:t>
            </w:r>
          </w:p>
        </w:tc>
        <w:tc>
          <w:tcPr>
            <w:tcW w:w="377" w:type="pct"/>
            <w:shd w:val="clear" w:color="auto" w:fill="auto"/>
            <w:vAlign w:val="center"/>
          </w:tcPr>
          <w:p>
            <w:pPr>
              <w:pStyle w:val="63"/>
            </w:pPr>
            <w:r>
              <w:t>14</w:t>
            </w:r>
          </w:p>
        </w:tc>
        <w:tc>
          <w:tcPr>
            <w:tcW w:w="1101" w:type="pct"/>
            <w:shd w:val="clear" w:color="auto" w:fill="auto"/>
            <w:vAlign w:val="center"/>
          </w:tcPr>
          <w:p>
            <w:pPr>
              <w:pStyle w:val="63"/>
            </w:pPr>
            <w:r>
              <w:t>已环评</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湖南驰兴环保科技有限公司环评已通过专家评审会，暂未批复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restart"/>
            <w:shd w:val="clear" w:color="auto" w:fill="auto"/>
            <w:vAlign w:val="center"/>
          </w:tcPr>
          <w:p>
            <w:pPr>
              <w:pStyle w:val="63"/>
            </w:pPr>
            <w:r>
              <w:rPr>
                <w:rFonts w:hint="eastAsia"/>
              </w:rPr>
              <w:t>滨江片区中非工贸产业园</w:t>
            </w:r>
          </w:p>
        </w:tc>
        <w:tc>
          <w:tcPr>
            <w:tcW w:w="464" w:type="pct"/>
            <w:vMerge w:val="restart"/>
            <w:shd w:val="clear" w:color="auto" w:fill="auto"/>
            <w:vAlign w:val="center"/>
          </w:tcPr>
          <w:p>
            <w:pPr>
              <w:pStyle w:val="63"/>
            </w:pPr>
            <w:r>
              <w:rPr>
                <w:rFonts w:hint="eastAsia"/>
              </w:rPr>
              <w:t>4</w:t>
            </w:r>
          </w:p>
        </w:tc>
        <w:tc>
          <w:tcPr>
            <w:tcW w:w="532" w:type="pct"/>
            <w:vMerge w:val="restart"/>
            <w:shd w:val="clear" w:color="auto" w:fill="auto"/>
            <w:vAlign w:val="center"/>
          </w:tcPr>
          <w:p>
            <w:pPr>
              <w:pStyle w:val="63"/>
            </w:pPr>
            <w:r>
              <w:t>运行</w:t>
            </w:r>
          </w:p>
        </w:tc>
        <w:tc>
          <w:tcPr>
            <w:tcW w:w="377" w:type="pct"/>
            <w:vMerge w:val="restart"/>
            <w:shd w:val="clear" w:color="auto" w:fill="auto"/>
            <w:vAlign w:val="center"/>
          </w:tcPr>
          <w:p>
            <w:pPr>
              <w:pStyle w:val="63"/>
            </w:pPr>
            <w:r>
              <w:t>4</w:t>
            </w:r>
          </w:p>
        </w:tc>
        <w:tc>
          <w:tcPr>
            <w:tcW w:w="1101" w:type="pct"/>
            <w:shd w:val="clear" w:color="auto" w:fill="auto"/>
            <w:vAlign w:val="center"/>
          </w:tcPr>
          <w:p>
            <w:pPr>
              <w:pStyle w:val="63"/>
            </w:pPr>
            <w:r>
              <w:t>已环评、已验收</w:t>
            </w:r>
          </w:p>
        </w:tc>
        <w:tc>
          <w:tcPr>
            <w:tcW w:w="523" w:type="pct"/>
            <w:shd w:val="clear" w:color="auto" w:fill="auto"/>
            <w:vAlign w:val="center"/>
          </w:tcPr>
          <w:p>
            <w:pPr>
              <w:pStyle w:val="63"/>
            </w:pPr>
            <w:r>
              <w:t>4</w:t>
            </w:r>
          </w:p>
        </w:tc>
        <w:tc>
          <w:tcPr>
            <w:tcW w:w="1500" w:type="pct"/>
            <w:shd w:val="clear" w:color="auto" w:fill="auto"/>
            <w:vAlign w:val="center"/>
          </w:tcPr>
          <w:p>
            <w:pPr>
              <w:pStyle w:val="63"/>
            </w:pPr>
            <w:r>
              <w:rPr>
                <w:rFonts w:hint="eastAsia"/>
              </w:rPr>
              <w:t>中非经贸产业园</w:t>
            </w:r>
            <w:r>
              <w:t>为</w:t>
            </w:r>
            <w:r>
              <w:rPr>
                <w:rFonts w:hint="eastAsia"/>
              </w:rPr>
              <w:t>正面豁免</w:t>
            </w:r>
            <w:r>
              <w:t>企业，无需进行环保竣工验收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vMerge w:val="continue"/>
            <w:shd w:val="clear" w:color="auto" w:fill="auto"/>
            <w:vAlign w:val="center"/>
          </w:tcPr>
          <w:p>
            <w:pPr>
              <w:pStyle w:val="63"/>
            </w:pPr>
          </w:p>
        </w:tc>
        <w:tc>
          <w:tcPr>
            <w:tcW w:w="377" w:type="pct"/>
            <w:vMerge w:val="continue"/>
            <w:shd w:val="clear" w:color="auto" w:fill="auto"/>
            <w:vAlign w:val="center"/>
          </w:tcPr>
          <w:p>
            <w:pPr>
              <w:pStyle w:val="63"/>
            </w:pPr>
          </w:p>
        </w:tc>
        <w:tc>
          <w:tcPr>
            <w:tcW w:w="1101" w:type="pct"/>
            <w:shd w:val="clear" w:color="auto" w:fill="auto"/>
            <w:vAlign w:val="center"/>
          </w:tcPr>
          <w:p>
            <w:pPr>
              <w:pStyle w:val="63"/>
            </w:pPr>
            <w:r>
              <w:t>已环评、未验收</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停产</w:t>
            </w:r>
          </w:p>
        </w:tc>
        <w:tc>
          <w:tcPr>
            <w:tcW w:w="377" w:type="pct"/>
            <w:shd w:val="clear" w:color="auto" w:fill="auto"/>
            <w:vAlign w:val="center"/>
          </w:tcPr>
          <w:p>
            <w:pPr>
              <w:pStyle w:val="63"/>
            </w:pPr>
            <w:r>
              <w:t>1</w:t>
            </w:r>
          </w:p>
        </w:tc>
        <w:tc>
          <w:tcPr>
            <w:tcW w:w="1101" w:type="pct"/>
            <w:shd w:val="clear" w:color="auto" w:fill="auto"/>
            <w:vAlign w:val="center"/>
          </w:tcPr>
          <w:p>
            <w:pPr>
              <w:pStyle w:val="63"/>
            </w:pPr>
            <w:r>
              <w:t>/</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在建</w:t>
            </w:r>
          </w:p>
        </w:tc>
        <w:tc>
          <w:tcPr>
            <w:tcW w:w="377" w:type="pct"/>
            <w:shd w:val="clear" w:color="auto" w:fill="auto"/>
            <w:vAlign w:val="center"/>
          </w:tcPr>
          <w:p>
            <w:pPr>
              <w:pStyle w:val="63"/>
            </w:pPr>
            <w:r>
              <w:t>/</w:t>
            </w:r>
          </w:p>
        </w:tc>
        <w:tc>
          <w:tcPr>
            <w:tcW w:w="1101" w:type="pct"/>
            <w:shd w:val="clear" w:color="auto" w:fill="auto"/>
            <w:vAlign w:val="center"/>
          </w:tcPr>
          <w:p>
            <w:pPr>
              <w:pStyle w:val="63"/>
            </w:pPr>
            <w:r>
              <w:t>已环评</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shd w:val="clear" w:color="auto" w:fill="auto"/>
            <w:vAlign w:val="center"/>
          </w:tcPr>
          <w:p>
            <w:pPr>
              <w:pStyle w:val="63"/>
            </w:pPr>
            <w:r>
              <w:t>1</w:t>
            </w:r>
          </w:p>
        </w:tc>
        <w:tc>
          <w:tcPr>
            <w:tcW w:w="532" w:type="pct"/>
            <w:shd w:val="clear" w:color="auto" w:fill="auto"/>
            <w:vAlign w:val="center"/>
          </w:tcPr>
          <w:p>
            <w:pPr>
              <w:pStyle w:val="63"/>
            </w:pPr>
            <w:r>
              <w:t>拟建</w:t>
            </w:r>
          </w:p>
        </w:tc>
        <w:tc>
          <w:tcPr>
            <w:tcW w:w="377" w:type="pct"/>
            <w:shd w:val="clear" w:color="auto" w:fill="auto"/>
            <w:vAlign w:val="center"/>
          </w:tcPr>
          <w:p>
            <w:pPr>
              <w:pStyle w:val="63"/>
            </w:pPr>
            <w:r>
              <w:t>1</w:t>
            </w:r>
          </w:p>
        </w:tc>
        <w:tc>
          <w:tcPr>
            <w:tcW w:w="1101" w:type="pct"/>
            <w:shd w:val="clear" w:color="auto" w:fill="auto"/>
            <w:vAlign w:val="center"/>
          </w:tcPr>
          <w:p>
            <w:pPr>
              <w:pStyle w:val="63"/>
            </w:pPr>
            <w:r>
              <w:t>/</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restart"/>
            <w:shd w:val="clear" w:color="auto" w:fill="auto"/>
            <w:vAlign w:val="center"/>
          </w:tcPr>
          <w:p>
            <w:pPr>
              <w:pStyle w:val="63"/>
            </w:pPr>
            <w:r>
              <w:rPr>
                <w:rFonts w:hint="eastAsia"/>
              </w:rPr>
              <w:t>滨江片区加工制造产业园</w:t>
            </w:r>
          </w:p>
        </w:tc>
        <w:tc>
          <w:tcPr>
            <w:tcW w:w="464" w:type="pct"/>
            <w:vMerge w:val="restart"/>
            <w:shd w:val="clear" w:color="auto" w:fill="auto"/>
            <w:vAlign w:val="center"/>
          </w:tcPr>
          <w:p>
            <w:pPr>
              <w:pStyle w:val="63"/>
            </w:pPr>
            <w:r>
              <w:t>6</w:t>
            </w:r>
          </w:p>
        </w:tc>
        <w:tc>
          <w:tcPr>
            <w:tcW w:w="532" w:type="pct"/>
            <w:vMerge w:val="restart"/>
            <w:shd w:val="clear" w:color="auto" w:fill="auto"/>
            <w:vAlign w:val="center"/>
          </w:tcPr>
          <w:p>
            <w:pPr>
              <w:pStyle w:val="63"/>
            </w:pPr>
            <w:r>
              <w:t>运行</w:t>
            </w:r>
          </w:p>
        </w:tc>
        <w:tc>
          <w:tcPr>
            <w:tcW w:w="377" w:type="pct"/>
            <w:vMerge w:val="restart"/>
            <w:shd w:val="clear" w:color="auto" w:fill="auto"/>
            <w:vAlign w:val="center"/>
          </w:tcPr>
          <w:p>
            <w:pPr>
              <w:pStyle w:val="63"/>
            </w:pPr>
            <w:r>
              <w:t>/</w:t>
            </w:r>
          </w:p>
        </w:tc>
        <w:tc>
          <w:tcPr>
            <w:tcW w:w="1101" w:type="pct"/>
            <w:shd w:val="clear" w:color="auto" w:fill="auto"/>
            <w:vAlign w:val="center"/>
          </w:tcPr>
          <w:p>
            <w:pPr>
              <w:pStyle w:val="63"/>
            </w:pPr>
            <w:r>
              <w:t>已环评、已验收</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vMerge w:val="continue"/>
            <w:shd w:val="clear" w:color="auto" w:fill="auto"/>
            <w:vAlign w:val="center"/>
          </w:tcPr>
          <w:p>
            <w:pPr>
              <w:pStyle w:val="63"/>
            </w:pPr>
          </w:p>
        </w:tc>
        <w:tc>
          <w:tcPr>
            <w:tcW w:w="377" w:type="pct"/>
            <w:vMerge w:val="continue"/>
            <w:shd w:val="clear" w:color="auto" w:fill="auto"/>
            <w:vAlign w:val="center"/>
          </w:tcPr>
          <w:p>
            <w:pPr>
              <w:pStyle w:val="63"/>
            </w:pPr>
          </w:p>
        </w:tc>
        <w:tc>
          <w:tcPr>
            <w:tcW w:w="1101" w:type="pct"/>
            <w:shd w:val="clear" w:color="auto" w:fill="auto"/>
            <w:vAlign w:val="center"/>
          </w:tcPr>
          <w:p>
            <w:pPr>
              <w:pStyle w:val="63"/>
            </w:pPr>
            <w:r>
              <w:t>已环评、未验收</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停产</w:t>
            </w:r>
          </w:p>
        </w:tc>
        <w:tc>
          <w:tcPr>
            <w:tcW w:w="377" w:type="pct"/>
            <w:shd w:val="clear" w:color="auto" w:fill="auto"/>
            <w:vAlign w:val="center"/>
          </w:tcPr>
          <w:p>
            <w:pPr>
              <w:pStyle w:val="63"/>
            </w:pPr>
            <w:r>
              <w:t>6</w:t>
            </w:r>
          </w:p>
        </w:tc>
        <w:tc>
          <w:tcPr>
            <w:tcW w:w="1101" w:type="pct"/>
            <w:shd w:val="clear" w:color="auto" w:fill="auto"/>
            <w:vAlign w:val="center"/>
          </w:tcPr>
          <w:p>
            <w:pPr>
              <w:pStyle w:val="63"/>
            </w:pPr>
            <w:r>
              <w:t>/</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在建</w:t>
            </w:r>
          </w:p>
        </w:tc>
        <w:tc>
          <w:tcPr>
            <w:tcW w:w="377" w:type="pct"/>
            <w:shd w:val="clear" w:color="auto" w:fill="auto"/>
            <w:vAlign w:val="center"/>
          </w:tcPr>
          <w:p>
            <w:pPr>
              <w:pStyle w:val="63"/>
            </w:pPr>
            <w:r>
              <w:t>/</w:t>
            </w:r>
          </w:p>
        </w:tc>
        <w:tc>
          <w:tcPr>
            <w:tcW w:w="1101" w:type="pct"/>
            <w:shd w:val="clear" w:color="auto" w:fill="auto"/>
            <w:vAlign w:val="center"/>
          </w:tcPr>
          <w:p>
            <w:pPr>
              <w:pStyle w:val="63"/>
            </w:pPr>
            <w:r>
              <w:t>已环评</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restart"/>
            <w:shd w:val="clear" w:color="auto" w:fill="auto"/>
            <w:vAlign w:val="center"/>
          </w:tcPr>
          <w:p>
            <w:pPr>
              <w:pStyle w:val="63"/>
            </w:pPr>
            <w:r>
              <w:rPr>
                <w:rFonts w:hint="eastAsia"/>
              </w:rPr>
              <w:t>绿色建材产业园</w:t>
            </w:r>
          </w:p>
        </w:tc>
        <w:tc>
          <w:tcPr>
            <w:tcW w:w="464" w:type="pct"/>
            <w:vMerge w:val="restart"/>
            <w:shd w:val="clear" w:color="auto" w:fill="auto"/>
            <w:vAlign w:val="center"/>
          </w:tcPr>
          <w:p>
            <w:pPr>
              <w:pStyle w:val="63"/>
            </w:pPr>
            <w:r>
              <w:t>1</w:t>
            </w:r>
          </w:p>
        </w:tc>
        <w:tc>
          <w:tcPr>
            <w:tcW w:w="532" w:type="pct"/>
            <w:vMerge w:val="restart"/>
            <w:shd w:val="clear" w:color="auto" w:fill="auto"/>
            <w:vAlign w:val="center"/>
          </w:tcPr>
          <w:p>
            <w:pPr>
              <w:pStyle w:val="63"/>
            </w:pPr>
            <w:r>
              <w:t>运行</w:t>
            </w:r>
          </w:p>
        </w:tc>
        <w:tc>
          <w:tcPr>
            <w:tcW w:w="377" w:type="pct"/>
            <w:shd w:val="clear" w:color="auto" w:fill="auto"/>
            <w:vAlign w:val="center"/>
          </w:tcPr>
          <w:p>
            <w:pPr>
              <w:pStyle w:val="63"/>
            </w:pPr>
            <w:r>
              <w:t>1</w:t>
            </w:r>
          </w:p>
        </w:tc>
        <w:tc>
          <w:tcPr>
            <w:tcW w:w="1101" w:type="pct"/>
            <w:shd w:val="clear" w:color="auto" w:fill="auto"/>
            <w:vAlign w:val="center"/>
          </w:tcPr>
          <w:p>
            <w:pPr>
              <w:pStyle w:val="63"/>
            </w:pPr>
            <w:r>
              <w:t>已环评、已验收</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vMerge w:val="continue"/>
            <w:shd w:val="clear" w:color="auto" w:fill="auto"/>
            <w:vAlign w:val="center"/>
          </w:tcPr>
          <w:p>
            <w:pPr>
              <w:pStyle w:val="63"/>
            </w:pPr>
          </w:p>
        </w:tc>
        <w:tc>
          <w:tcPr>
            <w:tcW w:w="377" w:type="pct"/>
            <w:shd w:val="clear" w:color="auto" w:fill="auto"/>
            <w:vAlign w:val="center"/>
          </w:tcPr>
          <w:p>
            <w:pPr>
              <w:pStyle w:val="63"/>
            </w:pPr>
            <w:r>
              <w:rPr>
                <w:rFonts w:hint="eastAsia"/>
              </w:rPr>
              <w:t>/</w:t>
            </w:r>
          </w:p>
        </w:tc>
        <w:tc>
          <w:tcPr>
            <w:tcW w:w="1101" w:type="pct"/>
            <w:shd w:val="clear" w:color="auto" w:fill="auto"/>
            <w:vAlign w:val="center"/>
          </w:tcPr>
          <w:p>
            <w:pPr>
              <w:pStyle w:val="63"/>
            </w:pPr>
            <w:r>
              <w:t>已环评、未验收</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停产</w:t>
            </w:r>
          </w:p>
        </w:tc>
        <w:tc>
          <w:tcPr>
            <w:tcW w:w="377" w:type="pct"/>
            <w:shd w:val="clear" w:color="auto" w:fill="auto"/>
            <w:vAlign w:val="center"/>
          </w:tcPr>
          <w:p>
            <w:pPr>
              <w:pStyle w:val="63"/>
            </w:pPr>
            <w:r>
              <w:t>/</w:t>
            </w:r>
          </w:p>
        </w:tc>
        <w:tc>
          <w:tcPr>
            <w:tcW w:w="1101" w:type="pct"/>
            <w:shd w:val="clear" w:color="auto" w:fill="auto"/>
            <w:vAlign w:val="center"/>
          </w:tcPr>
          <w:p>
            <w:pPr>
              <w:pStyle w:val="63"/>
            </w:pPr>
            <w:r>
              <w:t>/</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vMerge w:val="continue"/>
            <w:shd w:val="clear" w:color="auto" w:fill="auto"/>
            <w:vAlign w:val="center"/>
          </w:tcPr>
          <w:p>
            <w:pPr>
              <w:pStyle w:val="63"/>
            </w:pPr>
          </w:p>
        </w:tc>
        <w:tc>
          <w:tcPr>
            <w:tcW w:w="464" w:type="pct"/>
            <w:vMerge w:val="continue"/>
            <w:shd w:val="clear" w:color="auto" w:fill="auto"/>
            <w:vAlign w:val="center"/>
          </w:tcPr>
          <w:p>
            <w:pPr>
              <w:pStyle w:val="63"/>
            </w:pPr>
          </w:p>
        </w:tc>
        <w:tc>
          <w:tcPr>
            <w:tcW w:w="532" w:type="pct"/>
            <w:shd w:val="clear" w:color="auto" w:fill="auto"/>
            <w:vAlign w:val="center"/>
          </w:tcPr>
          <w:p>
            <w:pPr>
              <w:pStyle w:val="63"/>
            </w:pPr>
            <w:r>
              <w:t>在建</w:t>
            </w:r>
          </w:p>
        </w:tc>
        <w:tc>
          <w:tcPr>
            <w:tcW w:w="377" w:type="pct"/>
            <w:shd w:val="clear" w:color="auto" w:fill="auto"/>
            <w:vAlign w:val="center"/>
          </w:tcPr>
          <w:p>
            <w:pPr>
              <w:pStyle w:val="63"/>
            </w:pPr>
            <w:r>
              <w:t>/</w:t>
            </w:r>
          </w:p>
        </w:tc>
        <w:tc>
          <w:tcPr>
            <w:tcW w:w="1101" w:type="pct"/>
            <w:shd w:val="clear" w:color="auto" w:fill="auto"/>
            <w:vAlign w:val="center"/>
          </w:tcPr>
          <w:p>
            <w:pPr>
              <w:pStyle w:val="63"/>
            </w:pPr>
            <w:r>
              <w:t>已环评</w:t>
            </w:r>
          </w:p>
        </w:tc>
        <w:tc>
          <w:tcPr>
            <w:tcW w:w="523" w:type="pct"/>
            <w:shd w:val="clear" w:color="auto" w:fill="auto"/>
            <w:vAlign w:val="center"/>
          </w:tcPr>
          <w:p>
            <w:pPr>
              <w:pStyle w:val="63"/>
            </w:pPr>
            <w:r>
              <w:rPr>
                <w:rFonts w:hint="eastAsia"/>
              </w:rPr>
              <w:t>/</w:t>
            </w:r>
          </w:p>
        </w:tc>
        <w:tc>
          <w:tcPr>
            <w:tcW w:w="1500" w:type="pct"/>
            <w:shd w:val="clear" w:color="auto" w:fill="auto"/>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3" w:type="pct"/>
            <w:shd w:val="clear" w:color="auto" w:fill="auto"/>
            <w:vAlign w:val="center"/>
          </w:tcPr>
          <w:p>
            <w:pPr>
              <w:pStyle w:val="63"/>
            </w:pPr>
            <w:r>
              <w:t>总计</w:t>
            </w:r>
          </w:p>
        </w:tc>
        <w:tc>
          <w:tcPr>
            <w:tcW w:w="996" w:type="pct"/>
            <w:gridSpan w:val="2"/>
            <w:shd w:val="clear" w:color="auto" w:fill="auto"/>
            <w:vAlign w:val="center"/>
          </w:tcPr>
          <w:p>
            <w:pPr>
              <w:pStyle w:val="63"/>
            </w:pPr>
            <w:r>
              <w:t>78</w:t>
            </w:r>
          </w:p>
        </w:tc>
        <w:tc>
          <w:tcPr>
            <w:tcW w:w="1478" w:type="pct"/>
            <w:gridSpan w:val="2"/>
            <w:shd w:val="clear" w:color="auto" w:fill="auto"/>
            <w:vAlign w:val="center"/>
          </w:tcPr>
          <w:p>
            <w:pPr>
              <w:pStyle w:val="63"/>
            </w:pPr>
            <w:r>
              <w:t>/</w:t>
            </w:r>
          </w:p>
        </w:tc>
        <w:tc>
          <w:tcPr>
            <w:tcW w:w="523" w:type="pct"/>
            <w:shd w:val="clear" w:color="auto" w:fill="auto"/>
            <w:vAlign w:val="center"/>
          </w:tcPr>
          <w:p>
            <w:pPr>
              <w:pStyle w:val="63"/>
            </w:pPr>
            <w:r>
              <w:t>/</w:t>
            </w:r>
          </w:p>
        </w:tc>
        <w:tc>
          <w:tcPr>
            <w:tcW w:w="1500" w:type="pct"/>
            <w:shd w:val="clear" w:color="auto" w:fill="auto"/>
            <w:vAlign w:val="center"/>
          </w:tcPr>
          <w:p>
            <w:pPr>
              <w:pStyle w:val="63"/>
            </w:pPr>
            <w:r>
              <w:t>/</w:t>
            </w:r>
          </w:p>
        </w:tc>
      </w:tr>
    </w:tbl>
    <w:p>
      <w:pPr>
        <w:pStyle w:val="5"/>
        <w:ind w:firstLine="491"/>
        <w:rPr>
          <w:rFonts w:ascii="Times New Roman" w:hAnsi="Times New Roman" w:cs="Times New Roman" w:eastAsiaTheme="minorEastAsia"/>
        </w:rPr>
      </w:pPr>
      <w:r>
        <w:rPr>
          <w:rFonts w:ascii="Times New Roman" w:hAnsi="Times New Roman" w:cs="Times New Roman" w:eastAsiaTheme="minorEastAsia"/>
        </w:rPr>
        <w:t>2.2.6.2企业环境防护距离落实情况</w:t>
      </w:r>
    </w:p>
    <w:p>
      <w:pPr>
        <w:spacing w:line="360" w:lineRule="auto"/>
        <w:ind w:firstLine="488" w:firstLineChars="200"/>
        <w:rPr>
          <w:rFonts w:ascii="Times New Roman" w:hAnsi="Times New Roman" w:cs="Times New Roman"/>
        </w:rPr>
      </w:pPr>
      <w:r>
        <w:rPr>
          <w:rFonts w:ascii="Times New Roman" w:hAnsi="Times New Roman" w:cs="Times New Roman"/>
        </w:rPr>
        <w:t>本次规划环评现有企业环评防护距离落实情况进行调查，企业具体防护距离落实情况见下表。</w:t>
      </w:r>
    </w:p>
    <w:p>
      <w:pPr>
        <w:pStyle w:val="6"/>
        <w:rPr>
          <w:rFonts w:ascii="Times New Roman" w:hAnsi="Times New Roman" w:cs="Times New Roman"/>
        </w:rPr>
      </w:pPr>
      <w:r>
        <w:rPr>
          <w:rFonts w:ascii="Times New Roman" w:hAnsi="Times New Roman" w:cs="Times New Roman"/>
        </w:rPr>
        <w:t>表2.2-</w:t>
      </w:r>
      <w:r>
        <w:rPr>
          <w:rFonts w:hint="eastAsia" w:ascii="Times New Roman" w:hAnsi="Times New Roman" w:cs="Times New Roman"/>
        </w:rPr>
        <w:t>8</w:t>
      </w:r>
      <w:r>
        <w:rPr>
          <w:rFonts w:ascii="Times New Roman" w:hAnsi="Times New Roman" w:cs="Times New Roman"/>
        </w:rPr>
        <w:t xml:space="preserve">  企业环境防护距离落实情况</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4476"/>
        <w:gridCol w:w="3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pStyle w:val="67"/>
              <w:rPr>
                <w:rFonts w:eastAsiaTheme="minorEastAsia"/>
                <w:szCs w:val="21"/>
              </w:rPr>
            </w:pPr>
            <w:r>
              <w:rPr>
                <w:rFonts w:eastAsiaTheme="minorEastAsia"/>
                <w:szCs w:val="21"/>
              </w:rPr>
              <w:t>企业名称</w:t>
            </w:r>
          </w:p>
        </w:tc>
        <w:tc>
          <w:tcPr>
            <w:tcW w:w="4476" w:type="dxa"/>
            <w:vAlign w:val="center"/>
          </w:tcPr>
          <w:p>
            <w:pPr>
              <w:pStyle w:val="67"/>
              <w:rPr>
                <w:rFonts w:eastAsiaTheme="minorEastAsia"/>
                <w:szCs w:val="21"/>
              </w:rPr>
            </w:pPr>
            <w:r>
              <w:rPr>
                <w:rFonts w:eastAsiaTheme="minorEastAsia"/>
                <w:szCs w:val="21"/>
              </w:rPr>
              <w:t>防护距离设置情况</w:t>
            </w:r>
          </w:p>
        </w:tc>
        <w:tc>
          <w:tcPr>
            <w:tcW w:w="3001" w:type="dxa"/>
            <w:vAlign w:val="center"/>
          </w:tcPr>
          <w:p>
            <w:pPr>
              <w:pStyle w:val="67"/>
              <w:rPr>
                <w:rFonts w:eastAsiaTheme="minorEastAsia"/>
                <w:szCs w:val="21"/>
              </w:rPr>
            </w:pPr>
            <w:r>
              <w:rPr>
                <w:rFonts w:eastAsiaTheme="minorEastAsia"/>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pStyle w:val="67"/>
              <w:rPr>
                <w:rFonts w:eastAsiaTheme="minorEastAsia"/>
                <w:szCs w:val="21"/>
              </w:rPr>
            </w:pPr>
            <w:r>
              <w:rPr>
                <w:rFonts w:hint="eastAsia" w:eastAsiaTheme="minorEastAsia"/>
                <w:szCs w:val="21"/>
              </w:rPr>
              <w:t>兆邦陶瓷</w:t>
            </w:r>
          </w:p>
        </w:tc>
        <w:tc>
          <w:tcPr>
            <w:tcW w:w="4476" w:type="dxa"/>
            <w:vAlign w:val="center"/>
          </w:tcPr>
          <w:p>
            <w:pPr>
              <w:pStyle w:val="67"/>
              <w:rPr>
                <w:rFonts w:eastAsiaTheme="minorEastAsia"/>
                <w:szCs w:val="21"/>
              </w:rPr>
            </w:pPr>
            <w:r>
              <w:rPr>
                <w:rFonts w:eastAsiaTheme="minorEastAsia"/>
                <w:szCs w:val="21"/>
              </w:rPr>
              <w:t>X</w:t>
            </w:r>
            <w:r>
              <w:rPr>
                <w:rFonts w:hint="eastAsia" w:eastAsiaTheme="minorEastAsia"/>
                <w:szCs w:val="21"/>
              </w:rPr>
              <w:t>xx</w:t>
            </w:r>
            <w:r>
              <w:rPr>
                <w:rFonts w:eastAsiaTheme="minorEastAsia"/>
                <w:szCs w:val="21"/>
              </w:rPr>
              <w:t>批复：</w:t>
            </w:r>
            <w:r>
              <w:rPr>
                <w:rFonts w:hint="eastAsia" w:eastAsiaTheme="minorEastAsia"/>
                <w:szCs w:val="21"/>
              </w:rPr>
              <w:t>兆邦陶瓷卫生防护距离为东面厂界外</w:t>
            </w:r>
            <w:r>
              <w:rPr>
                <w:rFonts w:eastAsiaTheme="minorEastAsia"/>
                <w:szCs w:val="21"/>
              </w:rPr>
              <w:t>115m</w:t>
            </w:r>
            <w:r>
              <w:rPr>
                <w:rFonts w:hint="eastAsia" w:eastAsiaTheme="minorEastAsia"/>
                <w:szCs w:val="21"/>
              </w:rPr>
              <w:t>，西、南、北三方厂界外无需设置卫生防护距离。</w:t>
            </w:r>
          </w:p>
        </w:tc>
        <w:tc>
          <w:tcPr>
            <w:tcW w:w="3001" w:type="dxa"/>
            <w:vAlign w:val="center"/>
          </w:tcPr>
          <w:p>
            <w:pPr>
              <w:pStyle w:val="67"/>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pStyle w:val="67"/>
              <w:rPr>
                <w:rFonts w:eastAsiaTheme="minorEastAsia"/>
                <w:szCs w:val="21"/>
                <w:highlight w:val="yellow"/>
              </w:rPr>
            </w:pPr>
            <w:r>
              <w:rPr>
                <w:rFonts w:hint="eastAsia" w:eastAsiaTheme="minorEastAsia"/>
                <w:szCs w:val="21"/>
                <w:highlight w:val="yellow"/>
              </w:rPr>
              <w:t>凯美陶瓷、发达陶瓷、新美陶瓷</w:t>
            </w:r>
          </w:p>
        </w:tc>
        <w:tc>
          <w:tcPr>
            <w:tcW w:w="4476" w:type="dxa"/>
            <w:vAlign w:val="center"/>
          </w:tcPr>
          <w:p>
            <w:pPr>
              <w:pStyle w:val="67"/>
              <w:rPr>
                <w:rFonts w:eastAsiaTheme="minorEastAsia"/>
                <w:szCs w:val="21"/>
                <w:highlight w:val="yellow"/>
              </w:rPr>
            </w:pPr>
            <w:r>
              <w:rPr>
                <w:rFonts w:hint="eastAsia" w:eastAsiaTheme="minorEastAsia"/>
                <w:szCs w:val="21"/>
                <w:highlight w:val="yellow"/>
              </w:rPr>
              <w:t>报告均</w:t>
            </w:r>
            <w:r>
              <w:rPr>
                <w:rFonts w:eastAsiaTheme="minorEastAsia"/>
                <w:szCs w:val="21"/>
                <w:highlight w:val="yellow"/>
              </w:rPr>
              <w:t>未说明</w:t>
            </w:r>
            <w:r>
              <w:rPr>
                <w:rFonts w:hint="eastAsia" w:eastAsiaTheme="minorEastAsia"/>
                <w:szCs w:val="21"/>
                <w:highlight w:val="yellow"/>
              </w:rPr>
              <w:t>。类比兆邦陶瓷，凯美陶瓷、发达陶瓷、新美陶瓷均以其煤气站为</w:t>
            </w:r>
            <w:r>
              <w:rPr>
                <w:rFonts w:eastAsiaTheme="minorEastAsia"/>
                <w:szCs w:val="21"/>
                <w:highlight w:val="yellow"/>
              </w:rPr>
              <w:t>CO</w:t>
            </w:r>
            <w:r>
              <w:rPr>
                <w:rFonts w:hint="eastAsia" w:eastAsiaTheme="minorEastAsia"/>
                <w:szCs w:val="21"/>
                <w:highlight w:val="yellow"/>
              </w:rPr>
              <w:t>无组织排放源，确定卫生防护距离为煤气站外</w:t>
            </w:r>
            <w:r>
              <w:rPr>
                <w:rFonts w:eastAsiaTheme="minorEastAsia"/>
                <w:szCs w:val="21"/>
                <w:highlight w:val="yellow"/>
              </w:rPr>
              <w:t>200m</w:t>
            </w:r>
            <w:r>
              <w:rPr>
                <w:rFonts w:hint="eastAsia" w:eastAsiaTheme="minorEastAsia"/>
                <w:szCs w:val="21"/>
                <w:highlight w:val="yellow"/>
              </w:rPr>
              <w:t>。（来自临湘回顾环评）</w:t>
            </w:r>
          </w:p>
        </w:tc>
        <w:tc>
          <w:tcPr>
            <w:tcW w:w="3001" w:type="dxa"/>
            <w:vAlign w:val="center"/>
          </w:tcPr>
          <w:p>
            <w:pPr>
              <w:pStyle w:val="67"/>
              <w:rPr>
                <w:rFonts w:eastAsiaTheme="minorEastAsia"/>
                <w:szCs w:val="21"/>
                <w:highlight w:val="yellow"/>
              </w:rPr>
            </w:pPr>
          </w:p>
        </w:tc>
      </w:tr>
    </w:tbl>
    <w:p>
      <w:pPr>
        <w:pStyle w:val="5"/>
        <w:ind w:firstLine="491"/>
        <w:rPr>
          <w:rFonts w:ascii="Times New Roman" w:hAnsi="Times New Roman" w:cs="Times New Roman" w:eastAsiaTheme="minorEastAsia"/>
        </w:rPr>
      </w:pPr>
      <w:r>
        <w:rPr>
          <w:rFonts w:ascii="Times New Roman" w:hAnsi="Times New Roman" w:cs="Times New Roman" w:eastAsiaTheme="minorEastAsia"/>
        </w:rPr>
        <w:t>2.2.6.3园区重点排污企业</w:t>
      </w:r>
    </w:p>
    <w:p>
      <w:pPr>
        <w:spacing w:line="360" w:lineRule="auto"/>
        <w:ind w:firstLine="488" w:firstLineChars="200"/>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湖南省生态环境厅</w:t>
      </w:r>
      <w:r>
        <w:rPr>
          <w:rFonts w:ascii="Times New Roman" w:hAnsi="Times New Roman" w:cs="Times New Roman"/>
        </w:rPr>
        <w:t>发布的《</w:t>
      </w:r>
      <w:r>
        <w:rPr>
          <w:rFonts w:hint="eastAsia" w:ascii="Times New Roman" w:hAnsi="Times New Roman" w:cs="Times New Roman"/>
        </w:rPr>
        <w:t>湖南省2022年重点排污单位名录</w:t>
      </w:r>
      <w:r>
        <w:rPr>
          <w:rFonts w:ascii="Times New Roman" w:hAnsi="Times New Roman" w:cs="Times New Roman"/>
        </w:rPr>
        <w:t>》，其中</w:t>
      </w:r>
      <w:r>
        <w:rPr>
          <w:rFonts w:hint="eastAsia" w:ascii="Times New Roman" w:hAnsi="Times New Roman" w:cs="Times New Roman"/>
        </w:rPr>
        <w:t>临湘</w:t>
      </w:r>
      <w:r>
        <w:rPr>
          <w:rFonts w:ascii="Times New Roman" w:hAnsi="Times New Roman" w:cs="Times New Roman"/>
        </w:rPr>
        <w:t>产业开发区</w:t>
      </w:r>
      <w:r>
        <w:rPr>
          <w:rFonts w:hint="eastAsia" w:ascii="Times New Roman" w:hAnsi="Times New Roman" w:cs="Times New Roman"/>
        </w:rPr>
        <w:t>共</w:t>
      </w:r>
      <w:r>
        <w:rPr>
          <w:rFonts w:ascii="Times New Roman" w:hAnsi="Times New Roman" w:cs="Times New Roman"/>
        </w:rPr>
        <w:t>有</w:t>
      </w:r>
      <w:r>
        <w:rPr>
          <w:rFonts w:hint="eastAsia" w:ascii="Times New Roman" w:hAnsi="Times New Roman" w:cs="Times New Roman"/>
        </w:rPr>
        <w:t>12家</w:t>
      </w:r>
      <w:r>
        <w:rPr>
          <w:rFonts w:ascii="Times New Roman" w:hAnsi="Times New Roman" w:cs="Times New Roman"/>
        </w:rPr>
        <w:t>企业运行或在建</w:t>
      </w:r>
      <w:r>
        <w:rPr>
          <w:rFonts w:hint="eastAsia" w:ascii="Times New Roman" w:hAnsi="Times New Roman" w:cs="Times New Roman"/>
        </w:rPr>
        <w:t>。</w:t>
      </w:r>
    </w:p>
    <w:p>
      <w:pPr>
        <w:pStyle w:val="6"/>
        <w:rPr>
          <w:rFonts w:ascii="Times New Roman" w:hAnsi="Times New Roman" w:cs="Times New Roman"/>
        </w:rPr>
      </w:pPr>
      <w:r>
        <w:rPr>
          <w:rFonts w:ascii="Times New Roman" w:hAnsi="Times New Roman" w:cs="Times New Roman"/>
        </w:rPr>
        <w:t>表2.2-</w:t>
      </w:r>
      <w:r>
        <w:rPr>
          <w:rFonts w:hint="eastAsia" w:ascii="Times New Roman" w:hAnsi="Times New Roman" w:cs="Times New Roman"/>
        </w:rPr>
        <w:t>9</w:t>
      </w:r>
      <w:r>
        <w:rPr>
          <w:rFonts w:ascii="Times New Roman" w:hAnsi="Times New Roman" w:cs="Times New Roman"/>
        </w:rPr>
        <w:t xml:space="preserve">  重点排污企业名单</w:t>
      </w:r>
    </w:p>
    <w:bookmarkEnd w:id="85"/>
    <w:bookmarkEnd w:id="86"/>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3289"/>
        <w:gridCol w:w="1653"/>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87" w:type="dxa"/>
            <w:vAlign w:val="center"/>
          </w:tcPr>
          <w:p>
            <w:pPr>
              <w:pStyle w:val="67"/>
              <w:rPr>
                <w:rFonts w:eastAsiaTheme="minorEastAsia"/>
                <w:szCs w:val="21"/>
              </w:rPr>
            </w:pPr>
            <w:r>
              <w:rPr>
                <w:rFonts w:hint="eastAsia" w:eastAsiaTheme="minorEastAsia"/>
                <w:color w:val="000000"/>
                <w:szCs w:val="21"/>
              </w:rPr>
              <w:t>序号</w:t>
            </w:r>
          </w:p>
        </w:tc>
        <w:tc>
          <w:tcPr>
            <w:tcW w:w="3289" w:type="dxa"/>
            <w:vAlign w:val="center"/>
          </w:tcPr>
          <w:p>
            <w:pPr>
              <w:pStyle w:val="67"/>
              <w:rPr>
                <w:rFonts w:eastAsiaTheme="minorEastAsia"/>
                <w:szCs w:val="21"/>
              </w:rPr>
            </w:pPr>
            <w:r>
              <w:rPr>
                <w:rFonts w:hint="eastAsia" w:eastAsiaTheme="minorEastAsia"/>
                <w:color w:val="000000"/>
                <w:szCs w:val="21"/>
              </w:rPr>
              <w:t>企业名称</w:t>
            </w:r>
          </w:p>
        </w:tc>
        <w:tc>
          <w:tcPr>
            <w:tcW w:w="1653" w:type="dxa"/>
            <w:vAlign w:val="center"/>
          </w:tcPr>
          <w:p>
            <w:pPr>
              <w:pStyle w:val="67"/>
              <w:rPr>
                <w:rFonts w:eastAsiaTheme="minorEastAsia"/>
                <w:szCs w:val="21"/>
              </w:rPr>
            </w:pPr>
            <w:r>
              <w:rPr>
                <w:rFonts w:hint="eastAsia" w:eastAsiaTheme="minorEastAsia"/>
                <w:color w:val="000000"/>
                <w:szCs w:val="21"/>
              </w:rPr>
              <w:t>重点排污类别</w:t>
            </w:r>
          </w:p>
        </w:tc>
        <w:tc>
          <w:tcPr>
            <w:tcW w:w="1587" w:type="dxa"/>
            <w:vAlign w:val="center"/>
          </w:tcPr>
          <w:p>
            <w:pPr>
              <w:pStyle w:val="67"/>
              <w:rPr>
                <w:rFonts w:eastAsiaTheme="minorEastAsia"/>
                <w:szCs w:val="21"/>
              </w:rPr>
            </w:pPr>
            <w:r>
              <w:rPr>
                <w:rFonts w:hint="eastAsia" w:eastAsiaTheme="minorEastAsia"/>
                <w:color w:val="000000"/>
                <w:szCs w:val="21"/>
              </w:rPr>
              <w:t>片区</w:t>
            </w:r>
          </w:p>
        </w:tc>
        <w:tc>
          <w:tcPr>
            <w:tcW w:w="1587" w:type="dxa"/>
            <w:vAlign w:val="center"/>
          </w:tcPr>
          <w:p>
            <w:pPr>
              <w:pStyle w:val="67"/>
              <w:rPr>
                <w:rFonts w:eastAsiaTheme="minorEastAsia"/>
                <w:szCs w:val="21"/>
              </w:rPr>
            </w:pPr>
            <w:r>
              <w:rPr>
                <w:rFonts w:hint="eastAsia" w:eastAsiaTheme="minorEastAsia"/>
                <w:color w:val="000000"/>
                <w:szCs w:val="21"/>
              </w:rPr>
              <w:t>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1</w:t>
            </w:r>
          </w:p>
        </w:tc>
        <w:tc>
          <w:tcPr>
            <w:tcW w:w="3289" w:type="dxa"/>
            <w:vAlign w:val="center"/>
          </w:tcPr>
          <w:p>
            <w:pPr>
              <w:pStyle w:val="67"/>
              <w:rPr>
                <w:rFonts w:eastAsiaTheme="minorEastAsia"/>
                <w:szCs w:val="21"/>
              </w:rPr>
            </w:pPr>
            <w:r>
              <w:rPr>
                <w:rFonts w:hint="eastAsia" w:eastAsiaTheme="minorEastAsia"/>
                <w:color w:val="000000"/>
                <w:szCs w:val="21"/>
              </w:rPr>
              <w:t>兆邦陶瓷有限责任公司</w:t>
            </w:r>
          </w:p>
        </w:tc>
        <w:tc>
          <w:tcPr>
            <w:tcW w:w="1653" w:type="dxa"/>
            <w:vAlign w:val="center"/>
          </w:tcPr>
          <w:p>
            <w:pPr>
              <w:pStyle w:val="67"/>
              <w:rPr>
                <w:rFonts w:eastAsiaTheme="minorEastAsia"/>
                <w:szCs w:val="21"/>
              </w:rPr>
            </w:pPr>
            <w:r>
              <w:rPr>
                <w:rFonts w:hint="eastAsia" w:eastAsiaTheme="minorEastAsia"/>
                <w:color w:val="000000"/>
                <w:szCs w:val="21"/>
              </w:rPr>
              <w:t>大气、土壤</w:t>
            </w:r>
          </w:p>
        </w:tc>
        <w:tc>
          <w:tcPr>
            <w:tcW w:w="1587" w:type="dxa"/>
            <w:vAlign w:val="center"/>
          </w:tcPr>
          <w:p>
            <w:pPr>
              <w:pStyle w:val="67"/>
              <w:rPr>
                <w:rFonts w:eastAsiaTheme="minorEastAsia"/>
                <w:szCs w:val="21"/>
              </w:rPr>
            </w:pPr>
            <w:r>
              <w:rPr>
                <w:rFonts w:hint="eastAsia" w:eastAsiaTheme="minorEastAsia"/>
                <w:color w:val="000000"/>
                <w:szCs w:val="21"/>
              </w:rPr>
              <w:t>三湾产业园</w:t>
            </w:r>
          </w:p>
        </w:tc>
        <w:tc>
          <w:tcPr>
            <w:tcW w:w="1587" w:type="dxa"/>
            <w:vAlign w:val="center"/>
          </w:tcPr>
          <w:p>
            <w:pPr>
              <w:widowControl/>
              <w:jc w:val="center"/>
              <w:rPr>
                <w:rFonts w:ascii="宋体" w:hAnsi="宋体" w:cs="宋体"/>
                <w:kern w:val="0"/>
                <w:sz w:val="21"/>
                <w:szCs w:val="21"/>
              </w:rPr>
            </w:pPr>
            <w:r>
              <w:rPr>
                <w:rFonts w:hint="eastAsia"/>
                <w:color w:val="000000"/>
                <w:sz w:val="21"/>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2</w:t>
            </w:r>
          </w:p>
        </w:tc>
        <w:tc>
          <w:tcPr>
            <w:tcW w:w="3289" w:type="dxa"/>
            <w:vAlign w:val="center"/>
          </w:tcPr>
          <w:p>
            <w:pPr>
              <w:pStyle w:val="67"/>
              <w:rPr>
                <w:rFonts w:eastAsiaTheme="minorEastAsia"/>
                <w:szCs w:val="21"/>
              </w:rPr>
            </w:pPr>
            <w:r>
              <w:rPr>
                <w:rFonts w:hint="eastAsia" w:eastAsiaTheme="minorEastAsia"/>
                <w:color w:val="000000"/>
                <w:szCs w:val="21"/>
              </w:rPr>
              <w:t>深水海纳水务集团股份有限公司岳阳分公司</w:t>
            </w:r>
          </w:p>
        </w:tc>
        <w:tc>
          <w:tcPr>
            <w:tcW w:w="1653" w:type="dxa"/>
            <w:vAlign w:val="center"/>
          </w:tcPr>
          <w:p>
            <w:pPr>
              <w:pStyle w:val="67"/>
              <w:rPr>
                <w:rFonts w:eastAsiaTheme="minorEastAsia"/>
                <w:szCs w:val="21"/>
              </w:rPr>
            </w:pPr>
            <w:r>
              <w:rPr>
                <w:rFonts w:hint="eastAsia" w:eastAsiaTheme="minorEastAsia"/>
                <w:color w:val="000000"/>
                <w:szCs w:val="21"/>
              </w:rPr>
              <w:t>水</w:t>
            </w:r>
          </w:p>
        </w:tc>
        <w:tc>
          <w:tcPr>
            <w:tcW w:w="1587" w:type="dxa"/>
            <w:vAlign w:val="center"/>
          </w:tcPr>
          <w:p>
            <w:pPr>
              <w:pStyle w:val="67"/>
              <w:rPr>
                <w:rFonts w:eastAsiaTheme="minorEastAsia"/>
                <w:szCs w:val="21"/>
              </w:rPr>
            </w:pPr>
            <w:r>
              <w:rPr>
                <w:rFonts w:hint="eastAsia" w:eastAsiaTheme="minorEastAsia"/>
                <w:color w:val="000000"/>
                <w:szCs w:val="21"/>
              </w:rPr>
              <w:t>滨江片区中非工贸产业园</w:t>
            </w:r>
          </w:p>
        </w:tc>
        <w:tc>
          <w:tcPr>
            <w:tcW w:w="1587" w:type="dxa"/>
            <w:vAlign w:val="center"/>
          </w:tcPr>
          <w:p>
            <w:pPr>
              <w:widowControl/>
              <w:jc w:val="center"/>
              <w:rPr>
                <w:sz w:val="21"/>
                <w:szCs w:val="21"/>
              </w:rPr>
            </w:pPr>
            <w:r>
              <w:rPr>
                <w:rFonts w:hint="eastAsia"/>
                <w:color w:val="000000"/>
                <w:sz w:val="21"/>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3</w:t>
            </w:r>
          </w:p>
        </w:tc>
        <w:tc>
          <w:tcPr>
            <w:tcW w:w="3289" w:type="dxa"/>
            <w:vAlign w:val="center"/>
          </w:tcPr>
          <w:p>
            <w:pPr>
              <w:pStyle w:val="67"/>
              <w:rPr>
                <w:rFonts w:eastAsiaTheme="minorEastAsia"/>
                <w:szCs w:val="21"/>
              </w:rPr>
            </w:pPr>
            <w:r>
              <w:rPr>
                <w:rFonts w:hint="eastAsia" w:eastAsiaTheme="minorEastAsia"/>
                <w:color w:val="000000"/>
                <w:szCs w:val="21"/>
              </w:rPr>
              <w:t>湖南凯美陶瓷有限公司</w:t>
            </w:r>
          </w:p>
        </w:tc>
        <w:tc>
          <w:tcPr>
            <w:tcW w:w="1653" w:type="dxa"/>
            <w:vAlign w:val="center"/>
          </w:tcPr>
          <w:p>
            <w:pPr>
              <w:pStyle w:val="67"/>
              <w:rPr>
                <w:rFonts w:eastAsiaTheme="minorEastAsia"/>
                <w:szCs w:val="21"/>
              </w:rPr>
            </w:pPr>
            <w:r>
              <w:rPr>
                <w:rFonts w:hint="eastAsia" w:eastAsiaTheme="minorEastAsia"/>
                <w:color w:val="000000"/>
                <w:szCs w:val="21"/>
              </w:rPr>
              <w:t>大气、土壤</w:t>
            </w:r>
          </w:p>
        </w:tc>
        <w:tc>
          <w:tcPr>
            <w:tcW w:w="1587" w:type="dxa"/>
            <w:vAlign w:val="center"/>
          </w:tcPr>
          <w:p>
            <w:pPr>
              <w:pStyle w:val="67"/>
              <w:rPr>
                <w:rFonts w:eastAsiaTheme="minorEastAsia"/>
                <w:szCs w:val="21"/>
              </w:rPr>
            </w:pPr>
            <w:r>
              <w:rPr>
                <w:rFonts w:hint="eastAsia" w:eastAsiaTheme="minorEastAsia"/>
                <w:color w:val="000000"/>
                <w:szCs w:val="21"/>
              </w:rPr>
              <w:t>三湾产业园</w:t>
            </w:r>
          </w:p>
        </w:tc>
        <w:tc>
          <w:tcPr>
            <w:tcW w:w="1587" w:type="dxa"/>
            <w:vAlign w:val="center"/>
          </w:tcPr>
          <w:p>
            <w:pPr>
              <w:pStyle w:val="67"/>
              <w:rPr>
                <w:rFonts w:eastAsiaTheme="minorEastAsia"/>
                <w:szCs w:val="21"/>
              </w:rPr>
            </w:pPr>
            <w:r>
              <w:rPr>
                <w:rFonts w:hint="eastAsia" w:eastAsiaTheme="minorEastAsia"/>
                <w:color w:val="000000"/>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4</w:t>
            </w:r>
          </w:p>
        </w:tc>
        <w:tc>
          <w:tcPr>
            <w:tcW w:w="3289" w:type="dxa"/>
            <w:vAlign w:val="center"/>
          </w:tcPr>
          <w:p>
            <w:pPr>
              <w:pStyle w:val="67"/>
              <w:rPr>
                <w:rFonts w:eastAsiaTheme="minorEastAsia"/>
                <w:szCs w:val="21"/>
              </w:rPr>
            </w:pPr>
            <w:r>
              <w:rPr>
                <w:rFonts w:hint="eastAsia" w:eastAsiaTheme="minorEastAsia"/>
                <w:color w:val="000000"/>
                <w:szCs w:val="21"/>
              </w:rPr>
              <w:t>湖南德泽环保科技有限公司</w:t>
            </w:r>
          </w:p>
        </w:tc>
        <w:tc>
          <w:tcPr>
            <w:tcW w:w="1653" w:type="dxa"/>
            <w:vAlign w:val="center"/>
          </w:tcPr>
          <w:p>
            <w:pPr>
              <w:pStyle w:val="67"/>
              <w:rPr>
                <w:rFonts w:eastAsiaTheme="minorEastAsia"/>
                <w:szCs w:val="21"/>
              </w:rPr>
            </w:pPr>
            <w:r>
              <w:rPr>
                <w:rFonts w:hint="eastAsia" w:eastAsiaTheme="minorEastAsia"/>
                <w:color w:val="000000"/>
                <w:szCs w:val="21"/>
              </w:rPr>
              <w:t>大气、土壤</w:t>
            </w:r>
          </w:p>
        </w:tc>
        <w:tc>
          <w:tcPr>
            <w:tcW w:w="1587" w:type="dxa"/>
            <w:vAlign w:val="center"/>
          </w:tcPr>
          <w:p>
            <w:pPr>
              <w:pStyle w:val="67"/>
              <w:rPr>
                <w:rFonts w:eastAsiaTheme="minorEastAsia"/>
                <w:szCs w:val="21"/>
              </w:rPr>
            </w:pPr>
            <w:r>
              <w:rPr>
                <w:rFonts w:hint="eastAsia" w:eastAsiaTheme="minorEastAsia"/>
                <w:color w:val="000000"/>
                <w:szCs w:val="21"/>
              </w:rPr>
              <w:t>滨江片区中非工贸产业园</w:t>
            </w:r>
          </w:p>
        </w:tc>
        <w:tc>
          <w:tcPr>
            <w:tcW w:w="1587" w:type="dxa"/>
            <w:vAlign w:val="center"/>
          </w:tcPr>
          <w:p>
            <w:pPr>
              <w:pStyle w:val="67"/>
              <w:rPr>
                <w:rFonts w:eastAsiaTheme="minorEastAsia"/>
                <w:szCs w:val="21"/>
              </w:rPr>
            </w:pPr>
            <w:r>
              <w:rPr>
                <w:rFonts w:hint="eastAsia" w:eastAsiaTheme="minorEastAsia"/>
                <w:color w:val="000000"/>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5</w:t>
            </w:r>
          </w:p>
        </w:tc>
        <w:tc>
          <w:tcPr>
            <w:tcW w:w="3289" w:type="dxa"/>
            <w:vAlign w:val="center"/>
          </w:tcPr>
          <w:p>
            <w:pPr>
              <w:pStyle w:val="67"/>
              <w:rPr>
                <w:rFonts w:eastAsiaTheme="minorEastAsia"/>
                <w:szCs w:val="21"/>
              </w:rPr>
            </w:pPr>
            <w:r>
              <w:rPr>
                <w:rFonts w:hint="eastAsia" w:eastAsiaTheme="minorEastAsia"/>
                <w:color w:val="000000"/>
                <w:szCs w:val="21"/>
              </w:rPr>
              <w:t>湖南省发达陶瓷有限责任公司</w:t>
            </w:r>
          </w:p>
        </w:tc>
        <w:tc>
          <w:tcPr>
            <w:tcW w:w="1653" w:type="dxa"/>
            <w:vAlign w:val="center"/>
          </w:tcPr>
          <w:p>
            <w:pPr>
              <w:pStyle w:val="67"/>
              <w:rPr>
                <w:rFonts w:eastAsiaTheme="minorEastAsia"/>
                <w:szCs w:val="21"/>
              </w:rPr>
            </w:pPr>
            <w:r>
              <w:rPr>
                <w:rFonts w:hint="eastAsia" w:eastAsiaTheme="minorEastAsia"/>
                <w:color w:val="000000"/>
                <w:szCs w:val="21"/>
              </w:rPr>
              <w:t>大气、土壤</w:t>
            </w:r>
          </w:p>
        </w:tc>
        <w:tc>
          <w:tcPr>
            <w:tcW w:w="1587" w:type="dxa"/>
            <w:vAlign w:val="center"/>
          </w:tcPr>
          <w:p>
            <w:pPr>
              <w:pStyle w:val="67"/>
              <w:rPr>
                <w:rFonts w:eastAsiaTheme="minorEastAsia"/>
                <w:szCs w:val="21"/>
              </w:rPr>
            </w:pPr>
            <w:r>
              <w:rPr>
                <w:rFonts w:hint="eastAsia" w:eastAsiaTheme="minorEastAsia"/>
                <w:color w:val="000000"/>
                <w:szCs w:val="21"/>
              </w:rPr>
              <w:t>三湾产业园</w:t>
            </w:r>
          </w:p>
        </w:tc>
        <w:tc>
          <w:tcPr>
            <w:tcW w:w="1587" w:type="dxa"/>
            <w:vAlign w:val="center"/>
          </w:tcPr>
          <w:p>
            <w:pPr>
              <w:pStyle w:val="67"/>
              <w:rPr>
                <w:rFonts w:eastAsiaTheme="minorEastAsia"/>
                <w:szCs w:val="21"/>
              </w:rPr>
            </w:pPr>
            <w:r>
              <w:rPr>
                <w:rFonts w:hint="eastAsia" w:eastAsiaTheme="minorEastAsia"/>
                <w:color w:val="000000"/>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6</w:t>
            </w:r>
          </w:p>
        </w:tc>
        <w:tc>
          <w:tcPr>
            <w:tcW w:w="3289" w:type="dxa"/>
            <w:vAlign w:val="center"/>
          </w:tcPr>
          <w:p>
            <w:pPr>
              <w:pStyle w:val="67"/>
              <w:rPr>
                <w:rFonts w:eastAsiaTheme="minorEastAsia"/>
                <w:szCs w:val="21"/>
              </w:rPr>
            </w:pPr>
            <w:r>
              <w:rPr>
                <w:rFonts w:hint="eastAsia" w:eastAsiaTheme="minorEastAsia"/>
                <w:color w:val="000000"/>
                <w:szCs w:val="21"/>
              </w:rPr>
              <w:t>临湘海螺水泥有限责任公司</w:t>
            </w:r>
          </w:p>
        </w:tc>
        <w:tc>
          <w:tcPr>
            <w:tcW w:w="1653" w:type="dxa"/>
            <w:vAlign w:val="center"/>
          </w:tcPr>
          <w:p>
            <w:pPr>
              <w:pStyle w:val="67"/>
              <w:rPr>
                <w:rFonts w:eastAsiaTheme="minorEastAsia"/>
                <w:szCs w:val="21"/>
              </w:rPr>
            </w:pPr>
            <w:r>
              <w:rPr>
                <w:rFonts w:hint="eastAsia" w:eastAsiaTheme="minorEastAsia"/>
                <w:color w:val="000000"/>
                <w:szCs w:val="21"/>
              </w:rPr>
              <w:t>大气</w:t>
            </w:r>
          </w:p>
        </w:tc>
        <w:tc>
          <w:tcPr>
            <w:tcW w:w="1587" w:type="dxa"/>
            <w:vAlign w:val="center"/>
          </w:tcPr>
          <w:p>
            <w:pPr>
              <w:pStyle w:val="67"/>
              <w:rPr>
                <w:rFonts w:eastAsiaTheme="minorEastAsia"/>
                <w:szCs w:val="21"/>
              </w:rPr>
            </w:pPr>
            <w:r>
              <w:rPr>
                <w:rFonts w:hint="eastAsia" w:eastAsiaTheme="minorEastAsia"/>
                <w:color w:val="000000"/>
                <w:szCs w:val="21"/>
              </w:rPr>
              <w:t>绿色建材产业园</w:t>
            </w:r>
          </w:p>
        </w:tc>
        <w:tc>
          <w:tcPr>
            <w:tcW w:w="1587" w:type="dxa"/>
            <w:vAlign w:val="center"/>
          </w:tcPr>
          <w:p>
            <w:pPr>
              <w:pStyle w:val="67"/>
              <w:rPr>
                <w:rFonts w:eastAsiaTheme="minorEastAsia"/>
                <w:szCs w:val="21"/>
              </w:rPr>
            </w:pPr>
            <w:r>
              <w:rPr>
                <w:rFonts w:hint="eastAsia" w:eastAsiaTheme="minorEastAsia"/>
                <w:color w:val="000000"/>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7</w:t>
            </w:r>
          </w:p>
        </w:tc>
        <w:tc>
          <w:tcPr>
            <w:tcW w:w="3289" w:type="dxa"/>
            <w:vAlign w:val="center"/>
          </w:tcPr>
          <w:p>
            <w:pPr>
              <w:pStyle w:val="67"/>
              <w:rPr>
                <w:rFonts w:eastAsiaTheme="minorEastAsia"/>
                <w:szCs w:val="21"/>
              </w:rPr>
            </w:pPr>
            <w:r>
              <w:rPr>
                <w:rFonts w:hint="eastAsia" w:eastAsiaTheme="minorEastAsia"/>
                <w:color w:val="000000"/>
                <w:szCs w:val="21"/>
              </w:rPr>
              <w:t>岳阳环宇药业有限公司</w:t>
            </w:r>
          </w:p>
        </w:tc>
        <w:tc>
          <w:tcPr>
            <w:tcW w:w="1653" w:type="dxa"/>
            <w:vAlign w:val="center"/>
          </w:tcPr>
          <w:p>
            <w:pPr>
              <w:pStyle w:val="67"/>
              <w:rPr>
                <w:rFonts w:eastAsiaTheme="minorEastAsia"/>
                <w:szCs w:val="21"/>
              </w:rPr>
            </w:pPr>
            <w:r>
              <w:rPr>
                <w:rFonts w:hint="eastAsia" w:eastAsiaTheme="minorEastAsia"/>
                <w:color w:val="000000"/>
                <w:szCs w:val="21"/>
              </w:rPr>
              <w:t>水、土壤</w:t>
            </w:r>
          </w:p>
        </w:tc>
        <w:tc>
          <w:tcPr>
            <w:tcW w:w="1587" w:type="dxa"/>
            <w:vAlign w:val="center"/>
          </w:tcPr>
          <w:p>
            <w:pPr>
              <w:pStyle w:val="67"/>
              <w:rPr>
                <w:rFonts w:eastAsiaTheme="minorEastAsia"/>
                <w:szCs w:val="21"/>
              </w:rPr>
            </w:pPr>
            <w:r>
              <w:rPr>
                <w:rFonts w:hint="eastAsia" w:eastAsiaTheme="minorEastAsia"/>
                <w:color w:val="000000"/>
                <w:szCs w:val="21"/>
              </w:rPr>
              <w:t>滨江片区绿色化工产业园</w:t>
            </w:r>
          </w:p>
        </w:tc>
        <w:tc>
          <w:tcPr>
            <w:tcW w:w="1587" w:type="dxa"/>
            <w:vAlign w:val="center"/>
          </w:tcPr>
          <w:p>
            <w:pPr>
              <w:pStyle w:val="67"/>
              <w:rPr>
                <w:rFonts w:eastAsiaTheme="minorEastAsia"/>
                <w:szCs w:val="21"/>
              </w:rPr>
            </w:pPr>
            <w:r>
              <w:rPr>
                <w:rFonts w:hint="eastAsia" w:eastAsiaTheme="minorEastAsia"/>
                <w:color w:val="00000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8</w:t>
            </w:r>
          </w:p>
        </w:tc>
        <w:tc>
          <w:tcPr>
            <w:tcW w:w="3289" w:type="dxa"/>
            <w:vAlign w:val="center"/>
          </w:tcPr>
          <w:p>
            <w:pPr>
              <w:pStyle w:val="67"/>
              <w:rPr>
                <w:rFonts w:eastAsiaTheme="minorEastAsia"/>
                <w:szCs w:val="21"/>
              </w:rPr>
            </w:pPr>
            <w:r>
              <w:rPr>
                <w:rFonts w:hint="eastAsia" w:eastAsiaTheme="minorEastAsia"/>
                <w:color w:val="000000"/>
                <w:szCs w:val="21"/>
              </w:rPr>
              <w:t>湖南维摩新材料有限公司</w:t>
            </w:r>
          </w:p>
        </w:tc>
        <w:tc>
          <w:tcPr>
            <w:tcW w:w="1653" w:type="dxa"/>
            <w:vAlign w:val="center"/>
          </w:tcPr>
          <w:p>
            <w:pPr>
              <w:pStyle w:val="67"/>
              <w:rPr>
                <w:rFonts w:eastAsiaTheme="minorEastAsia"/>
                <w:szCs w:val="21"/>
              </w:rPr>
            </w:pPr>
            <w:r>
              <w:rPr>
                <w:rFonts w:hint="eastAsia" w:eastAsiaTheme="minorEastAsia"/>
                <w:color w:val="000000"/>
                <w:szCs w:val="21"/>
              </w:rPr>
              <w:t>水、土壤</w:t>
            </w:r>
          </w:p>
        </w:tc>
        <w:tc>
          <w:tcPr>
            <w:tcW w:w="1587" w:type="dxa"/>
            <w:vAlign w:val="center"/>
          </w:tcPr>
          <w:p>
            <w:pPr>
              <w:pStyle w:val="67"/>
              <w:rPr>
                <w:rFonts w:eastAsiaTheme="minorEastAsia"/>
                <w:szCs w:val="21"/>
              </w:rPr>
            </w:pPr>
            <w:r>
              <w:rPr>
                <w:rFonts w:hint="eastAsia" w:eastAsiaTheme="minorEastAsia"/>
                <w:color w:val="000000"/>
                <w:szCs w:val="21"/>
              </w:rPr>
              <w:t>滨江片区绿色化工产业园</w:t>
            </w:r>
          </w:p>
        </w:tc>
        <w:tc>
          <w:tcPr>
            <w:tcW w:w="1587" w:type="dxa"/>
            <w:vAlign w:val="center"/>
          </w:tcPr>
          <w:p>
            <w:pPr>
              <w:pStyle w:val="67"/>
              <w:rPr>
                <w:rFonts w:eastAsiaTheme="minorEastAsia"/>
                <w:szCs w:val="21"/>
              </w:rPr>
            </w:pPr>
            <w:r>
              <w:rPr>
                <w:rFonts w:hint="eastAsia" w:eastAsiaTheme="minorEastAsia"/>
                <w:color w:val="00000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9</w:t>
            </w:r>
          </w:p>
        </w:tc>
        <w:tc>
          <w:tcPr>
            <w:tcW w:w="3289" w:type="dxa"/>
            <w:vAlign w:val="center"/>
          </w:tcPr>
          <w:p>
            <w:pPr>
              <w:pStyle w:val="67"/>
              <w:rPr>
                <w:rFonts w:eastAsiaTheme="minorEastAsia"/>
                <w:szCs w:val="21"/>
              </w:rPr>
            </w:pPr>
            <w:r>
              <w:rPr>
                <w:rFonts w:hint="eastAsia" w:eastAsiaTheme="minorEastAsia"/>
                <w:color w:val="000000"/>
                <w:szCs w:val="21"/>
              </w:rPr>
              <w:t>湖南比德生化科技股份有限公司</w:t>
            </w:r>
          </w:p>
        </w:tc>
        <w:tc>
          <w:tcPr>
            <w:tcW w:w="1653" w:type="dxa"/>
            <w:vAlign w:val="center"/>
          </w:tcPr>
          <w:p>
            <w:pPr>
              <w:pStyle w:val="67"/>
              <w:rPr>
                <w:rFonts w:eastAsiaTheme="minorEastAsia"/>
                <w:szCs w:val="21"/>
              </w:rPr>
            </w:pPr>
            <w:r>
              <w:rPr>
                <w:rFonts w:hint="eastAsia" w:eastAsiaTheme="minorEastAsia"/>
                <w:color w:val="000000"/>
                <w:szCs w:val="21"/>
              </w:rPr>
              <w:t>大气、水、土壤</w:t>
            </w:r>
          </w:p>
        </w:tc>
        <w:tc>
          <w:tcPr>
            <w:tcW w:w="1587" w:type="dxa"/>
            <w:vAlign w:val="center"/>
          </w:tcPr>
          <w:p>
            <w:pPr>
              <w:pStyle w:val="67"/>
              <w:rPr>
                <w:rFonts w:eastAsiaTheme="minorEastAsia"/>
                <w:szCs w:val="21"/>
              </w:rPr>
            </w:pPr>
            <w:r>
              <w:rPr>
                <w:rFonts w:hint="eastAsia" w:eastAsiaTheme="minorEastAsia"/>
                <w:color w:val="000000"/>
                <w:szCs w:val="21"/>
              </w:rPr>
              <w:t>滨江片区绿色化工产业园</w:t>
            </w:r>
          </w:p>
        </w:tc>
        <w:tc>
          <w:tcPr>
            <w:tcW w:w="1587" w:type="dxa"/>
            <w:vAlign w:val="center"/>
          </w:tcPr>
          <w:p>
            <w:pPr>
              <w:pStyle w:val="67"/>
              <w:rPr>
                <w:rFonts w:eastAsiaTheme="minorEastAsia"/>
                <w:szCs w:val="21"/>
              </w:rPr>
            </w:pPr>
            <w:r>
              <w:rPr>
                <w:rFonts w:hint="eastAsia" w:eastAsiaTheme="minorEastAsia"/>
                <w:color w:val="00000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10</w:t>
            </w:r>
          </w:p>
        </w:tc>
        <w:tc>
          <w:tcPr>
            <w:tcW w:w="3289" w:type="dxa"/>
            <w:vAlign w:val="center"/>
          </w:tcPr>
          <w:p>
            <w:pPr>
              <w:pStyle w:val="67"/>
              <w:rPr>
                <w:rFonts w:eastAsiaTheme="minorEastAsia"/>
                <w:szCs w:val="21"/>
              </w:rPr>
            </w:pPr>
            <w:r>
              <w:rPr>
                <w:rFonts w:hint="eastAsia" w:eastAsiaTheme="minorEastAsia"/>
                <w:color w:val="000000"/>
                <w:szCs w:val="21"/>
              </w:rPr>
              <w:t>岳阳市神骏化工有限责任公司</w:t>
            </w:r>
          </w:p>
        </w:tc>
        <w:tc>
          <w:tcPr>
            <w:tcW w:w="1653" w:type="dxa"/>
            <w:vAlign w:val="center"/>
          </w:tcPr>
          <w:p>
            <w:pPr>
              <w:pStyle w:val="67"/>
              <w:rPr>
                <w:rFonts w:eastAsiaTheme="minorEastAsia"/>
                <w:szCs w:val="21"/>
              </w:rPr>
            </w:pPr>
            <w:r>
              <w:rPr>
                <w:rFonts w:hint="eastAsia" w:eastAsiaTheme="minorEastAsia"/>
                <w:color w:val="000000"/>
                <w:szCs w:val="21"/>
              </w:rPr>
              <w:t>大气</w:t>
            </w:r>
          </w:p>
        </w:tc>
        <w:tc>
          <w:tcPr>
            <w:tcW w:w="1587" w:type="dxa"/>
            <w:vAlign w:val="center"/>
          </w:tcPr>
          <w:p>
            <w:pPr>
              <w:pStyle w:val="67"/>
              <w:rPr>
                <w:rFonts w:eastAsiaTheme="minorEastAsia"/>
                <w:szCs w:val="21"/>
              </w:rPr>
            </w:pPr>
            <w:r>
              <w:rPr>
                <w:rFonts w:hint="eastAsia" w:eastAsiaTheme="minorEastAsia"/>
                <w:color w:val="000000"/>
                <w:szCs w:val="21"/>
              </w:rPr>
              <w:t>滨江片区绿色化工产业园</w:t>
            </w:r>
          </w:p>
        </w:tc>
        <w:tc>
          <w:tcPr>
            <w:tcW w:w="1587" w:type="dxa"/>
            <w:vAlign w:val="center"/>
          </w:tcPr>
          <w:p>
            <w:pPr>
              <w:pStyle w:val="67"/>
              <w:rPr>
                <w:rFonts w:eastAsiaTheme="minorEastAsia"/>
                <w:szCs w:val="21"/>
              </w:rPr>
            </w:pPr>
            <w:r>
              <w:rPr>
                <w:rFonts w:hint="eastAsia" w:eastAsiaTheme="minorEastAsia"/>
                <w:color w:val="00000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11</w:t>
            </w:r>
          </w:p>
        </w:tc>
        <w:tc>
          <w:tcPr>
            <w:tcW w:w="3289" w:type="dxa"/>
            <w:vAlign w:val="center"/>
          </w:tcPr>
          <w:p>
            <w:pPr>
              <w:pStyle w:val="67"/>
              <w:rPr>
                <w:rFonts w:eastAsiaTheme="minorEastAsia"/>
                <w:szCs w:val="21"/>
              </w:rPr>
            </w:pPr>
            <w:r>
              <w:rPr>
                <w:rFonts w:hint="eastAsia" w:eastAsiaTheme="minorEastAsia"/>
                <w:color w:val="000000"/>
                <w:szCs w:val="21"/>
              </w:rPr>
              <w:t>湖南省驰兴环保科技有限公司</w:t>
            </w:r>
          </w:p>
        </w:tc>
        <w:tc>
          <w:tcPr>
            <w:tcW w:w="1653" w:type="dxa"/>
            <w:vAlign w:val="center"/>
          </w:tcPr>
          <w:p>
            <w:pPr>
              <w:pStyle w:val="67"/>
              <w:rPr>
                <w:rFonts w:eastAsiaTheme="minorEastAsia"/>
                <w:szCs w:val="21"/>
              </w:rPr>
            </w:pPr>
            <w:r>
              <w:rPr>
                <w:rFonts w:hint="eastAsia" w:eastAsiaTheme="minorEastAsia"/>
                <w:color w:val="000000"/>
                <w:szCs w:val="21"/>
              </w:rPr>
              <w:t>大气、土壤</w:t>
            </w:r>
          </w:p>
        </w:tc>
        <w:tc>
          <w:tcPr>
            <w:tcW w:w="1587" w:type="dxa"/>
            <w:vAlign w:val="center"/>
          </w:tcPr>
          <w:p>
            <w:pPr>
              <w:pStyle w:val="67"/>
              <w:rPr>
                <w:rFonts w:eastAsiaTheme="minorEastAsia"/>
                <w:szCs w:val="21"/>
              </w:rPr>
            </w:pPr>
            <w:r>
              <w:rPr>
                <w:rFonts w:hint="eastAsia" w:eastAsiaTheme="minorEastAsia"/>
                <w:color w:val="000000"/>
                <w:szCs w:val="21"/>
              </w:rPr>
              <w:t>滨江片区绿色化工产业园</w:t>
            </w:r>
          </w:p>
        </w:tc>
        <w:tc>
          <w:tcPr>
            <w:tcW w:w="1587" w:type="dxa"/>
            <w:vAlign w:val="center"/>
          </w:tcPr>
          <w:p>
            <w:pPr>
              <w:pStyle w:val="67"/>
              <w:rPr>
                <w:rFonts w:eastAsiaTheme="minorEastAsia"/>
                <w:szCs w:val="21"/>
              </w:rPr>
            </w:pPr>
            <w:r>
              <w:rPr>
                <w:rFonts w:hint="eastAsia" w:eastAsiaTheme="minorEastAsia"/>
                <w:color w:val="00000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7" w:type="dxa"/>
            <w:vAlign w:val="center"/>
          </w:tcPr>
          <w:p>
            <w:pPr>
              <w:pStyle w:val="67"/>
              <w:rPr>
                <w:rFonts w:eastAsiaTheme="minorEastAsia"/>
                <w:szCs w:val="21"/>
              </w:rPr>
            </w:pPr>
            <w:r>
              <w:rPr>
                <w:rFonts w:eastAsiaTheme="minorEastAsia"/>
                <w:color w:val="000000"/>
                <w:szCs w:val="21"/>
              </w:rPr>
              <w:t>12</w:t>
            </w:r>
          </w:p>
        </w:tc>
        <w:tc>
          <w:tcPr>
            <w:tcW w:w="3289" w:type="dxa"/>
            <w:vAlign w:val="center"/>
          </w:tcPr>
          <w:p>
            <w:pPr>
              <w:pStyle w:val="67"/>
              <w:rPr>
                <w:rFonts w:eastAsiaTheme="minorEastAsia"/>
                <w:szCs w:val="21"/>
              </w:rPr>
            </w:pPr>
            <w:r>
              <w:rPr>
                <w:rFonts w:hint="eastAsia" w:eastAsiaTheme="minorEastAsia"/>
                <w:color w:val="000000"/>
                <w:szCs w:val="21"/>
              </w:rPr>
              <w:t>临湘市鹏程化工有限公司</w:t>
            </w:r>
          </w:p>
        </w:tc>
        <w:tc>
          <w:tcPr>
            <w:tcW w:w="1653" w:type="dxa"/>
            <w:vAlign w:val="center"/>
          </w:tcPr>
          <w:p>
            <w:pPr>
              <w:pStyle w:val="67"/>
              <w:rPr>
                <w:rFonts w:eastAsiaTheme="minorEastAsia"/>
                <w:szCs w:val="21"/>
              </w:rPr>
            </w:pPr>
            <w:r>
              <w:rPr>
                <w:rFonts w:hint="eastAsia" w:eastAsiaTheme="minorEastAsia"/>
                <w:color w:val="000000"/>
                <w:szCs w:val="21"/>
              </w:rPr>
              <w:t>大气</w:t>
            </w:r>
          </w:p>
        </w:tc>
        <w:tc>
          <w:tcPr>
            <w:tcW w:w="1587" w:type="dxa"/>
            <w:vAlign w:val="center"/>
          </w:tcPr>
          <w:p>
            <w:pPr>
              <w:pStyle w:val="67"/>
              <w:rPr>
                <w:rFonts w:eastAsiaTheme="minorEastAsia"/>
                <w:szCs w:val="21"/>
              </w:rPr>
            </w:pPr>
            <w:r>
              <w:rPr>
                <w:rFonts w:hint="eastAsia" w:eastAsiaTheme="minorEastAsia"/>
                <w:color w:val="000000"/>
                <w:szCs w:val="21"/>
              </w:rPr>
              <w:t>滨江片区绿色化工产业园</w:t>
            </w:r>
          </w:p>
        </w:tc>
        <w:tc>
          <w:tcPr>
            <w:tcW w:w="1587" w:type="dxa"/>
            <w:vAlign w:val="center"/>
          </w:tcPr>
          <w:p>
            <w:pPr>
              <w:pStyle w:val="67"/>
              <w:rPr>
                <w:rFonts w:eastAsiaTheme="minorEastAsia"/>
                <w:szCs w:val="21"/>
              </w:rPr>
            </w:pPr>
            <w:r>
              <w:rPr>
                <w:rFonts w:hint="eastAsia" w:eastAsiaTheme="minorEastAsia"/>
                <w:color w:val="000000"/>
                <w:szCs w:val="21"/>
              </w:rPr>
              <w:t>在建</w:t>
            </w:r>
          </w:p>
        </w:tc>
      </w:tr>
    </w:tbl>
    <w:p>
      <w:pPr>
        <w:jc w:val="center"/>
        <w:rPr>
          <w:rFonts w:ascii="Times New Roman" w:hAnsi="Times New Roman" w:cs="Times New Roman"/>
        </w:rPr>
        <w:sectPr>
          <w:pgSz w:w="11906" w:h="16838"/>
          <w:pgMar w:top="1418" w:right="1418" w:bottom="1418" w:left="1701" w:header="851" w:footer="992" w:gutter="0"/>
          <w:cols w:space="425" w:num="1"/>
          <w:docGrid w:type="linesAndChars" w:linePitch="326" w:charSpace="915"/>
        </w:sectPr>
      </w:pPr>
    </w:p>
    <w:p>
      <w:pPr>
        <w:pStyle w:val="5"/>
        <w:ind w:firstLine="491"/>
        <w:rPr>
          <w:rFonts w:ascii="Times New Roman" w:hAnsi="Times New Roman" w:cs="Times New Roman" w:eastAsiaTheme="minorEastAsia"/>
        </w:rPr>
      </w:pPr>
      <w:r>
        <w:rPr>
          <w:rFonts w:ascii="Times New Roman" w:hAnsi="Times New Roman" w:cs="Times New Roman" w:eastAsiaTheme="minorEastAsia"/>
        </w:rPr>
        <w:t>2.2.6.4</w:t>
      </w:r>
      <w:r>
        <w:rPr>
          <w:rFonts w:hint="eastAsia" w:ascii="Times New Roman" w:hAnsi="Times New Roman" w:cs="Times New Roman" w:eastAsiaTheme="minorEastAsia"/>
        </w:rPr>
        <w:t>重点企业污染防治措施调查</w:t>
      </w:r>
    </w:p>
    <w:p>
      <w:pPr>
        <w:pStyle w:val="6"/>
        <w:rPr>
          <w:rFonts w:ascii="Times New Roman" w:hAnsi="Times New Roman" w:cs="Times New Roman"/>
        </w:rPr>
      </w:pPr>
      <w:r>
        <w:rPr>
          <w:rFonts w:ascii="Times New Roman" w:hAnsi="Times New Roman" w:cs="Times New Roman"/>
        </w:rPr>
        <w:t xml:space="preserve">表2.2-10  </w:t>
      </w:r>
      <w:r>
        <w:rPr>
          <w:rFonts w:hint="eastAsia" w:ascii="Times New Roman" w:hAnsi="Times New Roman" w:cs="Times New Roman"/>
        </w:rPr>
        <w:t>重点企业污染防治措施</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146"/>
        <w:gridCol w:w="1797"/>
        <w:gridCol w:w="5383"/>
        <w:gridCol w:w="2534"/>
        <w:gridCol w:w="1467"/>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51" w:type="pct"/>
            <w:vAlign w:val="center"/>
          </w:tcPr>
          <w:p>
            <w:pPr>
              <w:pStyle w:val="67"/>
              <w:rPr>
                <w:rFonts w:eastAsiaTheme="minorEastAsia"/>
                <w:szCs w:val="21"/>
              </w:rPr>
            </w:pPr>
            <w:r>
              <w:rPr>
                <w:rFonts w:eastAsiaTheme="minorEastAsia"/>
                <w:szCs w:val="21"/>
              </w:rPr>
              <w:t>序号</w:t>
            </w:r>
          </w:p>
        </w:tc>
        <w:tc>
          <w:tcPr>
            <w:tcW w:w="403" w:type="pct"/>
            <w:vAlign w:val="center"/>
          </w:tcPr>
          <w:p>
            <w:pPr>
              <w:pStyle w:val="67"/>
              <w:rPr>
                <w:rFonts w:eastAsiaTheme="minorEastAsia"/>
                <w:szCs w:val="21"/>
              </w:rPr>
            </w:pPr>
            <w:r>
              <w:rPr>
                <w:rFonts w:eastAsiaTheme="minorEastAsia"/>
                <w:szCs w:val="21"/>
              </w:rPr>
              <w:t>企业名称</w:t>
            </w:r>
          </w:p>
        </w:tc>
        <w:tc>
          <w:tcPr>
            <w:tcW w:w="632" w:type="pct"/>
            <w:vAlign w:val="center"/>
          </w:tcPr>
          <w:p>
            <w:pPr>
              <w:pStyle w:val="67"/>
              <w:rPr>
                <w:rFonts w:eastAsiaTheme="minorEastAsia"/>
                <w:szCs w:val="21"/>
              </w:rPr>
            </w:pPr>
            <w:r>
              <w:rPr>
                <w:rFonts w:hint="eastAsia" w:eastAsiaTheme="minorEastAsia"/>
                <w:szCs w:val="21"/>
              </w:rPr>
              <w:t>废气污染防治措施</w:t>
            </w:r>
          </w:p>
        </w:tc>
        <w:tc>
          <w:tcPr>
            <w:tcW w:w="1893" w:type="pct"/>
            <w:vAlign w:val="center"/>
          </w:tcPr>
          <w:p>
            <w:pPr>
              <w:pStyle w:val="67"/>
              <w:rPr>
                <w:rFonts w:eastAsiaTheme="minorEastAsia"/>
                <w:szCs w:val="21"/>
              </w:rPr>
            </w:pPr>
            <w:r>
              <w:rPr>
                <w:rFonts w:hint="eastAsia" w:eastAsiaTheme="minorEastAsia"/>
                <w:szCs w:val="21"/>
              </w:rPr>
              <w:t>废水污染防治措施</w:t>
            </w:r>
          </w:p>
        </w:tc>
        <w:tc>
          <w:tcPr>
            <w:tcW w:w="891" w:type="pct"/>
            <w:vAlign w:val="center"/>
          </w:tcPr>
          <w:p>
            <w:pPr>
              <w:pStyle w:val="67"/>
              <w:rPr>
                <w:rFonts w:eastAsiaTheme="minorEastAsia"/>
                <w:szCs w:val="21"/>
              </w:rPr>
            </w:pPr>
            <w:r>
              <w:rPr>
                <w:rFonts w:hint="eastAsia" w:eastAsiaTheme="minorEastAsia"/>
                <w:szCs w:val="21"/>
              </w:rPr>
              <w:t>固废污染防治措施</w:t>
            </w:r>
          </w:p>
        </w:tc>
        <w:tc>
          <w:tcPr>
            <w:tcW w:w="516" w:type="pct"/>
            <w:vAlign w:val="center"/>
          </w:tcPr>
          <w:p>
            <w:pPr>
              <w:pStyle w:val="67"/>
              <w:rPr>
                <w:rFonts w:eastAsiaTheme="minorEastAsia"/>
                <w:szCs w:val="21"/>
              </w:rPr>
            </w:pPr>
            <w:r>
              <w:rPr>
                <w:rFonts w:hint="eastAsia" w:eastAsiaTheme="minorEastAsia"/>
                <w:szCs w:val="21"/>
              </w:rPr>
              <w:t>噪音污染防治措施</w:t>
            </w:r>
          </w:p>
        </w:tc>
        <w:tc>
          <w:tcPr>
            <w:tcW w:w="514" w:type="pct"/>
            <w:vAlign w:val="center"/>
          </w:tcPr>
          <w:p>
            <w:pPr>
              <w:pStyle w:val="67"/>
              <w:rPr>
                <w:rFonts w:eastAsiaTheme="minorEastAsia"/>
                <w:szCs w:val="21"/>
              </w:rPr>
            </w:pPr>
            <w:r>
              <w:rPr>
                <w:rFonts w:hint="eastAsia" w:eastAsiaTheme="minorEastAsia"/>
                <w:szCs w:val="21"/>
              </w:rPr>
              <w:t>其他防治措施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 w:type="pct"/>
            <w:vAlign w:val="center"/>
          </w:tcPr>
          <w:p>
            <w:pPr>
              <w:pStyle w:val="67"/>
              <w:rPr>
                <w:rFonts w:eastAsiaTheme="minorEastAsia"/>
                <w:szCs w:val="21"/>
              </w:rPr>
            </w:pPr>
            <w:r>
              <w:rPr>
                <w:rFonts w:eastAsiaTheme="minorEastAsia"/>
                <w:szCs w:val="21"/>
              </w:rPr>
              <w:t>1</w:t>
            </w:r>
          </w:p>
        </w:tc>
        <w:tc>
          <w:tcPr>
            <w:tcW w:w="403" w:type="pct"/>
            <w:vAlign w:val="center"/>
          </w:tcPr>
          <w:p>
            <w:pPr>
              <w:pStyle w:val="67"/>
              <w:rPr>
                <w:rFonts w:eastAsiaTheme="minorEastAsia"/>
                <w:szCs w:val="21"/>
              </w:rPr>
            </w:pPr>
            <w:r>
              <w:rPr>
                <w:rFonts w:hint="eastAsia" w:eastAsiaTheme="minorEastAsia"/>
                <w:szCs w:val="21"/>
              </w:rPr>
              <w:t>兆邦陶瓷有限责任公司</w:t>
            </w:r>
          </w:p>
        </w:tc>
        <w:tc>
          <w:tcPr>
            <w:tcW w:w="632" w:type="pct"/>
            <w:vAlign w:val="center"/>
          </w:tcPr>
          <w:p>
            <w:pPr>
              <w:pStyle w:val="67"/>
              <w:rPr>
                <w:rFonts w:eastAsiaTheme="minorEastAsia"/>
                <w:szCs w:val="21"/>
              </w:rPr>
            </w:pPr>
            <w:r>
              <w:rPr>
                <w:rFonts w:hint="eastAsia" w:eastAsiaTheme="minorEastAsia"/>
                <w:szCs w:val="21"/>
              </w:rPr>
              <w:t>袋式收集器、旋风除尘+水喷淋除尘、碱法湿法脱硫除尘</w:t>
            </w:r>
          </w:p>
        </w:tc>
        <w:tc>
          <w:tcPr>
            <w:tcW w:w="1893" w:type="pct"/>
            <w:vAlign w:val="center"/>
          </w:tcPr>
          <w:p>
            <w:pPr>
              <w:pStyle w:val="67"/>
              <w:rPr>
                <w:rFonts w:eastAsiaTheme="minorEastAsia"/>
                <w:szCs w:val="21"/>
              </w:rPr>
            </w:pPr>
            <w:r>
              <w:rPr>
                <w:rFonts w:hint="eastAsia" w:eastAsiaTheme="minorEastAsia"/>
                <w:szCs w:val="21"/>
              </w:rPr>
              <w:t>废水流入集水池，加入药物进行混凝后泵上折流式旋流反应器，废水中的SS在旋流反应器中形成帆花，帆花随着进程不断增大，密度亦随之增加。然后进入沉淀池分离，清液(清水)流至清水池后泵去车间回用或外排，沉淀的污泥排至污泥池，用泵抽提到污泥浓缩罐后，再用双缸泵泵至板框机脱水，干污泥外销综合利用，滤出液返回集水池作重新处理，至此完成污水处理的全过程。煤气洗涤水收集后经多级沉淀，多级降温以及隔油、曝气后，可以作为煤气洗涤工程循环用水。</w:t>
            </w:r>
          </w:p>
        </w:tc>
        <w:tc>
          <w:tcPr>
            <w:tcW w:w="891" w:type="pct"/>
            <w:vAlign w:val="center"/>
          </w:tcPr>
          <w:p>
            <w:pPr>
              <w:pStyle w:val="67"/>
              <w:rPr>
                <w:rFonts w:eastAsiaTheme="minorEastAsia"/>
                <w:szCs w:val="21"/>
              </w:rPr>
            </w:pPr>
            <w:r>
              <w:rPr>
                <w:rFonts w:hint="eastAsia" w:eastAsiaTheme="minorEastAsia"/>
                <w:szCs w:val="21"/>
              </w:rPr>
              <w:t>工程烧成后不合格品和成品废料回收利用；炉渣和煤气发生炉除尘灰、废水处理污泥(干污泥计)、脱硫副产品外销综合利用；电捕焦油回用热风炉焚烧</w:t>
            </w:r>
          </w:p>
        </w:tc>
        <w:tc>
          <w:tcPr>
            <w:tcW w:w="516" w:type="pct"/>
            <w:vAlign w:val="center"/>
          </w:tcPr>
          <w:p>
            <w:pPr>
              <w:pStyle w:val="67"/>
              <w:rPr>
                <w:rFonts w:eastAsiaTheme="minorEastAsia"/>
                <w:szCs w:val="21"/>
              </w:rPr>
            </w:pPr>
            <w:r>
              <w:rPr>
                <w:rFonts w:hint="eastAsia" w:eastAsiaTheme="minorEastAsia"/>
                <w:szCs w:val="21"/>
              </w:rPr>
              <w:t>设备减噪：强噪风机进气口装消声器</w:t>
            </w:r>
          </w:p>
        </w:tc>
        <w:tc>
          <w:tcPr>
            <w:tcW w:w="514" w:type="pct"/>
            <w:vAlign w:val="center"/>
          </w:tcPr>
          <w:p>
            <w:pPr>
              <w:pStyle w:val="67"/>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 w:type="pct"/>
            <w:vAlign w:val="center"/>
          </w:tcPr>
          <w:p>
            <w:pPr>
              <w:pStyle w:val="67"/>
              <w:rPr>
                <w:rFonts w:eastAsiaTheme="minorEastAsia"/>
                <w:szCs w:val="21"/>
              </w:rPr>
            </w:pPr>
            <w:r>
              <w:rPr>
                <w:rFonts w:eastAsiaTheme="minorEastAsia"/>
                <w:szCs w:val="21"/>
              </w:rPr>
              <w:t>2</w:t>
            </w:r>
          </w:p>
        </w:tc>
        <w:tc>
          <w:tcPr>
            <w:tcW w:w="403" w:type="pct"/>
            <w:vAlign w:val="center"/>
          </w:tcPr>
          <w:p>
            <w:pPr>
              <w:pStyle w:val="67"/>
              <w:rPr>
                <w:rFonts w:eastAsiaTheme="minorEastAsia"/>
                <w:szCs w:val="21"/>
              </w:rPr>
            </w:pPr>
            <w:r>
              <w:rPr>
                <w:rFonts w:hint="eastAsia" w:eastAsiaTheme="minorEastAsia"/>
                <w:szCs w:val="21"/>
              </w:rPr>
              <w:t>深水海纳水务集团股份有限公司岳阳分公司</w:t>
            </w:r>
          </w:p>
        </w:tc>
        <w:tc>
          <w:tcPr>
            <w:tcW w:w="632" w:type="pct"/>
            <w:vAlign w:val="center"/>
          </w:tcPr>
          <w:p>
            <w:pPr>
              <w:pStyle w:val="67"/>
              <w:rPr>
                <w:rFonts w:eastAsiaTheme="minorEastAsia"/>
                <w:szCs w:val="21"/>
              </w:rPr>
            </w:pPr>
            <w:r>
              <w:rPr>
                <w:rFonts w:hint="eastAsia" w:eastAsiaTheme="minorEastAsia"/>
                <w:szCs w:val="21"/>
              </w:rPr>
              <w:t>化学洗涤+生物除臭+15m高排气筒</w:t>
            </w:r>
          </w:p>
        </w:tc>
        <w:tc>
          <w:tcPr>
            <w:tcW w:w="1893" w:type="pct"/>
            <w:vAlign w:val="center"/>
          </w:tcPr>
          <w:p>
            <w:pPr>
              <w:widowControl/>
              <w:jc w:val="center"/>
              <w:rPr>
                <w:rFonts w:ascii="Times New Roman" w:hAnsi="Times New Roman" w:cs="Times New Roman"/>
                <w:sz w:val="21"/>
                <w:szCs w:val="21"/>
              </w:rPr>
            </w:pPr>
            <w:r>
              <w:rPr>
                <w:rFonts w:hint="eastAsia" w:ascii="Times New Roman" w:hAnsi="Times New Roman" w:cs="Times New Roman"/>
                <w:sz w:val="21"/>
                <w:szCs w:val="21"/>
              </w:rPr>
              <w:t>经污水处理系统</w:t>
            </w:r>
            <w:r>
              <w:rPr>
                <w:rFonts w:hint="eastAsia" w:ascii="Times New Roman" w:hAnsi="Times New Roman"/>
                <w:sz w:val="21"/>
                <w:szCs w:val="21"/>
              </w:rPr>
              <w:t>处理后排放</w:t>
            </w:r>
          </w:p>
        </w:tc>
        <w:tc>
          <w:tcPr>
            <w:tcW w:w="891" w:type="pct"/>
            <w:vAlign w:val="center"/>
          </w:tcPr>
          <w:p>
            <w:pPr>
              <w:pStyle w:val="67"/>
              <w:rPr>
                <w:rFonts w:eastAsiaTheme="minorEastAsia"/>
                <w:szCs w:val="21"/>
              </w:rPr>
            </w:pPr>
            <w:r>
              <w:rPr>
                <w:rFonts w:hint="eastAsia" w:eastAsiaTheme="minorEastAsia"/>
                <w:szCs w:val="21"/>
              </w:rPr>
              <w:t>污泥脱水后暂存于危废间，一定量后交由有</w:t>
            </w:r>
            <w:r>
              <w:rPr>
                <w:rFonts w:eastAsiaTheme="minorEastAsia"/>
                <w:szCs w:val="21"/>
              </w:rPr>
              <w:t>资质单位处理</w:t>
            </w:r>
          </w:p>
        </w:tc>
        <w:tc>
          <w:tcPr>
            <w:tcW w:w="516" w:type="pct"/>
            <w:vAlign w:val="center"/>
          </w:tcPr>
          <w:p>
            <w:pPr>
              <w:pStyle w:val="67"/>
              <w:rPr>
                <w:rFonts w:eastAsiaTheme="minorEastAsia"/>
                <w:szCs w:val="21"/>
              </w:rPr>
            </w:pPr>
            <w:r>
              <w:rPr>
                <w:rFonts w:hint="eastAsia" w:eastAsiaTheme="minorEastAsia"/>
                <w:szCs w:val="21"/>
              </w:rPr>
              <w:t>厂区采用低噪声设备，水泵、各类风机等设备经合理布局均安放在厂房内，厂房四周有绿植隔声，厂界建有围墙进行减噪</w:t>
            </w:r>
          </w:p>
        </w:tc>
        <w:tc>
          <w:tcPr>
            <w:tcW w:w="514" w:type="pct"/>
            <w:vAlign w:val="center"/>
          </w:tcPr>
          <w:p>
            <w:pPr>
              <w:pStyle w:val="67"/>
              <w:rPr>
                <w:rFonts w:eastAsiaTheme="minorEastAsia"/>
                <w:szCs w:val="21"/>
              </w:rPr>
            </w:pPr>
            <w:r>
              <w:rPr>
                <w:rFonts w:hint="eastAsia" w:eastAsiaTheme="minorEastAsia"/>
                <w:szCs w:val="21"/>
              </w:rPr>
              <w:t>厂区事故池、氧化池、絮凝沉淀池、氧化沟等设施区域地面实施硬化措施，防止对地下水进行污染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 w:type="pct"/>
            <w:vAlign w:val="center"/>
          </w:tcPr>
          <w:p>
            <w:pPr>
              <w:pStyle w:val="67"/>
              <w:rPr>
                <w:rFonts w:eastAsiaTheme="minorEastAsia"/>
                <w:szCs w:val="21"/>
              </w:rPr>
            </w:pPr>
            <w:r>
              <w:rPr>
                <w:rFonts w:eastAsiaTheme="minorEastAsia"/>
                <w:szCs w:val="21"/>
              </w:rPr>
              <w:t>3</w:t>
            </w:r>
          </w:p>
        </w:tc>
        <w:tc>
          <w:tcPr>
            <w:tcW w:w="403" w:type="pct"/>
            <w:vAlign w:val="center"/>
          </w:tcPr>
          <w:p>
            <w:pPr>
              <w:pStyle w:val="67"/>
              <w:rPr>
                <w:rFonts w:eastAsiaTheme="minorEastAsia"/>
                <w:szCs w:val="21"/>
              </w:rPr>
            </w:pPr>
            <w:r>
              <w:rPr>
                <w:rFonts w:hint="eastAsia" w:eastAsiaTheme="minorEastAsia"/>
                <w:szCs w:val="21"/>
              </w:rPr>
              <w:t>湖南凯美陶瓷有限公司</w:t>
            </w:r>
          </w:p>
        </w:tc>
        <w:tc>
          <w:tcPr>
            <w:tcW w:w="632" w:type="pct"/>
            <w:vAlign w:val="center"/>
          </w:tcPr>
          <w:p>
            <w:pPr>
              <w:pStyle w:val="67"/>
              <w:rPr>
                <w:rFonts w:eastAsiaTheme="minorEastAsia"/>
                <w:szCs w:val="21"/>
              </w:rPr>
            </w:pPr>
            <w:r>
              <w:rPr>
                <w:rFonts w:hint="eastAsia" w:eastAsiaTheme="minorEastAsia"/>
                <w:szCs w:val="21"/>
              </w:rPr>
              <w:t>旋风除尘+水喷淋除尘、碱法湿法脱硫除尘</w:t>
            </w:r>
          </w:p>
        </w:tc>
        <w:tc>
          <w:tcPr>
            <w:tcW w:w="1893" w:type="pct"/>
            <w:vAlign w:val="center"/>
          </w:tcPr>
          <w:p>
            <w:pPr>
              <w:pStyle w:val="67"/>
              <w:rPr>
                <w:rFonts w:eastAsiaTheme="minorEastAsia"/>
                <w:szCs w:val="21"/>
              </w:rPr>
            </w:pPr>
          </w:p>
        </w:tc>
        <w:tc>
          <w:tcPr>
            <w:tcW w:w="891" w:type="pct"/>
            <w:vAlign w:val="center"/>
          </w:tcPr>
          <w:p>
            <w:pPr>
              <w:pStyle w:val="67"/>
              <w:rPr>
                <w:rFonts w:eastAsiaTheme="minorEastAsia"/>
                <w:szCs w:val="21"/>
              </w:rPr>
            </w:pPr>
            <w:r>
              <w:rPr>
                <w:rFonts w:hint="eastAsia" w:eastAsiaTheme="minorEastAsia"/>
                <w:szCs w:val="21"/>
              </w:rPr>
              <w:t>工程烧成后不合格品和成品废料回收利用；炉渣和煤气发生炉除尘灰、废水处理污泥(干污泥计)、脱硫副产品外销综合利用；电捕焦油回用热风炉焚烧</w:t>
            </w:r>
          </w:p>
        </w:tc>
        <w:tc>
          <w:tcPr>
            <w:tcW w:w="516" w:type="pct"/>
            <w:vAlign w:val="center"/>
          </w:tcPr>
          <w:p>
            <w:pPr>
              <w:pStyle w:val="67"/>
              <w:rPr>
                <w:rFonts w:eastAsiaTheme="minorEastAsia"/>
                <w:szCs w:val="21"/>
              </w:rPr>
            </w:pPr>
          </w:p>
        </w:tc>
        <w:tc>
          <w:tcPr>
            <w:tcW w:w="514" w:type="pct"/>
            <w:vAlign w:val="center"/>
          </w:tcPr>
          <w:p>
            <w:pPr>
              <w:pStyle w:val="67"/>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 w:type="pct"/>
            <w:vAlign w:val="center"/>
          </w:tcPr>
          <w:p>
            <w:pPr>
              <w:pStyle w:val="67"/>
              <w:rPr>
                <w:rFonts w:eastAsiaTheme="minorEastAsia"/>
                <w:szCs w:val="21"/>
              </w:rPr>
            </w:pPr>
            <w:r>
              <w:rPr>
                <w:rFonts w:eastAsiaTheme="minorEastAsia"/>
                <w:szCs w:val="21"/>
              </w:rPr>
              <w:t>4</w:t>
            </w:r>
          </w:p>
        </w:tc>
        <w:tc>
          <w:tcPr>
            <w:tcW w:w="403" w:type="pct"/>
            <w:vAlign w:val="center"/>
          </w:tcPr>
          <w:p>
            <w:pPr>
              <w:pStyle w:val="67"/>
              <w:rPr>
                <w:rFonts w:eastAsiaTheme="minorEastAsia"/>
                <w:szCs w:val="21"/>
              </w:rPr>
            </w:pPr>
            <w:r>
              <w:rPr>
                <w:rFonts w:hint="eastAsia" w:eastAsiaTheme="minorEastAsia"/>
                <w:szCs w:val="21"/>
              </w:rPr>
              <w:t>湖南德泽环保科技有限公司</w:t>
            </w:r>
          </w:p>
        </w:tc>
        <w:tc>
          <w:tcPr>
            <w:tcW w:w="632" w:type="pct"/>
            <w:vAlign w:val="center"/>
          </w:tcPr>
          <w:p>
            <w:pPr>
              <w:pStyle w:val="67"/>
              <w:rPr>
                <w:rFonts w:eastAsiaTheme="minorEastAsia"/>
                <w:szCs w:val="21"/>
              </w:rPr>
            </w:pPr>
            <w:r>
              <w:rPr>
                <w:rFonts w:eastAsiaTheme="minorEastAsia"/>
                <w:szCs w:val="21"/>
              </w:rPr>
              <w:t>建设一套烟气净化系统，采用“半干式喷淋塔＋活性炭吸附＋ 布袋除尘器”的尾气净化工艺</w:t>
            </w:r>
          </w:p>
        </w:tc>
        <w:tc>
          <w:tcPr>
            <w:tcW w:w="1893" w:type="pct"/>
            <w:vAlign w:val="center"/>
          </w:tcPr>
          <w:p>
            <w:pPr>
              <w:pStyle w:val="67"/>
              <w:rPr>
                <w:rFonts w:eastAsiaTheme="minorEastAsia"/>
                <w:szCs w:val="21"/>
              </w:rPr>
            </w:pPr>
            <w:r>
              <w:rPr>
                <w:rFonts w:eastAsiaTheme="minorEastAsia"/>
                <w:szCs w:val="21"/>
              </w:rPr>
              <w:t>依托湖南国发精细化工科技有限公司（以下简称国发公司）现有的污水处理设施</w:t>
            </w:r>
          </w:p>
        </w:tc>
        <w:tc>
          <w:tcPr>
            <w:tcW w:w="891" w:type="pct"/>
            <w:vAlign w:val="center"/>
          </w:tcPr>
          <w:p>
            <w:pPr>
              <w:pStyle w:val="67"/>
              <w:rPr>
                <w:rFonts w:eastAsiaTheme="minorEastAsia"/>
                <w:szCs w:val="21"/>
              </w:rPr>
            </w:pPr>
            <w:r>
              <w:rPr>
                <w:rFonts w:eastAsiaTheme="minorEastAsia"/>
                <w:szCs w:val="21"/>
              </w:rPr>
              <w:t>建设危险废物暂存库和灰渣处理系统</w:t>
            </w:r>
          </w:p>
        </w:tc>
        <w:tc>
          <w:tcPr>
            <w:tcW w:w="516" w:type="pct"/>
            <w:vAlign w:val="center"/>
          </w:tcPr>
          <w:p>
            <w:pPr>
              <w:pStyle w:val="67"/>
              <w:rPr>
                <w:rFonts w:eastAsiaTheme="minorEastAsia"/>
                <w:szCs w:val="21"/>
              </w:rPr>
            </w:pPr>
            <w:r>
              <w:rPr>
                <w:rFonts w:eastAsiaTheme="minorEastAsia"/>
                <w:szCs w:val="21"/>
              </w:rPr>
              <w:t>厂内强噪声设备采取减振、消声或隔声措施</w:t>
            </w:r>
          </w:p>
        </w:tc>
        <w:tc>
          <w:tcPr>
            <w:tcW w:w="514" w:type="pct"/>
            <w:vAlign w:val="center"/>
          </w:tcPr>
          <w:p>
            <w:pPr>
              <w:pStyle w:val="67"/>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 w:type="pct"/>
            <w:vAlign w:val="center"/>
          </w:tcPr>
          <w:p>
            <w:pPr>
              <w:pStyle w:val="67"/>
              <w:rPr>
                <w:rFonts w:eastAsiaTheme="minorEastAsia"/>
                <w:szCs w:val="21"/>
              </w:rPr>
            </w:pPr>
            <w:r>
              <w:rPr>
                <w:rFonts w:eastAsiaTheme="minorEastAsia"/>
                <w:szCs w:val="21"/>
              </w:rPr>
              <w:t>5</w:t>
            </w:r>
          </w:p>
        </w:tc>
        <w:tc>
          <w:tcPr>
            <w:tcW w:w="403" w:type="pct"/>
            <w:vAlign w:val="center"/>
          </w:tcPr>
          <w:p>
            <w:pPr>
              <w:pStyle w:val="67"/>
              <w:rPr>
                <w:rFonts w:eastAsiaTheme="minorEastAsia"/>
                <w:szCs w:val="21"/>
              </w:rPr>
            </w:pPr>
            <w:r>
              <w:rPr>
                <w:rFonts w:hint="eastAsia" w:eastAsiaTheme="minorEastAsia"/>
                <w:szCs w:val="21"/>
              </w:rPr>
              <w:t>湖南省发达陶瓷有限责任公司</w:t>
            </w:r>
          </w:p>
        </w:tc>
        <w:tc>
          <w:tcPr>
            <w:tcW w:w="632" w:type="pct"/>
            <w:vAlign w:val="center"/>
          </w:tcPr>
          <w:p>
            <w:pPr>
              <w:pStyle w:val="67"/>
              <w:rPr>
                <w:rFonts w:eastAsiaTheme="minorEastAsia"/>
                <w:szCs w:val="21"/>
              </w:rPr>
            </w:pPr>
            <w:r>
              <w:rPr>
                <w:rFonts w:hint="eastAsia" w:eastAsiaTheme="minorEastAsia"/>
                <w:szCs w:val="21"/>
              </w:rPr>
              <w:t>旋风除尘+水喷淋除尘、碱法湿法脱硫除尘</w:t>
            </w:r>
          </w:p>
        </w:tc>
        <w:tc>
          <w:tcPr>
            <w:tcW w:w="1893" w:type="pct"/>
            <w:vAlign w:val="center"/>
          </w:tcPr>
          <w:p>
            <w:pPr>
              <w:pStyle w:val="67"/>
              <w:rPr>
                <w:rFonts w:eastAsiaTheme="minorEastAsia"/>
                <w:szCs w:val="21"/>
              </w:rPr>
            </w:pPr>
          </w:p>
        </w:tc>
        <w:tc>
          <w:tcPr>
            <w:tcW w:w="891" w:type="pct"/>
            <w:vAlign w:val="center"/>
          </w:tcPr>
          <w:p>
            <w:pPr>
              <w:pStyle w:val="67"/>
              <w:rPr>
                <w:rFonts w:eastAsiaTheme="minorEastAsia"/>
                <w:szCs w:val="21"/>
              </w:rPr>
            </w:pPr>
            <w:r>
              <w:rPr>
                <w:rFonts w:hint="eastAsia" w:eastAsiaTheme="minorEastAsia"/>
                <w:szCs w:val="21"/>
              </w:rPr>
              <w:t>工程烧成后不合格品和成品废料回收利用；炉渣和煤气发生炉除尘灰、废水处理污泥(干污泥计)、脱硫副产品外销综合利用；电捕焦油回用热风炉焚烧</w:t>
            </w:r>
          </w:p>
        </w:tc>
        <w:tc>
          <w:tcPr>
            <w:tcW w:w="516" w:type="pct"/>
            <w:vAlign w:val="center"/>
          </w:tcPr>
          <w:p>
            <w:pPr>
              <w:pStyle w:val="67"/>
              <w:rPr>
                <w:rFonts w:eastAsiaTheme="minorEastAsia"/>
                <w:szCs w:val="21"/>
              </w:rPr>
            </w:pPr>
          </w:p>
        </w:tc>
        <w:tc>
          <w:tcPr>
            <w:tcW w:w="514" w:type="pct"/>
            <w:vAlign w:val="center"/>
          </w:tcPr>
          <w:p>
            <w:pPr>
              <w:pStyle w:val="67"/>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 w:type="pct"/>
            <w:vAlign w:val="center"/>
          </w:tcPr>
          <w:p>
            <w:pPr>
              <w:pStyle w:val="67"/>
              <w:rPr>
                <w:rFonts w:eastAsiaTheme="minorEastAsia"/>
                <w:szCs w:val="21"/>
              </w:rPr>
            </w:pPr>
            <w:r>
              <w:rPr>
                <w:rFonts w:eastAsiaTheme="minorEastAsia"/>
                <w:szCs w:val="21"/>
              </w:rPr>
              <w:t>6</w:t>
            </w:r>
          </w:p>
        </w:tc>
        <w:tc>
          <w:tcPr>
            <w:tcW w:w="403" w:type="pct"/>
            <w:vAlign w:val="center"/>
          </w:tcPr>
          <w:p>
            <w:pPr>
              <w:pStyle w:val="67"/>
              <w:rPr>
                <w:rFonts w:eastAsiaTheme="minorEastAsia"/>
                <w:szCs w:val="21"/>
              </w:rPr>
            </w:pPr>
            <w:r>
              <w:rPr>
                <w:rFonts w:hint="eastAsia" w:eastAsiaTheme="minorEastAsia"/>
                <w:szCs w:val="21"/>
              </w:rPr>
              <w:t>临湘海螺水泥有限责任公司</w:t>
            </w:r>
          </w:p>
        </w:tc>
        <w:tc>
          <w:tcPr>
            <w:tcW w:w="632" w:type="pct"/>
            <w:vAlign w:val="center"/>
          </w:tcPr>
          <w:p>
            <w:pPr>
              <w:tabs>
                <w:tab w:val="left" w:pos="1021"/>
              </w:tabs>
              <w:autoSpaceDE w:val="0"/>
              <w:autoSpaceDN w:val="0"/>
              <w:rPr>
                <w:rFonts w:ascii="Times New Roman" w:hAnsi="Times New Roman" w:cs="Times New Roman"/>
                <w:sz w:val="21"/>
                <w:szCs w:val="21"/>
              </w:rPr>
            </w:pPr>
            <w:r>
              <w:rPr>
                <w:rFonts w:hint="eastAsia" w:ascii="Times New Roman" w:hAnsi="Times New Roman" w:cs="Times New Roman"/>
                <w:sz w:val="21"/>
                <w:szCs w:val="21"/>
              </w:rPr>
              <w:t>布袋除尘器；分级燃烧+精准SNCR+SCR措施后通过窑炉烟囱排放</w:t>
            </w:r>
          </w:p>
        </w:tc>
        <w:tc>
          <w:tcPr>
            <w:tcW w:w="1893" w:type="pct"/>
            <w:vAlign w:val="center"/>
          </w:tcPr>
          <w:p>
            <w:pPr>
              <w:tabs>
                <w:tab w:val="left" w:pos="1021"/>
              </w:tabs>
              <w:autoSpaceDE w:val="0"/>
              <w:autoSpaceDN w:val="0"/>
              <w:jc w:val="center"/>
              <w:rPr>
                <w:rFonts w:ascii="Times New Roman" w:hAnsi="Times New Roman" w:cs="Times New Roman"/>
                <w:sz w:val="21"/>
                <w:szCs w:val="21"/>
              </w:rPr>
            </w:pPr>
            <w:r>
              <w:rPr>
                <w:rFonts w:hint="eastAsia" w:ascii="Times New Roman" w:hAnsi="Times New Roman" w:cs="Times New Roman"/>
                <w:sz w:val="21"/>
                <w:szCs w:val="21"/>
              </w:rPr>
              <w:t>经污水处理系统</w:t>
            </w:r>
            <w:r>
              <w:rPr>
                <w:rFonts w:hint="eastAsia" w:ascii="Times New Roman" w:hAnsi="Times New Roman"/>
                <w:sz w:val="21"/>
                <w:szCs w:val="21"/>
              </w:rPr>
              <w:t>处理后排放</w:t>
            </w:r>
          </w:p>
        </w:tc>
        <w:tc>
          <w:tcPr>
            <w:tcW w:w="891" w:type="pct"/>
            <w:vAlign w:val="center"/>
          </w:tcPr>
          <w:p>
            <w:pPr>
              <w:pStyle w:val="67"/>
              <w:rPr>
                <w:rFonts w:eastAsiaTheme="minorEastAsia"/>
                <w:szCs w:val="21"/>
              </w:rPr>
            </w:pPr>
            <w:r>
              <w:rPr>
                <w:rFonts w:hint="eastAsia" w:eastAsiaTheme="minorEastAsia"/>
                <w:szCs w:val="21"/>
              </w:rPr>
              <w:t>开采的矿石及剥离的废土综合利用或平整处置；粉尘全部返回生产线回收利用；水泥包装袋由废品回收公司回收；生活垃圾送当地垃圾场统一处理。</w:t>
            </w:r>
          </w:p>
        </w:tc>
        <w:tc>
          <w:tcPr>
            <w:tcW w:w="516" w:type="pct"/>
            <w:vAlign w:val="center"/>
          </w:tcPr>
          <w:p>
            <w:pPr>
              <w:pStyle w:val="67"/>
              <w:rPr>
                <w:rFonts w:eastAsiaTheme="minorEastAsia"/>
                <w:szCs w:val="21"/>
              </w:rPr>
            </w:pPr>
            <w:r>
              <w:rPr>
                <w:rFonts w:eastAsiaTheme="minorEastAsia"/>
                <w:szCs w:val="21"/>
              </w:rPr>
              <w:t>厂内强噪声设备采取减振、消声或隔声措施</w:t>
            </w:r>
            <w:r>
              <w:rPr>
                <w:rFonts w:hint="eastAsia" w:eastAsiaTheme="minorEastAsia"/>
                <w:szCs w:val="21"/>
              </w:rPr>
              <w:t>；厂房四周有绿植隔声</w:t>
            </w:r>
          </w:p>
        </w:tc>
        <w:tc>
          <w:tcPr>
            <w:tcW w:w="514" w:type="pct"/>
            <w:vAlign w:val="center"/>
          </w:tcPr>
          <w:p>
            <w:pPr>
              <w:pStyle w:val="67"/>
              <w:rPr>
                <w:rFonts w:eastAsiaTheme="minorEastAsia"/>
                <w:szCs w:val="21"/>
              </w:rPr>
            </w:pPr>
          </w:p>
        </w:tc>
      </w:tr>
    </w:tbl>
    <w:p>
      <w:pPr>
        <w:sectPr>
          <w:pgSz w:w="16838" w:h="11906" w:orient="landscape"/>
          <w:pgMar w:top="1418" w:right="1418" w:bottom="1701" w:left="1418" w:header="851" w:footer="992" w:gutter="0"/>
          <w:cols w:space="425" w:num="1"/>
          <w:docGrid w:type="linesAndChars" w:linePitch="326" w:charSpace="915"/>
        </w:sectPr>
      </w:pPr>
    </w:p>
    <w:p>
      <w:pPr>
        <w:pStyle w:val="4"/>
        <w:rPr>
          <w:rFonts w:ascii="Times New Roman" w:hAnsi="Times New Roman" w:cs="Times New Roman"/>
        </w:rPr>
      </w:pPr>
      <w:bookmarkStart w:id="87" w:name="_Toc146091884"/>
      <w:r>
        <w:rPr>
          <w:rFonts w:ascii="Times New Roman" w:hAnsi="Times New Roman" w:cs="Times New Roman"/>
        </w:rPr>
        <w:t>2.2.7 园区企业污染源调查</w:t>
      </w:r>
      <w:bookmarkEnd w:id="87"/>
    </w:p>
    <w:p>
      <w:pPr>
        <w:spacing w:line="360" w:lineRule="auto"/>
        <w:ind w:firstLine="488" w:firstLineChars="200"/>
        <w:rPr>
          <w:rFonts w:ascii="Times New Roman" w:hAnsi="Times New Roman" w:cs="Times New Roman"/>
        </w:rPr>
      </w:pPr>
      <w:r>
        <w:rPr>
          <w:rFonts w:ascii="Times New Roman" w:hAnsi="Times New Roman" w:cs="Times New Roman"/>
        </w:rPr>
        <w:t>本次园区企业污染源调查收集了企业环评报告、验收报告、排污许可证等相关资料，园区运行、在建企业的污染物汇总情况见下表。</w:t>
      </w:r>
    </w:p>
    <w:p>
      <w:pPr>
        <w:spacing w:line="360" w:lineRule="auto"/>
        <w:ind w:firstLine="488"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湖南省环境保护厅关于临湘工业园回顾性环境影响报告书的审查意见》（湘环评函[2017]30号）</w:t>
      </w:r>
      <w:r>
        <w:rPr>
          <w:rFonts w:ascii="Times New Roman" w:hAnsi="Times New Roman" w:cs="Times New Roman"/>
        </w:rPr>
        <w:t>批复</w:t>
      </w:r>
      <w:r>
        <w:rPr>
          <w:rFonts w:hint="eastAsia" w:ascii="Times New Roman" w:hAnsi="Times New Roman" w:cs="Times New Roman"/>
        </w:rPr>
        <w:t>三湾产业园</w:t>
      </w:r>
      <w:r>
        <w:rPr>
          <w:rFonts w:ascii="Times New Roman" w:hAnsi="Times New Roman" w:cs="Times New Roman"/>
        </w:rPr>
        <w:t>污染物总量控制指标为：SO</w:t>
      </w:r>
      <w:r>
        <w:rPr>
          <w:rFonts w:ascii="Times New Roman" w:hAnsi="Times New Roman" w:cs="Times New Roman"/>
          <w:vertAlign w:val="subscript"/>
        </w:rPr>
        <w:t>2</w:t>
      </w:r>
      <w:r>
        <w:rPr>
          <w:rFonts w:ascii="Times New Roman" w:hAnsi="Times New Roman" w:cs="Times New Roman"/>
        </w:rPr>
        <w:t>：1466.9t/a、NOx：1693.5t/a、COD：208.2t/a、NH</w:t>
      </w:r>
      <w:r>
        <w:rPr>
          <w:rFonts w:ascii="Times New Roman" w:hAnsi="Times New Roman" w:cs="Times New Roman"/>
          <w:vertAlign w:val="subscript"/>
        </w:rPr>
        <w:t>3</w:t>
      </w:r>
      <w:r>
        <w:rPr>
          <w:rFonts w:ascii="Times New Roman" w:hAnsi="Times New Roman" w:cs="Times New Roman"/>
        </w:rPr>
        <w:t>-N: 35.2t/a</w:t>
      </w:r>
      <w:r>
        <w:rPr>
          <w:rFonts w:hint="eastAsia" w:ascii="Times New Roman" w:hAnsi="Times New Roman" w:cs="Times New Roman"/>
        </w:rPr>
        <w:t>，</w:t>
      </w:r>
      <w:r>
        <w:rPr>
          <w:rFonts w:ascii="Times New Roman" w:hAnsi="Times New Roman" w:cs="Times New Roman"/>
        </w:rPr>
        <w:t>本次评价统计</w:t>
      </w:r>
      <w:r>
        <w:rPr>
          <w:rFonts w:hint="eastAsia" w:ascii="Times New Roman" w:hAnsi="Times New Roman" w:cs="Times New Roman"/>
        </w:rPr>
        <w:t>三湾产业园规划范围内</w:t>
      </w:r>
      <w:r>
        <w:rPr>
          <w:rFonts w:ascii="Times New Roman" w:hAnsi="Times New Roman" w:cs="Times New Roman"/>
        </w:rPr>
        <w:t>现有企业污染物统计排放量为：SO2：67.4788t/a、NOx：2.248 t/a、COD：0.711t/a、NH3-N: 0.054t/a</w:t>
      </w:r>
      <w:r>
        <w:rPr>
          <w:rFonts w:hint="eastAsia" w:ascii="Times New Roman" w:hAnsi="Times New Roman" w:cs="Times New Roman"/>
        </w:rPr>
        <w:t>，</w:t>
      </w:r>
      <w:r>
        <w:rPr>
          <w:rFonts w:ascii="Times New Roman" w:hAnsi="Times New Roman" w:cs="Times New Roman"/>
        </w:rPr>
        <w:t>未超过原环评批复的污染物总量</w:t>
      </w:r>
      <w:r>
        <w:rPr>
          <w:rFonts w:hint="eastAsia" w:ascii="Times New Roman" w:hAnsi="Times New Roman" w:cs="Times New Roman"/>
        </w:rPr>
        <w:t>，三湾产业园规划范围外</w:t>
      </w:r>
      <w:r>
        <w:rPr>
          <w:rFonts w:ascii="Times New Roman" w:hAnsi="Times New Roman" w:cs="Times New Roman"/>
        </w:rPr>
        <w:t>现有企业</w:t>
      </w:r>
      <w:r>
        <w:rPr>
          <w:rFonts w:hint="eastAsia" w:ascii="Times New Roman" w:hAnsi="Times New Roman" w:cs="Times New Roman"/>
        </w:rPr>
        <w:t>（X家）</w:t>
      </w:r>
      <w:r>
        <w:rPr>
          <w:rFonts w:ascii="Times New Roman" w:hAnsi="Times New Roman" w:cs="Times New Roman"/>
        </w:rPr>
        <w:t>污染物统计排放量为：SO</w:t>
      </w:r>
      <w:r>
        <w:rPr>
          <w:rFonts w:ascii="Times New Roman" w:hAnsi="Times New Roman" w:cs="Times New Roman"/>
          <w:vertAlign w:val="subscript"/>
        </w:rPr>
        <w:t>2</w:t>
      </w:r>
      <w:r>
        <w:rPr>
          <w:rFonts w:ascii="Times New Roman" w:hAnsi="Times New Roman" w:cs="Times New Roman"/>
        </w:rPr>
        <w:t>：857.312 t/a、NOx：4021.488 t/a、COD：0t/a、NH3-N: 0t/a</w:t>
      </w:r>
      <w:r>
        <w:rPr>
          <w:rFonts w:hint="eastAsia" w:ascii="Times New Roman" w:hAnsi="Times New Roman" w:cs="Times New Roman"/>
        </w:rPr>
        <w:t>。</w:t>
      </w:r>
    </w:p>
    <w:p>
      <w:pPr>
        <w:spacing w:line="360" w:lineRule="auto"/>
        <w:ind w:firstLine="488" w:firstLineChars="200"/>
        <w:rPr>
          <w:rFonts w:ascii="Times New Roman" w:hAnsi="Times New Roman" w:cs="Times New Roman"/>
        </w:rPr>
      </w:pPr>
      <w:r>
        <w:rPr>
          <w:rFonts w:hint="eastAsia" w:ascii="Times New Roman" w:hAnsi="Times New Roman" w:cs="Times New Roman"/>
        </w:rPr>
        <w:t>目前园区的NOx实际排放量远大于回顾性评价中对其进行的预计排放量，而NOx的主要排放企业为园区的三家陶瓷企业。根据核实了湖南华中矿业有限公司于2017进行的《临湘市工业园回顾性环境影响报告书》中对污染物排放总量的计算方式，为核算原有环境影响评价报告书及环评批复中的控制总量，原有企业环境影响评价报告书年份较为久远，其中没有对煤制气过程进行详细的NOx指标核算，但三家现有陶瓷企业能源均为自制煤制气。本次跟踪评价采取了《排放源统计调查产排污核算方法和系数手册》中“228燃气生产与供应行业系数手册”中对煤炭煤制气过程进行了污染物排放量核算，三家陶瓷企业此部分NOx产生量约为</w:t>
      </w:r>
      <w:r>
        <w:rPr>
          <w:rFonts w:ascii="Times New Roman" w:hAnsi="Times New Roman" w:cs="Times New Roman"/>
        </w:rPr>
        <w:t>4021.488</w:t>
      </w:r>
      <w:r>
        <w:rPr>
          <w:rFonts w:hint="eastAsia" w:ascii="Times New Roman" w:hAnsi="Times New Roman" w:cs="Times New Roman"/>
        </w:rPr>
        <w:t xml:space="preserve"> t/a。故按此计算，本次跟踪评价NOx排放量大于原回顾性评价预计排放量。</w:t>
      </w:r>
    </w:p>
    <w:p>
      <w:pPr>
        <w:spacing w:line="360" w:lineRule="auto"/>
        <w:ind w:firstLine="488"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临湘工业园滨江产业区调区规划》（湘环评函[</w:t>
      </w:r>
      <w:r>
        <w:rPr>
          <w:rFonts w:ascii="Times New Roman" w:hAnsi="Times New Roman" w:cs="Times New Roman"/>
        </w:rPr>
        <w:t>2022</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号）</w:t>
      </w:r>
      <w:r>
        <w:rPr>
          <w:rFonts w:ascii="Times New Roman" w:hAnsi="Times New Roman" w:cs="Times New Roman"/>
        </w:rPr>
        <w:t>批复</w:t>
      </w:r>
      <w:r>
        <w:rPr>
          <w:rFonts w:hint="eastAsia" w:ascii="Times New Roman" w:hAnsi="Times New Roman" w:cs="Times New Roman"/>
        </w:rPr>
        <w:t>滨江产业区</w:t>
      </w:r>
      <w:r>
        <w:rPr>
          <w:rFonts w:ascii="Times New Roman" w:hAnsi="Times New Roman" w:cs="Times New Roman"/>
        </w:rPr>
        <w:t>污染物总量控制指标为：SO2：136.415t/a、NOx：148.467t/a、COD：137.367t/a、NH3-N: 21.978t/a</w:t>
      </w:r>
      <w:r>
        <w:rPr>
          <w:rFonts w:hint="eastAsia" w:ascii="Times New Roman" w:hAnsi="Times New Roman" w:cs="Times New Roman"/>
        </w:rPr>
        <w:t>、VOC</w:t>
      </w:r>
      <w:r>
        <w:rPr>
          <w:rFonts w:ascii="Times New Roman" w:hAnsi="Times New Roman" w:cs="Times New Roman"/>
        </w:rPr>
        <w:t>:101.877t/a</w:t>
      </w:r>
      <w:r>
        <w:rPr>
          <w:rFonts w:hint="eastAsia" w:ascii="Times New Roman" w:hAnsi="Times New Roman" w:cs="Times New Roman"/>
        </w:rPr>
        <w:t>，</w:t>
      </w:r>
      <w:r>
        <w:rPr>
          <w:rFonts w:ascii="Times New Roman" w:hAnsi="Times New Roman" w:cs="Times New Roman"/>
        </w:rPr>
        <w:t>本次评价统计</w:t>
      </w:r>
      <w:r>
        <w:rPr>
          <w:rFonts w:hint="eastAsia" w:ascii="Times New Roman" w:hAnsi="Times New Roman" w:cs="Times New Roman"/>
        </w:rPr>
        <w:t>滨江产业区</w:t>
      </w:r>
      <w:r>
        <w:rPr>
          <w:rFonts w:ascii="Times New Roman" w:hAnsi="Times New Roman" w:cs="Times New Roman"/>
        </w:rPr>
        <w:t>现有企业污染物统计排放量为：SO2：1.14t/a、NOx：0 t/a、COD：64.227t/a、NH3-N: 3.129t/a</w:t>
      </w:r>
      <w:r>
        <w:rPr>
          <w:rFonts w:hint="eastAsia" w:ascii="Times New Roman" w:hAnsi="Times New Roman" w:cs="Times New Roman"/>
        </w:rPr>
        <w:t>、VOC</w:t>
      </w:r>
      <w:r>
        <w:rPr>
          <w:rFonts w:ascii="Times New Roman" w:hAnsi="Times New Roman" w:cs="Times New Roman"/>
        </w:rPr>
        <w:t>:0.08t/a</w:t>
      </w:r>
      <w:r>
        <w:rPr>
          <w:rFonts w:hint="eastAsia" w:ascii="Times New Roman" w:hAnsi="Times New Roman" w:cs="Times New Roman"/>
        </w:rPr>
        <w:t>，</w:t>
      </w:r>
      <w:r>
        <w:rPr>
          <w:rFonts w:ascii="Times New Roman" w:hAnsi="Times New Roman" w:cs="Times New Roman"/>
        </w:rPr>
        <w:t>未超过原环评批复的污染物总量。</w:t>
      </w:r>
    </w:p>
    <w:p>
      <w:pPr>
        <w:spacing w:line="360" w:lineRule="auto"/>
        <w:ind w:firstLine="488" w:firstLineChars="200"/>
        <w:sectPr>
          <w:pgSz w:w="11906" w:h="16838"/>
          <w:pgMar w:top="1418" w:right="1418" w:bottom="1418" w:left="1701" w:header="851" w:footer="992" w:gutter="0"/>
          <w:cols w:space="425" w:num="1"/>
          <w:docGrid w:type="linesAndChars" w:linePitch="326" w:charSpace="915"/>
        </w:sectPr>
      </w:pPr>
      <w:r>
        <w:rPr>
          <w:rFonts w:hint="eastAsia" w:ascii="Times New Roman" w:hAnsi="Times New Roman" w:cs="Times New Roman"/>
        </w:rPr>
        <w:t>绿色建材产业园仅有1家企业为海螺水泥，按照XX，</w:t>
      </w:r>
      <w:r>
        <w:rPr>
          <w:rFonts w:ascii="Times New Roman" w:hAnsi="Times New Roman" w:cs="Times New Roman"/>
        </w:rPr>
        <w:t>污染物总量控制指标为：SO2：</w:t>
      </w:r>
      <w:r>
        <w:rPr>
          <w:rFonts w:hint="eastAsia" w:ascii="Times New Roman" w:hAnsi="Times New Roman" w:cs="Times New Roman"/>
        </w:rPr>
        <w:t>150</w:t>
      </w:r>
      <w:r>
        <w:rPr>
          <w:rFonts w:ascii="Times New Roman" w:hAnsi="Times New Roman" w:cs="Times New Roman"/>
        </w:rPr>
        <w:t xml:space="preserve"> t/a、NOx：</w:t>
      </w:r>
      <w:r>
        <w:rPr>
          <w:rFonts w:hint="eastAsia" w:ascii="Times New Roman" w:hAnsi="Times New Roman" w:cs="Times New Roman"/>
        </w:rPr>
        <w:t>1200</w:t>
      </w:r>
      <w:r>
        <w:rPr>
          <w:rFonts w:ascii="Times New Roman" w:hAnsi="Times New Roman" w:cs="Times New Roman"/>
        </w:rPr>
        <w:t xml:space="preserve"> t/a、COD：</w:t>
      </w:r>
      <w:r>
        <w:rPr>
          <w:rFonts w:hint="eastAsia" w:ascii="Times New Roman" w:hAnsi="Times New Roman" w:cs="Times New Roman"/>
        </w:rPr>
        <w:t>2.3</w:t>
      </w:r>
      <w:r>
        <w:rPr>
          <w:rFonts w:ascii="Times New Roman" w:hAnsi="Times New Roman" w:cs="Times New Roman"/>
        </w:rPr>
        <w:t xml:space="preserve"> t/a</w:t>
      </w:r>
      <w:r>
        <w:rPr>
          <w:rFonts w:hint="eastAsia" w:ascii="Times New Roman" w:hAnsi="Times New Roman" w:cs="Times New Roman"/>
        </w:rPr>
        <w:t>，</w:t>
      </w:r>
      <w:r>
        <w:rPr>
          <w:rFonts w:ascii="Times New Roman" w:hAnsi="Times New Roman" w:cs="Times New Roman"/>
        </w:rPr>
        <w:t>企业现有污染物统计排放量为：SO2：150t/a、NOx：</w:t>
      </w:r>
      <w:r>
        <w:rPr>
          <w:rFonts w:hint="eastAsia" w:ascii="Times New Roman" w:hAnsi="Times New Roman" w:cs="Times New Roman"/>
        </w:rPr>
        <w:t>112</w:t>
      </w:r>
      <w:r>
        <w:rPr>
          <w:rFonts w:ascii="Times New Roman" w:hAnsi="Times New Roman" w:cs="Times New Roman"/>
        </w:rPr>
        <w:t>0 t/a、COD：0t/a</w:t>
      </w:r>
      <w:r>
        <w:rPr>
          <w:rFonts w:hint="eastAsia" w:ascii="Times New Roman" w:hAnsi="Times New Roman" w:cs="Times New Roman"/>
        </w:rPr>
        <w:t>，</w:t>
      </w:r>
      <w:r>
        <w:rPr>
          <w:rFonts w:ascii="Times New Roman" w:hAnsi="Times New Roman" w:cs="Times New Roman"/>
        </w:rPr>
        <w:t>未超</w:t>
      </w:r>
      <w:r>
        <w:rPr>
          <w:rFonts w:hint="eastAsia" w:ascii="Times New Roman" w:hAnsi="Times New Roman" w:cs="Times New Roman"/>
        </w:rPr>
        <w:t>XX</w:t>
      </w:r>
      <w:r>
        <w:rPr>
          <w:rFonts w:ascii="Times New Roman" w:hAnsi="Times New Roman" w:cs="Times New Roman"/>
        </w:rPr>
        <w:t>批复的污染物总量</w:t>
      </w:r>
      <w:r>
        <w:rPr>
          <w:rFonts w:hint="eastAsia" w:ascii="Times New Roman" w:hAnsi="Times New Roman" w:cs="Times New Roman"/>
        </w:rPr>
        <w:t>。</w:t>
      </w:r>
    </w:p>
    <w:p>
      <w:pPr>
        <w:pStyle w:val="6"/>
        <w:rPr>
          <w:rFonts w:ascii="Times New Roman" w:hAnsi="Times New Roman" w:cs="Times New Roman"/>
        </w:rPr>
      </w:pPr>
      <w:r>
        <w:rPr>
          <w:rFonts w:ascii="Times New Roman" w:hAnsi="Times New Roman" w:cs="Times New Roman"/>
        </w:rPr>
        <w:t>表2.2-</w:t>
      </w:r>
      <w:r>
        <w:rPr>
          <w:rFonts w:hint="eastAsia" w:ascii="Times New Roman" w:hAnsi="Times New Roman" w:cs="Times New Roman"/>
        </w:rPr>
        <w:t>10</w:t>
      </w:r>
      <w:r>
        <w:rPr>
          <w:rFonts w:ascii="Times New Roman" w:hAnsi="Times New Roman" w:cs="Times New Roman"/>
        </w:rPr>
        <w:t xml:space="preserve">  园区污染物情况汇总表  单位：t/a</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1544"/>
        <w:gridCol w:w="1274"/>
        <w:gridCol w:w="992"/>
        <w:gridCol w:w="1277"/>
        <w:gridCol w:w="1135"/>
        <w:gridCol w:w="1163"/>
        <w:gridCol w:w="1160"/>
        <w:gridCol w:w="1183"/>
        <w:gridCol w:w="1160"/>
        <w:gridCol w:w="1209"/>
        <w:gridCol w:w="11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85" w:type="pct"/>
            <w:gridSpan w:val="2"/>
            <w:vMerge w:val="restart"/>
            <w:vAlign w:val="center"/>
          </w:tcPr>
          <w:p>
            <w:pPr>
              <w:pStyle w:val="63"/>
              <w:rPr>
                <w:rFonts w:eastAsiaTheme="minorEastAsia"/>
              </w:rPr>
            </w:pPr>
            <w:r>
              <w:rPr>
                <w:rFonts w:eastAsiaTheme="minorEastAsia"/>
              </w:rPr>
              <w:t>片区</w:t>
            </w:r>
          </w:p>
        </w:tc>
        <w:tc>
          <w:tcPr>
            <w:tcW w:w="1246" w:type="pct"/>
            <w:gridSpan w:val="3"/>
            <w:shd w:val="clear" w:color="auto" w:fill="auto"/>
            <w:vAlign w:val="center"/>
          </w:tcPr>
          <w:p>
            <w:pPr>
              <w:pStyle w:val="63"/>
              <w:rPr>
                <w:rFonts w:eastAsiaTheme="minorEastAsia"/>
              </w:rPr>
            </w:pPr>
            <w:r>
              <w:rPr>
                <w:rFonts w:eastAsiaTheme="minorEastAsia"/>
              </w:rPr>
              <w:t>废水污染物（t/a）</w:t>
            </w:r>
          </w:p>
        </w:tc>
        <w:tc>
          <w:tcPr>
            <w:tcW w:w="2040" w:type="pct"/>
            <w:gridSpan w:val="5"/>
            <w:shd w:val="clear" w:color="auto" w:fill="auto"/>
            <w:vAlign w:val="center"/>
          </w:tcPr>
          <w:p>
            <w:pPr>
              <w:pStyle w:val="63"/>
              <w:rPr>
                <w:rFonts w:eastAsiaTheme="minorEastAsia"/>
              </w:rPr>
            </w:pPr>
            <w:r>
              <w:rPr>
                <w:rFonts w:eastAsiaTheme="minorEastAsia"/>
              </w:rPr>
              <w:t>废气污染物（t/a）</w:t>
            </w:r>
          </w:p>
        </w:tc>
        <w:tc>
          <w:tcPr>
            <w:tcW w:w="828" w:type="pct"/>
            <w:gridSpan w:val="2"/>
            <w:vAlign w:val="center"/>
          </w:tcPr>
          <w:p>
            <w:pPr>
              <w:pStyle w:val="63"/>
              <w:rPr>
                <w:rFonts w:eastAsiaTheme="minorEastAsia"/>
              </w:rPr>
            </w:pPr>
            <w:r>
              <w:rPr>
                <w:rFonts w:eastAsiaTheme="minorEastAsia"/>
              </w:rPr>
              <w:t>固废产生量（t/a）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85" w:type="pct"/>
            <w:gridSpan w:val="2"/>
            <w:vMerge w:val="continue"/>
            <w:vAlign w:val="center"/>
          </w:tcPr>
          <w:p>
            <w:pPr>
              <w:pStyle w:val="63"/>
              <w:rPr>
                <w:rFonts w:eastAsiaTheme="minorEastAsia"/>
              </w:rPr>
            </w:pPr>
          </w:p>
        </w:tc>
        <w:tc>
          <w:tcPr>
            <w:tcW w:w="448" w:type="pct"/>
            <w:shd w:val="clear" w:color="auto" w:fill="auto"/>
            <w:vAlign w:val="center"/>
          </w:tcPr>
          <w:p>
            <w:pPr>
              <w:pStyle w:val="63"/>
              <w:rPr>
                <w:rFonts w:eastAsiaTheme="minorEastAsia"/>
              </w:rPr>
            </w:pPr>
            <w:r>
              <w:rPr>
                <w:rFonts w:eastAsiaTheme="minorEastAsia"/>
              </w:rPr>
              <w:t>废水量</w:t>
            </w:r>
          </w:p>
          <w:p>
            <w:pPr>
              <w:pStyle w:val="63"/>
              <w:rPr>
                <w:rFonts w:eastAsiaTheme="minorEastAsia"/>
              </w:rPr>
            </w:pPr>
            <w:r>
              <w:rPr>
                <w:rFonts w:eastAsiaTheme="minorEastAsia"/>
              </w:rPr>
              <w:t>（万t /a）</w:t>
            </w:r>
          </w:p>
        </w:tc>
        <w:tc>
          <w:tcPr>
            <w:tcW w:w="349" w:type="pct"/>
            <w:shd w:val="clear" w:color="auto" w:fill="auto"/>
            <w:vAlign w:val="center"/>
          </w:tcPr>
          <w:p>
            <w:pPr>
              <w:pStyle w:val="63"/>
              <w:rPr>
                <w:rFonts w:eastAsiaTheme="minorEastAsia"/>
              </w:rPr>
            </w:pPr>
            <w:r>
              <w:rPr>
                <w:rFonts w:eastAsiaTheme="minorEastAsia"/>
              </w:rPr>
              <w:t>COD</w:t>
            </w:r>
          </w:p>
        </w:tc>
        <w:tc>
          <w:tcPr>
            <w:tcW w:w="449" w:type="pct"/>
            <w:shd w:val="clear" w:color="auto" w:fill="auto"/>
            <w:vAlign w:val="center"/>
          </w:tcPr>
          <w:p>
            <w:pPr>
              <w:pStyle w:val="63"/>
              <w:rPr>
                <w:rFonts w:eastAsiaTheme="minorEastAsia"/>
              </w:rPr>
            </w:pPr>
            <w:r>
              <w:rPr>
                <w:rFonts w:eastAsiaTheme="minorEastAsia"/>
              </w:rPr>
              <w:t>氨氮</w:t>
            </w:r>
          </w:p>
        </w:tc>
        <w:tc>
          <w:tcPr>
            <w:tcW w:w="399" w:type="pct"/>
            <w:shd w:val="clear" w:color="auto" w:fill="auto"/>
            <w:vAlign w:val="center"/>
          </w:tcPr>
          <w:p>
            <w:pPr>
              <w:pStyle w:val="63"/>
              <w:rPr>
                <w:rFonts w:eastAsiaTheme="minorEastAsia"/>
              </w:rPr>
            </w:pPr>
            <w:r>
              <w:rPr>
                <w:rFonts w:eastAsiaTheme="minorEastAsia"/>
              </w:rPr>
              <w:t>SO</w:t>
            </w:r>
            <w:r>
              <w:rPr>
                <w:rFonts w:eastAsiaTheme="minorEastAsia"/>
                <w:vertAlign w:val="subscript"/>
              </w:rPr>
              <w:t>2</w:t>
            </w:r>
          </w:p>
        </w:tc>
        <w:tc>
          <w:tcPr>
            <w:tcW w:w="409" w:type="pct"/>
            <w:shd w:val="clear" w:color="auto" w:fill="auto"/>
            <w:vAlign w:val="center"/>
          </w:tcPr>
          <w:p>
            <w:pPr>
              <w:pStyle w:val="63"/>
              <w:rPr>
                <w:rFonts w:eastAsiaTheme="minorEastAsia"/>
              </w:rPr>
            </w:pPr>
            <w:r>
              <w:rPr>
                <w:rFonts w:eastAsiaTheme="minorEastAsia"/>
              </w:rPr>
              <w:t>NO</w:t>
            </w:r>
            <w:r>
              <w:rPr>
                <w:rFonts w:eastAsiaTheme="minorEastAsia"/>
                <w:vertAlign w:val="subscript"/>
              </w:rPr>
              <w:t>x</w:t>
            </w:r>
          </w:p>
        </w:tc>
        <w:tc>
          <w:tcPr>
            <w:tcW w:w="408" w:type="pct"/>
            <w:shd w:val="clear" w:color="auto" w:fill="auto"/>
            <w:vAlign w:val="center"/>
          </w:tcPr>
          <w:p>
            <w:pPr>
              <w:pStyle w:val="63"/>
              <w:rPr>
                <w:rFonts w:eastAsiaTheme="minorEastAsia"/>
              </w:rPr>
            </w:pPr>
            <w:r>
              <w:rPr>
                <w:rFonts w:eastAsiaTheme="minorEastAsia"/>
              </w:rPr>
              <w:t>粉尘</w:t>
            </w:r>
          </w:p>
        </w:tc>
        <w:tc>
          <w:tcPr>
            <w:tcW w:w="416" w:type="pct"/>
            <w:shd w:val="clear" w:color="auto" w:fill="auto"/>
            <w:vAlign w:val="center"/>
          </w:tcPr>
          <w:p>
            <w:pPr>
              <w:pStyle w:val="63"/>
              <w:rPr>
                <w:rFonts w:eastAsiaTheme="minorEastAsia"/>
              </w:rPr>
            </w:pPr>
            <w:r>
              <w:rPr>
                <w:rFonts w:eastAsiaTheme="minorEastAsia"/>
              </w:rPr>
              <w:t>VOCs</w:t>
            </w:r>
          </w:p>
        </w:tc>
        <w:tc>
          <w:tcPr>
            <w:tcW w:w="408" w:type="pct"/>
            <w:vAlign w:val="center"/>
          </w:tcPr>
          <w:p>
            <w:pPr>
              <w:pStyle w:val="63"/>
              <w:rPr>
                <w:rFonts w:eastAsiaTheme="minorEastAsia"/>
              </w:rPr>
            </w:pPr>
            <w:r>
              <w:rPr>
                <w:rFonts w:eastAsiaTheme="minorEastAsia"/>
              </w:rPr>
              <w:t>其他</w:t>
            </w:r>
          </w:p>
        </w:tc>
        <w:tc>
          <w:tcPr>
            <w:tcW w:w="425" w:type="pct"/>
            <w:vAlign w:val="center"/>
          </w:tcPr>
          <w:p>
            <w:pPr>
              <w:pStyle w:val="63"/>
              <w:rPr>
                <w:rFonts w:eastAsiaTheme="minorEastAsia"/>
              </w:rPr>
            </w:pPr>
            <w:r>
              <w:rPr>
                <w:rFonts w:eastAsiaTheme="minorEastAsia"/>
              </w:rPr>
              <w:t>一般固废</w:t>
            </w:r>
          </w:p>
        </w:tc>
        <w:tc>
          <w:tcPr>
            <w:tcW w:w="403" w:type="pct"/>
            <w:vAlign w:val="center"/>
          </w:tcPr>
          <w:p>
            <w:pPr>
              <w:pStyle w:val="63"/>
              <w:rPr>
                <w:rFonts w:eastAsiaTheme="minorEastAsia"/>
              </w:rPr>
            </w:pPr>
            <w:r>
              <w:rPr>
                <w:rFonts w:eastAsiaTheme="minorEastAsia"/>
              </w:rPr>
              <w:t>危险废物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restart"/>
            <w:vAlign w:val="center"/>
          </w:tcPr>
          <w:p>
            <w:pPr>
              <w:pStyle w:val="63"/>
              <w:rPr>
                <w:rFonts w:eastAsiaTheme="minorEastAsia"/>
              </w:rPr>
            </w:pPr>
            <w:r>
              <w:rPr>
                <w:rFonts w:hint="eastAsia" w:eastAsiaTheme="minorEastAsia"/>
              </w:rPr>
              <w:t>三湾产业园</w:t>
            </w:r>
          </w:p>
        </w:tc>
        <w:tc>
          <w:tcPr>
            <w:tcW w:w="543" w:type="pct"/>
            <w:vAlign w:val="center"/>
          </w:tcPr>
          <w:p>
            <w:pPr>
              <w:pStyle w:val="63"/>
              <w:rPr>
                <w:rFonts w:eastAsiaTheme="minorEastAsia"/>
              </w:rPr>
            </w:pPr>
            <w:r>
              <w:rPr>
                <w:rFonts w:eastAsiaTheme="minorEastAsia"/>
              </w:rPr>
              <w:t>园区现有</w:t>
            </w:r>
            <w:r>
              <w:rPr>
                <w:rFonts w:hint="eastAsia" w:eastAsiaTheme="minorEastAsia"/>
              </w:rPr>
              <w:t>排放总量</w:t>
            </w:r>
          </w:p>
        </w:tc>
        <w:tc>
          <w:tcPr>
            <w:tcW w:w="448" w:type="pct"/>
            <w:shd w:val="clear" w:color="auto" w:fill="auto"/>
            <w:noWrap/>
            <w:vAlign w:val="center"/>
          </w:tcPr>
          <w:p>
            <w:pPr>
              <w:pStyle w:val="63"/>
              <w:rPr>
                <w:rFonts w:eastAsiaTheme="minorEastAsia"/>
              </w:rPr>
            </w:pPr>
            <w:r>
              <w:rPr>
                <w:rFonts w:hint="eastAsia" w:eastAsiaTheme="minorEastAsia"/>
              </w:rPr>
              <w:t>2</w:t>
            </w:r>
            <w:r>
              <w:rPr>
                <w:rFonts w:eastAsiaTheme="minorEastAsia"/>
              </w:rPr>
              <w:t>900</w:t>
            </w:r>
          </w:p>
        </w:tc>
        <w:tc>
          <w:tcPr>
            <w:tcW w:w="349" w:type="pct"/>
            <w:shd w:val="clear" w:color="auto" w:fill="auto"/>
            <w:noWrap/>
            <w:vAlign w:val="center"/>
          </w:tcPr>
          <w:p>
            <w:pPr>
              <w:pStyle w:val="63"/>
              <w:rPr>
                <w:rFonts w:eastAsiaTheme="minorEastAsia"/>
              </w:rPr>
            </w:pPr>
            <w:r>
              <w:rPr>
                <w:rFonts w:eastAsiaTheme="minorEastAsia"/>
              </w:rPr>
              <w:t>0.711</w:t>
            </w:r>
          </w:p>
        </w:tc>
        <w:tc>
          <w:tcPr>
            <w:tcW w:w="449" w:type="pct"/>
            <w:shd w:val="clear" w:color="auto" w:fill="auto"/>
            <w:noWrap/>
            <w:vAlign w:val="center"/>
          </w:tcPr>
          <w:p>
            <w:pPr>
              <w:pStyle w:val="63"/>
              <w:rPr>
                <w:rFonts w:eastAsiaTheme="minorEastAsia"/>
              </w:rPr>
            </w:pPr>
            <w:r>
              <w:rPr>
                <w:rFonts w:eastAsiaTheme="minorEastAsia"/>
              </w:rPr>
              <w:t>0.054</w:t>
            </w:r>
          </w:p>
        </w:tc>
        <w:tc>
          <w:tcPr>
            <w:tcW w:w="399" w:type="pct"/>
            <w:shd w:val="clear" w:color="auto" w:fill="auto"/>
            <w:noWrap/>
            <w:vAlign w:val="center"/>
          </w:tcPr>
          <w:p>
            <w:pPr>
              <w:pStyle w:val="63"/>
              <w:rPr>
                <w:rFonts w:eastAsiaTheme="minorEastAsia"/>
              </w:rPr>
            </w:pPr>
            <w:r>
              <w:rPr>
                <w:rFonts w:hint="eastAsia" w:eastAsiaTheme="minorEastAsia"/>
              </w:rPr>
              <w:t>9</w:t>
            </w:r>
            <w:r>
              <w:rPr>
                <w:rFonts w:eastAsiaTheme="minorEastAsia"/>
              </w:rPr>
              <w:t>24.7908</w:t>
            </w:r>
          </w:p>
        </w:tc>
        <w:tc>
          <w:tcPr>
            <w:tcW w:w="409" w:type="pct"/>
            <w:shd w:val="clear" w:color="auto" w:fill="auto"/>
            <w:noWrap/>
            <w:vAlign w:val="center"/>
          </w:tcPr>
          <w:p>
            <w:pPr>
              <w:pStyle w:val="63"/>
              <w:rPr>
                <w:rFonts w:eastAsiaTheme="minorEastAsia"/>
              </w:rPr>
            </w:pPr>
            <w:r>
              <w:rPr>
                <w:rFonts w:hint="eastAsia" w:eastAsiaTheme="minorEastAsia"/>
              </w:rPr>
              <w:t>4</w:t>
            </w:r>
            <w:r>
              <w:rPr>
                <w:rFonts w:eastAsiaTheme="minorEastAsia"/>
              </w:rPr>
              <w:t>023.736</w:t>
            </w:r>
          </w:p>
        </w:tc>
        <w:tc>
          <w:tcPr>
            <w:tcW w:w="408" w:type="pct"/>
            <w:shd w:val="clear" w:color="auto" w:fill="auto"/>
            <w:noWrap/>
            <w:vAlign w:val="center"/>
          </w:tcPr>
          <w:p>
            <w:pPr>
              <w:pStyle w:val="63"/>
              <w:rPr>
                <w:rFonts w:eastAsiaTheme="minorEastAsia"/>
              </w:rPr>
            </w:pPr>
            <w:r>
              <w:rPr>
                <w:rFonts w:eastAsiaTheme="minorEastAsia"/>
              </w:rPr>
              <w:t>2175.6201</w:t>
            </w:r>
          </w:p>
        </w:tc>
        <w:tc>
          <w:tcPr>
            <w:tcW w:w="416" w:type="pct"/>
            <w:shd w:val="clear" w:color="auto" w:fill="auto"/>
            <w:noWrap/>
            <w:vAlign w:val="center"/>
          </w:tcPr>
          <w:p>
            <w:pPr>
              <w:pStyle w:val="63"/>
              <w:rPr>
                <w:rFonts w:eastAsiaTheme="minorEastAsia"/>
              </w:rPr>
            </w:pPr>
            <w:r>
              <w:rPr>
                <w:rFonts w:eastAsiaTheme="minorEastAsia"/>
              </w:rPr>
              <w:t>4.3648</w:t>
            </w:r>
          </w:p>
        </w:tc>
        <w:tc>
          <w:tcPr>
            <w:tcW w:w="408" w:type="pct"/>
            <w:vAlign w:val="center"/>
          </w:tcPr>
          <w:p>
            <w:pPr>
              <w:pStyle w:val="63"/>
              <w:rPr>
                <w:rFonts w:eastAsiaTheme="minorEastAsia"/>
              </w:rPr>
            </w:pPr>
            <w:r>
              <w:rPr>
                <w:rFonts w:hint="eastAsia" w:eastAsiaTheme="minorEastAsia"/>
              </w:rPr>
              <w:t>苯系物：1.27</w:t>
            </w:r>
            <w:r>
              <w:rPr>
                <w:rFonts w:eastAsiaTheme="minorEastAsia"/>
              </w:rPr>
              <w:t>4</w:t>
            </w:r>
          </w:p>
        </w:tc>
        <w:tc>
          <w:tcPr>
            <w:tcW w:w="425" w:type="pct"/>
            <w:vAlign w:val="center"/>
          </w:tcPr>
          <w:p>
            <w:pPr>
              <w:pStyle w:val="63"/>
              <w:rPr>
                <w:rFonts w:eastAsiaTheme="minorEastAsia"/>
              </w:rPr>
            </w:pPr>
            <w:r>
              <w:rPr>
                <w:rFonts w:eastAsiaTheme="minorEastAsia"/>
              </w:rPr>
              <w:t>367150.65</w:t>
            </w:r>
          </w:p>
        </w:tc>
        <w:tc>
          <w:tcPr>
            <w:tcW w:w="403" w:type="pct"/>
            <w:vAlign w:val="center"/>
          </w:tcPr>
          <w:p>
            <w:pPr>
              <w:pStyle w:val="63"/>
              <w:rPr>
                <w:rFonts w:eastAsiaTheme="minorEastAsia"/>
              </w:rPr>
            </w:pPr>
            <w:r>
              <w:rPr>
                <w:rFonts w:eastAsiaTheme="minorEastAsia"/>
              </w:rPr>
              <w:t>1418.932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continue"/>
            <w:vAlign w:val="center"/>
          </w:tcPr>
          <w:p>
            <w:pPr>
              <w:pStyle w:val="63"/>
              <w:rPr>
                <w:rFonts w:eastAsiaTheme="minorEastAsia"/>
              </w:rPr>
            </w:pPr>
          </w:p>
        </w:tc>
        <w:tc>
          <w:tcPr>
            <w:tcW w:w="543" w:type="pct"/>
            <w:vAlign w:val="center"/>
          </w:tcPr>
          <w:p>
            <w:pPr>
              <w:pStyle w:val="63"/>
              <w:rPr>
                <w:rFonts w:eastAsiaTheme="minorEastAsia"/>
              </w:rPr>
            </w:pPr>
            <w:r>
              <w:rPr>
                <w:rFonts w:hint="eastAsia" w:eastAsiaTheme="minorEastAsia"/>
              </w:rPr>
              <w:t>规划环评批复总量</w:t>
            </w:r>
          </w:p>
        </w:tc>
        <w:tc>
          <w:tcPr>
            <w:tcW w:w="448" w:type="pct"/>
            <w:shd w:val="clear" w:color="auto" w:fill="auto"/>
            <w:noWrap/>
            <w:vAlign w:val="center"/>
          </w:tcPr>
          <w:p>
            <w:pPr>
              <w:pStyle w:val="63"/>
              <w:rPr>
                <w:rFonts w:eastAsiaTheme="minorEastAsia"/>
              </w:rPr>
            </w:pPr>
            <w:r>
              <w:rPr>
                <w:rFonts w:hint="eastAsia" w:eastAsiaTheme="minorEastAsia"/>
              </w:rPr>
              <w:t>/</w:t>
            </w:r>
          </w:p>
        </w:tc>
        <w:tc>
          <w:tcPr>
            <w:tcW w:w="349" w:type="pct"/>
            <w:shd w:val="clear" w:color="auto" w:fill="auto"/>
            <w:noWrap/>
            <w:vAlign w:val="center"/>
          </w:tcPr>
          <w:p>
            <w:pPr>
              <w:pStyle w:val="63"/>
              <w:rPr>
                <w:rFonts w:eastAsiaTheme="minorEastAsia"/>
              </w:rPr>
            </w:pPr>
            <w:r>
              <w:rPr>
                <w:rFonts w:eastAsiaTheme="minorEastAsia"/>
                <w:color w:val="000000"/>
                <w:szCs w:val="21"/>
              </w:rPr>
              <w:t>208.2</w:t>
            </w:r>
          </w:p>
        </w:tc>
        <w:tc>
          <w:tcPr>
            <w:tcW w:w="449" w:type="pct"/>
            <w:shd w:val="clear" w:color="auto" w:fill="auto"/>
            <w:noWrap/>
            <w:vAlign w:val="center"/>
          </w:tcPr>
          <w:p>
            <w:pPr>
              <w:pStyle w:val="63"/>
              <w:rPr>
                <w:rFonts w:eastAsiaTheme="minorEastAsia"/>
              </w:rPr>
            </w:pPr>
            <w:r>
              <w:rPr>
                <w:rFonts w:eastAsiaTheme="minorEastAsia"/>
                <w:color w:val="000000"/>
                <w:szCs w:val="21"/>
              </w:rPr>
              <w:t>35.2</w:t>
            </w:r>
          </w:p>
        </w:tc>
        <w:tc>
          <w:tcPr>
            <w:tcW w:w="399" w:type="pct"/>
            <w:shd w:val="clear" w:color="auto" w:fill="auto"/>
            <w:noWrap/>
            <w:vAlign w:val="center"/>
          </w:tcPr>
          <w:p>
            <w:pPr>
              <w:pStyle w:val="63"/>
              <w:rPr>
                <w:rFonts w:eastAsiaTheme="minorEastAsia"/>
              </w:rPr>
            </w:pPr>
            <w:r>
              <w:rPr>
                <w:rFonts w:eastAsiaTheme="minorEastAsia"/>
                <w:color w:val="000000"/>
              </w:rPr>
              <w:t>1466.9</w:t>
            </w:r>
          </w:p>
        </w:tc>
        <w:tc>
          <w:tcPr>
            <w:tcW w:w="409" w:type="pct"/>
            <w:shd w:val="clear" w:color="auto" w:fill="auto"/>
            <w:noWrap/>
            <w:vAlign w:val="center"/>
          </w:tcPr>
          <w:p>
            <w:pPr>
              <w:pStyle w:val="63"/>
              <w:rPr>
                <w:rFonts w:eastAsiaTheme="minorEastAsia"/>
              </w:rPr>
            </w:pPr>
            <w:r>
              <w:rPr>
                <w:rFonts w:eastAsiaTheme="minorEastAsia"/>
                <w:color w:val="000000"/>
                <w:szCs w:val="21"/>
              </w:rPr>
              <w:t>1693.5</w:t>
            </w:r>
          </w:p>
        </w:tc>
        <w:tc>
          <w:tcPr>
            <w:tcW w:w="408" w:type="pct"/>
            <w:shd w:val="clear" w:color="auto" w:fill="auto"/>
            <w:noWrap/>
            <w:vAlign w:val="center"/>
          </w:tcPr>
          <w:p>
            <w:pPr>
              <w:pStyle w:val="63"/>
              <w:rPr>
                <w:rFonts w:eastAsiaTheme="minorEastAsia"/>
              </w:rPr>
            </w:pPr>
            <w:r>
              <w:rPr>
                <w:rFonts w:hint="eastAsia" w:eastAsiaTheme="minorEastAsia"/>
              </w:rPr>
              <w:t>/</w:t>
            </w:r>
          </w:p>
        </w:tc>
        <w:tc>
          <w:tcPr>
            <w:tcW w:w="416" w:type="pct"/>
            <w:shd w:val="clear" w:color="auto" w:fill="auto"/>
            <w:noWrap/>
            <w:vAlign w:val="center"/>
          </w:tcPr>
          <w:p>
            <w:pPr>
              <w:pStyle w:val="63"/>
              <w:rPr>
                <w:rFonts w:eastAsiaTheme="minorEastAsia"/>
              </w:rPr>
            </w:pPr>
            <w:r>
              <w:rPr>
                <w:rFonts w:hint="eastAsia" w:eastAsiaTheme="minorEastAsia"/>
              </w:rPr>
              <w:t>/</w:t>
            </w:r>
          </w:p>
        </w:tc>
        <w:tc>
          <w:tcPr>
            <w:tcW w:w="408" w:type="pct"/>
            <w:vAlign w:val="center"/>
          </w:tcPr>
          <w:p>
            <w:pPr>
              <w:pStyle w:val="63"/>
              <w:rPr>
                <w:rFonts w:eastAsiaTheme="minorEastAsia"/>
              </w:rPr>
            </w:pPr>
            <w:r>
              <w:rPr>
                <w:rFonts w:hint="eastAsia" w:eastAsiaTheme="minorEastAsia"/>
              </w:rPr>
              <w:t>/</w:t>
            </w:r>
          </w:p>
        </w:tc>
        <w:tc>
          <w:tcPr>
            <w:tcW w:w="425" w:type="pct"/>
            <w:vAlign w:val="center"/>
          </w:tcPr>
          <w:p>
            <w:pPr>
              <w:pStyle w:val="63"/>
              <w:rPr>
                <w:rFonts w:eastAsiaTheme="minorEastAsia"/>
              </w:rPr>
            </w:pPr>
            <w:r>
              <w:rPr>
                <w:rFonts w:hint="eastAsia" w:eastAsiaTheme="minorEastAsia"/>
              </w:rPr>
              <w:t>/</w:t>
            </w:r>
          </w:p>
        </w:tc>
        <w:tc>
          <w:tcPr>
            <w:tcW w:w="403" w:type="pct"/>
            <w:vAlign w:val="center"/>
          </w:tcPr>
          <w:p>
            <w:pPr>
              <w:pStyle w:val="63"/>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restart"/>
            <w:vAlign w:val="center"/>
          </w:tcPr>
          <w:p>
            <w:pPr>
              <w:pStyle w:val="63"/>
              <w:rPr>
                <w:rFonts w:eastAsiaTheme="minorEastAsia"/>
              </w:rPr>
            </w:pPr>
            <w:r>
              <w:rPr>
                <w:rFonts w:hint="eastAsia" w:eastAsiaTheme="minorEastAsia"/>
              </w:rPr>
              <w:t>滨江片区</w:t>
            </w:r>
          </w:p>
        </w:tc>
        <w:tc>
          <w:tcPr>
            <w:tcW w:w="543" w:type="pct"/>
            <w:vAlign w:val="center"/>
          </w:tcPr>
          <w:p>
            <w:pPr>
              <w:pStyle w:val="63"/>
              <w:rPr>
                <w:rFonts w:eastAsiaTheme="minorEastAsia"/>
              </w:rPr>
            </w:pPr>
            <w:r>
              <w:rPr>
                <w:rFonts w:hint="eastAsia" w:eastAsiaTheme="minorEastAsia"/>
              </w:rPr>
              <w:t>中非工贸产业园</w:t>
            </w:r>
            <w:r>
              <w:rPr>
                <w:rFonts w:eastAsiaTheme="minorEastAsia"/>
              </w:rPr>
              <w:t>现有</w:t>
            </w:r>
            <w:r>
              <w:rPr>
                <w:rFonts w:hint="eastAsia" w:eastAsiaTheme="minorEastAsia"/>
              </w:rPr>
              <w:t>排放总量</w:t>
            </w:r>
          </w:p>
        </w:tc>
        <w:tc>
          <w:tcPr>
            <w:tcW w:w="448" w:type="pct"/>
            <w:shd w:val="clear" w:color="auto" w:fill="auto"/>
            <w:noWrap/>
            <w:vAlign w:val="center"/>
          </w:tcPr>
          <w:p>
            <w:pPr>
              <w:pStyle w:val="63"/>
              <w:rPr>
                <w:rFonts w:eastAsiaTheme="minorEastAsia"/>
              </w:rPr>
            </w:pPr>
            <w:r>
              <w:rPr>
                <w:rFonts w:eastAsiaTheme="minorEastAsia"/>
              </w:rPr>
              <w:t>1448.32</w:t>
            </w:r>
          </w:p>
        </w:tc>
        <w:tc>
          <w:tcPr>
            <w:tcW w:w="349" w:type="pct"/>
            <w:shd w:val="clear" w:color="auto" w:fill="auto"/>
            <w:noWrap/>
            <w:vAlign w:val="center"/>
          </w:tcPr>
          <w:p>
            <w:pPr>
              <w:pStyle w:val="63"/>
              <w:rPr>
                <w:rFonts w:eastAsiaTheme="minorEastAsia"/>
              </w:rPr>
            </w:pPr>
            <w:r>
              <w:rPr>
                <w:rFonts w:eastAsiaTheme="minorEastAsia"/>
              </w:rPr>
              <w:t>64.14</w:t>
            </w:r>
          </w:p>
        </w:tc>
        <w:tc>
          <w:tcPr>
            <w:tcW w:w="449" w:type="pct"/>
            <w:shd w:val="clear" w:color="auto" w:fill="auto"/>
            <w:noWrap/>
            <w:vAlign w:val="center"/>
          </w:tcPr>
          <w:p>
            <w:pPr>
              <w:pStyle w:val="63"/>
              <w:rPr>
                <w:rFonts w:eastAsiaTheme="minorEastAsia"/>
              </w:rPr>
            </w:pPr>
            <w:r>
              <w:rPr>
                <w:rFonts w:eastAsiaTheme="minorEastAsia"/>
              </w:rPr>
              <w:t>3.12</w:t>
            </w:r>
          </w:p>
        </w:tc>
        <w:tc>
          <w:tcPr>
            <w:tcW w:w="399" w:type="pct"/>
            <w:shd w:val="clear" w:color="auto" w:fill="auto"/>
            <w:noWrap/>
            <w:vAlign w:val="center"/>
          </w:tcPr>
          <w:p>
            <w:pPr>
              <w:pStyle w:val="63"/>
              <w:rPr>
                <w:rFonts w:eastAsiaTheme="minorEastAsia"/>
              </w:rPr>
            </w:pPr>
            <w:r>
              <w:rPr>
                <w:rFonts w:eastAsiaTheme="minorEastAsia"/>
              </w:rPr>
              <w:t>1.14</w:t>
            </w:r>
          </w:p>
        </w:tc>
        <w:tc>
          <w:tcPr>
            <w:tcW w:w="409" w:type="pct"/>
            <w:shd w:val="clear" w:color="auto" w:fill="auto"/>
            <w:noWrap/>
            <w:vAlign w:val="center"/>
          </w:tcPr>
          <w:p>
            <w:pPr>
              <w:pStyle w:val="63"/>
              <w:rPr>
                <w:rFonts w:eastAsiaTheme="minorEastAsia"/>
              </w:rPr>
            </w:pPr>
            <w:r>
              <w:rPr>
                <w:rFonts w:hint="eastAsia" w:eastAsiaTheme="minorEastAsia"/>
              </w:rPr>
              <w:t>0</w:t>
            </w:r>
          </w:p>
        </w:tc>
        <w:tc>
          <w:tcPr>
            <w:tcW w:w="408" w:type="pct"/>
            <w:shd w:val="clear" w:color="auto" w:fill="auto"/>
            <w:noWrap/>
            <w:vAlign w:val="center"/>
          </w:tcPr>
          <w:p>
            <w:pPr>
              <w:pStyle w:val="63"/>
              <w:rPr>
                <w:rFonts w:eastAsiaTheme="minorEastAsia"/>
              </w:rPr>
            </w:pPr>
            <w:r>
              <w:rPr>
                <w:rFonts w:hint="eastAsia" w:eastAsiaTheme="minorEastAsia"/>
              </w:rPr>
              <w:t>0</w:t>
            </w:r>
          </w:p>
        </w:tc>
        <w:tc>
          <w:tcPr>
            <w:tcW w:w="416" w:type="pct"/>
            <w:shd w:val="clear" w:color="auto" w:fill="auto"/>
            <w:noWrap/>
            <w:vAlign w:val="center"/>
          </w:tcPr>
          <w:p>
            <w:pPr>
              <w:pStyle w:val="63"/>
              <w:rPr>
                <w:rFonts w:eastAsiaTheme="minorEastAsia"/>
              </w:rPr>
            </w:pPr>
            <w:r>
              <w:rPr>
                <w:rFonts w:hint="eastAsia" w:eastAsiaTheme="minorEastAsia"/>
              </w:rPr>
              <w:t>0</w:t>
            </w:r>
          </w:p>
        </w:tc>
        <w:tc>
          <w:tcPr>
            <w:tcW w:w="408" w:type="pct"/>
            <w:vAlign w:val="center"/>
          </w:tcPr>
          <w:p>
            <w:pPr>
              <w:pStyle w:val="63"/>
              <w:rPr>
                <w:rFonts w:eastAsiaTheme="minorEastAsia"/>
              </w:rPr>
            </w:pPr>
            <w:r>
              <w:rPr>
                <w:rFonts w:hint="eastAsia" w:eastAsiaTheme="minorEastAsia"/>
              </w:rPr>
              <w:t>0</w:t>
            </w:r>
          </w:p>
        </w:tc>
        <w:tc>
          <w:tcPr>
            <w:tcW w:w="425" w:type="pct"/>
            <w:vAlign w:val="center"/>
          </w:tcPr>
          <w:p>
            <w:pPr>
              <w:pStyle w:val="63"/>
              <w:rPr>
                <w:rFonts w:eastAsiaTheme="minorEastAsia"/>
              </w:rPr>
            </w:pPr>
            <w:r>
              <w:rPr>
                <w:rFonts w:hint="eastAsia" w:eastAsiaTheme="minorEastAsia"/>
              </w:rPr>
              <w:t>0</w:t>
            </w:r>
          </w:p>
        </w:tc>
        <w:tc>
          <w:tcPr>
            <w:tcW w:w="403" w:type="pct"/>
            <w:vAlign w:val="center"/>
          </w:tcPr>
          <w:p>
            <w:pPr>
              <w:pStyle w:val="63"/>
              <w:rPr>
                <w:rFonts w:eastAsiaTheme="minorEastAsia"/>
              </w:rPr>
            </w:pPr>
            <w:r>
              <w:rPr>
                <w:rFonts w:hint="eastAsia"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continue"/>
            <w:vAlign w:val="center"/>
          </w:tcPr>
          <w:p>
            <w:pPr>
              <w:pStyle w:val="63"/>
              <w:rPr>
                <w:rFonts w:eastAsiaTheme="minorEastAsia"/>
              </w:rPr>
            </w:pPr>
          </w:p>
        </w:tc>
        <w:tc>
          <w:tcPr>
            <w:tcW w:w="543" w:type="pct"/>
            <w:vAlign w:val="center"/>
          </w:tcPr>
          <w:p>
            <w:pPr>
              <w:pStyle w:val="63"/>
              <w:rPr>
                <w:rFonts w:eastAsiaTheme="minorEastAsia"/>
              </w:rPr>
            </w:pPr>
            <w:r>
              <w:rPr>
                <w:rFonts w:hint="eastAsia" w:eastAsiaTheme="minorEastAsia"/>
              </w:rPr>
              <w:t>绿色化工产业园</w:t>
            </w:r>
            <w:r>
              <w:rPr>
                <w:rFonts w:eastAsiaTheme="minorEastAsia"/>
              </w:rPr>
              <w:t>现有</w:t>
            </w:r>
            <w:r>
              <w:rPr>
                <w:rFonts w:hint="eastAsia" w:eastAsiaTheme="minorEastAsia"/>
              </w:rPr>
              <w:t>排放总量</w:t>
            </w:r>
          </w:p>
        </w:tc>
        <w:tc>
          <w:tcPr>
            <w:tcW w:w="448" w:type="pct"/>
            <w:shd w:val="clear" w:color="auto" w:fill="auto"/>
            <w:noWrap/>
            <w:vAlign w:val="center"/>
          </w:tcPr>
          <w:p>
            <w:pPr>
              <w:pStyle w:val="63"/>
              <w:rPr>
                <w:rFonts w:eastAsiaTheme="minorEastAsia"/>
              </w:rPr>
            </w:pPr>
            <w:r>
              <w:rPr>
                <w:rFonts w:eastAsiaTheme="minorEastAsia"/>
                <w:color w:val="000000"/>
                <w:sz w:val="20"/>
                <w:szCs w:val="20"/>
              </w:rPr>
              <w:t>1740</w:t>
            </w:r>
          </w:p>
        </w:tc>
        <w:tc>
          <w:tcPr>
            <w:tcW w:w="349" w:type="pct"/>
            <w:shd w:val="clear" w:color="auto" w:fill="auto"/>
            <w:noWrap/>
            <w:vAlign w:val="center"/>
          </w:tcPr>
          <w:p>
            <w:pPr>
              <w:pStyle w:val="63"/>
              <w:rPr>
                <w:rFonts w:eastAsiaTheme="minorEastAsia"/>
              </w:rPr>
            </w:pPr>
            <w:r>
              <w:rPr>
                <w:rFonts w:eastAsiaTheme="minorEastAsia"/>
                <w:color w:val="000000"/>
                <w:sz w:val="20"/>
                <w:szCs w:val="20"/>
              </w:rPr>
              <w:t>0.087</w:t>
            </w:r>
          </w:p>
        </w:tc>
        <w:tc>
          <w:tcPr>
            <w:tcW w:w="449" w:type="pct"/>
            <w:shd w:val="clear" w:color="auto" w:fill="auto"/>
            <w:noWrap/>
            <w:vAlign w:val="center"/>
          </w:tcPr>
          <w:p>
            <w:pPr>
              <w:pStyle w:val="63"/>
              <w:rPr>
                <w:rFonts w:eastAsiaTheme="minorEastAsia"/>
              </w:rPr>
            </w:pPr>
            <w:r>
              <w:rPr>
                <w:rFonts w:eastAsiaTheme="minorEastAsia"/>
                <w:color w:val="000000"/>
                <w:sz w:val="20"/>
                <w:szCs w:val="20"/>
              </w:rPr>
              <w:t>0.009</w:t>
            </w:r>
          </w:p>
        </w:tc>
        <w:tc>
          <w:tcPr>
            <w:tcW w:w="399" w:type="pct"/>
            <w:shd w:val="clear" w:color="auto" w:fill="auto"/>
            <w:noWrap/>
            <w:vAlign w:val="center"/>
          </w:tcPr>
          <w:p>
            <w:pPr>
              <w:pStyle w:val="63"/>
              <w:rPr>
                <w:rFonts w:eastAsiaTheme="minorEastAsia"/>
              </w:rPr>
            </w:pPr>
            <w:r>
              <w:rPr>
                <w:rFonts w:eastAsiaTheme="minorEastAsia"/>
                <w:color w:val="000000"/>
                <w:sz w:val="20"/>
                <w:szCs w:val="20"/>
              </w:rPr>
              <w:t>0</w:t>
            </w:r>
          </w:p>
        </w:tc>
        <w:tc>
          <w:tcPr>
            <w:tcW w:w="409" w:type="pct"/>
            <w:shd w:val="clear" w:color="auto" w:fill="auto"/>
            <w:noWrap/>
            <w:vAlign w:val="center"/>
          </w:tcPr>
          <w:p>
            <w:pPr>
              <w:pStyle w:val="63"/>
              <w:rPr>
                <w:rFonts w:eastAsiaTheme="minorEastAsia"/>
              </w:rPr>
            </w:pPr>
            <w:r>
              <w:rPr>
                <w:rFonts w:eastAsiaTheme="minorEastAsia"/>
                <w:color w:val="000000"/>
                <w:sz w:val="20"/>
                <w:szCs w:val="20"/>
              </w:rPr>
              <w:t>0</w:t>
            </w:r>
          </w:p>
        </w:tc>
        <w:tc>
          <w:tcPr>
            <w:tcW w:w="408" w:type="pct"/>
            <w:shd w:val="clear" w:color="auto" w:fill="auto"/>
            <w:noWrap/>
            <w:vAlign w:val="center"/>
          </w:tcPr>
          <w:p>
            <w:pPr>
              <w:pStyle w:val="63"/>
              <w:rPr>
                <w:rFonts w:eastAsiaTheme="minorEastAsia"/>
              </w:rPr>
            </w:pPr>
            <w:r>
              <w:rPr>
                <w:rFonts w:eastAsiaTheme="minorEastAsia"/>
                <w:color w:val="000000"/>
                <w:sz w:val="20"/>
                <w:szCs w:val="20"/>
              </w:rPr>
              <w:t>15.378</w:t>
            </w:r>
          </w:p>
        </w:tc>
        <w:tc>
          <w:tcPr>
            <w:tcW w:w="416" w:type="pct"/>
            <w:shd w:val="clear" w:color="auto" w:fill="auto"/>
            <w:noWrap/>
            <w:vAlign w:val="center"/>
          </w:tcPr>
          <w:p>
            <w:pPr>
              <w:pStyle w:val="63"/>
              <w:rPr>
                <w:rFonts w:eastAsiaTheme="minorEastAsia"/>
              </w:rPr>
            </w:pPr>
            <w:r>
              <w:rPr>
                <w:rFonts w:eastAsiaTheme="minorEastAsia"/>
                <w:color w:val="000000"/>
                <w:sz w:val="20"/>
                <w:szCs w:val="20"/>
              </w:rPr>
              <w:t>0.08</w:t>
            </w:r>
          </w:p>
        </w:tc>
        <w:tc>
          <w:tcPr>
            <w:tcW w:w="408" w:type="pct"/>
            <w:vAlign w:val="center"/>
          </w:tcPr>
          <w:p>
            <w:pPr>
              <w:pStyle w:val="63"/>
              <w:rPr>
                <w:rFonts w:eastAsiaTheme="minorEastAsia"/>
              </w:rPr>
            </w:pPr>
            <w:r>
              <w:rPr>
                <w:rFonts w:eastAsiaTheme="minorEastAsia"/>
              </w:rPr>
              <w:t>0</w:t>
            </w:r>
          </w:p>
        </w:tc>
        <w:tc>
          <w:tcPr>
            <w:tcW w:w="425" w:type="pct"/>
            <w:vAlign w:val="center"/>
          </w:tcPr>
          <w:p>
            <w:pPr>
              <w:pStyle w:val="63"/>
              <w:rPr>
                <w:rFonts w:eastAsiaTheme="minorEastAsia"/>
              </w:rPr>
            </w:pPr>
            <w:r>
              <w:rPr>
                <w:rFonts w:eastAsiaTheme="minorEastAsia"/>
                <w:color w:val="000000"/>
                <w:sz w:val="20"/>
                <w:szCs w:val="20"/>
              </w:rPr>
              <w:t>10135.026</w:t>
            </w:r>
          </w:p>
        </w:tc>
        <w:tc>
          <w:tcPr>
            <w:tcW w:w="403" w:type="pct"/>
            <w:vAlign w:val="center"/>
          </w:tcPr>
          <w:p>
            <w:pPr>
              <w:pStyle w:val="63"/>
              <w:rPr>
                <w:rFonts w:eastAsiaTheme="minorEastAsia"/>
              </w:rPr>
            </w:pPr>
            <w:r>
              <w:rPr>
                <w:rFonts w:eastAsiaTheme="minorEastAsia"/>
                <w:color w:val="000000"/>
                <w:sz w:val="20"/>
                <w:szCs w:val="20"/>
              </w:rPr>
              <w:t>0.65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continue"/>
            <w:vAlign w:val="center"/>
          </w:tcPr>
          <w:p>
            <w:pPr>
              <w:pStyle w:val="63"/>
              <w:rPr>
                <w:rFonts w:eastAsiaTheme="minorEastAsia"/>
              </w:rPr>
            </w:pPr>
          </w:p>
        </w:tc>
        <w:tc>
          <w:tcPr>
            <w:tcW w:w="543" w:type="pct"/>
            <w:vAlign w:val="center"/>
          </w:tcPr>
          <w:p>
            <w:pPr>
              <w:pStyle w:val="63"/>
              <w:rPr>
                <w:rFonts w:eastAsiaTheme="minorEastAsia"/>
              </w:rPr>
            </w:pPr>
            <w:r>
              <w:rPr>
                <w:rFonts w:hint="eastAsia" w:eastAsiaTheme="minorEastAsia"/>
              </w:rPr>
              <w:t>加工制造产业园</w:t>
            </w:r>
            <w:r>
              <w:rPr>
                <w:rFonts w:eastAsiaTheme="minorEastAsia"/>
              </w:rPr>
              <w:t>现有</w:t>
            </w:r>
            <w:r>
              <w:rPr>
                <w:rFonts w:hint="eastAsia" w:eastAsiaTheme="minorEastAsia"/>
              </w:rPr>
              <w:t>排放总量</w:t>
            </w:r>
          </w:p>
        </w:tc>
        <w:tc>
          <w:tcPr>
            <w:tcW w:w="448" w:type="pct"/>
            <w:shd w:val="clear" w:color="auto" w:fill="auto"/>
            <w:noWrap/>
            <w:vAlign w:val="center"/>
          </w:tcPr>
          <w:p>
            <w:pPr>
              <w:pStyle w:val="63"/>
              <w:rPr>
                <w:rFonts w:eastAsiaTheme="minorEastAsia"/>
              </w:rPr>
            </w:pPr>
            <w:r>
              <w:rPr>
                <w:rFonts w:hint="eastAsia" w:eastAsiaTheme="minorEastAsia"/>
              </w:rPr>
              <w:t>0</w:t>
            </w:r>
          </w:p>
        </w:tc>
        <w:tc>
          <w:tcPr>
            <w:tcW w:w="349" w:type="pct"/>
            <w:shd w:val="clear" w:color="auto" w:fill="auto"/>
            <w:noWrap/>
            <w:vAlign w:val="center"/>
          </w:tcPr>
          <w:p>
            <w:pPr>
              <w:pStyle w:val="63"/>
              <w:rPr>
                <w:rFonts w:eastAsiaTheme="minorEastAsia"/>
              </w:rPr>
            </w:pPr>
            <w:r>
              <w:rPr>
                <w:rFonts w:hint="eastAsia" w:eastAsiaTheme="minorEastAsia"/>
              </w:rPr>
              <w:t>0</w:t>
            </w:r>
          </w:p>
        </w:tc>
        <w:tc>
          <w:tcPr>
            <w:tcW w:w="449" w:type="pct"/>
            <w:shd w:val="clear" w:color="auto" w:fill="auto"/>
            <w:noWrap/>
            <w:vAlign w:val="center"/>
          </w:tcPr>
          <w:p>
            <w:pPr>
              <w:pStyle w:val="63"/>
              <w:rPr>
                <w:rFonts w:eastAsiaTheme="minorEastAsia"/>
              </w:rPr>
            </w:pPr>
            <w:r>
              <w:rPr>
                <w:rFonts w:hint="eastAsia" w:eastAsiaTheme="minorEastAsia"/>
              </w:rPr>
              <w:t>0</w:t>
            </w:r>
          </w:p>
        </w:tc>
        <w:tc>
          <w:tcPr>
            <w:tcW w:w="399" w:type="pct"/>
            <w:shd w:val="clear" w:color="auto" w:fill="auto"/>
            <w:noWrap/>
            <w:vAlign w:val="center"/>
          </w:tcPr>
          <w:p>
            <w:pPr>
              <w:pStyle w:val="63"/>
              <w:rPr>
                <w:rFonts w:eastAsiaTheme="minorEastAsia"/>
              </w:rPr>
            </w:pPr>
            <w:r>
              <w:rPr>
                <w:rFonts w:hint="eastAsia" w:eastAsiaTheme="minorEastAsia"/>
              </w:rPr>
              <w:t>0</w:t>
            </w:r>
          </w:p>
        </w:tc>
        <w:tc>
          <w:tcPr>
            <w:tcW w:w="409" w:type="pct"/>
            <w:shd w:val="clear" w:color="auto" w:fill="auto"/>
            <w:noWrap/>
            <w:vAlign w:val="center"/>
          </w:tcPr>
          <w:p>
            <w:pPr>
              <w:pStyle w:val="63"/>
              <w:rPr>
                <w:rFonts w:eastAsiaTheme="minorEastAsia"/>
              </w:rPr>
            </w:pPr>
            <w:r>
              <w:rPr>
                <w:rFonts w:hint="eastAsia" w:eastAsiaTheme="minorEastAsia"/>
              </w:rPr>
              <w:t>0</w:t>
            </w:r>
          </w:p>
        </w:tc>
        <w:tc>
          <w:tcPr>
            <w:tcW w:w="408" w:type="pct"/>
            <w:shd w:val="clear" w:color="auto" w:fill="auto"/>
            <w:noWrap/>
            <w:vAlign w:val="center"/>
          </w:tcPr>
          <w:p>
            <w:pPr>
              <w:pStyle w:val="63"/>
              <w:rPr>
                <w:rFonts w:eastAsiaTheme="minorEastAsia"/>
              </w:rPr>
            </w:pPr>
            <w:r>
              <w:rPr>
                <w:rFonts w:hint="eastAsia" w:eastAsiaTheme="minorEastAsia"/>
              </w:rPr>
              <w:t>0</w:t>
            </w:r>
          </w:p>
        </w:tc>
        <w:tc>
          <w:tcPr>
            <w:tcW w:w="416" w:type="pct"/>
            <w:shd w:val="clear" w:color="auto" w:fill="auto"/>
            <w:noWrap/>
            <w:vAlign w:val="center"/>
          </w:tcPr>
          <w:p>
            <w:pPr>
              <w:pStyle w:val="63"/>
              <w:rPr>
                <w:rFonts w:eastAsiaTheme="minorEastAsia"/>
              </w:rPr>
            </w:pPr>
            <w:r>
              <w:rPr>
                <w:rFonts w:hint="eastAsia" w:eastAsiaTheme="minorEastAsia"/>
              </w:rPr>
              <w:t>0</w:t>
            </w:r>
          </w:p>
        </w:tc>
        <w:tc>
          <w:tcPr>
            <w:tcW w:w="408" w:type="pct"/>
            <w:vAlign w:val="center"/>
          </w:tcPr>
          <w:p>
            <w:pPr>
              <w:pStyle w:val="63"/>
              <w:rPr>
                <w:rFonts w:eastAsiaTheme="minorEastAsia"/>
              </w:rPr>
            </w:pPr>
            <w:r>
              <w:rPr>
                <w:rFonts w:hint="eastAsia" w:eastAsiaTheme="minorEastAsia"/>
              </w:rPr>
              <w:t>0</w:t>
            </w:r>
          </w:p>
        </w:tc>
        <w:tc>
          <w:tcPr>
            <w:tcW w:w="425" w:type="pct"/>
            <w:vAlign w:val="center"/>
          </w:tcPr>
          <w:p>
            <w:pPr>
              <w:pStyle w:val="63"/>
              <w:rPr>
                <w:rFonts w:eastAsiaTheme="minorEastAsia"/>
              </w:rPr>
            </w:pPr>
            <w:r>
              <w:rPr>
                <w:rFonts w:hint="eastAsia" w:eastAsiaTheme="minorEastAsia"/>
              </w:rPr>
              <w:t>0</w:t>
            </w:r>
          </w:p>
        </w:tc>
        <w:tc>
          <w:tcPr>
            <w:tcW w:w="403" w:type="pct"/>
            <w:vAlign w:val="center"/>
          </w:tcPr>
          <w:p>
            <w:pPr>
              <w:pStyle w:val="63"/>
              <w:rPr>
                <w:rFonts w:eastAsiaTheme="minorEastAsia"/>
              </w:rPr>
            </w:pPr>
            <w:r>
              <w:rPr>
                <w:rFonts w:hint="eastAsia"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continue"/>
            <w:vAlign w:val="center"/>
          </w:tcPr>
          <w:p>
            <w:pPr>
              <w:pStyle w:val="63"/>
              <w:rPr>
                <w:rFonts w:eastAsiaTheme="minorEastAsia"/>
              </w:rPr>
            </w:pPr>
          </w:p>
        </w:tc>
        <w:tc>
          <w:tcPr>
            <w:tcW w:w="543" w:type="pct"/>
            <w:vAlign w:val="center"/>
          </w:tcPr>
          <w:p>
            <w:pPr>
              <w:pStyle w:val="63"/>
              <w:rPr>
                <w:rFonts w:eastAsiaTheme="minorEastAsia"/>
              </w:rPr>
            </w:pPr>
            <w:r>
              <w:rPr>
                <w:rFonts w:hint="eastAsia" w:eastAsiaTheme="minorEastAsia"/>
              </w:rPr>
              <w:t>规划环评批复总量</w:t>
            </w:r>
          </w:p>
        </w:tc>
        <w:tc>
          <w:tcPr>
            <w:tcW w:w="448" w:type="pct"/>
            <w:shd w:val="clear" w:color="auto" w:fill="auto"/>
            <w:noWrap/>
            <w:vAlign w:val="center"/>
          </w:tcPr>
          <w:p>
            <w:pPr>
              <w:pStyle w:val="63"/>
              <w:rPr>
                <w:rFonts w:eastAsiaTheme="minorEastAsia"/>
              </w:rPr>
            </w:pPr>
            <w:r>
              <w:rPr>
                <w:rFonts w:hint="eastAsia" w:eastAsiaTheme="minorEastAsia"/>
              </w:rPr>
              <w:t>/</w:t>
            </w:r>
          </w:p>
        </w:tc>
        <w:tc>
          <w:tcPr>
            <w:tcW w:w="349" w:type="pct"/>
            <w:shd w:val="clear" w:color="auto" w:fill="auto"/>
            <w:noWrap/>
            <w:vAlign w:val="center"/>
          </w:tcPr>
          <w:p>
            <w:pPr>
              <w:pStyle w:val="63"/>
              <w:rPr>
                <w:rFonts w:eastAsiaTheme="minorEastAsia"/>
              </w:rPr>
            </w:pPr>
            <w:r>
              <w:rPr>
                <w:rFonts w:eastAsiaTheme="minorEastAsia"/>
                <w:color w:val="000000"/>
                <w:szCs w:val="21"/>
              </w:rPr>
              <w:t>137.367</w:t>
            </w:r>
          </w:p>
        </w:tc>
        <w:tc>
          <w:tcPr>
            <w:tcW w:w="449" w:type="pct"/>
            <w:shd w:val="clear" w:color="auto" w:fill="auto"/>
            <w:noWrap/>
            <w:vAlign w:val="center"/>
          </w:tcPr>
          <w:p>
            <w:pPr>
              <w:pStyle w:val="63"/>
              <w:rPr>
                <w:rFonts w:eastAsiaTheme="minorEastAsia"/>
              </w:rPr>
            </w:pPr>
            <w:r>
              <w:rPr>
                <w:rFonts w:eastAsiaTheme="minorEastAsia"/>
                <w:color w:val="000000"/>
                <w:szCs w:val="21"/>
              </w:rPr>
              <w:t>21.978</w:t>
            </w:r>
          </w:p>
        </w:tc>
        <w:tc>
          <w:tcPr>
            <w:tcW w:w="399" w:type="pct"/>
            <w:shd w:val="clear" w:color="auto" w:fill="auto"/>
            <w:noWrap/>
            <w:vAlign w:val="center"/>
          </w:tcPr>
          <w:p>
            <w:pPr>
              <w:pStyle w:val="63"/>
              <w:rPr>
                <w:rFonts w:eastAsiaTheme="minorEastAsia"/>
              </w:rPr>
            </w:pPr>
            <w:r>
              <w:rPr>
                <w:rFonts w:eastAsiaTheme="minorEastAsia"/>
                <w:color w:val="000000"/>
              </w:rPr>
              <w:t>136.415</w:t>
            </w:r>
          </w:p>
        </w:tc>
        <w:tc>
          <w:tcPr>
            <w:tcW w:w="409" w:type="pct"/>
            <w:shd w:val="clear" w:color="auto" w:fill="auto"/>
            <w:noWrap/>
            <w:vAlign w:val="center"/>
          </w:tcPr>
          <w:p>
            <w:pPr>
              <w:pStyle w:val="63"/>
              <w:rPr>
                <w:rFonts w:eastAsiaTheme="minorEastAsia"/>
              </w:rPr>
            </w:pPr>
            <w:r>
              <w:rPr>
                <w:rFonts w:eastAsiaTheme="minorEastAsia"/>
                <w:color w:val="000000"/>
                <w:szCs w:val="21"/>
              </w:rPr>
              <w:t>148.467</w:t>
            </w:r>
          </w:p>
        </w:tc>
        <w:tc>
          <w:tcPr>
            <w:tcW w:w="408" w:type="pct"/>
            <w:shd w:val="clear" w:color="auto" w:fill="auto"/>
            <w:noWrap/>
            <w:vAlign w:val="center"/>
          </w:tcPr>
          <w:p>
            <w:pPr>
              <w:pStyle w:val="63"/>
              <w:rPr>
                <w:rFonts w:eastAsiaTheme="minorEastAsia"/>
              </w:rPr>
            </w:pPr>
            <w:r>
              <w:rPr>
                <w:rFonts w:hint="eastAsia" w:eastAsiaTheme="minorEastAsia"/>
              </w:rPr>
              <w:t>/</w:t>
            </w:r>
          </w:p>
        </w:tc>
        <w:tc>
          <w:tcPr>
            <w:tcW w:w="416" w:type="pct"/>
            <w:shd w:val="clear" w:color="auto" w:fill="auto"/>
            <w:noWrap/>
            <w:vAlign w:val="center"/>
          </w:tcPr>
          <w:p>
            <w:pPr>
              <w:pStyle w:val="63"/>
              <w:rPr>
                <w:rFonts w:eastAsiaTheme="minorEastAsia"/>
              </w:rPr>
            </w:pPr>
            <w:r>
              <w:rPr>
                <w:rFonts w:eastAsiaTheme="minorEastAsia"/>
              </w:rPr>
              <w:t>101.877</w:t>
            </w:r>
          </w:p>
        </w:tc>
        <w:tc>
          <w:tcPr>
            <w:tcW w:w="408" w:type="pct"/>
            <w:vAlign w:val="center"/>
          </w:tcPr>
          <w:p>
            <w:pPr>
              <w:pStyle w:val="63"/>
              <w:rPr>
                <w:rFonts w:eastAsiaTheme="minorEastAsia"/>
              </w:rPr>
            </w:pPr>
            <w:r>
              <w:rPr>
                <w:rFonts w:hint="eastAsia" w:eastAsiaTheme="minorEastAsia"/>
              </w:rPr>
              <w:t>/</w:t>
            </w:r>
          </w:p>
        </w:tc>
        <w:tc>
          <w:tcPr>
            <w:tcW w:w="425" w:type="pct"/>
            <w:vAlign w:val="center"/>
          </w:tcPr>
          <w:p>
            <w:pPr>
              <w:pStyle w:val="63"/>
              <w:rPr>
                <w:rFonts w:eastAsiaTheme="minorEastAsia"/>
              </w:rPr>
            </w:pPr>
            <w:r>
              <w:rPr>
                <w:rFonts w:hint="eastAsia" w:eastAsiaTheme="minorEastAsia"/>
              </w:rPr>
              <w:t>/</w:t>
            </w:r>
          </w:p>
        </w:tc>
        <w:tc>
          <w:tcPr>
            <w:tcW w:w="403" w:type="pct"/>
            <w:vAlign w:val="center"/>
          </w:tcPr>
          <w:p>
            <w:pPr>
              <w:pStyle w:val="63"/>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restart"/>
            <w:vAlign w:val="center"/>
          </w:tcPr>
          <w:p>
            <w:pPr>
              <w:pStyle w:val="63"/>
              <w:rPr>
                <w:rFonts w:eastAsiaTheme="minorEastAsia"/>
              </w:rPr>
            </w:pPr>
            <w:r>
              <w:rPr>
                <w:rFonts w:hint="eastAsia" w:eastAsiaTheme="minorEastAsia"/>
              </w:rPr>
              <w:t>绿色建材产业园</w:t>
            </w:r>
          </w:p>
        </w:tc>
        <w:tc>
          <w:tcPr>
            <w:tcW w:w="543" w:type="pct"/>
            <w:vAlign w:val="center"/>
          </w:tcPr>
          <w:p>
            <w:pPr>
              <w:pStyle w:val="63"/>
              <w:rPr>
                <w:rFonts w:eastAsiaTheme="minorEastAsia"/>
              </w:rPr>
            </w:pPr>
            <w:r>
              <w:rPr>
                <w:rFonts w:eastAsiaTheme="minorEastAsia"/>
              </w:rPr>
              <w:t>园区现有</w:t>
            </w:r>
            <w:r>
              <w:rPr>
                <w:rFonts w:hint="eastAsia" w:eastAsiaTheme="minorEastAsia"/>
              </w:rPr>
              <w:t>排放总量</w:t>
            </w:r>
          </w:p>
        </w:tc>
        <w:tc>
          <w:tcPr>
            <w:tcW w:w="448" w:type="pct"/>
            <w:shd w:val="clear" w:color="auto" w:fill="auto"/>
            <w:noWrap/>
            <w:vAlign w:val="center"/>
          </w:tcPr>
          <w:p>
            <w:pPr>
              <w:pStyle w:val="63"/>
              <w:rPr>
                <w:rFonts w:eastAsiaTheme="minorEastAsia"/>
              </w:rPr>
            </w:pPr>
            <w:r>
              <w:rPr>
                <w:rFonts w:hint="eastAsia" w:eastAsiaTheme="minorEastAsia"/>
              </w:rPr>
              <w:t>0</w:t>
            </w:r>
          </w:p>
        </w:tc>
        <w:tc>
          <w:tcPr>
            <w:tcW w:w="349" w:type="pct"/>
            <w:shd w:val="clear" w:color="auto" w:fill="auto"/>
            <w:noWrap/>
            <w:vAlign w:val="center"/>
          </w:tcPr>
          <w:p>
            <w:pPr>
              <w:pStyle w:val="63"/>
              <w:rPr>
                <w:rFonts w:eastAsiaTheme="minorEastAsia"/>
              </w:rPr>
            </w:pPr>
            <w:r>
              <w:rPr>
                <w:rFonts w:hint="eastAsia" w:eastAsiaTheme="minorEastAsia"/>
              </w:rPr>
              <w:t>0</w:t>
            </w:r>
          </w:p>
        </w:tc>
        <w:tc>
          <w:tcPr>
            <w:tcW w:w="449" w:type="pct"/>
            <w:shd w:val="clear" w:color="auto" w:fill="auto"/>
            <w:noWrap/>
            <w:vAlign w:val="center"/>
          </w:tcPr>
          <w:p>
            <w:pPr>
              <w:pStyle w:val="63"/>
              <w:rPr>
                <w:rFonts w:eastAsiaTheme="minorEastAsia"/>
              </w:rPr>
            </w:pPr>
            <w:r>
              <w:rPr>
                <w:rFonts w:hint="eastAsia" w:eastAsiaTheme="minorEastAsia"/>
              </w:rPr>
              <w:t>0</w:t>
            </w:r>
          </w:p>
        </w:tc>
        <w:tc>
          <w:tcPr>
            <w:tcW w:w="399" w:type="pct"/>
            <w:shd w:val="clear" w:color="auto" w:fill="auto"/>
            <w:noWrap/>
            <w:vAlign w:val="center"/>
          </w:tcPr>
          <w:p>
            <w:pPr>
              <w:pStyle w:val="63"/>
              <w:rPr>
                <w:rFonts w:eastAsiaTheme="minorEastAsia"/>
              </w:rPr>
            </w:pPr>
            <w:r>
              <w:rPr>
                <w:rFonts w:eastAsiaTheme="minorEastAsia"/>
                <w:color w:val="000000"/>
                <w:sz w:val="20"/>
                <w:szCs w:val="20"/>
              </w:rPr>
              <w:t>150</w:t>
            </w:r>
          </w:p>
        </w:tc>
        <w:tc>
          <w:tcPr>
            <w:tcW w:w="409" w:type="pct"/>
            <w:shd w:val="clear" w:color="auto" w:fill="auto"/>
            <w:noWrap/>
            <w:vAlign w:val="center"/>
          </w:tcPr>
          <w:p>
            <w:pPr>
              <w:pStyle w:val="63"/>
              <w:rPr>
                <w:rFonts w:eastAsiaTheme="minorEastAsia"/>
              </w:rPr>
            </w:pPr>
            <w:r>
              <w:rPr>
                <w:rFonts w:eastAsiaTheme="minorEastAsia"/>
                <w:color w:val="000000"/>
                <w:sz w:val="20"/>
                <w:szCs w:val="20"/>
              </w:rPr>
              <w:t>1120</w:t>
            </w:r>
          </w:p>
        </w:tc>
        <w:tc>
          <w:tcPr>
            <w:tcW w:w="408" w:type="pct"/>
            <w:shd w:val="clear" w:color="auto" w:fill="auto"/>
            <w:noWrap/>
            <w:vAlign w:val="center"/>
          </w:tcPr>
          <w:p>
            <w:pPr>
              <w:pStyle w:val="63"/>
              <w:rPr>
                <w:rFonts w:eastAsiaTheme="minorEastAsia"/>
              </w:rPr>
            </w:pPr>
            <w:r>
              <w:rPr>
                <w:rFonts w:eastAsiaTheme="minorEastAsia"/>
                <w:color w:val="000000"/>
                <w:sz w:val="20"/>
                <w:szCs w:val="20"/>
              </w:rPr>
              <w:t>186.28</w:t>
            </w:r>
          </w:p>
        </w:tc>
        <w:tc>
          <w:tcPr>
            <w:tcW w:w="416" w:type="pct"/>
            <w:shd w:val="clear" w:color="auto" w:fill="auto"/>
            <w:noWrap/>
            <w:vAlign w:val="center"/>
          </w:tcPr>
          <w:p>
            <w:pPr>
              <w:pStyle w:val="63"/>
              <w:rPr>
                <w:rFonts w:eastAsiaTheme="minorEastAsia"/>
              </w:rPr>
            </w:pPr>
            <w:r>
              <w:rPr>
                <w:rFonts w:hint="eastAsia" w:eastAsiaTheme="minorEastAsia"/>
              </w:rPr>
              <w:t>0</w:t>
            </w:r>
          </w:p>
        </w:tc>
        <w:tc>
          <w:tcPr>
            <w:tcW w:w="408" w:type="pct"/>
            <w:vAlign w:val="center"/>
          </w:tcPr>
          <w:p>
            <w:pPr>
              <w:pStyle w:val="63"/>
              <w:rPr>
                <w:rFonts w:eastAsiaTheme="minorEastAsia"/>
              </w:rPr>
            </w:pPr>
            <w:r>
              <w:rPr>
                <w:rFonts w:hint="eastAsia" w:eastAsiaTheme="minorEastAsia"/>
              </w:rPr>
              <w:t>0</w:t>
            </w:r>
          </w:p>
        </w:tc>
        <w:tc>
          <w:tcPr>
            <w:tcW w:w="425" w:type="pct"/>
            <w:vAlign w:val="center"/>
          </w:tcPr>
          <w:p>
            <w:pPr>
              <w:pStyle w:val="63"/>
              <w:rPr>
                <w:rFonts w:eastAsiaTheme="minorEastAsia"/>
              </w:rPr>
            </w:pPr>
            <w:r>
              <w:rPr>
                <w:rFonts w:hint="eastAsia" w:eastAsiaTheme="minorEastAsia"/>
              </w:rPr>
              <w:t>0</w:t>
            </w:r>
          </w:p>
        </w:tc>
        <w:tc>
          <w:tcPr>
            <w:tcW w:w="403" w:type="pct"/>
            <w:vAlign w:val="center"/>
          </w:tcPr>
          <w:p>
            <w:pPr>
              <w:pStyle w:val="63"/>
              <w:rPr>
                <w:rFonts w:eastAsiaTheme="minorEastAsia"/>
              </w:rPr>
            </w:pPr>
            <w:r>
              <w:rPr>
                <w:rFonts w:hint="eastAsia"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continue"/>
            <w:vAlign w:val="center"/>
          </w:tcPr>
          <w:p>
            <w:pPr>
              <w:pStyle w:val="63"/>
              <w:rPr>
                <w:rFonts w:eastAsiaTheme="minorEastAsia"/>
              </w:rPr>
            </w:pPr>
          </w:p>
        </w:tc>
        <w:tc>
          <w:tcPr>
            <w:tcW w:w="543" w:type="pct"/>
            <w:vAlign w:val="center"/>
          </w:tcPr>
          <w:p>
            <w:pPr>
              <w:pStyle w:val="63"/>
              <w:rPr>
                <w:rFonts w:eastAsiaTheme="minorEastAsia"/>
              </w:rPr>
            </w:pPr>
            <w:r>
              <w:rPr>
                <w:rFonts w:hint="eastAsia" w:eastAsiaTheme="minorEastAsia"/>
              </w:rPr>
              <w:t>规划环评批复总量</w:t>
            </w:r>
          </w:p>
        </w:tc>
        <w:tc>
          <w:tcPr>
            <w:tcW w:w="448" w:type="pct"/>
            <w:shd w:val="clear" w:color="auto" w:fill="auto"/>
            <w:noWrap/>
            <w:vAlign w:val="center"/>
          </w:tcPr>
          <w:p>
            <w:pPr>
              <w:pStyle w:val="63"/>
              <w:rPr>
                <w:rFonts w:eastAsiaTheme="minorEastAsia"/>
              </w:rPr>
            </w:pPr>
            <w:r>
              <w:rPr>
                <w:rFonts w:hint="eastAsia" w:eastAsiaTheme="minorEastAsia"/>
              </w:rPr>
              <w:t>/</w:t>
            </w:r>
          </w:p>
        </w:tc>
        <w:tc>
          <w:tcPr>
            <w:tcW w:w="349" w:type="pct"/>
            <w:shd w:val="clear" w:color="auto" w:fill="auto"/>
            <w:noWrap/>
            <w:vAlign w:val="center"/>
          </w:tcPr>
          <w:p>
            <w:pPr>
              <w:pStyle w:val="63"/>
              <w:rPr>
                <w:rFonts w:eastAsiaTheme="minorEastAsia"/>
              </w:rPr>
            </w:pPr>
            <w:r>
              <w:rPr>
                <w:rFonts w:hint="eastAsia" w:eastAsiaTheme="minorEastAsia"/>
              </w:rPr>
              <w:t>2.3</w:t>
            </w:r>
          </w:p>
        </w:tc>
        <w:tc>
          <w:tcPr>
            <w:tcW w:w="449" w:type="pct"/>
            <w:shd w:val="clear" w:color="auto" w:fill="auto"/>
            <w:noWrap/>
            <w:vAlign w:val="center"/>
          </w:tcPr>
          <w:p>
            <w:pPr>
              <w:pStyle w:val="63"/>
              <w:rPr>
                <w:rFonts w:eastAsiaTheme="minorEastAsia"/>
              </w:rPr>
            </w:pPr>
            <w:r>
              <w:rPr>
                <w:rFonts w:hint="eastAsia" w:eastAsiaTheme="minorEastAsia"/>
              </w:rPr>
              <w:t>/</w:t>
            </w:r>
          </w:p>
        </w:tc>
        <w:tc>
          <w:tcPr>
            <w:tcW w:w="399" w:type="pct"/>
            <w:shd w:val="clear" w:color="auto" w:fill="auto"/>
            <w:noWrap/>
            <w:vAlign w:val="center"/>
          </w:tcPr>
          <w:p>
            <w:pPr>
              <w:pStyle w:val="63"/>
              <w:rPr>
                <w:rFonts w:eastAsiaTheme="minorEastAsia"/>
              </w:rPr>
            </w:pPr>
            <w:r>
              <w:rPr>
                <w:rFonts w:hint="eastAsia" w:eastAsiaTheme="minorEastAsia"/>
              </w:rPr>
              <w:t>150</w:t>
            </w:r>
          </w:p>
        </w:tc>
        <w:tc>
          <w:tcPr>
            <w:tcW w:w="409" w:type="pct"/>
            <w:shd w:val="clear" w:color="auto" w:fill="auto"/>
            <w:noWrap/>
            <w:vAlign w:val="center"/>
          </w:tcPr>
          <w:p>
            <w:pPr>
              <w:pStyle w:val="63"/>
              <w:rPr>
                <w:rFonts w:eastAsiaTheme="minorEastAsia"/>
              </w:rPr>
            </w:pPr>
            <w:r>
              <w:rPr>
                <w:rFonts w:hint="eastAsia" w:eastAsiaTheme="minorEastAsia"/>
              </w:rPr>
              <w:t>1200</w:t>
            </w:r>
          </w:p>
        </w:tc>
        <w:tc>
          <w:tcPr>
            <w:tcW w:w="408" w:type="pct"/>
            <w:shd w:val="clear" w:color="auto" w:fill="auto"/>
            <w:noWrap/>
            <w:vAlign w:val="center"/>
          </w:tcPr>
          <w:p>
            <w:pPr>
              <w:pStyle w:val="63"/>
              <w:rPr>
                <w:rFonts w:eastAsiaTheme="minorEastAsia"/>
              </w:rPr>
            </w:pPr>
            <w:r>
              <w:rPr>
                <w:rFonts w:hint="eastAsia" w:eastAsiaTheme="minorEastAsia"/>
              </w:rPr>
              <w:t>/</w:t>
            </w:r>
          </w:p>
        </w:tc>
        <w:tc>
          <w:tcPr>
            <w:tcW w:w="416" w:type="pct"/>
            <w:shd w:val="clear" w:color="auto" w:fill="auto"/>
            <w:noWrap/>
            <w:vAlign w:val="center"/>
          </w:tcPr>
          <w:p>
            <w:pPr>
              <w:pStyle w:val="63"/>
              <w:rPr>
                <w:rFonts w:eastAsiaTheme="minorEastAsia"/>
              </w:rPr>
            </w:pPr>
            <w:r>
              <w:rPr>
                <w:rFonts w:hint="eastAsia" w:eastAsiaTheme="minorEastAsia"/>
              </w:rPr>
              <w:t>/</w:t>
            </w:r>
          </w:p>
        </w:tc>
        <w:tc>
          <w:tcPr>
            <w:tcW w:w="408" w:type="pct"/>
            <w:vAlign w:val="center"/>
          </w:tcPr>
          <w:p>
            <w:pPr>
              <w:pStyle w:val="63"/>
              <w:rPr>
                <w:rFonts w:eastAsiaTheme="minorEastAsia"/>
              </w:rPr>
            </w:pPr>
            <w:r>
              <w:rPr>
                <w:rFonts w:hint="eastAsia" w:eastAsiaTheme="minorEastAsia"/>
              </w:rPr>
              <w:t>/</w:t>
            </w:r>
          </w:p>
        </w:tc>
        <w:tc>
          <w:tcPr>
            <w:tcW w:w="425" w:type="pct"/>
            <w:vAlign w:val="center"/>
          </w:tcPr>
          <w:p>
            <w:pPr>
              <w:pStyle w:val="63"/>
              <w:rPr>
                <w:rFonts w:eastAsiaTheme="minorEastAsia"/>
              </w:rPr>
            </w:pPr>
            <w:r>
              <w:rPr>
                <w:rFonts w:hint="eastAsia" w:eastAsiaTheme="minorEastAsia"/>
              </w:rPr>
              <w:t>/</w:t>
            </w:r>
          </w:p>
        </w:tc>
        <w:tc>
          <w:tcPr>
            <w:tcW w:w="403" w:type="pct"/>
            <w:vAlign w:val="center"/>
          </w:tcPr>
          <w:p>
            <w:pPr>
              <w:pStyle w:val="63"/>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restart"/>
            <w:vAlign w:val="center"/>
          </w:tcPr>
          <w:p>
            <w:pPr>
              <w:pStyle w:val="63"/>
              <w:rPr>
                <w:rFonts w:eastAsiaTheme="minorEastAsia"/>
              </w:rPr>
            </w:pPr>
            <w:r>
              <w:rPr>
                <w:rFonts w:eastAsiaTheme="minorEastAsia"/>
              </w:rPr>
              <w:t>合计</w:t>
            </w:r>
          </w:p>
        </w:tc>
        <w:tc>
          <w:tcPr>
            <w:tcW w:w="543" w:type="pct"/>
            <w:vAlign w:val="center"/>
          </w:tcPr>
          <w:p>
            <w:pPr>
              <w:pStyle w:val="63"/>
              <w:rPr>
                <w:rFonts w:eastAsiaTheme="minorEastAsia"/>
              </w:rPr>
            </w:pPr>
            <w:r>
              <w:rPr>
                <w:rFonts w:eastAsiaTheme="minorEastAsia"/>
              </w:rPr>
              <w:t>园区现有</w:t>
            </w:r>
            <w:r>
              <w:rPr>
                <w:rFonts w:hint="eastAsia" w:eastAsiaTheme="minorEastAsia"/>
              </w:rPr>
              <w:t>排放总量</w:t>
            </w:r>
          </w:p>
        </w:tc>
        <w:tc>
          <w:tcPr>
            <w:tcW w:w="448" w:type="pct"/>
            <w:shd w:val="clear" w:color="auto" w:fill="auto"/>
            <w:noWrap/>
            <w:vAlign w:val="center"/>
          </w:tcPr>
          <w:p>
            <w:pPr>
              <w:pStyle w:val="63"/>
              <w:rPr>
                <w:rFonts w:eastAsiaTheme="minorEastAsia"/>
              </w:rPr>
            </w:pPr>
            <w:r>
              <w:rPr>
                <w:rFonts w:eastAsiaTheme="minorEastAsia"/>
              </w:rPr>
              <w:t>6088.32</w:t>
            </w:r>
          </w:p>
        </w:tc>
        <w:tc>
          <w:tcPr>
            <w:tcW w:w="349" w:type="pct"/>
            <w:shd w:val="clear" w:color="auto" w:fill="auto"/>
            <w:noWrap/>
            <w:vAlign w:val="center"/>
          </w:tcPr>
          <w:p>
            <w:pPr>
              <w:pStyle w:val="63"/>
              <w:rPr>
                <w:rFonts w:eastAsiaTheme="minorEastAsia"/>
              </w:rPr>
            </w:pPr>
            <w:r>
              <w:rPr>
                <w:rFonts w:eastAsiaTheme="minorEastAsia"/>
              </w:rPr>
              <w:t>64.528</w:t>
            </w:r>
          </w:p>
        </w:tc>
        <w:tc>
          <w:tcPr>
            <w:tcW w:w="449" w:type="pct"/>
            <w:shd w:val="clear" w:color="auto" w:fill="auto"/>
            <w:noWrap/>
            <w:vAlign w:val="center"/>
          </w:tcPr>
          <w:p>
            <w:pPr>
              <w:pStyle w:val="63"/>
              <w:rPr>
                <w:rFonts w:eastAsiaTheme="minorEastAsia"/>
              </w:rPr>
            </w:pPr>
            <w:r>
              <w:rPr>
                <w:rFonts w:eastAsiaTheme="minorEastAsia"/>
              </w:rPr>
              <w:t>3.18</w:t>
            </w:r>
            <w:r>
              <w:rPr>
                <w:rFonts w:hint="eastAsia" w:eastAsiaTheme="minorEastAsia"/>
              </w:rPr>
              <w:t>3</w:t>
            </w:r>
          </w:p>
        </w:tc>
        <w:tc>
          <w:tcPr>
            <w:tcW w:w="399" w:type="pct"/>
            <w:shd w:val="clear" w:color="auto" w:fill="auto"/>
            <w:noWrap/>
            <w:vAlign w:val="center"/>
          </w:tcPr>
          <w:p>
            <w:pPr>
              <w:pStyle w:val="63"/>
              <w:rPr>
                <w:rFonts w:eastAsiaTheme="minorEastAsia"/>
              </w:rPr>
            </w:pPr>
            <w:r>
              <w:rPr>
                <w:rFonts w:hint="eastAsia" w:eastAsiaTheme="minorEastAsia"/>
              </w:rPr>
              <w:t>1074.</w:t>
            </w:r>
            <w:r>
              <w:rPr>
                <w:rFonts w:eastAsiaTheme="minorEastAsia"/>
              </w:rPr>
              <w:t>7908</w:t>
            </w:r>
          </w:p>
        </w:tc>
        <w:tc>
          <w:tcPr>
            <w:tcW w:w="409" w:type="pct"/>
            <w:shd w:val="clear" w:color="auto" w:fill="auto"/>
            <w:noWrap/>
            <w:vAlign w:val="center"/>
          </w:tcPr>
          <w:p>
            <w:pPr>
              <w:pStyle w:val="63"/>
              <w:rPr>
                <w:rFonts w:eastAsiaTheme="minorEastAsia"/>
              </w:rPr>
            </w:pPr>
            <w:r>
              <w:rPr>
                <w:rFonts w:hint="eastAsia" w:eastAsiaTheme="minorEastAsia"/>
              </w:rPr>
              <w:t>5143.</w:t>
            </w:r>
            <w:r>
              <w:rPr>
                <w:rFonts w:eastAsiaTheme="minorEastAsia"/>
              </w:rPr>
              <w:t>736</w:t>
            </w:r>
          </w:p>
        </w:tc>
        <w:tc>
          <w:tcPr>
            <w:tcW w:w="408" w:type="pct"/>
            <w:shd w:val="clear" w:color="auto" w:fill="auto"/>
            <w:noWrap/>
            <w:vAlign w:val="center"/>
          </w:tcPr>
          <w:p>
            <w:pPr>
              <w:pStyle w:val="63"/>
              <w:rPr>
                <w:rFonts w:eastAsiaTheme="minorEastAsia"/>
              </w:rPr>
            </w:pPr>
            <w:r>
              <w:rPr>
                <w:rFonts w:eastAsiaTheme="minorEastAsia"/>
              </w:rPr>
              <w:t>2377.2781</w:t>
            </w:r>
          </w:p>
        </w:tc>
        <w:tc>
          <w:tcPr>
            <w:tcW w:w="416" w:type="pct"/>
            <w:shd w:val="clear" w:color="auto" w:fill="auto"/>
            <w:noWrap/>
            <w:vAlign w:val="center"/>
          </w:tcPr>
          <w:p>
            <w:pPr>
              <w:pStyle w:val="63"/>
              <w:rPr>
                <w:rFonts w:eastAsiaTheme="minorEastAsia"/>
              </w:rPr>
            </w:pPr>
            <w:r>
              <w:rPr>
                <w:rFonts w:eastAsiaTheme="minorEastAsia"/>
              </w:rPr>
              <w:t>4.4448</w:t>
            </w:r>
          </w:p>
        </w:tc>
        <w:tc>
          <w:tcPr>
            <w:tcW w:w="408" w:type="pct"/>
            <w:vAlign w:val="center"/>
          </w:tcPr>
          <w:p>
            <w:pPr>
              <w:pStyle w:val="63"/>
              <w:rPr>
                <w:rFonts w:eastAsiaTheme="minorEastAsia"/>
              </w:rPr>
            </w:pPr>
            <w:r>
              <w:rPr>
                <w:rFonts w:hint="eastAsia" w:eastAsiaTheme="minorEastAsia"/>
              </w:rPr>
              <w:t>苯系物：1.27</w:t>
            </w:r>
            <w:r>
              <w:rPr>
                <w:rFonts w:eastAsiaTheme="minorEastAsia"/>
              </w:rPr>
              <w:t>4</w:t>
            </w:r>
          </w:p>
        </w:tc>
        <w:tc>
          <w:tcPr>
            <w:tcW w:w="425" w:type="pct"/>
            <w:vAlign w:val="center"/>
          </w:tcPr>
          <w:p>
            <w:pPr>
              <w:pStyle w:val="63"/>
              <w:rPr>
                <w:rFonts w:eastAsiaTheme="minorEastAsia"/>
              </w:rPr>
            </w:pPr>
            <w:r>
              <w:rPr>
                <w:rFonts w:eastAsiaTheme="minorEastAsia"/>
              </w:rPr>
              <w:t>377285.68</w:t>
            </w:r>
          </w:p>
        </w:tc>
        <w:tc>
          <w:tcPr>
            <w:tcW w:w="403" w:type="pct"/>
            <w:vAlign w:val="center"/>
          </w:tcPr>
          <w:p>
            <w:pPr>
              <w:pStyle w:val="63"/>
              <w:rPr>
                <w:rFonts w:eastAsiaTheme="minorEastAsia"/>
              </w:rPr>
            </w:pPr>
            <w:r>
              <w:rPr>
                <w:rFonts w:eastAsiaTheme="minorEastAsia"/>
              </w:rPr>
              <w:t>1419.582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43" w:type="pct"/>
            <w:vMerge w:val="continue"/>
            <w:vAlign w:val="center"/>
          </w:tcPr>
          <w:p>
            <w:pPr>
              <w:pStyle w:val="63"/>
              <w:rPr>
                <w:rFonts w:eastAsiaTheme="minorEastAsia"/>
              </w:rPr>
            </w:pPr>
          </w:p>
        </w:tc>
        <w:tc>
          <w:tcPr>
            <w:tcW w:w="543" w:type="pct"/>
            <w:vAlign w:val="center"/>
          </w:tcPr>
          <w:p>
            <w:pPr>
              <w:pStyle w:val="63"/>
              <w:rPr>
                <w:rFonts w:eastAsiaTheme="minorEastAsia"/>
              </w:rPr>
            </w:pPr>
            <w:r>
              <w:rPr>
                <w:rFonts w:hint="eastAsia" w:eastAsiaTheme="minorEastAsia"/>
              </w:rPr>
              <w:t>规划环评批复总量</w:t>
            </w:r>
          </w:p>
        </w:tc>
        <w:tc>
          <w:tcPr>
            <w:tcW w:w="448" w:type="pct"/>
            <w:shd w:val="clear" w:color="auto" w:fill="auto"/>
            <w:noWrap/>
            <w:vAlign w:val="center"/>
          </w:tcPr>
          <w:p>
            <w:pPr>
              <w:pStyle w:val="63"/>
              <w:rPr>
                <w:rFonts w:eastAsiaTheme="minorEastAsia"/>
              </w:rPr>
            </w:pPr>
            <w:r>
              <w:rPr>
                <w:rFonts w:eastAsiaTheme="minorEastAsia"/>
                <w:color w:val="000000"/>
                <w:szCs w:val="21"/>
              </w:rPr>
              <w:t>/</w:t>
            </w:r>
          </w:p>
        </w:tc>
        <w:tc>
          <w:tcPr>
            <w:tcW w:w="349" w:type="pct"/>
            <w:shd w:val="clear" w:color="auto" w:fill="auto"/>
            <w:noWrap/>
            <w:vAlign w:val="center"/>
          </w:tcPr>
          <w:p>
            <w:pPr>
              <w:pStyle w:val="63"/>
              <w:rPr>
                <w:rFonts w:eastAsiaTheme="minorEastAsia"/>
              </w:rPr>
            </w:pPr>
            <w:r>
              <w:rPr>
                <w:rFonts w:eastAsiaTheme="minorEastAsia"/>
                <w:color w:val="000000"/>
                <w:szCs w:val="21"/>
              </w:rPr>
              <w:t>348.277</w:t>
            </w:r>
          </w:p>
        </w:tc>
        <w:tc>
          <w:tcPr>
            <w:tcW w:w="449" w:type="pct"/>
            <w:shd w:val="clear" w:color="auto" w:fill="auto"/>
            <w:noWrap/>
            <w:vAlign w:val="center"/>
          </w:tcPr>
          <w:p>
            <w:pPr>
              <w:pStyle w:val="63"/>
              <w:rPr>
                <w:rFonts w:eastAsiaTheme="minorEastAsia"/>
              </w:rPr>
            </w:pPr>
            <w:r>
              <w:rPr>
                <w:rFonts w:eastAsiaTheme="minorEastAsia"/>
                <w:color w:val="000000"/>
                <w:szCs w:val="21"/>
              </w:rPr>
              <w:t>57.178</w:t>
            </w:r>
          </w:p>
        </w:tc>
        <w:tc>
          <w:tcPr>
            <w:tcW w:w="399" w:type="pct"/>
            <w:shd w:val="clear" w:color="auto" w:fill="auto"/>
            <w:noWrap/>
            <w:vAlign w:val="center"/>
          </w:tcPr>
          <w:p>
            <w:pPr>
              <w:pStyle w:val="63"/>
              <w:rPr>
                <w:rFonts w:eastAsiaTheme="minorEastAsia"/>
              </w:rPr>
            </w:pPr>
            <w:r>
              <w:rPr>
                <w:rFonts w:eastAsiaTheme="minorEastAsia"/>
                <w:color w:val="000000"/>
                <w:szCs w:val="21"/>
              </w:rPr>
              <w:t>1754.455</w:t>
            </w:r>
          </w:p>
        </w:tc>
        <w:tc>
          <w:tcPr>
            <w:tcW w:w="409" w:type="pct"/>
            <w:shd w:val="clear" w:color="auto" w:fill="auto"/>
            <w:noWrap/>
            <w:vAlign w:val="center"/>
          </w:tcPr>
          <w:p>
            <w:pPr>
              <w:pStyle w:val="63"/>
              <w:rPr>
                <w:rFonts w:eastAsiaTheme="minorEastAsia"/>
              </w:rPr>
            </w:pPr>
            <w:r>
              <w:rPr>
                <w:rFonts w:eastAsiaTheme="minorEastAsia"/>
                <w:color w:val="000000"/>
                <w:szCs w:val="21"/>
              </w:rPr>
              <w:t>3041.967</w:t>
            </w:r>
          </w:p>
        </w:tc>
        <w:tc>
          <w:tcPr>
            <w:tcW w:w="408" w:type="pct"/>
            <w:shd w:val="clear" w:color="auto" w:fill="auto"/>
            <w:noWrap/>
            <w:vAlign w:val="center"/>
          </w:tcPr>
          <w:p>
            <w:pPr>
              <w:pStyle w:val="63"/>
              <w:rPr>
                <w:rFonts w:eastAsiaTheme="minorEastAsia"/>
              </w:rPr>
            </w:pPr>
            <w:r>
              <w:rPr>
                <w:rFonts w:eastAsiaTheme="minorEastAsia"/>
                <w:color w:val="000000"/>
                <w:szCs w:val="21"/>
              </w:rPr>
              <w:t>/</w:t>
            </w:r>
          </w:p>
        </w:tc>
        <w:tc>
          <w:tcPr>
            <w:tcW w:w="416" w:type="pct"/>
            <w:shd w:val="clear" w:color="auto" w:fill="auto"/>
            <w:noWrap/>
            <w:vAlign w:val="center"/>
          </w:tcPr>
          <w:p>
            <w:pPr>
              <w:pStyle w:val="63"/>
              <w:rPr>
                <w:rFonts w:eastAsiaTheme="minorEastAsia"/>
              </w:rPr>
            </w:pPr>
            <w:r>
              <w:rPr>
                <w:rFonts w:eastAsiaTheme="minorEastAsia"/>
                <w:color w:val="000000"/>
                <w:szCs w:val="21"/>
              </w:rPr>
              <w:t>101.877</w:t>
            </w:r>
          </w:p>
        </w:tc>
        <w:tc>
          <w:tcPr>
            <w:tcW w:w="408" w:type="pct"/>
            <w:vAlign w:val="center"/>
          </w:tcPr>
          <w:p>
            <w:pPr>
              <w:pStyle w:val="63"/>
              <w:rPr>
                <w:rFonts w:eastAsiaTheme="minorEastAsia"/>
              </w:rPr>
            </w:pPr>
            <w:r>
              <w:rPr>
                <w:rFonts w:eastAsiaTheme="minorEastAsia"/>
                <w:color w:val="000000"/>
                <w:szCs w:val="21"/>
              </w:rPr>
              <w:t>/</w:t>
            </w:r>
          </w:p>
        </w:tc>
        <w:tc>
          <w:tcPr>
            <w:tcW w:w="425" w:type="pct"/>
            <w:vAlign w:val="center"/>
          </w:tcPr>
          <w:p>
            <w:pPr>
              <w:pStyle w:val="63"/>
              <w:rPr>
                <w:rFonts w:eastAsiaTheme="minorEastAsia"/>
              </w:rPr>
            </w:pPr>
            <w:r>
              <w:rPr>
                <w:rFonts w:eastAsiaTheme="minorEastAsia"/>
                <w:color w:val="000000"/>
                <w:szCs w:val="21"/>
              </w:rPr>
              <w:t>/</w:t>
            </w:r>
          </w:p>
        </w:tc>
        <w:tc>
          <w:tcPr>
            <w:tcW w:w="403" w:type="pct"/>
            <w:vAlign w:val="center"/>
          </w:tcPr>
          <w:p>
            <w:pPr>
              <w:pStyle w:val="63"/>
              <w:rPr>
                <w:rFonts w:eastAsiaTheme="minorEastAsia"/>
              </w:rPr>
            </w:pPr>
            <w:r>
              <w:rPr>
                <w:rFonts w:eastAsiaTheme="minorEastAsia"/>
                <w:color w:val="000000"/>
                <w:szCs w:val="21"/>
              </w:rPr>
              <w:t>/</w:t>
            </w:r>
          </w:p>
        </w:tc>
      </w:tr>
    </w:tbl>
    <w:p>
      <w:pPr>
        <w:sectPr>
          <w:pgSz w:w="16838" w:h="11906" w:orient="landscape"/>
          <w:pgMar w:top="1418" w:right="1418" w:bottom="1701" w:left="1418" w:header="851" w:footer="992" w:gutter="0"/>
          <w:cols w:space="425" w:num="1"/>
          <w:docGrid w:type="lines" w:linePitch="326" w:charSpace="915"/>
        </w:sectPr>
      </w:pPr>
    </w:p>
    <w:p>
      <w:pPr>
        <w:pStyle w:val="4"/>
        <w:rPr>
          <w:rFonts w:ascii="Times New Roman" w:hAnsi="Times New Roman" w:cs="Times New Roman"/>
        </w:rPr>
      </w:pPr>
      <w:bookmarkStart w:id="88" w:name="_Toc146091885"/>
      <w:r>
        <w:rPr>
          <w:rFonts w:ascii="Times New Roman" w:hAnsi="Times New Roman" w:cs="Times New Roman"/>
        </w:rPr>
        <w:t>2.2.8 环境风险现状调查</w:t>
      </w:r>
      <w:bookmarkEnd w:id="88"/>
    </w:p>
    <w:p>
      <w:pPr>
        <w:spacing w:line="360" w:lineRule="auto"/>
        <w:ind w:firstLine="488" w:firstLineChars="200"/>
        <w:rPr>
          <w:rFonts w:ascii="Times New Roman" w:hAnsi="Times New Roman" w:cs="Times New Roman"/>
        </w:rPr>
      </w:pPr>
      <w:r>
        <w:rPr>
          <w:rFonts w:ascii="Times New Roman" w:hAnsi="Times New Roman" w:cs="Times New Roman"/>
        </w:rPr>
        <w:t>（1）风险源调查情况</w:t>
      </w:r>
    </w:p>
    <w:p>
      <w:pPr>
        <w:spacing w:line="360" w:lineRule="auto"/>
        <w:ind w:firstLine="488" w:firstLineChars="200"/>
        <w:rPr>
          <w:rFonts w:ascii="Times New Roman" w:hAnsi="Times New Roman" w:cs="Times New Roman"/>
        </w:rPr>
      </w:pPr>
      <w:r>
        <w:rPr>
          <w:rFonts w:ascii="Times New Roman" w:hAnsi="Times New Roman" w:cs="Times New Roman"/>
        </w:rPr>
        <w:t>根据风险源项分析和风险源识别，园区内基本上不会使用和贮存剧毒危险性物质，多为一般性危险物质。园区存在的主要风险物质有</w:t>
      </w:r>
      <w:r>
        <w:rPr>
          <w:rFonts w:hint="eastAsia" w:ascii="Times New Roman" w:hAnsi="Times New Roman" w:cs="Times New Roman"/>
        </w:rPr>
        <w:t>二氯乙烷、液氨、盐酸、硫酸、液氯、苯胺、</w:t>
      </w:r>
      <w:r>
        <w:rPr>
          <w:rFonts w:ascii="Times New Roman" w:hAnsi="Times New Roman" w:cs="Times New Roman"/>
        </w:rPr>
        <w:t>二氧化硫</w:t>
      </w:r>
      <w:r>
        <w:rPr>
          <w:rFonts w:hint="eastAsia" w:ascii="Times New Roman" w:hAnsi="Times New Roman" w:cs="Times New Roman"/>
        </w:rPr>
        <w:t>、</w:t>
      </w:r>
      <w:r>
        <w:rPr>
          <w:rFonts w:ascii="Times New Roman" w:hAnsi="Times New Roman" w:cs="Times New Roman"/>
        </w:rPr>
        <w:t>氢氧化钠等，园区主要企业环境风险源见下表。</w:t>
      </w:r>
    </w:p>
    <w:p>
      <w:pPr>
        <w:pStyle w:val="6"/>
      </w:pPr>
      <w:r>
        <w:t>表2.2-</w:t>
      </w:r>
      <w:r>
        <w:rPr>
          <w:rFonts w:hint="eastAsia"/>
        </w:rPr>
        <w:t>11</w:t>
      </w:r>
      <w:r>
        <w:t xml:space="preserve">  园区现有企业环境风险源情况</w:t>
      </w:r>
    </w:p>
    <w:tbl>
      <w:tblPr>
        <w:tblStyle w:val="36"/>
        <w:tblW w:w="5000" w:type="pct"/>
        <w:jc w:val="center"/>
        <w:tblLayout w:type="fixed"/>
        <w:tblCellMar>
          <w:top w:w="0" w:type="dxa"/>
          <w:left w:w="0" w:type="dxa"/>
          <w:bottom w:w="0" w:type="dxa"/>
          <w:right w:w="0" w:type="dxa"/>
        </w:tblCellMar>
      </w:tblPr>
      <w:tblGrid>
        <w:gridCol w:w="509"/>
        <w:gridCol w:w="1067"/>
        <w:gridCol w:w="1418"/>
        <w:gridCol w:w="1203"/>
        <w:gridCol w:w="866"/>
        <w:gridCol w:w="1317"/>
        <w:gridCol w:w="1628"/>
        <w:gridCol w:w="809"/>
      </w:tblGrid>
      <w:tr>
        <w:tblPrEx>
          <w:tblCellMar>
            <w:top w:w="0" w:type="dxa"/>
            <w:left w:w="0" w:type="dxa"/>
            <w:bottom w:w="0" w:type="dxa"/>
            <w:right w:w="0" w:type="dxa"/>
          </w:tblCellMar>
        </w:tblPrEx>
        <w:trPr>
          <w:cantSplit/>
          <w:trHeight w:val="454" w:hRule="atLeast"/>
          <w:tblHeader/>
          <w:jc w:val="center"/>
        </w:trPr>
        <w:tc>
          <w:tcPr>
            <w:tcW w:w="289"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 xml:space="preserve">序号 </w:t>
            </w:r>
          </w:p>
        </w:tc>
        <w:tc>
          <w:tcPr>
            <w:tcW w:w="605"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 xml:space="preserve">风险物质名称 </w:t>
            </w:r>
          </w:p>
        </w:tc>
        <w:tc>
          <w:tcPr>
            <w:tcW w:w="804"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园区最大存在量</w:t>
            </w:r>
          </w:p>
        </w:tc>
        <w:tc>
          <w:tcPr>
            <w:tcW w:w="68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临界量(t)</w:t>
            </w:r>
          </w:p>
        </w:tc>
        <w:tc>
          <w:tcPr>
            <w:tcW w:w="491"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∑qi/Qi</w:t>
            </w:r>
          </w:p>
        </w:tc>
        <w:tc>
          <w:tcPr>
            <w:tcW w:w="2130" w:type="pct"/>
            <w:gridSpan w:val="3"/>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各企业分布情况</w:t>
            </w:r>
          </w:p>
        </w:tc>
      </w:tr>
      <w:tr>
        <w:tblPrEx>
          <w:tblCellMar>
            <w:top w:w="0" w:type="dxa"/>
            <w:left w:w="0" w:type="dxa"/>
            <w:bottom w:w="0" w:type="dxa"/>
            <w:right w:w="0" w:type="dxa"/>
          </w:tblCellMar>
        </w:tblPrEx>
        <w:trPr>
          <w:cantSplit/>
          <w:trHeight w:val="454" w:hRule="atLeast"/>
          <w:tblHeader/>
          <w:jc w:val="center"/>
        </w:trPr>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企业名称</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最大存在量</w:t>
            </w:r>
          </w:p>
        </w:tc>
        <w:tc>
          <w:tcPr>
            <w:tcW w:w="460"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占比(%)</w:t>
            </w:r>
          </w:p>
        </w:tc>
      </w:tr>
      <w:tr>
        <w:tblPrEx>
          <w:tblCellMar>
            <w:top w:w="0" w:type="dxa"/>
            <w:left w:w="0" w:type="dxa"/>
            <w:bottom w:w="0" w:type="dxa"/>
            <w:right w:w="0" w:type="dxa"/>
          </w:tblCellMar>
        </w:tblPrEx>
        <w:trPr>
          <w:cantSplit/>
          <w:trHeight w:val="454"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湖南临湘高新技术产业开发区片区</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 xml:space="preserve">液氯 </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415</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1</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415</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4.8</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2.6</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比德公司</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34</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8.2</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神骏化工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48</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鹏程化工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36</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盐酸</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2259.5</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903.6</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198</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8.6</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环宇药业</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1.3</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比德公司</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2.2</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神骏化工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1600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69.3</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深水海纳污水</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鹏程化工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380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16.5</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液氨</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5</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7.5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0.67</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甲苯</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环宇药业</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60</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40</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二氯乙烷</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86</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11.47</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69.7</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环宇药业</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17.4</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11.6</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比德公司</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1.2</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二氯甲烷</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20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57.1</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环宇药业</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42.9</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硫酸</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205</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82</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2.4</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驰兴化工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97.6</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三氯甲烷</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25</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环宇药业</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75</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油类</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8070</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2500</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3.23</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德泽环保</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20（柴油）</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0.2</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德泽环保</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50（废矿物油）</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0.6</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龙正节能</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1（柴油）</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三智碳材</w:t>
            </w:r>
          </w:p>
        </w:tc>
        <w:tc>
          <w:tcPr>
            <w:tcW w:w="92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8000（焦油）</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99</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苯酚</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丁烯</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丙烯</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三氯化磷</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47</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6.3</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47</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二甲胺</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34</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6.8</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34</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氰化钠</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0.25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140</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氯丙烯</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85</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17</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88.2</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11.8</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17</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甲醛</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20.5</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41</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宇恒化工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苯胺</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43</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8.6</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比德公司</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43</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19</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氯苯</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比德公司</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289"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605"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一甲胺</w:t>
            </w:r>
          </w:p>
        </w:tc>
        <w:tc>
          <w:tcPr>
            <w:tcW w:w="804"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68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国发精细化工</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100</w:t>
            </w:r>
          </w:p>
        </w:tc>
      </w:tr>
      <w:tr>
        <w:tblPrEx>
          <w:tblCellMar>
            <w:top w:w="0" w:type="dxa"/>
            <w:left w:w="0" w:type="dxa"/>
            <w:bottom w:w="0" w:type="dxa"/>
            <w:right w:w="0" w:type="dxa"/>
          </w:tblCellMar>
        </w:tblPrEx>
        <w:trPr>
          <w:cantSplit/>
          <w:trHeight w:val="454"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三湾工业园片区</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煤气</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2.667</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0.36</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兆邦陶瓷</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2.212</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83</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发达陶瓷</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0.455</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17</w:t>
            </w:r>
          </w:p>
        </w:tc>
      </w:tr>
      <w:tr>
        <w:tblPrEx>
          <w:tblCellMar>
            <w:top w:w="0" w:type="dxa"/>
            <w:left w:w="0" w:type="dxa"/>
            <w:bottom w:w="0" w:type="dxa"/>
            <w:right w:w="0" w:type="dxa"/>
          </w:tblCellMar>
        </w:tblPrEx>
        <w:trPr>
          <w:cantSplit/>
          <w:trHeight w:val="454" w:hRule="atLeast"/>
          <w:jc w:val="center"/>
        </w:trPr>
        <w:tc>
          <w:tcPr>
            <w:tcW w:w="289"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605"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酚水</w:t>
            </w:r>
          </w:p>
        </w:tc>
        <w:tc>
          <w:tcPr>
            <w:tcW w:w="804"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682"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91" w:type="pct"/>
            <w:vMerge w:val="restar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兆邦陶瓷</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57</w:t>
            </w:r>
          </w:p>
        </w:tc>
      </w:tr>
      <w:tr>
        <w:tblPrEx>
          <w:tblCellMar>
            <w:top w:w="0" w:type="dxa"/>
            <w:left w:w="0" w:type="dxa"/>
            <w:bottom w:w="0" w:type="dxa"/>
            <w:right w:w="0" w:type="dxa"/>
          </w:tblCellMar>
        </w:tblPrEx>
        <w:trPr>
          <w:cantSplit/>
          <w:trHeight w:val="454" w:hRule="atLeast"/>
          <w:jc w:val="center"/>
        </w:trPr>
        <w:tc>
          <w:tcPr>
            <w:tcW w:w="28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0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80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49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1"/>
                <w:szCs w:val="21"/>
              </w:rPr>
            </w:pPr>
          </w:p>
        </w:tc>
        <w:tc>
          <w:tcPr>
            <w:tcW w:w="74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发达陶瓷</w:t>
            </w:r>
          </w:p>
        </w:tc>
        <w:tc>
          <w:tcPr>
            <w:tcW w:w="923"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43</w:t>
            </w:r>
          </w:p>
        </w:tc>
      </w:tr>
    </w:tbl>
    <w:p>
      <w:pPr>
        <w:spacing w:line="360" w:lineRule="auto"/>
        <w:rPr>
          <w:rFonts w:ascii="Times New Roman" w:hAnsi="Times New Roman" w:cs="Times New Roman"/>
        </w:rPr>
        <w:sectPr>
          <w:pgSz w:w="11906" w:h="16838"/>
          <w:pgMar w:top="1418" w:right="1418" w:bottom="1418" w:left="1701" w:header="851" w:footer="992" w:gutter="0"/>
          <w:cols w:space="425" w:num="1"/>
          <w:docGrid w:type="linesAndChars" w:linePitch="326" w:charSpace="915"/>
        </w:sectPr>
      </w:pPr>
    </w:p>
    <w:p>
      <w:pPr>
        <w:pStyle w:val="6"/>
        <w:rPr>
          <w:rFonts w:ascii="Times New Roman" w:hAnsi="Times New Roman" w:cs="Times New Roman"/>
        </w:rPr>
      </w:pPr>
      <w:r>
        <w:rPr>
          <w:rFonts w:ascii="Times New Roman" w:hAnsi="Times New Roman" w:cs="Times New Roman"/>
        </w:rPr>
        <w:t>表2.2-</w:t>
      </w:r>
      <w:r>
        <w:rPr>
          <w:rFonts w:hint="eastAsia" w:ascii="Times New Roman" w:hAnsi="Times New Roman" w:cs="Times New Roman"/>
        </w:rPr>
        <w:t>1</w:t>
      </w:r>
      <w:r>
        <w:rPr>
          <w:rFonts w:ascii="Times New Roman" w:hAnsi="Times New Roman" w:cs="Times New Roman"/>
        </w:rPr>
        <w:t>2</w:t>
      </w:r>
      <w:r>
        <w:rPr>
          <w:rFonts w:hint="eastAsia" w:ascii="Times New Roman" w:hAnsi="Times New Roman" w:cs="Times New Roman"/>
        </w:rPr>
        <w:t>区现有企业环境风险物质情况表</w:t>
      </w:r>
    </w:p>
    <w:tbl>
      <w:tblPr>
        <w:tblStyle w:val="36"/>
        <w:tblW w:w="15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0"/>
        <w:gridCol w:w="1080"/>
        <w:gridCol w:w="1280"/>
        <w:gridCol w:w="1080"/>
        <w:gridCol w:w="7600"/>
        <w:gridCol w:w="1120"/>
        <w:gridCol w:w="1180"/>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65" w:hRule="atLeast"/>
          <w:tblHeader/>
          <w:jc w:val="center"/>
        </w:trPr>
        <w:tc>
          <w:tcPr>
            <w:tcW w:w="1080" w:type="dxa"/>
            <w:shd w:val="clear" w:color="auto" w:fill="auto"/>
            <w:tcMar>
              <w:top w:w="15" w:type="dxa"/>
              <w:left w:w="15" w:type="dxa"/>
              <w:bottom w:w="0" w:type="dxa"/>
              <w:right w:w="15" w:type="dxa"/>
            </w:tcMar>
            <w:vAlign w:val="center"/>
          </w:tcPr>
          <w:p>
            <w:pPr>
              <w:pStyle w:val="63"/>
            </w:pPr>
            <w:r>
              <w:rPr>
                <w:rFonts w:hint="eastAsia"/>
              </w:rPr>
              <w:t>企业名称</w:t>
            </w:r>
          </w:p>
        </w:tc>
        <w:tc>
          <w:tcPr>
            <w:tcW w:w="1080" w:type="dxa"/>
            <w:shd w:val="clear" w:color="auto" w:fill="auto"/>
            <w:tcMar>
              <w:top w:w="15" w:type="dxa"/>
              <w:left w:w="15" w:type="dxa"/>
              <w:bottom w:w="0" w:type="dxa"/>
              <w:right w:w="15" w:type="dxa"/>
            </w:tcMar>
            <w:vAlign w:val="center"/>
          </w:tcPr>
          <w:p>
            <w:pPr>
              <w:pStyle w:val="63"/>
            </w:pPr>
            <w:r>
              <w:rPr>
                <w:rFonts w:hint="eastAsia"/>
              </w:rPr>
              <w:t>风险物质名称</w:t>
            </w:r>
          </w:p>
        </w:tc>
        <w:tc>
          <w:tcPr>
            <w:tcW w:w="1280" w:type="dxa"/>
            <w:shd w:val="clear" w:color="auto" w:fill="auto"/>
            <w:tcMar>
              <w:top w:w="15" w:type="dxa"/>
              <w:left w:w="15" w:type="dxa"/>
              <w:bottom w:w="0" w:type="dxa"/>
              <w:right w:w="15" w:type="dxa"/>
            </w:tcMar>
            <w:vAlign w:val="center"/>
          </w:tcPr>
          <w:p>
            <w:pPr>
              <w:pStyle w:val="63"/>
            </w:pPr>
            <w:r>
              <w:rPr>
                <w:rFonts w:hint="eastAsia"/>
              </w:rPr>
              <w:t>危险装置或区域</w:t>
            </w:r>
          </w:p>
        </w:tc>
        <w:tc>
          <w:tcPr>
            <w:tcW w:w="1080" w:type="dxa"/>
            <w:shd w:val="clear" w:color="auto" w:fill="auto"/>
            <w:tcMar>
              <w:top w:w="15" w:type="dxa"/>
              <w:left w:w="15" w:type="dxa"/>
              <w:bottom w:w="0" w:type="dxa"/>
              <w:right w:w="15" w:type="dxa"/>
            </w:tcMar>
            <w:vAlign w:val="center"/>
          </w:tcPr>
          <w:p>
            <w:pPr>
              <w:pStyle w:val="63"/>
            </w:pPr>
            <w:r>
              <w:rPr>
                <w:rFonts w:hint="eastAsia"/>
              </w:rPr>
              <w:t xml:space="preserve">最大存在量 qi(t) </w:t>
            </w:r>
          </w:p>
        </w:tc>
        <w:tc>
          <w:tcPr>
            <w:tcW w:w="7600" w:type="dxa"/>
            <w:shd w:val="clear" w:color="auto" w:fill="auto"/>
            <w:tcMar>
              <w:top w:w="15" w:type="dxa"/>
              <w:left w:w="15" w:type="dxa"/>
              <w:bottom w:w="0" w:type="dxa"/>
              <w:right w:w="15" w:type="dxa"/>
            </w:tcMar>
            <w:vAlign w:val="center"/>
          </w:tcPr>
          <w:p>
            <w:pPr>
              <w:pStyle w:val="63"/>
            </w:pPr>
            <w:r>
              <w:rPr>
                <w:rFonts w:hint="eastAsia"/>
              </w:rPr>
              <w:t>物理、化学、毒理学特性</w:t>
            </w:r>
          </w:p>
        </w:tc>
        <w:tc>
          <w:tcPr>
            <w:tcW w:w="1120" w:type="dxa"/>
            <w:shd w:val="clear" w:color="auto" w:fill="auto"/>
            <w:tcMar>
              <w:top w:w="15" w:type="dxa"/>
              <w:left w:w="15" w:type="dxa"/>
              <w:bottom w:w="0" w:type="dxa"/>
              <w:right w:w="15" w:type="dxa"/>
            </w:tcMar>
            <w:vAlign w:val="center"/>
          </w:tcPr>
          <w:p>
            <w:pPr>
              <w:pStyle w:val="63"/>
            </w:pPr>
            <w:r>
              <w:rPr>
                <w:rFonts w:hint="eastAsia"/>
              </w:rPr>
              <w:t xml:space="preserve">《指南》中临界量Qi(t)   </w:t>
            </w:r>
          </w:p>
        </w:tc>
        <w:tc>
          <w:tcPr>
            <w:tcW w:w="1180" w:type="dxa"/>
            <w:shd w:val="clear" w:color="auto" w:fill="auto"/>
            <w:tcMar>
              <w:top w:w="15" w:type="dxa"/>
              <w:left w:w="15" w:type="dxa"/>
              <w:bottom w:w="0" w:type="dxa"/>
              <w:right w:w="15" w:type="dxa"/>
            </w:tcMar>
            <w:vAlign w:val="center"/>
          </w:tcPr>
          <w:p>
            <w:pPr>
              <w:pStyle w:val="63"/>
            </w:pPr>
            <w:r>
              <w:rPr>
                <w:rFonts w:hint="eastAsia"/>
              </w:rPr>
              <w:t xml:space="preserve">qi/Qi </w:t>
            </w:r>
          </w:p>
        </w:tc>
        <w:tc>
          <w:tcPr>
            <w:tcW w:w="1080" w:type="dxa"/>
            <w:shd w:val="clear" w:color="auto" w:fill="auto"/>
            <w:tcMar>
              <w:top w:w="15" w:type="dxa"/>
              <w:left w:w="15" w:type="dxa"/>
              <w:bottom w:w="0" w:type="dxa"/>
              <w:right w:w="15" w:type="dxa"/>
            </w:tcMar>
            <w:vAlign w:val="center"/>
          </w:tcPr>
          <w:p>
            <w:pPr>
              <w:pStyle w:val="63"/>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51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国发精细化工</w:t>
            </w:r>
          </w:p>
          <w:p>
            <w:pPr>
              <w:pStyle w:val="63"/>
            </w:pPr>
            <w:r>
              <w:rPr>
                <w:rFonts w:hint="eastAsia"/>
              </w:rPr>
              <w:t>（已搬迁至化工园区内）</w:t>
            </w:r>
          </w:p>
        </w:tc>
        <w:tc>
          <w:tcPr>
            <w:tcW w:w="1080" w:type="dxa"/>
            <w:shd w:val="clear" w:color="auto" w:fill="auto"/>
            <w:tcMar>
              <w:top w:w="15" w:type="dxa"/>
              <w:left w:w="15" w:type="dxa"/>
              <w:bottom w:w="0" w:type="dxa"/>
              <w:right w:w="15" w:type="dxa"/>
            </w:tcMar>
            <w:vAlign w:val="center"/>
          </w:tcPr>
          <w:p>
            <w:pPr>
              <w:pStyle w:val="63"/>
            </w:pPr>
            <w:r>
              <w:rPr>
                <w:rFonts w:hint="eastAsia"/>
              </w:rPr>
              <w:t>液氯</w:t>
            </w:r>
          </w:p>
        </w:tc>
        <w:tc>
          <w:tcPr>
            <w:tcW w:w="1280" w:type="dxa"/>
            <w:shd w:val="clear" w:color="auto" w:fill="auto"/>
            <w:tcMar>
              <w:top w:w="15" w:type="dxa"/>
              <w:left w:w="15" w:type="dxa"/>
              <w:bottom w:w="0" w:type="dxa"/>
              <w:right w:w="15" w:type="dxa"/>
            </w:tcMar>
            <w:vAlign w:val="center"/>
          </w:tcPr>
          <w:p>
            <w:pPr>
              <w:pStyle w:val="63"/>
            </w:pPr>
            <w:r>
              <w:rPr>
                <w:rFonts w:hint="eastAsia"/>
              </w:rPr>
              <w:t>储罐区</w:t>
            </w:r>
          </w:p>
        </w:tc>
        <w:tc>
          <w:tcPr>
            <w:tcW w:w="1080" w:type="dxa"/>
            <w:shd w:val="clear" w:color="auto" w:fill="auto"/>
            <w:tcMar>
              <w:top w:w="15" w:type="dxa"/>
              <w:left w:w="15" w:type="dxa"/>
              <w:bottom w:w="0" w:type="dxa"/>
              <w:right w:w="15" w:type="dxa"/>
            </w:tcMar>
            <w:vAlign w:val="center"/>
          </w:tcPr>
          <w:p>
            <w:pPr>
              <w:pStyle w:val="63"/>
            </w:pPr>
            <w:r>
              <w:rPr>
                <w:rFonts w:hint="eastAsia"/>
              </w:rPr>
              <w:t>100</w:t>
            </w:r>
          </w:p>
        </w:tc>
        <w:tc>
          <w:tcPr>
            <w:tcW w:w="7600" w:type="dxa"/>
            <w:shd w:val="clear" w:color="auto" w:fill="auto"/>
            <w:tcMar>
              <w:top w:w="15" w:type="dxa"/>
              <w:left w:w="15" w:type="dxa"/>
              <w:bottom w:w="0" w:type="dxa"/>
              <w:right w:w="15" w:type="dxa"/>
            </w:tcMar>
            <w:vAlign w:val="center"/>
          </w:tcPr>
          <w:p>
            <w:pPr>
              <w:pStyle w:val="63"/>
            </w:pPr>
            <w:r>
              <w:rPr>
                <w:rFonts w:hint="eastAsia"/>
              </w:rPr>
              <w:t>密度比空气大 2.5 倍；易液化，熔沸点较低，常温常压下，熔点为-101.00℃，沸点-34.05℃；可溶于水，且易溶于有机溶剂（例如：四氯化碳），难溶于饱和食盐水。人吸入 LCLo:500ppm/5M。大鼠吸入 LC50:293ppm/1H。小鼠吸入LC50:137ppm/1H。氯气是一种有毒气体，它主要通过呼吸道侵入人体并溶解在黏膜所含的水分里，生成次氯酸和盐酸，对上呼吸道黏膜造成有害的影响：次氯酸使组织受到强烈的氧化；盐酸刺激黏膜发生炎性肿胀，使呼吸道黏膜浮肿，大量分泌黏液，造成呼吸困难，所以氯气中毒的明显症状是发生剧烈的咳嗽。症状重时，会发生肺水肿，使循环作用困难而致死亡。由食道进入人体的氯气会使人恶心、呕吐、胸口疼痛和腹泻。1L 空气中最多可允许含氯气 0.001mg，超过这个量就会引起人体中毒。人体对氯的嗅阈为 0.06mg/m3；90mg/m3时可致剧咳嗽；120～180，30～60min 可引起中毒性肺炎和肺水肿；300mg/m3时，可造成致命损害；3000mg/m3时，危及生命；高达 30000mg/m3时，一般滤过性防毒面具也无保护作用。</w:t>
            </w:r>
          </w:p>
        </w:tc>
        <w:tc>
          <w:tcPr>
            <w:tcW w:w="1120" w:type="dxa"/>
            <w:shd w:val="clear" w:color="auto" w:fill="auto"/>
            <w:tcMar>
              <w:top w:w="15" w:type="dxa"/>
              <w:left w:w="15" w:type="dxa"/>
              <w:bottom w:w="0" w:type="dxa"/>
              <w:right w:w="15" w:type="dxa"/>
            </w:tcMar>
            <w:vAlign w:val="center"/>
          </w:tcPr>
          <w:p>
            <w:pPr>
              <w:pStyle w:val="63"/>
            </w:pPr>
            <w:r>
              <w:rPr>
                <w:rFonts w:hint="eastAsia"/>
              </w:rPr>
              <w:t>1</w:t>
            </w:r>
          </w:p>
        </w:tc>
        <w:tc>
          <w:tcPr>
            <w:tcW w:w="1180" w:type="dxa"/>
            <w:shd w:val="clear" w:color="auto" w:fill="auto"/>
            <w:tcMar>
              <w:top w:w="15" w:type="dxa"/>
              <w:left w:w="15" w:type="dxa"/>
              <w:bottom w:w="0" w:type="dxa"/>
              <w:right w:w="15" w:type="dxa"/>
            </w:tcMar>
            <w:vAlign w:val="center"/>
          </w:tcPr>
          <w:p>
            <w:pPr>
              <w:pStyle w:val="63"/>
            </w:pPr>
            <w:r>
              <w:rPr>
                <w:rFonts w:hint="eastAsia"/>
              </w:rPr>
              <w:t>100</w:t>
            </w:r>
          </w:p>
        </w:tc>
        <w:tc>
          <w:tcPr>
            <w:tcW w:w="1080" w:type="dxa"/>
            <w:shd w:val="clear" w:color="auto" w:fill="auto"/>
            <w:tcMar>
              <w:top w:w="15" w:type="dxa"/>
              <w:left w:w="15" w:type="dxa"/>
              <w:bottom w:w="0" w:type="dxa"/>
              <w:right w:w="15" w:type="dxa"/>
            </w:tcMar>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89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液氨</w:t>
            </w:r>
          </w:p>
        </w:tc>
        <w:tc>
          <w:tcPr>
            <w:tcW w:w="1280" w:type="dxa"/>
            <w:shd w:val="clear" w:color="auto" w:fill="auto"/>
            <w:tcMar>
              <w:top w:w="15" w:type="dxa"/>
              <w:left w:w="15" w:type="dxa"/>
              <w:bottom w:w="0" w:type="dxa"/>
              <w:right w:w="15" w:type="dxa"/>
            </w:tcMar>
            <w:vAlign w:val="center"/>
          </w:tcPr>
          <w:p>
            <w:pPr>
              <w:pStyle w:val="63"/>
            </w:pPr>
            <w:r>
              <w:rPr>
                <w:rFonts w:hint="eastAsia"/>
              </w:rPr>
              <w:t>制冷车间</w:t>
            </w:r>
          </w:p>
        </w:tc>
        <w:tc>
          <w:tcPr>
            <w:tcW w:w="1080" w:type="dxa"/>
            <w:shd w:val="clear" w:color="auto" w:fill="auto"/>
            <w:tcMar>
              <w:top w:w="15" w:type="dxa"/>
              <w:left w:w="15" w:type="dxa"/>
              <w:bottom w:w="0" w:type="dxa"/>
              <w:right w:w="15" w:type="dxa"/>
            </w:tcMar>
            <w:vAlign w:val="center"/>
          </w:tcPr>
          <w:p>
            <w:pPr>
              <w:pStyle w:val="63"/>
            </w:pPr>
            <w:r>
              <w:rPr>
                <w:rFonts w:hint="eastAsia"/>
              </w:rPr>
              <w:t>5</w:t>
            </w:r>
          </w:p>
        </w:tc>
        <w:tc>
          <w:tcPr>
            <w:tcW w:w="7600" w:type="dxa"/>
            <w:shd w:val="clear" w:color="auto" w:fill="auto"/>
            <w:tcMar>
              <w:top w:w="15" w:type="dxa"/>
              <w:left w:w="15" w:type="dxa"/>
              <w:bottom w:w="0" w:type="dxa"/>
              <w:right w:w="15" w:type="dxa"/>
            </w:tcMar>
            <w:vAlign w:val="center"/>
          </w:tcPr>
          <w:p>
            <w:pPr>
              <w:pStyle w:val="63"/>
            </w:pPr>
            <w:r>
              <w:rPr>
                <w:rFonts w:hint="eastAsia"/>
              </w:rPr>
              <w:t>熔点-77.7℃；沸点-33.5℃；密度（水=1）0.617；饱和蒸气压 506.62KPa（4.7℃）；临界温度 132.5℃；临界压力 11.40 MPa；溶解性：易溶于水、乙醇、乙醚。燃爆特性：爆炸上限 27.4%；爆炸下限 15.7%；最大爆炸压力 0.580 MPa。危险特性：与空气混合能形成爆炸性混合物。遇明火、高热能引起燃烧爆炸。与氟、氯等接触会发生剧烈的化学反应。若遇高热，容器内压增大，有开裂和爆炸的危险。急性毒性 LD50350mg/kg（大鼠经口）；LC501390mg/m3，4 小时（大鼠吸入）。</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0.67</w:t>
            </w:r>
          </w:p>
        </w:tc>
        <w:tc>
          <w:tcPr>
            <w:tcW w:w="1080" w:type="dxa"/>
            <w:shd w:val="clear" w:color="auto" w:fill="auto"/>
            <w:tcMar>
              <w:top w:w="15" w:type="dxa"/>
              <w:left w:w="15" w:type="dxa"/>
              <w:bottom w:w="0" w:type="dxa"/>
              <w:right w:w="15" w:type="dxa"/>
            </w:tcMar>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甲醇</w:t>
            </w:r>
          </w:p>
        </w:tc>
        <w:tc>
          <w:tcPr>
            <w:tcW w:w="1280" w:type="dxa"/>
            <w:shd w:val="clear" w:color="auto" w:fill="auto"/>
            <w:tcMar>
              <w:top w:w="15" w:type="dxa"/>
              <w:left w:w="15" w:type="dxa"/>
              <w:bottom w:w="0" w:type="dxa"/>
              <w:right w:w="15" w:type="dxa"/>
            </w:tcMar>
            <w:vAlign w:val="center"/>
          </w:tcPr>
          <w:p>
            <w:pPr>
              <w:pStyle w:val="63"/>
            </w:pPr>
            <w:r>
              <w:rPr>
                <w:rFonts w:hint="eastAsia"/>
              </w:rPr>
              <w:t>杀螟丹储</w:t>
            </w:r>
            <w:r>
              <w:rPr>
                <w:rFonts w:hint="eastAsia"/>
              </w:rPr>
              <w:br w:type="textWrapping"/>
            </w:r>
            <w:r>
              <w:rPr>
                <w:rFonts w:hint="eastAsia"/>
              </w:rPr>
              <w:t>罐区2个20m3储罐</w:t>
            </w:r>
          </w:p>
        </w:tc>
        <w:tc>
          <w:tcPr>
            <w:tcW w:w="1080" w:type="dxa"/>
            <w:shd w:val="clear" w:color="auto" w:fill="auto"/>
            <w:tcMar>
              <w:top w:w="15" w:type="dxa"/>
              <w:left w:w="15" w:type="dxa"/>
              <w:bottom w:w="0" w:type="dxa"/>
              <w:right w:w="15" w:type="dxa"/>
            </w:tcMar>
            <w:vAlign w:val="center"/>
          </w:tcPr>
          <w:p>
            <w:pPr>
              <w:pStyle w:val="63"/>
            </w:pPr>
            <w:r>
              <w:rPr>
                <w:rFonts w:hint="eastAsia"/>
              </w:rPr>
              <w:t>32</w:t>
            </w:r>
          </w:p>
        </w:tc>
        <w:tc>
          <w:tcPr>
            <w:tcW w:w="7600" w:type="dxa"/>
            <w:shd w:val="clear" w:color="auto" w:fill="auto"/>
            <w:tcMar>
              <w:top w:w="15" w:type="dxa"/>
              <w:left w:w="15" w:type="dxa"/>
              <w:bottom w:w="0" w:type="dxa"/>
              <w:right w:w="15" w:type="dxa"/>
            </w:tcMar>
            <w:vAlign w:val="center"/>
          </w:tcPr>
          <w:p>
            <w:pPr>
              <w:pStyle w:val="63"/>
            </w:pPr>
            <w:r>
              <w:rPr>
                <w:rFonts w:hint="eastAsia"/>
              </w:rPr>
              <w:t>沸点 64.7℃，熔点-98 °C(lit.)，密度 0.791 g/mL at 25 °C，闪点 52 °F（约 11°C），爆炸上限%(V/V)：44.0，爆炸下限%(V/V)：5.5。是无色有酒精气味易挥发的液体。易燃，其蒸气与空气可形成爆炸性混合物。遇明火、高热能引起燃烧爆炸。与氧化剂接触发生化学反应或引起燃烧。在火场中，受热的容器有爆炸危险。能在较低处扩散到相当远的地方，遇明火会引着回燃。燃烧分解一氧化碳、二氧化碳。有剧毒。人口服中毒最低剂量约为 100mg/kg 体重，经口摄入 0.3~1g/kg 可致死。LD505628mg/kg(大鼠经口)；15800mg/kg(兔经皮)；LC5082776mg/kg，4 小时(大鼠吸入)；人经口 5~10ml，潜伏期 8~36 小时，致昏迷；人经口 15ml，48 小时内产生视网膜炎，失明；人经口 30~100ml 中枢神经系统严重损害，呼吸衰弱，死亡。</w:t>
            </w:r>
          </w:p>
        </w:tc>
        <w:tc>
          <w:tcPr>
            <w:tcW w:w="1120" w:type="dxa"/>
            <w:shd w:val="clear" w:color="auto" w:fill="auto"/>
            <w:tcMar>
              <w:top w:w="15" w:type="dxa"/>
              <w:left w:w="15" w:type="dxa"/>
              <w:bottom w:w="0" w:type="dxa"/>
              <w:right w:w="15" w:type="dxa"/>
            </w:tcMar>
            <w:vAlign w:val="center"/>
          </w:tcPr>
          <w:p>
            <w:pPr>
              <w:pStyle w:val="63"/>
            </w:pPr>
            <w:r>
              <w:rPr>
                <w:rFonts w:hint="eastAsia"/>
              </w:rPr>
              <w:t>500</w:t>
            </w:r>
          </w:p>
        </w:tc>
        <w:tc>
          <w:tcPr>
            <w:tcW w:w="1180" w:type="dxa"/>
            <w:shd w:val="clear" w:color="auto" w:fill="auto"/>
            <w:tcMar>
              <w:top w:w="15" w:type="dxa"/>
              <w:left w:w="15" w:type="dxa"/>
              <w:bottom w:w="0" w:type="dxa"/>
              <w:right w:w="15" w:type="dxa"/>
            </w:tcMar>
            <w:vAlign w:val="center"/>
          </w:tcPr>
          <w:p>
            <w:pPr>
              <w:pStyle w:val="63"/>
            </w:pPr>
            <w:r>
              <w:rPr>
                <w:rFonts w:hint="eastAsia"/>
              </w:rPr>
              <w:t>0.64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62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二甲苯</w:t>
            </w:r>
          </w:p>
        </w:tc>
        <w:tc>
          <w:tcPr>
            <w:tcW w:w="1280" w:type="dxa"/>
            <w:shd w:val="clear" w:color="auto" w:fill="auto"/>
            <w:tcMar>
              <w:top w:w="15" w:type="dxa"/>
              <w:left w:w="15" w:type="dxa"/>
              <w:bottom w:w="0" w:type="dxa"/>
              <w:right w:w="15" w:type="dxa"/>
            </w:tcMar>
            <w:vAlign w:val="center"/>
          </w:tcPr>
          <w:p>
            <w:pPr>
              <w:pStyle w:val="63"/>
            </w:pPr>
            <w:r>
              <w:rPr>
                <w:rFonts w:hint="eastAsia"/>
              </w:rPr>
              <w:t>储罐区（1个5m3储罐）</w:t>
            </w:r>
          </w:p>
        </w:tc>
        <w:tc>
          <w:tcPr>
            <w:tcW w:w="1080" w:type="dxa"/>
            <w:shd w:val="clear" w:color="auto" w:fill="auto"/>
            <w:tcMar>
              <w:top w:w="15" w:type="dxa"/>
              <w:left w:w="15" w:type="dxa"/>
              <w:bottom w:w="0" w:type="dxa"/>
              <w:right w:w="15" w:type="dxa"/>
            </w:tcMar>
            <w:vAlign w:val="center"/>
          </w:tcPr>
          <w:p>
            <w:pPr>
              <w:pStyle w:val="63"/>
            </w:pPr>
            <w:r>
              <w:rPr>
                <w:rFonts w:hint="eastAsia"/>
              </w:rPr>
              <w:t>4</w:t>
            </w:r>
          </w:p>
        </w:tc>
        <w:tc>
          <w:tcPr>
            <w:tcW w:w="7600" w:type="dxa"/>
            <w:shd w:val="clear" w:color="auto" w:fill="auto"/>
            <w:tcMar>
              <w:top w:w="15" w:type="dxa"/>
              <w:left w:w="15" w:type="dxa"/>
              <w:bottom w:w="0" w:type="dxa"/>
              <w:right w:w="15" w:type="dxa"/>
            </w:tcMar>
            <w:vAlign w:val="center"/>
          </w:tcPr>
          <w:p>
            <w:pPr>
              <w:pStyle w:val="63"/>
            </w:pPr>
            <w:r>
              <w:rPr>
                <w:rFonts w:hint="eastAsia"/>
              </w:rPr>
              <w:t>无色透明液体，具刺激性气味、易燃，与乙醇、氯仿或乙醚能任意混合，在水中不溶。沸点为 137~140℃，闪点 29℃，熔点：邻二甲苯 25.2℃，间二甲苯：-47.9℃，对二甲苯：13.2℃，沸点：邻二甲苯：144.43℃，间二苯：139.12℃，对二甲苯：138.36℃。二甲苯具有低等毒性。经皮肤吸收后，对健康的影响远比苯小。对眼及上呼吸道有刺激作用，高浓度时，对中枢系统有麻醉作用。</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0.4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二氯乙烷</w:t>
            </w:r>
          </w:p>
        </w:tc>
        <w:tc>
          <w:tcPr>
            <w:tcW w:w="1280" w:type="dxa"/>
            <w:shd w:val="clear" w:color="auto" w:fill="auto"/>
            <w:tcMar>
              <w:top w:w="15" w:type="dxa"/>
              <w:left w:w="15" w:type="dxa"/>
              <w:bottom w:w="0" w:type="dxa"/>
              <w:right w:w="15" w:type="dxa"/>
            </w:tcMar>
            <w:vAlign w:val="center"/>
          </w:tcPr>
          <w:p>
            <w:pPr>
              <w:pStyle w:val="63"/>
            </w:pPr>
            <w:r>
              <w:rPr>
                <w:rFonts w:hint="eastAsia"/>
              </w:rPr>
              <w:t>原料库</w:t>
            </w:r>
          </w:p>
        </w:tc>
        <w:tc>
          <w:tcPr>
            <w:tcW w:w="1080" w:type="dxa"/>
            <w:shd w:val="clear" w:color="auto" w:fill="auto"/>
            <w:tcMar>
              <w:top w:w="15" w:type="dxa"/>
              <w:left w:w="15" w:type="dxa"/>
              <w:bottom w:w="0" w:type="dxa"/>
              <w:right w:w="15" w:type="dxa"/>
            </w:tcMar>
            <w:vAlign w:val="center"/>
          </w:tcPr>
          <w:p>
            <w:pPr>
              <w:pStyle w:val="63"/>
            </w:pPr>
            <w:r>
              <w:rPr>
                <w:rFonts w:hint="eastAsia"/>
              </w:rPr>
              <w:t>60</w:t>
            </w:r>
          </w:p>
        </w:tc>
        <w:tc>
          <w:tcPr>
            <w:tcW w:w="7600" w:type="dxa"/>
            <w:shd w:val="clear" w:color="auto" w:fill="auto"/>
            <w:tcMar>
              <w:top w:w="15" w:type="dxa"/>
              <w:left w:w="15" w:type="dxa"/>
              <w:bottom w:w="0" w:type="dxa"/>
              <w:right w:w="15" w:type="dxa"/>
            </w:tcMar>
            <w:vAlign w:val="center"/>
          </w:tcPr>
          <w:p>
            <w:pPr>
              <w:pStyle w:val="63"/>
            </w:pPr>
            <w:r>
              <w:rPr>
                <w:rFonts w:hint="eastAsia"/>
              </w:rPr>
              <w:t>无色透明油状液体。味甜。易挥发。质重。能与乙醇、氯仿和乙醚混溶，溶于约120 份水。相对密度（d204)1.2569。凝固点-40℃。沸点 83~84℃。折光率 1.4443。闪点（闭杯）13℃。易燃。低毒，半数致死量(大鼠，经口）670mg/kg。有致癌可能性。蒸气对呼吸道有刺激性。</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8</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62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二氯甲烷</w:t>
            </w:r>
          </w:p>
        </w:tc>
        <w:tc>
          <w:tcPr>
            <w:tcW w:w="1280" w:type="dxa"/>
            <w:shd w:val="clear" w:color="auto" w:fill="auto"/>
            <w:tcMar>
              <w:top w:w="15" w:type="dxa"/>
              <w:left w:w="15" w:type="dxa"/>
              <w:bottom w:w="0" w:type="dxa"/>
              <w:right w:w="15" w:type="dxa"/>
            </w:tcMar>
            <w:vAlign w:val="center"/>
          </w:tcPr>
          <w:p>
            <w:pPr>
              <w:pStyle w:val="63"/>
            </w:pPr>
            <w:r>
              <w:rPr>
                <w:rFonts w:hint="eastAsia"/>
              </w:rPr>
              <w:t>原料库</w:t>
            </w:r>
          </w:p>
        </w:tc>
        <w:tc>
          <w:tcPr>
            <w:tcW w:w="1080" w:type="dxa"/>
            <w:shd w:val="clear" w:color="auto" w:fill="auto"/>
            <w:tcMar>
              <w:top w:w="15" w:type="dxa"/>
              <w:left w:w="15" w:type="dxa"/>
              <w:bottom w:w="0" w:type="dxa"/>
              <w:right w:w="15" w:type="dxa"/>
            </w:tcMar>
            <w:vAlign w:val="center"/>
          </w:tcPr>
          <w:p>
            <w:pPr>
              <w:pStyle w:val="63"/>
            </w:pPr>
            <w:r>
              <w:rPr>
                <w:rFonts w:hint="eastAsia"/>
              </w:rPr>
              <w:t>20</w:t>
            </w:r>
          </w:p>
        </w:tc>
        <w:tc>
          <w:tcPr>
            <w:tcW w:w="7600" w:type="dxa"/>
            <w:shd w:val="clear" w:color="auto" w:fill="auto"/>
            <w:tcMar>
              <w:top w:w="15" w:type="dxa"/>
              <w:left w:w="15" w:type="dxa"/>
              <w:bottom w:w="0" w:type="dxa"/>
              <w:right w:w="15" w:type="dxa"/>
            </w:tcMar>
            <w:vAlign w:val="center"/>
          </w:tcPr>
          <w:p>
            <w:pPr>
              <w:pStyle w:val="63"/>
            </w:pPr>
            <w:r>
              <w:rPr>
                <w:rFonts w:hint="eastAsia"/>
              </w:rPr>
              <w:t>化学式：C2H4Cl2；Cl(CH2)2Cl，式量：98.97，无色或浅黄色透明液体，熔点-35.7℃，沸点 83.5℃，密度 1.235g/cm3，闪点 17℃。难溶于水，它在室温下是无色有类似氯仿气味的液体，有毒，具潜在致癌性，LD50：725mg/kg(大鼠经口)，IC50：105~710mg/L，易燃，闪点：13℃，自燃温度：458℃，引燃温度：413℃，爆炸下限(V%)：5.6，爆炸上限(V%)：16.0，其蒸气与空气形成爆炸性混合物，遇明火、高热能引起燃烧爆炸。</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三氯甲烷</w:t>
            </w:r>
          </w:p>
        </w:tc>
        <w:tc>
          <w:tcPr>
            <w:tcW w:w="1280" w:type="dxa"/>
            <w:shd w:val="clear" w:color="auto" w:fill="auto"/>
            <w:tcMar>
              <w:top w:w="15" w:type="dxa"/>
              <w:left w:w="15" w:type="dxa"/>
              <w:bottom w:w="0" w:type="dxa"/>
              <w:right w:w="15" w:type="dxa"/>
            </w:tcMar>
            <w:vAlign w:val="center"/>
          </w:tcPr>
          <w:p>
            <w:pPr>
              <w:pStyle w:val="63"/>
            </w:pPr>
            <w:r>
              <w:rPr>
                <w:rFonts w:hint="eastAsia"/>
              </w:rPr>
              <w:t>原料库</w:t>
            </w:r>
          </w:p>
        </w:tc>
        <w:tc>
          <w:tcPr>
            <w:tcW w:w="1080" w:type="dxa"/>
            <w:shd w:val="clear" w:color="auto" w:fill="auto"/>
            <w:tcMar>
              <w:top w:w="15" w:type="dxa"/>
              <w:left w:w="15" w:type="dxa"/>
              <w:bottom w:w="0" w:type="dxa"/>
              <w:right w:w="15" w:type="dxa"/>
            </w:tcMar>
            <w:vAlign w:val="center"/>
          </w:tcPr>
          <w:p>
            <w:pPr>
              <w:pStyle w:val="63"/>
            </w:pPr>
            <w:r>
              <w:rPr>
                <w:rFonts w:hint="eastAsia"/>
              </w:rPr>
              <w:t>5</w:t>
            </w:r>
          </w:p>
        </w:tc>
        <w:tc>
          <w:tcPr>
            <w:tcW w:w="7600" w:type="dxa"/>
            <w:shd w:val="clear" w:color="auto" w:fill="auto"/>
            <w:tcMar>
              <w:top w:w="15" w:type="dxa"/>
              <w:left w:w="15" w:type="dxa"/>
              <w:bottom w:w="0" w:type="dxa"/>
              <w:right w:w="15" w:type="dxa"/>
            </w:tcMar>
            <w:vAlign w:val="center"/>
          </w:tcPr>
          <w:p>
            <w:pPr>
              <w:pStyle w:val="63"/>
            </w:pPr>
            <w:r>
              <w:rPr>
                <w:rFonts w:hint="eastAsia"/>
              </w:rPr>
              <w:t>不燃，质重，易挥发。相对密度 1.4840。凝固点-63.5℃。沸点 61~62℃。折光率1.4476。低毒，半数致死量(大鼠，经口)1194mg/kg。有麻醉性。有致癌可能性。</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0.5</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苯酚</w:t>
            </w:r>
          </w:p>
        </w:tc>
        <w:tc>
          <w:tcPr>
            <w:tcW w:w="1280" w:type="dxa"/>
            <w:shd w:val="clear" w:color="auto" w:fill="auto"/>
            <w:tcMar>
              <w:top w:w="15" w:type="dxa"/>
              <w:left w:w="15" w:type="dxa"/>
              <w:bottom w:w="0" w:type="dxa"/>
              <w:right w:w="15" w:type="dxa"/>
            </w:tcMar>
            <w:vAlign w:val="center"/>
          </w:tcPr>
          <w:p>
            <w:pPr>
              <w:pStyle w:val="63"/>
            </w:pPr>
            <w:r>
              <w:rPr>
                <w:rFonts w:hint="eastAsia"/>
              </w:rPr>
              <w:t>储罐区（4</w:t>
            </w:r>
            <w:r>
              <w:rPr>
                <w:rFonts w:hint="eastAsia"/>
              </w:rPr>
              <w:br w:type="textWrapping"/>
            </w:r>
            <w:r>
              <w:rPr>
                <w:rFonts w:hint="eastAsia"/>
              </w:rPr>
              <w:t>个 20m3储</w:t>
            </w:r>
            <w:r>
              <w:rPr>
                <w:rFonts w:hint="eastAsia"/>
              </w:rPr>
              <w:br w:type="textWrapping"/>
            </w:r>
            <w:r>
              <w:rPr>
                <w:rFonts w:hint="eastAsia"/>
              </w:rPr>
              <w:t>罐）</w:t>
            </w:r>
          </w:p>
        </w:tc>
        <w:tc>
          <w:tcPr>
            <w:tcW w:w="1080" w:type="dxa"/>
            <w:shd w:val="clear" w:color="auto" w:fill="auto"/>
            <w:tcMar>
              <w:top w:w="15" w:type="dxa"/>
              <w:left w:w="15" w:type="dxa"/>
              <w:bottom w:w="0" w:type="dxa"/>
              <w:right w:w="15" w:type="dxa"/>
            </w:tcMar>
            <w:vAlign w:val="center"/>
          </w:tcPr>
          <w:p>
            <w:pPr>
              <w:pStyle w:val="63"/>
            </w:pPr>
            <w:r>
              <w:t>50</w:t>
            </w:r>
          </w:p>
        </w:tc>
        <w:tc>
          <w:tcPr>
            <w:tcW w:w="7600" w:type="dxa"/>
            <w:shd w:val="clear" w:color="auto" w:fill="auto"/>
            <w:tcMar>
              <w:top w:w="15" w:type="dxa"/>
              <w:left w:w="15" w:type="dxa"/>
              <w:bottom w:w="0" w:type="dxa"/>
              <w:right w:w="15" w:type="dxa"/>
            </w:tcMar>
            <w:vAlign w:val="center"/>
          </w:tcPr>
          <w:p>
            <w:pPr>
              <w:pStyle w:val="63"/>
            </w:pPr>
            <w:r>
              <w:rPr>
                <w:rFonts w:hint="eastAsia"/>
              </w:rPr>
              <w:t>常温下为一种无色晶体，有毒。熔点(℃):40.6，相对密度(水=1):1.07，沸点(℃):181.9，闪点 79.5℃，爆炸上限%(V/V):8.6，引燃温度(℃):715，爆炸下限%(V/V):1.7，有特殊的气味，有强腐蚀性。有毒，LD50 530mg/kg，对环境有严重危害，对水体和大气可造成污染。</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10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丁烯</w:t>
            </w:r>
          </w:p>
        </w:tc>
        <w:tc>
          <w:tcPr>
            <w:tcW w:w="1280" w:type="dxa"/>
            <w:shd w:val="clear" w:color="auto" w:fill="auto"/>
            <w:tcMar>
              <w:top w:w="15" w:type="dxa"/>
              <w:left w:w="15" w:type="dxa"/>
              <w:bottom w:w="0" w:type="dxa"/>
              <w:right w:w="15" w:type="dxa"/>
            </w:tcMar>
            <w:vAlign w:val="center"/>
          </w:tcPr>
          <w:p>
            <w:pPr>
              <w:pStyle w:val="63"/>
            </w:pPr>
            <w:r>
              <w:rPr>
                <w:rFonts w:hint="eastAsia"/>
              </w:rPr>
              <w:t>储罐区（1</w:t>
            </w:r>
            <w:r>
              <w:rPr>
                <w:rFonts w:hint="eastAsia"/>
              </w:rPr>
              <w:br w:type="textWrapping"/>
            </w:r>
            <w:r>
              <w:rPr>
                <w:rFonts w:hint="eastAsia"/>
              </w:rPr>
              <w:t>个 33m3储</w:t>
            </w:r>
            <w:r>
              <w:rPr>
                <w:rFonts w:hint="eastAsia"/>
              </w:rPr>
              <w:br w:type="textWrapping"/>
            </w:r>
            <w:r>
              <w:rPr>
                <w:rFonts w:hint="eastAsia"/>
              </w:rPr>
              <w:t>罐）</w:t>
            </w:r>
          </w:p>
        </w:tc>
        <w:tc>
          <w:tcPr>
            <w:tcW w:w="1080" w:type="dxa"/>
            <w:shd w:val="clear" w:color="auto" w:fill="auto"/>
            <w:tcMar>
              <w:top w:w="15" w:type="dxa"/>
              <w:left w:w="15" w:type="dxa"/>
              <w:bottom w:w="0" w:type="dxa"/>
              <w:right w:w="15" w:type="dxa"/>
            </w:tcMar>
            <w:vAlign w:val="center"/>
          </w:tcPr>
          <w:p>
            <w:pPr>
              <w:pStyle w:val="63"/>
            </w:pPr>
            <w:r>
              <w:rPr>
                <w:rFonts w:hint="eastAsia"/>
              </w:rPr>
              <w:t>15</w:t>
            </w:r>
          </w:p>
        </w:tc>
        <w:tc>
          <w:tcPr>
            <w:tcW w:w="7600" w:type="dxa"/>
            <w:shd w:val="clear" w:color="auto" w:fill="auto"/>
            <w:tcMar>
              <w:top w:w="15" w:type="dxa"/>
              <w:left w:w="15" w:type="dxa"/>
              <w:bottom w:w="0" w:type="dxa"/>
              <w:right w:w="15" w:type="dxa"/>
            </w:tcMar>
            <w:vAlign w:val="center"/>
          </w:tcPr>
          <w:p>
            <w:pPr>
              <w:pStyle w:val="63"/>
            </w:pPr>
            <w:r>
              <w:rPr>
                <w:rFonts w:hint="eastAsia"/>
              </w:rPr>
              <w:t>分子量 56.1，密度 0.5951g/cm3(20/4℃)。异丁烯有不愉快臭味。爆炸极限为1.8%~9.6%.沸点-6.90℃。1-丁烯浓度在易燃范围为麻醉剂，小鼠吸入 2h，绝对麻醉浓度为 350g/m3，LC100为 600g/m3，LC50为 420g/m3。40g/m3时，兔屈肌反射受抑制。2-丁烯对小鼠约 300~400g/m3浓度时引起深麻醉，对粘膜刺激作用小。异丁烯 LC50，小鼠吸入 2h 为 415g/m3;大鼠吸入 4h 为 620g/m3。麻醉作用与脑内浓度间呈线性关系。人接触 25g/m3，5min 出现上呼吸道刺激症状。805~989mg/m3(92.9%为 2-丁烯的不饱和烃混合气体)2h 出现粘膜刺激症状、嗜睡、血压稍升高,有时有脉速等。高浓度可造成昏迷。长期接触以丁烯为主的混合气体的工人，有头晕、头痛、嗜睡或失眠、易兴奋、易疲倦、全身乏力和记忆减退，有时有粘膜慢性刺激症状。</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3</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丙烯</w:t>
            </w:r>
          </w:p>
        </w:tc>
        <w:tc>
          <w:tcPr>
            <w:tcW w:w="1280" w:type="dxa"/>
            <w:shd w:val="clear" w:color="auto" w:fill="auto"/>
            <w:tcMar>
              <w:top w:w="15" w:type="dxa"/>
              <w:left w:w="15" w:type="dxa"/>
              <w:bottom w:w="0" w:type="dxa"/>
              <w:right w:w="15" w:type="dxa"/>
            </w:tcMar>
            <w:vAlign w:val="center"/>
          </w:tcPr>
          <w:p>
            <w:pPr>
              <w:pStyle w:val="63"/>
            </w:pPr>
            <w:r>
              <w:rPr>
                <w:rFonts w:hint="eastAsia"/>
              </w:rPr>
              <w:t>储罐区（2</w:t>
            </w:r>
            <w:r>
              <w:rPr>
                <w:rFonts w:hint="eastAsia"/>
              </w:rPr>
              <w:br w:type="textWrapping"/>
            </w:r>
            <w:r>
              <w:rPr>
                <w:rFonts w:hint="eastAsia"/>
              </w:rPr>
              <w:t>个 33m3 储</w:t>
            </w:r>
            <w:r>
              <w:rPr>
                <w:rFonts w:hint="eastAsia"/>
              </w:rPr>
              <w:br w:type="textWrapping"/>
            </w:r>
            <w:r>
              <w:rPr>
                <w:rFonts w:hint="eastAsia"/>
              </w:rPr>
              <w:t>罐）</w:t>
            </w:r>
          </w:p>
        </w:tc>
        <w:tc>
          <w:tcPr>
            <w:tcW w:w="1080" w:type="dxa"/>
            <w:shd w:val="clear" w:color="auto" w:fill="auto"/>
            <w:tcMar>
              <w:top w:w="15" w:type="dxa"/>
              <w:left w:w="15" w:type="dxa"/>
              <w:bottom w:w="0" w:type="dxa"/>
              <w:right w:w="15" w:type="dxa"/>
            </w:tcMar>
            <w:vAlign w:val="center"/>
          </w:tcPr>
          <w:p>
            <w:pPr>
              <w:pStyle w:val="63"/>
            </w:pPr>
            <w:r>
              <w:rPr>
                <w:rFonts w:hint="eastAsia"/>
              </w:rPr>
              <w:t>30</w:t>
            </w:r>
          </w:p>
        </w:tc>
        <w:tc>
          <w:tcPr>
            <w:tcW w:w="7600" w:type="dxa"/>
            <w:shd w:val="clear" w:color="auto" w:fill="auto"/>
            <w:tcMar>
              <w:top w:w="15" w:type="dxa"/>
              <w:left w:w="15" w:type="dxa"/>
              <w:bottom w:w="0" w:type="dxa"/>
              <w:right w:w="15" w:type="dxa"/>
            </w:tcMar>
            <w:vAlign w:val="center"/>
          </w:tcPr>
          <w:p>
            <w:pPr>
              <w:pStyle w:val="63"/>
            </w:pPr>
            <w:r>
              <w:rPr>
                <w:rFonts w:hint="eastAsia"/>
              </w:rPr>
              <w:t>丙烯（propylene，C3H6）是一种属低毒类物质，也是三大合成材料的基本原料，常温下为无色、稍带有甜味的气体，熔点</w:t>
            </w:r>
            <w:r>
              <w:rPr>
                <w:rFonts w:hint="eastAsia" w:ascii="微软雅黑" w:hAnsi="微软雅黑" w:eastAsia="微软雅黑" w:cs="微软雅黑"/>
              </w:rPr>
              <w:t>−</w:t>
            </w:r>
            <w:r>
              <w:rPr>
                <w:rFonts w:hint="eastAsia"/>
              </w:rPr>
              <w:t>185.2℃，沸点-47.4℃。丙烯不溶于水，溶于有机溶剂；易燃，爆炸极限为 2%~11%。丙烯在酸性催化剂（硫酸、无水氢氟酸等）存在下聚合，生成二聚体、三聚体和四聚体的混合物，可用作高辛烷值燃料，也用于生产丙烯腈、异丙烯、丙酮和环氧丙烷等。健康危害：本品为单纯窒息剂及轻度麻醉剂。急性中毒：人吸入丙烯可引起意识丧失，当浓度为 15%时，需 30 分钟；24%时，需 3 分钟35%~40%时，需 20 秒钟；40%以上时，仅需 6秒钟，并引起呕吐。慢性影响：长期接触可引起头昏、乏力、全身不适、思维不集中。个别人胃肠道功能发生紊乱。</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t>CO</w:t>
            </w:r>
          </w:p>
        </w:tc>
        <w:tc>
          <w:tcPr>
            <w:tcW w:w="1280" w:type="dxa"/>
            <w:shd w:val="clear" w:color="auto" w:fill="auto"/>
            <w:tcMar>
              <w:top w:w="15" w:type="dxa"/>
              <w:left w:w="15" w:type="dxa"/>
              <w:bottom w:w="0" w:type="dxa"/>
              <w:right w:w="15" w:type="dxa"/>
            </w:tcMar>
            <w:vAlign w:val="center"/>
          </w:tcPr>
          <w:p>
            <w:pPr>
              <w:pStyle w:val="63"/>
            </w:pPr>
            <w:r>
              <w:rPr>
                <w:rFonts w:hint="eastAsia"/>
              </w:rPr>
              <w:t>造气车间</w:t>
            </w:r>
          </w:p>
        </w:tc>
        <w:tc>
          <w:tcPr>
            <w:tcW w:w="1080" w:type="dxa"/>
            <w:shd w:val="clear" w:color="auto" w:fill="auto"/>
            <w:tcMar>
              <w:top w:w="15" w:type="dxa"/>
              <w:left w:w="15" w:type="dxa"/>
              <w:bottom w:w="0" w:type="dxa"/>
              <w:right w:w="15" w:type="dxa"/>
            </w:tcMar>
            <w:vAlign w:val="center"/>
          </w:tcPr>
          <w:p>
            <w:pPr>
              <w:pStyle w:val="63"/>
            </w:pPr>
            <w:r>
              <w:rPr>
                <w:rFonts w:hint="eastAsia"/>
              </w:rPr>
              <w:t>1.2</w:t>
            </w:r>
          </w:p>
        </w:tc>
        <w:tc>
          <w:tcPr>
            <w:tcW w:w="7600" w:type="dxa"/>
            <w:shd w:val="clear" w:color="auto" w:fill="auto"/>
            <w:tcMar>
              <w:top w:w="15" w:type="dxa"/>
              <w:left w:w="15" w:type="dxa"/>
              <w:bottom w:w="0" w:type="dxa"/>
              <w:right w:w="15" w:type="dxa"/>
            </w:tcMar>
            <w:vAlign w:val="center"/>
          </w:tcPr>
          <w:p>
            <w:pPr>
              <w:pStyle w:val="63"/>
            </w:pPr>
            <w:r>
              <w:rPr>
                <w:rFonts w:hint="eastAsia"/>
              </w:rPr>
              <w:t>一氧化碳是空气中常见的化合物，由一个氧原子与一个碳原子通过共价键连接而成，在通常状况下，一氧化碳是无色、无臭、无味、有毒的气体，一氧化碳是无色、无臭、无味、有毒的气体，难溶于水，熔点-199℃，沸点-191.5℃。标准状况下气体密度为 l.25g/L，和空气密度（标准状况下 1.293g/L）相差很小。急性毒性：LC50：小鼠 2300~5700mg/m3，豚鼠 1000~3300mg/m3，兔 4600~17200mg/m3，猫 4600~45800mg/m3，狗 34400~45800mg/m3。亚急性和慢性毒性：大鼠吸入0.047~0.053mg/L，4~8h/d，30d，出现生长缓慢，血红蛋白及红细胞数增高，肝脏的琥珀酸脱氢酶及细胞色素氧化酶的活性受到破坏。猴吸入 0.11mg/L，经 3~6 个月引起心肌损伤。</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0.16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89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三氯化磷</w:t>
            </w:r>
          </w:p>
        </w:tc>
        <w:tc>
          <w:tcPr>
            <w:tcW w:w="1280" w:type="dxa"/>
            <w:shd w:val="clear" w:color="auto" w:fill="auto"/>
            <w:tcMar>
              <w:top w:w="15" w:type="dxa"/>
              <w:left w:w="15" w:type="dxa"/>
              <w:bottom w:w="0" w:type="dxa"/>
              <w:right w:w="15" w:type="dxa"/>
            </w:tcMar>
            <w:vAlign w:val="center"/>
          </w:tcPr>
          <w:p>
            <w:pPr>
              <w:pStyle w:val="63"/>
            </w:pPr>
            <w:r>
              <w:rPr>
                <w:rFonts w:hint="eastAsia"/>
              </w:rPr>
              <w:t>杀螟丹储</w:t>
            </w:r>
            <w:r>
              <w:rPr>
                <w:rFonts w:hint="eastAsia"/>
              </w:rPr>
              <w:br w:type="textWrapping"/>
            </w:r>
            <w:r>
              <w:rPr>
                <w:rFonts w:hint="eastAsia"/>
              </w:rPr>
              <w:t>罐区（1 个</w:t>
            </w:r>
            <w:r>
              <w:rPr>
                <w:rFonts w:hint="eastAsia"/>
              </w:rPr>
              <w:br w:type="textWrapping"/>
            </w:r>
            <w:r>
              <w:rPr>
                <w:rFonts w:hint="eastAsia"/>
              </w:rPr>
              <w:t>30m3储罐）</w:t>
            </w:r>
          </w:p>
        </w:tc>
        <w:tc>
          <w:tcPr>
            <w:tcW w:w="1080" w:type="dxa"/>
            <w:shd w:val="clear" w:color="auto" w:fill="auto"/>
            <w:tcMar>
              <w:top w:w="15" w:type="dxa"/>
              <w:left w:w="15" w:type="dxa"/>
              <w:bottom w:w="0" w:type="dxa"/>
              <w:right w:w="15" w:type="dxa"/>
            </w:tcMar>
            <w:vAlign w:val="center"/>
          </w:tcPr>
          <w:p>
            <w:pPr>
              <w:pStyle w:val="63"/>
            </w:pPr>
            <w:r>
              <w:rPr>
                <w:rFonts w:hint="eastAsia"/>
              </w:rPr>
              <w:t>57</w:t>
            </w:r>
          </w:p>
        </w:tc>
        <w:tc>
          <w:tcPr>
            <w:tcW w:w="7600" w:type="dxa"/>
            <w:shd w:val="clear" w:color="auto" w:fill="auto"/>
            <w:tcMar>
              <w:top w:w="15" w:type="dxa"/>
              <w:left w:w="15" w:type="dxa"/>
              <w:bottom w:w="0" w:type="dxa"/>
              <w:right w:w="15" w:type="dxa"/>
            </w:tcMar>
            <w:vAlign w:val="center"/>
          </w:tcPr>
          <w:p>
            <w:pPr>
              <w:pStyle w:val="63"/>
            </w:pPr>
            <w:r>
              <w:rPr>
                <w:rFonts w:hint="eastAsia"/>
              </w:rPr>
              <w:t>无色澄清液体。能发烟。溶于水和乙醇，同时分解并放出热。溶于苯、氯仿、乙醚和二硫化碳。相对密度（d214）1.574。熔点-112℃。沸点 76℃。低毒，半数致死量(大鼠，经口）550mg/kg。有腐蚀性。三氯化磷在空气中可生成盐酸雾，对皮肤、粘膜有刺激腐蚀作用。短期内吸入大量蒸气可引起上呼吸道刺激症状，出现咽喉炎、支气管炎，严重者可发生喉头水肿致窒息、肺炎或肺水肿。皮肤及眼接触，可引起刺激症状或灼伤，严重眼灼伤可致失明。长期低浓度接触可引起眼及呼吸道刺激症状，可引起磷毒性口腔病。</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7.6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二甲胺</w:t>
            </w:r>
          </w:p>
        </w:tc>
        <w:tc>
          <w:tcPr>
            <w:tcW w:w="1280" w:type="dxa"/>
            <w:shd w:val="clear" w:color="auto" w:fill="auto"/>
            <w:tcMar>
              <w:top w:w="15" w:type="dxa"/>
              <w:left w:w="15" w:type="dxa"/>
              <w:bottom w:w="0" w:type="dxa"/>
              <w:right w:w="15" w:type="dxa"/>
            </w:tcMar>
            <w:vAlign w:val="center"/>
          </w:tcPr>
          <w:p>
            <w:pPr>
              <w:pStyle w:val="63"/>
            </w:pPr>
            <w:r>
              <w:rPr>
                <w:rFonts w:hint="eastAsia"/>
              </w:rPr>
              <w:t>杀螟丹储</w:t>
            </w:r>
            <w:r>
              <w:rPr>
                <w:rFonts w:hint="eastAsia"/>
              </w:rPr>
              <w:br w:type="textWrapping"/>
            </w:r>
            <w:r>
              <w:rPr>
                <w:rFonts w:hint="eastAsia"/>
              </w:rPr>
              <w:t>罐区（2 个</w:t>
            </w:r>
            <w:r>
              <w:rPr>
                <w:rFonts w:hint="eastAsia"/>
              </w:rPr>
              <w:br w:type="textWrapping"/>
            </w:r>
            <w:r>
              <w:rPr>
                <w:rFonts w:hint="eastAsia"/>
              </w:rPr>
              <w:t>25m3储罐）</w:t>
            </w:r>
          </w:p>
        </w:tc>
        <w:tc>
          <w:tcPr>
            <w:tcW w:w="1080" w:type="dxa"/>
            <w:shd w:val="clear" w:color="auto" w:fill="auto"/>
            <w:tcMar>
              <w:top w:w="15" w:type="dxa"/>
              <w:left w:w="15" w:type="dxa"/>
              <w:bottom w:w="0" w:type="dxa"/>
              <w:right w:w="15" w:type="dxa"/>
            </w:tcMar>
            <w:vAlign w:val="center"/>
          </w:tcPr>
          <w:p>
            <w:pPr>
              <w:pStyle w:val="63"/>
            </w:pPr>
            <w:r>
              <w:rPr>
                <w:rFonts w:hint="eastAsia"/>
              </w:rPr>
              <w:t>34</w:t>
            </w:r>
          </w:p>
        </w:tc>
        <w:tc>
          <w:tcPr>
            <w:tcW w:w="7600" w:type="dxa"/>
            <w:shd w:val="clear" w:color="auto" w:fill="auto"/>
            <w:tcMar>
              <w:top w:w="15" w:type="dxa"/>
              <w:left w:w="15" w:type="dxa"/>
              <w:bottom w:w="0" w:type="dxa"/>
              <w:right w:w="15" w:type="dxa"/>
            </w:tcMar>
            <w:vAlign w:val="center"/>
          </w:tcPr>
          <w:p>
            <w:pPr>
              <w:pStyle w:val="63"/>
            </w:pPr>
            <w:r>
              <w:rPr>
                <w:rFonts w:hint="eastAsia"/>
              </w:rPr>
              <w:t>二甲胺是 为无色易燃气体或液体，高浓度或压缩液化时，具有强烈的令人不愉快的氨臭，浓度极低时有鱼油的恶臭。易溶于水，溶于乙醇和乙醚。有毒。熔点-96℃，沸点 6.9℃，相对密度 0.654，冰点-92.19℃，闪点-17.78℃，自燃点 400℃，其蒸气能与空气形成爆炸性混合物，爆炸极限 2.8%-14.4%。蒸气压 0.2026kPa，临界温度 164.6℃，临界压力 5.309kPa，折射率 1.347。40%二甲胺水溶液的沸点 51.5℃，闪点-99.4℃，相对密度 0.898，蒸气压（20℃）26.264kPa，粘度（40℃）0.0017Pa·s。这种胺是一种无色易燃气体，具有氨味和鱼腥味。</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6.8</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光气</w:t>
            </w:r>
          </w:p>
        </w:tc>
        <w:tc>
          <w:tcPr>
            <w:tcW w:w="1280" w:type="dxa"/>
            <w:shd w:val="clear" w:color="auto" w:fill="auto"/>
            <w:tcMar>
              <w:top w:w="15" w:type="dxa"/>
              <w:left w:w="15" w:type="dxa"/>
              <w:bottom w:w="0" w:type="dxa"/>
              <w:right w:w="15" w:type="dxa"/>
            </w:tcMar>
            <w:vAlign w:val="center"/>
          </w:tcPr>
          <w:p>
            <w:pPr>
              <w:pStyle w:val="63"/>
            </w:pPr>
            <w:r>
              <w:rPr>
                <w:rFonts w:hint="eastAsia"/>
              </w:rPr>
              <w:t>在线</w:t>
            </w:r>
          </w:p>
        </w:tc>
        <w:tc>
          <w:tcPr>
            <w:tcW w:w="1080" w:type="dxa"/>
            <w:shd w:val="clear" w:color="auto" w:fill="auto"/>
            <w:tcMar>
              <w:top w:w="15" w:type="dxa"/>
              <w:left w:w="15" w:type="dxa"/>
              <w:bottom w:w="0" w:type="dxa"/>
              <w:right w:w="15" w:type="dxa"/>
            </w:tcMar>
            <w:vAlign w:val="center"/>
          </w:tcPr>
          <w:p>
            <w:pPr>
              <w:pStyle w:val="63"/>
            </w:pPr>
            <w:r>
              <w:rPr>
                <w:rFonts w:hint="eastAsia"/>
              </w:rPr>
              <w:t>0.00044</w:t>
            </w:r>
          </w:p>
        </w:tc>
        <w:tc>
          <w:tcPr>
            <w:tcW w:w="7600" w:type="dxa"/>
            <w:shd w:val="clear" w:color="auto" w:fill="auto"/>
            <w:tcMar>
              <w:top w:w="15" w:type="dxa"/>
              <w:left w:w="15" w:type="dxa"/>
              <w:bottom w:w="0" w:type="dxa"/>
              <w:right w:w="15" w:type="dxa"/>
            </w:tcMar>
            <w:vAlign w:val="center"/>
          </w:tcPr>
          <w:p>
            <w:pPr>
              <w:pStyle w:val="63"/>
            </w:pPr>
            <w:r>
              <w:rPr>
                <w:rFonts w:hint="eastAsia"/>
              </w:rPr>
              <w:t>微溶于水，较易溶于苯、甲苯等。由一氧化碳和氯的混合物通过活性炭制得。光气常温下有腐草味，化学性质不稳定，遇水迅速水解，生成氟化氢。是氟塑料高温热解产物之一。是有机合成、农药、药物、染料及其他化工制品的中间体。脂肪族氯烃类（如四氯化碳、氯仿、三氯乙烯等）在燃烧时可产生光气。环境中的光气主要来自染料、农药、制药等生产工艺。光气是剧烈窒息性毒气，高浓度吸人可致肺水肿。毒性比氯气约大 10 倍，但在体内无蓄积作用。本品是典型的暂时性毒剂。吸入中毒的半致命剂量 LD50为 3200mg·min/m3，半失能剂量1600mg·min/m3。吸入后，经几小时的潜伏期出现症状，表现为呼吸困难、胸部压痛、血压下降，严重时昏迷以至死亡。防毒面具可有效地防护，通常不需消毒。抗毒药有乌洛托品等。出现肺水肿症状者禁止人工呼吸。</w:t>
            </w:r>
          </w:p>
        </w:tc>
        <w:tc>
          <w:tcPr>
            <w:tcW w:w="1120" w:type="dxa"/>
            <w:shd w:val="clear" w:color="auto" w:fill="auto"/>
            <w:tcMar>
              <w:top w:w="15" w:type="dxa"/>
              <w:left w:w="15" w:type="dxa"/>
              <w:bottom w:w="0" w:type="dxa"/>
              <w:right w:w="15" w:type="dxa"/>
            </w:tcMar>
            <w:vAlign w:val="center"/>
          </w:tcPr>
          <w:p>
            <w:pPr>
              <w:pStyle w:val="63"/>
            </w:pPr>
            <w:r>
              <w:rPr>
                <w:rFonts w:hint="eastAsia"/>
              </w:rPr>
              <w:t>0.25</w:t>
            </w:r>
          </w:p>
        </w:tc>
        <w:tc>
          <w:tcPr>
            <w:tcW w:w="1180" w:type="dxa"/>
            <w:shd w:val="clear" w:color="auto" w:fill="auto"/>
            <w:tcMar>
              <w:top w:w="15" w:type="dxa"/>
              <w:left w:w="15" w:type="dxa"/>
              <w:bottom w:w="0" w:type="dxa"/>
              <w:right w:w="15" w:type="dxa"/>
            </w:tcMar>
            <w:vAlign w:val="center"/>
          </w:tcPr>
          <w:p>
            <w:pPr>
              <w:pStyle w:val="63"/>
            </w:pPr>
            <w:r>
              <w:rPr>
                <w:rFonts w:hint="eastAsia"/>
              </w:rPr>
              <w:t>0.00176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磷酸</w:t>
            </w:r>
          </w:p>
        </w:tc>
        <w:tc>
          <w:tcPr>
            <w:tcW w:w="1280" w:type="dxa"/>
            <w:shd w:val="clear" w:color="auto" w:fill="auto"/>
            <w:tcMar>
              <w:top w:w="15" w:type="dxa"/>
              <w:left w:w="15" w:type="dxa"/>
              <w:bottom w:w="0" w:type="dxa"/>
              <w:right w:w="15" w:type="dxa"/>
            </w:tcMar>
            <w:vAlign w:val="center"/>
          </w:tcPr>
          <w:p>
            <w:pPr>
              <w:pStyle w:val="63"/>
            </w:pPr>
            <w:r>
              <w:rPr>
                <w:rFonts w:hint="eastAsia"/>
              </w:rPr>
              <w:t>原料库</w:t>
            </w:r>
          </w:p>
        </w:tc>
        <w:tc>
          <w:tcPr>
            <w:tcW w:w="1080" w:type="dxa"/>
            <w:shd w:val="clear" w:color="auto" w:fill="auto"/>
            <w:tcMar>
              <w:top w:w="15" w:type="dxa"/>
              <w:left w:w="15" w:type="dxa"/>
              <w:bottom w:w="0" w:type="dxa"/>
              <w:right w:w="15" w:type="dxa"/>
            </w:tcMar>
            <w:vAlign w:val="center"/>
          </w:tcPr>
          <w:p>
            <w:pPr>
              <w:pStyle w:val="63"/>
            </w:pPr>
            <w:r>
              <w:rPr>
                <w:rFonts w:hint="eastAsia"/>
              </w:rPr>
              <w:t>0.2</w:t>
            </w:r>
          </w:p>
        </w:tc>
        <w:tc>
          <w:tcPr>
            <w:tcW w:w="7600" w:type="dxa"/>
            <w:shd w:val="clear" w:color="auto" w:fill="auto"/>
            <w:tcMar>
              <w:top w:w="15" w:type="dxa"/>
              <w:left w:w="15" w:type="dxa"/>
              <w:bottom w:w="0" w:type="dxa"/>
              <w:right w:w="15" w:type="dxa"/>
            </w:tcMar>
            <w:vAlign w:val="center"/>
          </w:tcPr>
          <w:p>
            <w:pPr>
              <w:pStyle w:val="63"/>
            </w:pPr>
            <w:r>
              <w:rPr>
                <w:rFonts w:hint="eastAsia"/>
              </w:rPr>
              <w:t>一种常见的无机酸，不易挥发，不易分解，几乎没有氧化性，熔点 42℃，沸点 158℃。具有酸的通性，是三元中强酸，其酸性比盐酸、硫酸、硝酸弱，但比醋酸、硼酸等强。由五氧化二磷溶于热水中即可得到。正磷酸工业上用硫酸处理磷灰石即得。磷酸主要用于制药、食品、肥料等工业，也可用作化学试剂。磷酸无强氧化性，无强腐蚀性，属于较为安全的酸，属低毒类，有刺激性。LD50：1530mg/kg（大鼠经口）；2740mg/kg（兔经皮）刺激性：兔经皮 595mg/24 小时，严重刺激；兔眼119mg 严重刺激。接触时注意防止入眼，防止接触皮肤，防止入口即可。</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0.08</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氰化钠</w:t>
            </w:r>
          </w:p>
        </w:tc>
        <w:tc>
          <w:tcPr>
            <w:tcW w:w="1280" w:type="dxa"/>
            <w:shd w:val="clear" w:color="auto" w:fill="auto"/>
            <w:tcMar>
              <w:top w:w="15" w:type="dxa"/>
              <w:left w:w="15" w:type="dxa"/>
              <w:bottom w:w="0" w:type="dxa"/>
              <w:right w:w="15" w:type="dxa"/>
            </w:tcMar>
            <w:vAlign w:val="center"/>
          </w:tcPr>
          <w:p>
            <w:pPr>
              <w:pStyle w:val="63"/>
            </w:pPr>
            <w:r>
              <w:rPr>
                <w:rFonts w:hint="eastAsia"/>
              </w:rPr>
              <w:t>杀螟丹储</w:t>
            </w:r>
            <w:r>
              <w:rPr>
                <w:rFonts w:hint="eastAsia"/>
              </w:rPr>
              <w:br w:type="textWrapping"/>
            </w:r>
            <w:r>
              <w:rPr>
                <w:rFonts w:hint="eastAsia"/>
              </w:rPr>
              <w:t>罐区（2 个</w:t>
            </w:r>
            <w:r>
              <w:rPr>
                <w:rFonts w:hint="eastAsia"/>
              </w:rPr>
              <w:br w:type="textWrapping"/>
            </w:r>
            <w:r>
              <w:rPr>
                <w:rFonts w:hint="eastAsia"/>
              </w:rPr>
              <w:t>15m3储罐）</w:t>
            </w:r>
          </w:p>
        </w:tc>
        <w:tc>
          <w:tcPr>
            <w:tcW w:w="1080" w:type="dxa"/>
            <w:shd w:val="clear" w:color="auto" w:fill="auto"/>
            <w:tcMar>
              <w:top w:w="15" w:type="dxa"/>
              <w:left w:w="15" w:type="dxa"/>
              <w:bottom w:w="0" w:type="dxa"/>
              <w:right w:w="15" w:type="dxa"/>
            </w:tcMar>
            <w:vAlign w:val="center"/>
          </w:tcPr>
          <w:p>
            <w:pPr>
              <w:pStyle w:val="63"/>
            </w:pPr>
            <w:r>
              <w:rPr>
                <w:rFonts w:hint="eastAsia"/>
              </w:rPr>
              <w:t>35</w:t>
            </w:r>
          </w:p>
        </w:tc>
        <w:tc>
          <w:tcPr>
            <w:tcW w:w="7600" w:type="dxa"/>
            <w:shd w:val="clear" w:color="auto" w:fill="auto"/>
            <w:tcMar>
              <w:top w:w="15" w:type="dxa"/>
              <w:left w:w="15" w:type="dxa"/>
              <w:bottom w:w="0" w:type="dxa"/>
              <w:right w:w="15" w:type="dxa"/>
            </w:tcMar>
            <w:vAlign w:val="center"/>
          </w:tcPr>
          <w:p>
            <w:pPr>
              <w:pStyle w:val="63"/>
            </w:pPr>
            <w:r>
              <w:rPr>
                <w:rFonts w:hint="eastAsia"/>
              </w:rPr>
              <w:t>一种立方晶系的白色结晶颗粒或粉末，化学式为 NaCN，熔点 563.7℃，沸点 1496℃。氰化钠易潮解，有微弱的苦杏仁气味；剧毒，皮肤伤口接触、吸入、吞食微量可中毒死亡；易溶于水，强烈水解生成氰化氢，水溶液呈强碱性。氰化钠是一种重要的基本化工原料，用于基本化学合成、电镀、冶金和有机合成医药、农药及金属处理方面。急性毒性：大鼠经口 LD50：6440 ug/kg；大鼠腹腔 LD50：4300 ug/kg；小鼠腹腔 LD50：4900 ug/kg；小鼠皮下 LD50：3600 ug/kg；兔子经皮 LD50：10400ug/kg；兔子皮下 LD50：2200 ug/kg。急性毒性：LD50：6.4mg/kg（大鼠经口）。其他：仓鼠植入最低中毒剂量（TDLo）：5999mg/kg（孕 6~9d），引起胚胎毒性，肌肉骨骼发育异常及心血管（循环）系统发育异常。</w:t>
            </w:r>
          </w:p>
        </w:tc>
        <w:tc>
          <w:tcPr>
            <w:tcW w:w="1120" w:type="dxa"/>
            <w:shd w:val="clear" w:color="auto" w:fill="auto"/>
            <w:tcMar>
              <w:top w:w="15" w:type="dxa"/>
              <w:left w:w="15" w:type="dxa"/>
              <w:bottom w:w="0" w:type="dxa"/>
              <w:right w:w="15" w:type="dxa"/>
            </w:tcMar>
            <w:vAlign w:val="center"/>
          </w:tcPr>
          <w:p>
            <w:pPr>
              <w:pStyle w:val="63"/>
            </w:pPr>
            <w:r>
              <w:rPr>
                <w:rFonts w:hint="eastAsia"/>
              </w:rPr>
              <w:t>0.25</w:t>
            </w:r>
          </w:p>
        </w:tc>
        <w:tc>
          <w:tcPr>
            <w:tcW w:w="1180" w:type="dxa"/>
            <w:shd w:val="clear" w:color="auto" w:fill="auto"/>
            <w:tcMar>
              <w:top w:w="15" w:type="dxa"/>
              <w:left w:w="15" w:type="dxa"/>
              <w:bottom w:w="0" w:type="dxa"/>
              <w:right w:w="15" w:type="dxa"/>
            </w:tcMar>
            <w:vAlign w:val="center"/>
          </w:tcPr>
          <w:p>
            <w:pPr>
              <w:pStyle w:val="63"/>
            </w:pPr>
            <w:r>
              <w:rPr>
                <w:rFonts w:hint="eastAsia"/>
              </w:rPr>
              <w:t>140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氯丙烯</w:t>
            </w:r>
          </w:p>
        </w:tc>
        <w:tc>
          <w:tcPr>
            <w:tcW w:w="1280" w:type="dxa"/>
            <w:shd w:val="clear" w:color="auto" w:fill="auto"/>
            <w:tcMar>
              <w:top w:w="15" w:type="dxa"/>
              <w:left w:w="15" w:type="dxa"/>
              <w:bottom w:w="0" w:type="dxa"/>
              <w:right w:w="15" w:type="dxa"/>
            </w:tcMar>
            <w:vAlign w:val="center"/>
          </w:tcPr>
          <w:p>
            <w:pPr>
              <w:pStyle w:val="63"/>
            </w:pPr>
            <w:r>
              <w:rPr>
                <w:rFonts w:hint="eastAsia"/>
              </w:rPr>
              <w:t>杀螟丹储</w:t>
            </w:r>
            <w:r>
              <w:rPr>
                <w:rFonts w:hint="eastAsia"/>
              </w:rPr>
              <w:br w:type="textWrapping"/>
            </w:r>
            <w:r>
              <w:rPr>
                <w:rFonts w:hint="eastAsia"/>
              </w:rPr>
              <w:t>罐区（2 个</w:t>
            </w:r>
            <w:r>
              <w:rPr>
                <w:rFonts w:hint="eastAsia"/>
              </w:rPr>
              <w:br w:type="textWrapping"/>
            </w:r>
            <w:r>
              <w:rPr>
                <w:rFonts w:hint="eastAsia"/>
              </w:rPr>
              <w:t>40m3储罐）</w:t>
            </w:r>
          </w:p>
        </w:tc>
        <w:tc>
          <w:tcPr>
            <w:tcW w:w="1080" w:type="dxa"/>
            <w:shd w:val="clear" w:color="auto" w:fill="auto"/>
            <w:tcMar>
              <w:top w:w="15" w:type="dxa"/>
              <w:left w:w="15" w:type="dxa"/>
              <w:bottom w:w="0" w:type="dxa"/>
              <w:right w:w="15" w:type="dxa"/>
            </w:tcMar>
            <w:vAlign w:val="center"/>
          </w:tcPr>
          <w:p>
            <w:pPr>
              <w:pStyle w:val="63"/>
            </w:pPr>
            <w:r>
              <w:rPr>
                <w:rFonts w:hint="eastAsia"/>
              </w:rPr>
              <w:t>75</w:t>
            </w:r>
          </w:p>
        </w:tc>
        <w:tc>
          <w:tcPr>
            <w:tcW w:w="7600" w:type="dxa"/>
            <w:shd w:val="clear" w:color="auto" w:fill="auto"/>
            <w:tcMar>
              <w:top w:w="15" w:type="dxa"/>
              <w:left w:w="15" w:type="dxa"/>
              <w:bottom w:w="0" w:type="dxa"/>
              <w:right w:w="15" w:type="dxa"/>
            </w:tcMar>
            <w:vAlign w:val="center"/>
          </w:tcPr>
          <w:p>
            <w:pPr>
              <w:pStyle w:val="63"/>
            </w:pPr>
            <w:r>
              <w:rPr>
                <w:rFonts w:hint="eastAsia"/>
              </w:rPr>
              <w:t>无色液体，是一种有机合成原料。可作为生产环氧氯丙烷、丙烯醇、甘油等的中间体，用作特殊反应的溶剂，也是农药、医药、香料、涂料的原料。用于有机合成及制药工业，3-氯丙烯又名烯丙基氯，是一种有机合成原料，在农药上用于合成杀虫单、杀虫双及杀螟丹的中间体 N，N-二甲基丙烯胺和拟除虫菊酯中间体丙烯醇酮，此外也是医药、合成树脂、涂料、香料等的重要原料。急性毒性：口服- 大鼠 LD50：1100 毫克/公斤; 口服-小鼠 LD50: 425 毫克/公斤。刺激数据：皮肤- 兔子 10 毫克/ 24 小时; 眼睛-兔子 500 毫克中度。爆炸物危险特性：与空气混合可爆。可燃性危险特性：遇明火、高温、氧化剂易燃；燃烧产生有毒氯化物烟雾；遇热分解有毒氯化氢气体。储运特性：库房通风低温干燥; 与氧化剂、酸类和碱类分开存放。</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15</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液碱</w:t>
            </w:r>
          </w:p>
        </w:tc>
        <w:tc>
          <w:tcPr>
            <w:tcW w:w="1280" w:type="dxa"/>
            <w:shd w:val="clear" w:color="auto" w:fill="auto"/>
            <w:tcMar>
              <w:top w:w="15" w:type="dxa"/>
              <w:left w:w="15" w:type="dxa"/>
              <w:bottom w:w="0" w:type="dxa"/>
              <w:right w:w="15" w:type="dxa"/>
            </w:tcMar>
            <w:vAlign w:val="center"/>
          </w:tcPr>
          <w:p>
            <w:pPr>
              <w:pStyle w:val="63"/>
            </w:pPr>
            <w:r>
              <w:rPr>
                <w:rFonts w:hint="eastAsia"/>
              </w:rPr>
              <w:t>杀螟丹储</w:t>
            </w:r>
            <w:r>
              <w:rPr>
                <w:rFonts w:hint="eastAsia"/>
              </w:rPr>
              <w:br w:type="textWrapping"/>
            </w:r>
            <w:r>
              <w:rPr>
                <w:rFonts w:hint="eastAsia"/>
              </w:rPr>
              <w:t>罐区（2 个</w:t>
            </w:r>
            <w:r>
              <w:rPr>
                <w:rFonts w:hint="eastAsia"/>
              </w:rPr>
              <w:br w:type="textWrapping"/>
            </w:r>
            <w:r>
              <w:rPr>
                <w:rFonts w:hint="eastAsia"/>
              </w:rPr>
              <w:t>20m3储罐）</w:t>
            </w:r>
          </w:p>
        </w:tc>
        <w:tc>
          <w:tcPr>
            <w:tcW w:w="1080" w:type="dxa"/>
            <w:shd w:val="clear" w:color="auto" w:fill="auto"/>
            <w:tcMar>
              <w:top w:w="15" w:type="dxa"/>
              <w:left w:w="15" w:type="dxa"/>
              <w:bottom w:w="0" w:type="dxa"/>
              <w:right w:w="15" w:type="dxa"/>
            </w:tcMar>
            <w:vAlign w:val="center"/>
          </w:tcPr>
          <w:p>
            <w:pPr>
              <w:pStyle w:val="63"/>
            </w:pPr>
            <w:r>
              <w:rPr>
                <w:rFonts w:hint="eastAsia"/>
              </w:rPr>
              <w:t>52</w:t>
            </w:r>
          </w:p>
        </w:tc>
        <w:tc>
          <w:tcPr>
            <w:tcW w:w="7600" w:type="dxa"/>
            <w:shd w:val="clear" w:color="auto" w:fill="auto"/>
            <w:tcMar>
              <w:top w:w="15" w:type="dxa"/>
              <w:left w:w="15" w:type="dxa"/>
              <w:bottom w:w="0" w:type="dxa"/>
              <w:right w:w="15" w:type="dxa"/>
            </w:tcMar>
            <w:vAlign w:val="center"/>
          </w:tcPr>
          <w:p>
            <w:pPr>
              <w:pStyle w:val="63"/>
            </w:pPr>
            <w:r>
              <w:rPr>
                <w:rFonts w:hint="eastAsia"/>
              </w:rPr>
              <w:t>纯品为无色透明液体。相对密度 2.130，熔点 318.4℃，沸点 1390℃。本品有强烈刺激和腐蚀性。粉尘刺激眼和呼吸道，腐蚀鼻中隔；皮肤和眼直接接触可引起灼伤；误服可造成消化道灼伤，粘膜糜烂、出血和休克。 对水体可造成污染。</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5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一甲胺</w:t>
            </w:r>
          </w:p>
        </w:tc>
        <w:tc>
          <w:tcPr>
            <w:tcW w:w="1280" w:type="dxa"/>
            <w:shd w:val="clear" w:color="auto" w:fill="auto"/>
            <w:tcMar>
              <w:top w:w="15" w:type="dxa"/>
              <w:left w:w="15" w:type="dxa"/>
              <w:bottom w:w="0" w:type="dxa"/>
              <w:right w:w="15" w:type="dxa"/>
            </w:tcMar>
            <w:vAlign w:val="center"/>
          </w:tcPr>
          <w:p>
            <w:pPr>
              <w:pStyle w:val="63"/>
            </w:pPr>
            <w:r>
              <w:rPr>
                <w:rFonts w:hint="eastAsia"/>
              </w:rPr>
              <w:t>储罐区（3</w:t>
            </w:r>
            <w:r>
              <w:rPr>
                <w:rFonts w:hint="eastAsia"/>
              </w:rPr>
              <w:br w:type="textWrapping"/>
            </w:r>
            <w:r>
              <w:rPr>
                <w:rFonts w:hint="eastAsia"/>
              </w:rPr>
              <w:t>个 33m3储</w:t>
            </w:r>
            <w:r>
              <w:rPr>
                <w:rFonts w:hint="eastAsia"/>
              </w:rPr>
              <w:br w:type="textWrapping"/>
            </w:r>
            <w:r>
              <w:rPr>
                <w:rFonts w:hint="eastAsia"/>
              </w:rPr>
              <w:t>罐）</w:t>
            </w:r>
          </w:p>
        </w:tc>
        <w:tc>
          <w:tcPr>
            <w:tcW w:w="1080" w:type="dxa"/>
            <w:shd w:val="clear" w:color="auto" w:fill="auto"/>
            <w:tcMar>
              <w:top w:w="15" w:type="dxa"/>
              <w:left w:w="15" w:type="dxa"/>
              <w:bottom w:w="0" w:type="dxa"/>
              <w:right w:w="15" w:type="dxa"/>
            </w:tcMar>
            <w:vAlign w:val="center"/>
          </w:tcPr>
          <w:p>
            <w:pPr>
              <w:pStyle w:val="63"/>
            </w:pPr>
            <w:r>
              <w:rPr>
                <w:rFonts w:hint="eastAsia"/>
              </w:rPr>
              <w:t>65</w:t>
            </w:r>
          </w:p>
        </w:tc>
        <w:tc>
          <w:tcPr>
            <w:tcW w:w="7600" w:type="dxa"/>
            <w:shd w:val="clear" w:color="auto" w:fill="auto"/>
            <w:tcMar>
              <w:top w:w="15" w:type="dxa"/>
              <w:left w:w="15" w:type="dxa"/>
              <w:bottom w:w="0" w:type="dxa"/>
              <w:right w:w="15" w:type="dxa"/>
            </w:tcMar>
            <w:vAlign w:val="center"/>
          </w:tcPr>
          <w:p>
            <w:pPr>
              <w:pStyle w:val="63"/>
            </w:pPr>
            <w:r>
              <w:rPr>
                <w:rFonts w:hint="eastAsia"/>
              </w:rPr>
              <w:t>常温常压下为无色气体，比重为空气的 1.07 倍。易燃、易爆、有强烈刺激性氨样臭味。碱性程度较氨强。一般加压成液体贮存或运输。一甲胺可经呼吸道、胃肠道及皮肤吸收，在体内转化成二甲胺或氧化生成甲酸，二甲胺对人体的毒作用类似一甲胺，且作用更强。一甲胺对眼、皮肤和呼吸道粘膜有强烈的刺激和腐蚀作用，对机体全身有拟交感神经作用。急性毒性：LC50：2400mg/m3，2h，(小鼠吸入)。动物给予致死或接近致死浓度的甲胺蒸气吸入,可导致气管炎、支气管炎、肺炎，甚至肺水肿。小鼠以 2.4mg/L 浓度作用 2h,出现不安、鼻腔血性分泌物、呼吸困难、紫绀、反射亢进、头震颤、步态不稳、阵挛-强直性痉挛,终因呼吸衰竭而亡；解剖见坏死性气管、支气管炎,肺出血,内脏器官和大脑血管充血,死亡稍晚的动物则可见肝脏和肾脏管养不良性改变。吸入 0.13mg/L 浓度可致兔呼吸节律改变，0.05mg/L 下 40min 影响兔的条件反射活动。吸入 0.2mg/L 浓度几分钟,猫出现明显的上呼吸道刺激症状。以 0.1mg 甲胺的 40%水溶液一次涂兔皮,可致兔皮深度坏死；取 1 滴滴眼，可致角膜损伤。经口可致胃肠黏膜腐蚀。甲胺的刺激强度与其浓度有关。</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13</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合计</w:t>
            </w:r>
          </w:p>
        </w:tc>
        <w:tc>
          <w:tcPr>
            <w:tcW w:w="1280" w:type="dxa"/>
            <w:shd w:val="clear" w:color="auto" w:fill="auto"/>
            <w:tcMar>
              <w:top w:w="15" w:type="dxa"/>
              <w:left w:w="15" w:type="dxa"/>
              <w:bottom w:w="0" w:type="dxa"/>
              <w:right w:w="15" w:type="dxa"/>
            </w:tcMar>
            <w:vAlign w:val="center"/>
          </w:tcPr>
          <w:p>
            <w:pPr>
              <w:pStyle w:val="63"/>
            </w:pPr>
            <w:r>
              <w:rPr>
                <w:rFonts w:hint="eastAsia"/>
              </w:rPr>
              <w:t>　</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c>
          <w:tcPr>
            <w:tcW w:w="7600" w:type="dxa"/>
            <w:shd w:val="clear" w:color="auto" w:fill="auto"/>
            <w:tcMar>
              <w:top w:w="15" w:type="dxa"/>
              <w:left w:w="15" w:type="dxa"/>
              <w:bottom w:w="0" w:type="dxa"/>
              <w:right w:w="15" w:type="dxa"/>
            </w:tcMar>
            <w:vAlign w:val="center"/>
          </w:tcPr>
          <w:p>
            <w:pPr>
              <w:pStyle w:val="63"/>
            </w:pPr>
            <w:r>
              <w:rPr>
                <w:rFonts w:hint="eastAsia"/>
              </w:rPr>
              <w:t>　</w:t>
            </w:r>
          </w:p>
        </w:tc>
        <w:tc>
          <w:tcPr>
            <w:tcW w:w="1120" w:type="dxa"/>
            <w:shd w:val="clear" w:color="auto" w:fill="auto"/>
            <w:tcMar>
              <w:top w:w="15" w:type="dxa"/>
              <w:left w:w="15" w:type="dxa"/>
              <w:bottom w:w="0" w:type="dxa"/>
              <w:right w:w="15" w:type="dxa"/>
            </w:tcMar>
            <w:vAlign w:val="center"/>
          </w:tcPr>
          <w:p>
            <w:pPr>
              <w:pStyle w:val="63"/>
            </w:pPr>
            <w:r>
              <w:rPr>
                <w:rFonts w:hint="eastAsia"/>
              </w:rPr>
              <w:t>　</w:t>
            </w:r>
          </w:p>
        </w:tc>
        <w:tc>
          <w:tcPr>
            <w:tcW w:w="1180" w:type="dxa"/>
            <w:shd w:val="clear" w:color="auto" w:fill="auto"/>
            <w:tcMar>
              <w:top w:w="15" w:type="dxa"/>
              <w:left w:w="15" w:type="dxa"/>
              <w:bottom w:w="0" w:type="dxa"/>
              <w:right w:w="15" w:type="dxa"/>
            </w:tcMar>
            <w:vAlign w:val="center"/>
          </w:tcPr>
          <w:p>
            <w:pPr>
              <w:pStyle w:val="63"/>
            </w:pPr>
            <w:r>
              <w:rPr>
                <w:rFonts w:hint="eastAsia"/>
              </w:rPr>
              <w:t>313.27576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宇恒化工</w:t>
            </w:r>
          </w:p>
        </w:tc>
        <w:tc>
          <w:tcPr>
            <w:tcW w:w="1080" w:type="dxa"/>
            <w:shd w:val="clear" w:color="auto" w:fill="auto"/>
            <w:tcMar>
              <w:top w:w="15" w:type="dxa"/>
              <w:left w:w="15" w:type="dxa"/>
              <w:bottom w:w="0" w:type="dxa"/>
              <w:right w:w="15" w:type="dxa"/>
            </w:tcMar>
            <w:vAlign w:val="center"/>
          </w:tcPr>
          <w:p>
            <w:pPr>
              <w:pStyle w:val="63"/>
            </w:pPr>
            <w:r>
              <w:rPr>
                <w:rFonts w:hint="eastAsia"/>
              </w:rPr>
              <w:t>氯气</w:t>
            </w:r>
          </w:p>
        </w:tc>
        <w:tc>
          <w:tcPr>
            <w:tcW w:w="1280" w:type="dxa"/>
            <w:shd w:val="clear" w:color="auto" w:fill="auto"/>
            <w:tcMar>
              <w:top w:w="15" w:type="dxa"/>
              <w:left w:w="15" w:type="dxa"/>
              <w:bottom w:w="0" w:type="dxa"/>
              <w:right w:w="15" w:type="dxa"/>
            </w:tcMar>
            <w:vAlign w:val="center"/>
          </w:tcPr>
          <w:p>
            <w:pPr>
              <w:pStyle w:val="63"/>
            </w:pPr>
            <w:r>
              <w:rPr>
                <w:rFonts w:hint="eastAsia"/>
              </w:rPr>
              <w:t>氯气库（1t/瓶）</w:t>
            </w:r>
          </w:p>
        </w:tc>
        <w:tc>
          <w:tcPr>
            <w:tcW w:w="1080" w:type="dxa"/>
            <w:shd w:val="clear" w:color="auto" w:fill="auto"/>
            <w:tcMar>
              <w:top w:w="15" w:type="dxa"/>
              <w:left w:w="15" w:type="dxa"/>
              <w:bottom w:w="0" w:type="dxa"/>
              <w:right w:w="15" w:type="dxa"/>
            </w:tcMar>
            <w:vAlign w:val="center"/>
          </w:tcPr>
          <w:p>
            <w:pPr>
              <w:pStyle w:val="63"/>
            </w:pPr>
            <w:r>
              <w:rPr>
                <w:rFonts w:hint="eastAsia"/>
              </w:rPr>
              <w:t>11</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w:t>
            </w:r>
          </w:p>
        </w:tc>
        <w:tc>
          <w:tcPr>
            <w:tcW w:w="1180" w:type="dxa"/>
            <w:shd w:val="clear" w:color="auto" w:fill="auto"/>
            <w:tcMar>
              <w:top w:w="15" w:type="dxa"/>
              <w:left w:w="15" w:type="dxa"/>
              <w:bottom w:w="0" w:type="dxa"/>
              <w:right w:w="15" w:type="dxa"/>
            </w:tcMar>
            <w:vAlign w:val="center"/>
          </w:tcPr>
          <w:p>
            <w:pPr>
              <w:pStyle w:val="63"/>
            </w:pPr>
            <w:r>
              <w:rPr>
                <w:rFonts w:hint="eastAsia"/>
              </w:rPr>
              <w:t>11</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液碱（20%、30%）</w:t>
            </w:r>
          </w:p>
        </w:tc>
        <w:tc>
          <w:tcPr>
            <w:tcW w:w="1280" w:type="dxa"/>
            <w:shd w:val="clear" w:color="auto" w:fill="auto"/>
            <w:tcMar>
              <w:top w:w="15" w:type="dxa"/>
              <w:left w:w="15" w:type="dxa"/>
              <w:bottom w:w="0" w:type="dxa"/>
              <w:right w:w="15" w:type="dxa"/>
            </w:tcMar>
            <w:vAlign w:val="center"/>
          </w:tcPr>
          <w:p>
            <w:pPr>
              <w:pStyle w:val="63"/>
            </w:pPr>
            <w:r>
              <w:rPr>
                <w:rFonts w:hint="eastAsia"/>
              </w:rPr>
              <w:t>罐区 2 个30m3储罐、车间外 1个25m3储罐</w:t>
            </w:r>
          </w:p>
        </w:tc>
        <w:tc>
          <w:tcPr>
            <w:tcW w:w="1080" w:type="dxa"/>
            <w:shd w:val="clear" w:color="auto" w:fill="auto"/>
            <w:tcMar>
              <w:top w:w="15" w:type="dxa"/>
              <w:left w:w="15" w:type="dxa"/>
              <w:bottom w:w="0" w:type="dxa"/>
              <w:right w:w="15" w:type="dxa"/>
            </w:tcMar>
            <w:vAlign w:val="center"/>
          </w:tcPr>
          <w:p>
            <w:pPr>
              <w:pStyle w:val="63"/>
            </w:pPr>
            <w:r>
              <w:rPr>
                <w:rFonts w:hint="eastAsia"/>
              </w:rPr>
              <w:t>10、20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35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盐酸</w:t>
            </w:r>
          </w:p>
        </w:tc>
        <w:tc>
          <w:tcPr>
            <w:tcW w:w="1280" w:type="dxa"/>
            <w:shd w:val="clear" w:color="auto" w:fill="auto"/>
            <w:tcMar>
              <w:top w:w="15" w:type="dxa"/>
              <w:left w:w="15" w:type="dxa"/>
              <w:bottom w:w="0" w:type="dxa"/>
              <w:right w:w="15" w:type="dxa"/>
            </w:tcMar>
            <w:vAlign w:val="center"/>
          </w:tcPr>
          <w:p>
            <w:pPr>
              <w:pStyle w:val="63"/>
            </w:pPr>
            <w:r>
              <w:rPr>
                <w:rFonts w:hint="eastAsia"/>
              </w:rPr>
              <w:t>储罐区（3个 20m3储罐）</w:t>
            </w:r>
          </w:p>
        </w:tc>
        <w:tc>
          <w:tcPr>
            <w:tcW w:w="1080" w:type="dxa"/>
            <w:shd w:val="clear" w:color="auto" w:fill="auto"/>
            <w:tcMar>
              <w:top w:w="15" w:type="dxa"/>
              <w:left w:w="15" w:type="dxa"/>
              <w:bottom w:w="0" w:type="dxa"/>
              <w:right w:w="15" w:type="dxa"/>
            </w:tcMar>
            <w:vAlign w:val="center"/>
          </w:tcPr>
          <w:p>
            <w:pPr>
              <w:pStyle w:val="63"/>
            </w:pPr>
            <w:r>
              <w:rPr>
                <w:rFonts w:hint="eastAsia"/>
              </w:rPr>
              <w:t>30</w:t>
            </w:r>
          </w:p>
        </w:tc>
        <w:tc>
          <w:tcPr>
            <w:tcW w:w="7600" w:type="dxa"/>
            <w:shd w:val="clear" w:color="auto" w:fill="auto"/>
            <w:tcMar>
              <w:top w:w="15" w:type="dxa"/>
              <w:left w:w="15" w:type="dxa"/>
              <w:bottom w:w="0" w:type="dxa"/>
              <w:right w:w="15" w:type="dxa"/>
            </w:tcMar>
            <w:vAlign w:val="center"/>
          </w:tcPr>
          <w:p>
            <w:pPr>
              <w:pStyle w:val="63"/>
            </w:pPr>
            <w:r>
              <w:rPr>
                <w:rFonts w:hint="eastAsia"/>
              </w:rPr>
              <w:t>浓度 37%，外观与性状：无色有刺激性气味的气体。熔点(℃)：-114.2。沸点(℃)：-85.0。相对密度(水=1)：1.19 。相对蒸气密度(空气=1)：1.27。饱和蒸气压(kPa)：4225.6(20℃)。临界温度(℃)：51.4。临界压力(MPa)：8.26。溶解性：易溶于水。主要用途：制染料、香料、药物、各种氯化物及腐蚀抑制剂。急性毒性：LC504600mg/m3，1 小时(大鼠吸入)。</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12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62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甲苯</w:t>
            </w:r>
          </w:p>
        </w:tc>
        <w:tc>
          <w:tcPr>
            <w:tcW w:w="1280" w:type="dxa"/>
            <w:shd w:val="clear" w:color="auto" w:fill="auto"/>
            <w:tcMar>
              <w:top w:w="15" w:type="dxa"/>
              <w:left w:w="15" w:type="dxa"/>
              <w:bottom w:w="0" w:type="dxa"/>
              <w:right w:w="15" w:type="dxa"/>
            </w:tcMar>
            <w:vAlign w:val="center"/>
          </w:tcPr>
          <w:p>
            <w:pPr>
              <w:pStyle w:val="63"/>
            </w:pPr>
            <w:r>
              <w:rPr>
                <w:rFonts w:hint="eastAsia"/>
              </w:rPr>
              <w:t>储罐区（1个 20m3储罐）</w:t>
            </w:r>
          </w:p>
        </w:tc>
        <w:tc>
          <w:tcPr>
            <w:tcW w:w="1080" w:type="dxa"/>
            <w:shd w:val="clear" w:color="auto" w:fill="auto"/>
            <w:tcMar>
              <w:top w:w="15" w:type="dxa"/>
              <w:left w:w="15" w:type="dxa"/>
              <w:bottom w:w="0" w:type="dxa"/>
              <w:right w:w="15" w:type="dxa"/>
            </w:tcMar>
            <w:vAlign w:val="center"/>
          </w:tcPr>
          <w:p>
            <w:pPr>
              <w:pStyle w:val="63"/>
            </w:pPr>
            <w:r>
              <w:rPr>
                <w:rFonts w:hint="eastAsia"/>
              </w:rPr>
              <w:t>10</w:t>
            </w:r>
          </w:p>
        </w:tc>
        <w:tc>
          <w:tcPr>
            <w:tcW w:w="7600" w:type="dxa"/>
            <w:shd w:val="clear" w:color="auto" w:fill="auto"/>
            <w:tcMar>
              <w:top w:w="15" w:type="dxa"/>
              <w:left w:w="15" w:type="dxa"/>
              <w:bottom w:w="0" w:type="dxa"/>
              <w:right w:w="15" w:type="dxa"/>
            </w:tcMar>
            <w:vAlign w:val="center"/>
          </w:tcPr>
          <w:p>
            <w:pPr>
              <w:pStyle w:val="63"/>
            </w:pPr>
            <w:r>
              <w:rPr>
                <w:rFonts w:hint="eastAsia"/>
              </w:rPr>
              <w:t>甲苯是一种无色，带特殊芳香味的易挥发液体。有苯样气味。有强折光性。能与乙醇、 乙醚、丙酮、氯仿、二硫化碳和冰乙酸混溶，极微溶于水。相对密度 0.866。凝固点-95℃。沸点 110.6℃。折光率 1.4967。闪点（闭杯） 4.4℃。易燃。蒸气能与空气形成爆炸性混合物，爆炸极限 1.2%~7.0%（体积）。低毒，半数致死量（大鼠，经口）5000mg/kg。高浓度气体有麻醉性。有刺激性。</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1</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二氯乙烷</w:t>
            </w:r>
          </w:p>
        </w:tc>
        <w:tc>
          <w:tcPr>
            <w:tcW w:w="1280" w:type="dxa"/>
            <w:shd w:val="clear" w:color="auto" w:fill="auto"/>
            <w:tcMar>
              <w:top w:w="15" w:type="dxa"/>
              <w:left w:w="15" w:type="dxa"/>
              <w:bottom w:w="0" w:type="dxa"/>
              <w:right w:w="15" w:type="dxa"/>
            </w:tcMar>
            <w:vAlign w:val="center"/>
          </w:tcPr>
          <w:p>
            <w:pPr>
              <w:pStyle w:val="63"/>
            </w:pPr>
            <w:r>
              <w:rPr>
                <w:rFonts w:hint="eastAsia"/>
              </w:rPr>
              <w:t>储罐区（1个 30m3储罐）</w:t>
            </w:r>
          </w:p>
        </w:tc>
        <w:tc>
          <w:tcPr>
            <w:tcW w:w="1080" w:type="dxa"/>
            <w:shd w:val="clear" w:color="auto" w:fill="auto"/>
            <w:tcMar>
              <w:top w:w="15" w:type="dxa"/>
              <w:left w:w="15" w:type="dxa"/>
              <w:bottom w:w="0" w:type="dxa"/>
              <w:right w:w="15" w:type="dxa"/>
            </w:tcMar>
            <w:vAlign w:val="center"/>
          </w:tcPr>
          <w:p>
            <w:pPr>
              <w:pStyle w:val="63"/>
            </w:pPr>
            <w:r>
              <w:rPr>
                <w:rFonts w:hint="eastAsia"/>
              </w:rPr>
              <w:t>10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1.33</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62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硫酸</w:t>
            </w:r>
          </w:p>
        </w:tc>
        <w:tc>
          <w:tcPr>
            <w:tcW w:w="1280" w:type="dxa"/>
            <w:shd w:val="clear" w:color="auto" w:fill="auto"/>
            <w:tcMar>
              <w:top w:w="15" w:type="dxa"/>
              <w:left w:w="15" w:type="dxa"/>
              <w:bottom w:w="0" w:type="dxa"/>
              <w:right w:w="15" w:type="dxa"/>
            </w:tcMar>
            <w:vAlign w:val="center"/>
          </w:tcPr>
          <w:p>
            <w:pPr>
              <w:pStyle w:val="63"/>
            </w:pPr>
            <w:r>
              <w:rPr>
                <w:rFonts w:hint="eastAsia"/>
              </w:rPr>
              <w:t>储罐区（1个 30m3储罐、桶装）</w:t>
            </w:r>
          </w:p>
        </w:tc>
        <w:tc>
          <w:tcPr>
            <w:tcW w:w="1080" w:type="dxa"/>
            <w:shd w:val="clear" w:color="auto" w:fill="auto"/>
            <w:tcMar>
              <w:top w:w="15" w:type="dxa"/>
              <w:left w:w="15" w:type="dxa"/>
              <w:bottom w:w="0" w:type="dxa"/>
              <w:right w:w="15" w:type="dxa"/>
            </w:tcMar>
            <w:vAlign w:val="center"/>
          </w:tcPr>
          <w:p>
            <w:pPr>
              <w:pStyle w:val="63"/>
            </w:pPr>
            <w:r>
              <w:rPr>
                <w:rFonts w:hint="eastAsia"/>
              </w:rPr>
              <w:t>5</w:t>
            </w:r>
          </w:p>
        </w:tc>
        <w:tc>
          <w:tcPr>
            <w:tcW w:w="7600" w:type="dxa"/>
            <w:shd w:val="clear" w:color="auto" w:fill="auto"/>
            <w:tcMar>
              <w:top w:w="15" w:type="dxa"/>
              <w:left w:w="15" w:type="dxa"/>
              <w:bottom w:w="0" w:type="dxa"/>
              <w:right w:w="15" w:type="dxa"/>
            </w:tcMar>
            <w:vAlign w:val="center"/>
          </w:tcPr>
          <w:p>
            <w:pPr>
              <w:pStyle w:val="63"/>
            </w:pPr>
            <w:r>
              <w:rPr>
                <w:rFonts w:hint="eastAsia"/>
              </w:rPr>
              <w:t>熔点 10.5℃，沸点 330.0℃，相对密度 1.834，无色无臭透明粘稠的油状液体。纯度不同，颜色自无色、黄色至黄棕色,有时还是浑浊状。具有强腐蚀性，有明显的脱水作用和氧化作用，与可燃物接触会剧烈反应，引起燃烧。与水相溶时产生大量的热量。急性毒性：LD50是 2140mg/kg(大鼠经口)；LC50是 510mg/kg，2 小时(大鼠吸入)；LC50320mg/kg，2 小时(小鼠吸入)。</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二氯丙烯</w:t>
            </w:r>
          </w:p>
        </w:tc>
        <w:tc>
          <w:tcPr>
            <w:tcW w:w="1280" w:type="dxa"/>
            <w:shd w:val="clear" w:color="auto" w:fill="auto"/>
            <w:tcMar>
              <w:top w:w="15" w:type="dxa"/>
              <w:left w:w="15" w:type="dxa"/>
              <w:bottom w:w="0" w:type="dxa"/>
              <w:right w:w="15" w:type="dxa"/>
            </w:tcMar>
            <w:vAlign w:val="center"/>
          </w:tcPr>
          <w:p>
            <w:pPr>
              <w:pStyle w:val="63"/>
            </w:pPr>
            <w:r>
              <w:rPr>
                <w:rFonts w:hint="eastAsia"/>
              </w:rPr>
              <w:t>储罐区（1个 30m3储罐）</w:t>
            </w:r>
          </w:p>
        </w:tc>
        <w:tc>
          <w:tcPr>
            <w:tcW w:w="1080" w:type="dxa"/>
            <w:shd w:val="clear" w:color="auto" w:fill="auto"/>
            <w:tcMar>
              <w:top w:w="15" w:type="dxa"/>
              <w:left w:w="15" w:type="dxa"/>
              <w:bottom w:w="0" w:type="dxa"/>
              <w:right w:w="15" w:type="dxa"/>
            </w:tcMar>
            <w:vAlign w:val="center"/>
          </w:tcPr>
          <w:p>
            <w:pPr>
              <w:pStyle w:val="63"/>
            </w:pPr>
            <w:r>
              <w:rPr>
                <w:rFonts w:hint="eastAsia"/>
              </w:rPr>
              <w:t>10</w:t>
            </w:r>
          </w:p>
        </w:tc>
        <w:tc>
          <w:tcPr>
            <w:tcW w:w="7600" w:type="dxa"/>
            <w:shd w:val="clear" w:color="auto" w:fill="auto"/>
            <w:tcMar>
              <w:top w:w="15" w:type="dxa"/>
              <w:left w:w="15" w:type="dxa"/>
              <w:bottom w:w="0" w:type="dxa"/>
              <w:right w:w="15" w:type="dxa"/>
            </w:tcMar>
            <w:vAlign w:val="center"/>
          </w:tcPr>
          <w:p>
            <w:pPr>
              <w:pStyle w:val="63"/>
            </w:pPr>
            <w:r>
              <w:rPr>
                <w:rFonts w:hint="eastAsia"/>
              </w:rPr>
              <w:t>农药中间体、医药中间体是精细化工的重要组成部分，熔点(℃)：-84，沸点(℃)：108 其发展水平是一个国家化工现代化水平的标志。多年来，农药中间体、医药中间体行业是世界各国重点投入、激烈竞争的焦点。健康危害：吸入、口服或经皮肤吸收对身体有害。对眼睛、皮肤、粘膜和呼吸道有强烈的刺激作用；吸入后可因喉、支气管的痉挛、水肿、炎症，化学性肺炎、肺水肿而致死。中毒症状有烧灼感、咳嗽、喘息、喉炎、气短、头痛、恶心和呕吐。环境危害： 对环境有危害，对水体可造成污染。燃爆危险： 本品易燃，具强刺激性。</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5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甲醛</w:t>
            </w:r>
          </w:p>
        </w:tc>
        <w:tc>
          <w:tcPr>
            <w:tcW w:w="1280" w:type="dxa"/>
            <w:shd w:val="clear" w:color="auto" w:fill="auto"/>
            <w:tcMar>
              <w:top w:w="15" w:type="dxa"/>
              <w:left w:w="15" w:type="dxa"/>
              <w:bottom w:w="0" w:type="dxa"/>
              <w:right w:w="15" w:type="dxa"/>
            </w:tcMar>
            <w:vAlign w:val="center"/>
          </w:tcPr>
          <w:p>
            <w:pPr>
              <w:pStyle w:val="63"/>
            </w:pPr>
            <w:r>
              <w:rPr>
                <w:rFonts w:hint="eastAsia"/>
              </w:rPr>
              <w:t>储罐区（1个 25m3储罐）</w:t>
            </w:r>
          </w:p>
        </w:tc>
        <w:tc>
          <w:tcPr>
            <w:tcW w:w="1080" w:type="dxa"/>
            <w:shd w:val="clear" w:color="auto" w:fill="auto"/>
            <w:tcMar>
              <w:top w:w="15" w:type="dxa"/>
              <w:left w:w="15" w:type="dxa"/>
              <w:bottom w:w="0" w:type="dxa"/>
              <w:right w:w="15" w:type="dxa"/>
            </w:tcMar>
            <w:vAlign w:val="center"/>
          </w:tcPr>
          <w:p>
            <w:pPr>
              <w:pStyle w:val="63"/>
            </w:pPr>
            <w:r>
              <w:rPr>
                <w:rFonts w:hint="eastAsia"/>
              </w:rPr>
              <w:t>20.5</w:t>
            </w:r>
          </w:p>
        </w:tc>
        <w:tc>
          <w:tcPr>
            <w:tcW w:w="7600" w:type="dxa"/>
            <w:shd w:val="clear" w:color="auto" w:fill="auto"/>
            <w:tcMar>
              <w:top w:w="15" w:type="dxa"/>
              <w:left w:w="15" w:type="dxa"/>
              <w:bottom w:w="0" w:type="dxa"/>
              <w:right w:w="15" w:type="dxa"/>
            </w:tcMar>
            <w:vAlign w:val="center"/>
          </w:tcPr>
          <w:p>
            <w:pPr>
              <w:pStyle w:val="63"/>
            </w:pPr>
            <w:r>
              <w:rPr>
                <w:rFonts w:hint="eastAsia"/>
              </w:rPr>
              <w:t>甲醛，化学式 HCHO，式量 30.03，又称蚁醛。无色气体，有特殊的刺激气味，对人眼、鼻等有刺激作用,气体相对密度 1.067（空气=1），液体密度 0.815g/cm³（-20℃）。熔点-92℃，沸点-19.5℃。易溶于水和乙醇。水溶液的浓度最高可达 55%，通常是40%，称做甲醛水，俗称福尔马林（formalin），是有刺激气味的无色液体。甲醛分子中有醛基生缩聚反应，可以得到酚醛树脂（电木）。甲醛的主要危害表现为对皮肤粘膜的刺激作用。甲醛在室内达到一定浓度时，人就有不适感，大于 0.08m3的甲醛浓度可引起眼红、眼痒、咽喉不适或疼痛、声音嘶哑、喷嚏、胸闷、气喘、皮炎等。甲醛的主要危害表现为对皮肤粘膜的刺激作用，甲醛是原浆毒物质，能与蛋白质结合、高浓度吸入时出现呼吸道严重的刺激和水肿、眼刺激、头痛。皮肤直接接触甲醛可引起过敏性皮炎、色斑、坏死，吸入高浓度甲醛时可诱发支气管哮喘。高浓度甲醛还是一种基因毒性物质。实验动物在实验室高浓度吸入的情况下，可引起鼻咽肿瘤。</w:t>
            </w:r>
          </w:p>
        </w:tc>
        <w:tc>
          <w:tcPr>
            <w:tcW w:w="1120" w:type="dxa"/>
            <w:shd w:val="clear" w:color="auto" w:fill="auto"/>
            <w:tcMar>
              <w:top w:w="15" w:type="dxa"/>
              <w:left w:w="15" w:type="dxa"/>
              <w:bottom w:w="0" w:type="dxa"/>
              <w:right w:w="15" w:type="dxa"/>
            </w:tcMar>
            <w:vAlign w:val="center"/>
          </w:tcPr>
          <w:p>
            <w:pPr>
              <w:pStyle w:val="63"/>
            </w:pPr>
            <w:r>
              <w:rPr>
                <w:rFonts w:hint="eastAsia"/>
              </w:rPr>
              <w:t>0.5</w:t>
            </w:r>
          </w:p>
        </w:tc>
        <w:tc>
          <w:tcPr>
            <w:tcW w:w="1180" w:type="dxa"/>
            <w:shd w:val="clear" w:color="auto" w:fill="auto"/>
            <w:tcMar>
              <w:top w:w="15" w:type="dxa"/>
              <w:left w:w="15" w:type="dxa"/>
              <w:bottom w:w="0" w:type="dxa"/>
              <w:right w:w="15" w:type="dxa"/>
            </w:tcMar>
            <w:vAlign w:val="center"/>
          </w:tcPr>
          <w:p>
            <w:pPr>
              <w:pStyle w:val="63"/>
            </w:pPr>
            <w:r>
              <w:rPr>
                <w:rFonts w:hint="eastAsia"/>
              </w:rPr>
              <w:t>41</w:t>
            </w:r>
          </w:p>
        </w:tc>
        <w:tc>
          <w:tcPr>
            <w:tcW w:w="1080" w:type="dxa"/>
            <w:shd w:val="clear" w:color="auto" w:fill="auto"/>
            <w:tcMar>
              <w:top w:w="15" w:type="dxa"/>
              <w:left w:w="15" w:type="dxa"/>
              <w:bottom w:w="0" w:type="dxa"/>
              <w:right w:w="15" w:type="dxa"/>
            </w:tcMar>
            <w:vAlign w:val="center"/>
          </w:tcPr>
          <w:p>
            <w:pPr>
              <w:pStyle w:val="63"/>
            </w:pPr>
            <w:r>
              <w:rPr>
                <w:rFonts w:hint="eastAsia"/>
              </w:rPr>
              <w:t>70.33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比德公司</w:t>
            </w:r>
          </w:p>
        </w:tc>
        <w:tc>
          <w:tcPr>
            <w:tcW w:w="1080" w:type="dxa"/>
            <w:shd w:val="clear" w:color="auto" w:fill="auto"/>
            <w:tcMar>
              <w:top w:w="15" w:type="dxa"/>
              <w:left w:w="15" w:type="dxa"/>
              <w:bottom w:w="0" w:type="dxa"/>
              <w:right w:w="15" w:type="dxa"/>
            </w:tcMar>
            <w:vAlign w:val="center"/>
          </w:tcPr>
          <w:p>
            <w:pPr>
              <w:pStyle w:val="63"/>
            </w:pPr>
            <w:r>
              <w:rPr>
                <w:rFonts w:hint="eastAsia"/>
              </w:rPr>
              <w:t>液氯</w:t>
            </w:r>
          </w:p>
        </w:tc>
        <w:tc>
          <w:tcPr>
            <w:tcW w:w="1280" w:type="dxa"/>
            <w:shd w:val="clear" w:color="auto" w:fill="auto"/>
            <w:tcMar>
              <w:top w:w="15" w:type="dxa"/>
              <w:left w:w="15" w:type="dxa"/>
              <w:bottom w:w="0" w:type="dxa"/>
              <w:right w:w="15" w:type="dxa"/>
            </w:tcMar>
            <w:vAlign w:val="center"/>
          </w:tcPr>
          <w:p>
            <w:pPr>
              <w:pStyle w:val="63"/>
            </w:pPr>
            <w:r>
              <w:rPr>
                <w:rFonts w:hint="eastAsia"/>
              </w:rPr>
              <w:t>钢瓶（1t/瓶）、液氯仓库</w:t>
            </w:r>
          </w:p>
        </w:tc>
        <w:tc>
          <w:tcPr>
            <w:tcW w:w="1080" w:type="dxa"/>
            <w:shd w:val="clear" w:color="auto" w:fill="auto"/>
            <w:tcMar>
              <w:top w:w="15" w:type="dxa"/>
              <w:left w:w="15" w:type="dxa"/>
              <w:bottom w:w="0" w:type="dxa"/>
              <w:right w:w="15" w:type="dxa"/>
            </w:tcMar>
            <w:vAlign w:val="center"/>
          </w:tcPr>
          <w:p>
            <w:pPr>
              <w:pStyle w:val="63"/>
            </w:pPr>
            <w:r>
              <w:rPr>
                <w:rFonts w:hint="eastAsia"/>
              </w:rPr>
              <w:t>34</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w:t>
            </w:r>
          </w:p>
        </w:tc>
        <w:tc>
          <w:tcPr>
            <w:tcW w:w="1180" w:type="dxa"/>
            <w:shd w:val="clear" w:color="auto" w:fill="auto"/>
            <w:tcMar>
              <w:top w:w="15" w:type="dxa"/>
              <w:left w:w="15" w:type="dxa"/>
              <w:bottom w:w="0" w:type="dxa"/>
              <w:right w:w="15" w:type="dxa"/>
            </w:tcMar>
            <w:vAlign w:val="center"/>
          </w:tcPr>
          <w:p>
            <w:pPr>
              <w:pStyle w:val="63"/>
            </w:pPr>
            <w:r>
              <w:rPr>
                <w:rFonts w:hint="eastAsia"/>
              </w:rPr>
              <w:t>34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氢氧化钠</w:t>
            </w:r>
          </w:p>
        </w:tc>
        <w:tc>
          <w:tcPr>
            <w:tcW w:w="1280" w:type="dxa"/>
            <w:shd w:val="clear" w:color="auto" w:fill="auto"/>
            <w:tcMar>
              <w:top w:w="15" w:type="dxa"/>
              <w:left w:w="15" w:type="dxa"/>
              <w:bottom w:w="0" w:type="dxa"/>
              <w:right w:w="15" w:type="dxa"/>
            </w:tcMar>
            <w:vAlign w:val="center"/>
          </w:tcPr>
          <w:p>
            <w:pPr>
              <w:pStyle w:val="63"/>
            </w:pPr>
            <w:r>
              <w:rPr>
                <w:rFonts w:hint="eastAsia"/>
              </w:rPr>
              <w:t>袋装、丙类仓库</w:t>
            </w:r>
          </w:p>
        </w:tc>
        <w:tc>
          <w:tcPr>
            <w:tcW w:w="1080" w:type="dxa"/>
            <w:shd w:val="clear" w:color="auto" w:fill="auto"/>
            <w:tcMar>
              <w:top w:w="15" w:type="dxa"/>
              <w:left w:w="15" w:type="dxa"/>
              <w:bottom w:w="0" w:type="dxa"/>
              <w:right w:w="15" w:type="dxa"/>
            </w:tcMar>
            <w:vAlign w:val="center"/>
          </w:tcPr>
          <w:p>
            <w:pPr>
              <w:pStyle w:val="63"/>
            </w:pPr>
            <w:r>
              <w:rPr>
                <w:rFonts w:hint="eastAsia"/>
              </w:rPr>
              <w:t>28</w:t>
            </w:r>
          </w:p>
        </w:tc>
        <w:tc>
          <w:tcPr>
            <w:tcW w:w="7600" w:type="dxa"/>
            <w:shd w:val="clear" w:color="auto" w:fill="auto"/>
            <w:tcMar>
              <w:top w:w="15" w:type="dxa"/>
              <w:left w:w="15" w:type="dxa"/>
              <w:bottom w:w="0" w:type="dxa"/>
              <w:right w:w="15" w:type="dxa"/>
            </w:tcMar>
            <w:vAlign w:val="center"/>
          </w:tcPr>
          <w:p>
            <w:pPr>
              <w:pStyle w:val="63"/>
            </w:pPr>
            <w:r>
              <w:rPr>
                <w:rFonts w:hint="eastAsia"/>
              </w:rPr>
              <w:t>俗称烧碱、火碱、苛性钠，为一种具有很强腐蚀性的强碱，一般为片状或颗粒形态，易溶于水（溶于水时放热）并形成碱性溶液，另有潮解性，易吸取空气中的水蒸气和二氧化碳。NaOH 是化学实验室其中一种必备的化学品，亦为常见的化工品之一。纯品是无色透明的晶体。密度 2.130g/cm³。熔点 318.4℃。沸点 1390℃。工业品含有少量的氯化钠和碳酸钠，是白色不透明的晶体。有块状，片状，粒状和棒状等。有强烈刺激和腐蚀性。粉尘或烟雾会刺激眼和呼吸道，腐蚀鼻中隔，皮肤和眼与 NaOH 直接接触会引起灼伤，误服可造成消化道灼伤，粘膜糜烂、出血和休克。</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盐酸（31%）</w:t>
            </w:r>
          </w:p>
        </w:tc>
        <w:tc>
          <w:tcPr>
            <w:tcW w:w="1280" w:type="dxa"/>
            <w:shd w:val="clear" w:color="auto" w:fill="auto"/>
            <w:tcMar>
              <w:top w:w="15" w:type="dxa"/>
              <w:left w:w="15" w:type="dxa"/>
              <w:bottom w:w="0" w:type="dxa"/>
              <w:right w:w="15" w:type="dxa"/>
            </w:tcMar>
            <w:vAlign w:val="center"/>
          </w:tcPr>
          <w:p>
            <w:pPr>
              <w:pStyle w:val="63"/>
            </w:pPr>
            <w:r>
              <w:rPr>
                <w:rFonts w:hint="eastAsia"/>
              </w:rPr>
              <w:t>2 个 20m3储罐车间氯化</w:t>
            </w:r>
          </w:p>
        </w:tc>
        <w:tc>
          <w:tcPr>
            <w:tcW w:w="1080" w:type="dxa"/>
            <w:shd w:val="clear" w:color="auto" w:fill="auto"/>
            <w:tcMar>
              <w:top w:w="15" w:type="dxa"/>
              <w:left w:w="15" w:type="dxa"/>
              <w:bottom w:w="0" w:type="dxa"/>
              <w:right w:w="15" w:type="dxa"/>
            </w:tcMar>
            <w:vAlign w:val="center"/>
          </w:tcPr>
          <w:p>
            <w:pPr>
              <w:pStyle w:val="63"/>
            </w:pPr>
            <w:r>
              <w:rPr>
                <w:rFonts w:hint="eastAsia"/>
              </w:rPr>
              <w:t>50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20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二氯乙烷</w:t>
            </w:r>
          </w:p>
        </w:tc>
        <w:tc>
          <w:tcPr>
            <w:tcW w:w="1280" w:type="dxa"/>
            <w:shd w:val="clear" w:color="auto" w:fill="auto"/>
            <w:tcMar>
              <w:top w:w="15" w:type="dxa"/>
              <w:left w:w="15" w:type="dxa"/>
              <w:bottom w:w="0" w:type="dxa"/>
              <w:right w:w="15" w:type="dxa"/>
            </w:tcMar>
            <w:vAlign w:val="center"/>
          </w:tcPr>
          <w:p>
            <w:pPr>
              <w:pStyle w:val="63"/>
            </w:pPr>
            <w:r>
              <w:rPr>
                <w:rFonts w:hint="eastAsia"/>
              </w:rPr>
              <w:t>桶装（250kg/桶）、甲类仓库</w:t>
            </w:r>
          </w:p>
        </w:tc>
        <w:tc>
          <w:tcPr>
            <w:tcW w:w="1080" w:type="dxa"/>
            <w:shd w:val="clear" w:color="auto" w:fill="auto"/>
            <w:tcMar>
              <w:top w:w="15" w:type="dxa"/>
              <w:left w:w="15" w:type="dxa"/>
              <w:bottom w:w="0" w:type="dxa"/>
              <w:right w:w="15" w:type="dxa"/>
            </w:tcMar>
            <w:vAlign w:val="center"/>
          </w:tcPr>
          <w:p>
            <w:pPr>
              <w:pStyle w:val="63"/>
            </w:pPr>
            <w:r>
              <w:rPr>
                <w:rFonts w:hint="eastAsia"/>
              </w:rPr>
              <w:t>1</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0.13</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氯乙酸甲酯</w:t>
            </w:r>
          </w:p>
        </w:tc>
        <w:tc>
          <w:tcPr>
            <w:tcW w:w="1280" w:type="dxa"/>
            <w:shd w:val="clear" w:color="auto" w:fill="auto"/>
            <w:tcMar>
              <w:top w:w="15" w:type="dxa"/>
              <w:left w:w="15" w:type="dxa"/>
              <w:bottom w:w="0" w:type="dxa"/>
              <w:right w:w="15" w:type="dxa"/>
            </w:tcMar>
            <w:vAlign w:val="center"/>
          </w:tcPr>
          <w:p>
            <w:pPr>
              <w:pStyle w:val="63"/>
            </w:pPr>
            <w:r>
              <w:rPr>
                <w:rFonts w:hint="eastAsia"/>
              </w:rPr>
              <w:t>桶装、甲类仓库</w:t>
            </w:r>
          </w:p>
        </w:tc>
        <w:tc>
          <w:tcPr>
            <w:tcW w:w="1080" w:type="dxa"/>
            <w:shd w:val="clear" w:color="auto" w:fill="auto"/>
            <w:tcMar>
              <w:top w:w="15" w:type="dxa"/>
              <w:left w:w="15" w:type="dxa"/>
              <w:bottom w:w="0" w:type="dxa"/>
              <w:right w:w="15" w:type="dxa"/>
            </w:tcMar>
            <w:vAlign w:val="center"/>
          </w:tcPr>
          <w:p>
            <w:pPr>
              <w:pStyle w:val="63"/>
            </w:pPr>
            <w:r>
              <w:rPr>
                <w:rFonts w:hint="eastAsia"/>
              </w:rPr>
              <w:t>5</w:t>
            </w:r>
          </w:p>
        </w:tc>
        <w:tc>
          <w:tcPr>
            <w:tcW w:w="7600" w:type="dxa"/>
            <w:shd w:val="clear" w:color="auto" w:fill="auto"/>
            <w:tcMar>
              <w:top w:w="15" w:type="dxa"/>
              <w:left w:w="15" w:type="dxa"/>
              <w:bottom w:w="0" w:type="dxa"/>
              <w:right w:w="15" w:type="dxa"/>
            </w:tcMar>
            <w:vAlign w:val="center"/>
          </w:tcPr>
          <w:p>
            <w:pPr>
              <w:pStyle w:val="63"/>
            </w:pPr>
            <w:r>
              <w:rPr>
                <w:rFonts w:hint="eastAsia"/>
              </w:rPr>
              <w:t>无色透明液体，有刺激性气味，微溶于水，熔点：-32.1℃，沸点：129.8℃。主要用作溶剂，也用于有机合成。吸入、食入、经皮吸收对身体有害，中毒表现有烧灼感、咳嗽、喘息、喉炎、气短、头痛、恶心、呕吐。易燃，遇明火、高热或与氧化剂接触，有引起燃烧爆炸的危险。受热、接触酸或酸雾放出剧毒的烟雾。毒性：毒性比较大，对所有组织均有刺激作用。急性毒性：LD50240mg/kg(小鼠经口) ；LC501000mg/m3(小鼠吸入)，危险特性：易燃，遇明火、高热或与氧化剂接触，有引起燃烧爆炸的危险。受热、接触酸或酸雾放出剧毒的烟雾。</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0.67</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苯胺</w:t>
            </w:r>
          </w:p>
        </w:tc>
        <w:tc>
          <w:tcPr>
            <w:tcW w:w="1280" w:type="dxa"/>
            <w:shd w:val="clear" w:color="auto" w:fill="auto"/>
            <w:tcMar>
              <w:top w:w="15" w:type="dxa"/>
              <w:left w:w="15" w:type="dxa"/>
              <w:bottom w:w="0" w:type="dxa"/>
              <w:right w:w="15" w:type="dxa"/>
            </w:tcMar>
            <w:vAlign w:val="center"/>
          </w:tcPr>
          <w:p>
            <w:pPr>
              <w:pStyle w:val="63"/>
            </w:pPr>
            <w:r>
              <w:rPr>
                <w:rFonts w:hint="eastAsia"/>
              </w:rPr>
              <w:t>2 个 20m3储罐、NDI车间甲类罐区</w:t>
            </w:r>
          </w:p>
        </w:tc>
        <w:tc>
          <w:tcPr>
            <w:tcW w:w="1080" w:type="dxa"/>
            <w:shd w:val="clear" w:color="auto" w:fill="auto"/>
            <w:tcMar>
              <w:top w:w="15" w:type="dxa"/>
              <w:left w:w="15" w:type="dxa"/>
              <w:bottom w:w="0" w:type="dxa"/>
              <w:right w:w="15" w:type="dxa"/>
            </w:tcMar>
            <w:vAlign w:val="center"/>
          </w:tcPr>
          <w:p>
            <w:pPr>
              <w:pStyle w:val="63"/>
            </w:pPr>
            <w:r>
              <w:rPr>
                <w:rFonts w:hint="eastAsia"/>
              </w:rPr>
              <w:t>43</w:t>
            </w:r>
          </w:p>
        </w:tc>
        <w:tc>
          <w:tcPr>
            <w:tcW w:w="7600" w:type="dxa"/>
            <w:shd w:val="clear" w:color="auto" w:fill="auto"/>
            <w:tcMar>
              <w:top w:w="15" w:type="dxa"/>
              <w:left w:w="15" w:type="dxa"/>
              <w:bottom w:w="0" w:type="dxa"/>
              <w:right w:w="15" w:type="dxa"/>
            </w:tcMar>
            <w:vAlign w:val="center"/>
          </w:tcPr>
          <w:p>
            <w:pPr>
              <w:pStyle w:val="63"/>
            </w:pPr>
            <w:r>
              <w:rPr>
                <w:rFonts w:hint="eastAsia"/>
              </w:rPr>
              <w:t>苯胺又称阿尼林、阿尼林油、氨基苯，分子式：C6H7N。无色油状液体。熔点－6.3℃，沸点 184℃，相对密度 1.02（20/4℃），相对分子量 93.128，加热至 370℃分解。苯胺暴露于空气中或日光下变为棕色。可用水蒸气蒸馏，蒸馏时加入少量锌粉以防氧化，提纯后的苯胺可加入 10～15ppm 的 NaBH4，以防氧化变质。该品主要引起高铁血红蛋白血症、溶血性贫血和肝、肾损害。易经皮肤吸收。急性中毒：患者口唇、指端、耳廓紫绀，有头痛、头晕、恶心、呕吐、手指发麻、精神恍惚等；重度中毒时，皮肤、粘膜严重青紫，呼吸困难，抽搐，甚至昏迷，休克。出现溶血性黄疸、中毒性肝炎及肾损害。可有化学性膀胱炎。眼接触引起结膜角膜炎。慢性中毒：患者有神经衰弱综合征表现，伴有轻度紫绀、贫血和肝、脾肿大。皮肤接触可引起湿疹。</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8.6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氯苯</w:t>
            </w:r>
          </w:p>
        </w:tc>
        <w:tc>
          <w:tcPr>
            <w:tcW w:w="1280" w:type="dxa"/>
            <w:shd w:val="clear" w:color="auto" w:fill="auto"/>
            <w:tcMar>
              <w:top w:w="15" w:type="dxa"/>
              <w:left w:w="15" w:type="dxa"/>
              <w:bottom w:w="0" w:type="dxa"/>
              <w:right w:w="15" w:type="dxa"/>
            </w:tcMar>
            <w:vAlign w:val="center"/>
          </w:tcPr>
          <w:p>
            <w:pPr>
              <w:pStyle w:val="63"/>
            </w:pPr>
            <w:r>
              <w:rPr>
                <w:rFonts w:hint="eastAsia"/>
              </w:rPr>
              <w:t>2 个 20m3储罐、NDI车间甲类罐区</w:t>
            </w:r>
          </w:p>
        </w:tc>
        <w:tc>
          <w:tcPr>
            <w:tcW w:w="1080" w:type="dxa"/>
            <w:shd w:val="clear" w:color="auto" w:fill="auto"/>
            <w:tcMar>
              <w:top w:w="15" w:type="dxa"/>
              <w:left w:w="15" w:type="dxa"/>
              <w:bottom w:w="0" w:type="dxa"/>
              <w:right w:w="15" w:type="dxa"/>
            </w:tcMar>
            <w:vAlign w:val="center"/>
          </w:tcPr>
          <w:p>
            <w:pPr>
              <w:pStyle w:val="63"/>
            </w:pPr>
            <w:r>
              <w:rPr>
                <w:rFonts w:hint="eastAsia"/>
              </w:rPr>
              <w:t>24</w:t>
            </w:r>
          </w:p>
        </w:tc>
        <w:tc>
          <w:tcPr>
            <w:tcW w:w="7600" w:type="dxa"/>
            <w:shd w:val="clear" w:color="auto" w:fill="auto"/>
            <w:tcMar>
              <w:top w:w="15" w:type="dxa"/>
              <w:left w:w="15" w:type="dxa"/>
              <w:bottom w:w="0" w:type="dxa"/>
              <w:right w:w="15" w:type="dxa"/>
            </w:tcMar>
            <w:vAlign w:val="center"/>
          </w:tcPr>
          <w:p>
            <w:pPr>
              <w:pStyle w:val="63"/>
            </w:pPr>
            <w:r>
              <w:rPr>
                <w:rFonts w:hint="eastAsia"/>
              </w:rPr>
              <w:t>无色液体，沸点 131.7℃。第一次世界大战期间主要用于生产军用炸药所需的苦味酸。1940 年到 1960 年间，大量用于生产滴滴涕(DDT)杀虫剂。1960 年后，DDT渐被高效低残毒的其他农药所取代，氯苯的需求量日趋下降。主要用做乙基纤维素和许多树脂的溶剂，生产多种其他苯系中间体，如硝基氯苯等。对中枢神经系统有抑制和麻醉作用；对皮肤和粘膜有刺激性。急性中毒：接触高浓度可引起麻醉症状，甚至昏迷。脱离现场，积极救治后，可较快恢复，但数日内仍有头痛、头晕、无力、食欲减退等症状。液体对皮肤有轻度刺激性，但反复接触，则起红斑或有轻度表浅性坏死。慢性中毒：常有眼痛、流泪、结膜充血；早期有头痛、失眠、记忆力减退等神经衰弱症状；重者引起中毒性肝炎，个别可发生肾脏损害。</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4.8</w:t>
            </w:r>
          </w:p>
        </w:tc>
        <w:tc>
          <w:tcPr>
            <w:tcW w:w="1080" w:type="dxa"/>
            <w:shd w:val="clear" w:color="auto" w:fill="auto"/>
            <w:tcMar>
              <w:top w:w="15" w:type="dxa"/>
              <w:left w:w="15" w:type="dxa"/>
              <w:bottom w:w="0" w:type="dxa"/>
              <w:right w:w="15" w:type="dxa"/>
            </w:tcMar>
            <w:vAlign w:val="center"/>
          </w:tcPr>
          <w:p>
            <w:pPr>
              <w:pStyle w:val="63"/>
            </w:pPr>
            <w:r>
              <w:rPr>
                <w:rFonts w:hint="eastAsia"/>
              </w:rPr>
              <w:t>68.2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环宇药业</w:t>
            </w:r>
          </w:p>
        </w:tc>
        <w:tc>
          <w:tcPr>
            <w:tcW w:w="1080" w:type="dxa"/>
            <w:shd w:val="clear" w:color="auto" w:fill="auto"/>
            <w:tcMar>
              <w:top w:w="15" w:type="dxa"/>
              <w:left w:w="15" w:type="dxa"/>
              <w:bottom w:w="0" w:type="dxa"/>
              <w:right w:w="15" w:type="dxa"/>
            </w:tcMar>
            <w:vAlign w:val="center"/>
          </w:tcPr>
          <w:p>
            <w:pPr>
              <w:pStyle w:val="63"/>
            </w:pPr>
            <w:r>
              <w:rPr>
                <w:rFonts w:hint="eastAsia"/>
              </w:rPr>
              <w:t>盐酸</w:t>
            </w:r>
          </w:p>
        </w:tc>
        <w:tc>
          <w:tcPr>
            <w:tcW w:w="1280" w:type="dxa"/>
            <w:shd w:val="clear" w:color="auto" w:fill="auto"/>
            <w:tcMar>
              <w:top w:w="15" w:type="dxa"/>
              <w:left w:w="15" w:type="dxa"/>
              <w:bottom w:w="0" w:type="dxa"/>
              <w:right w:w="15" w:type="dxa"/>
            </w:tcMar>
            <w:vAlign w:val="center"/>
          </w:tcPr>
          <w:p>
            <w:pPr>
              <w:pStyle w:val="63"/>
            </w:pPr>
            <w:r>
              <w:rPr>
                <w:rFonts w:hint="eastAsia"/>
              </w:rPr>
              <w:t>原料库（桶装）</w:t>
            </w:r>
          </w:p>
        </w:tc>
        <w:tc>
          <w:tcPr>
            <w:tcW w:w="1080" w:type="dxa"/>
            <w:shd w:val="clear" w:color="auto" w:fill="auto"/>
            <w:tcMar>
              <w:top w:w="15" w:type="dxa"/>
              <w:left w:w="15" w:type="dxa"/>
              <w:bottom w:w="0" w:type="dxa"/>
              <w:right w:w="15" w:type="dxa"/>
            </w:tcMar>
            <w:vAlign w:val="center"/>
          </w:tcPr>
          <w:p>
            <w:pPr>
              <w:pStyle w:val="63"/>
            </w:pPr>
            <w:r>
              <w:rPr>
                <w:rFonts w:hint="eastAsia"/>
              </w:rPr>
              <w:t>1</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0.4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甲醇</w:t>
            </w:r>
          </w:p>
        </w:tc>
        <w:tc>
          <w:tcPr>
            <w:tcW w:w="1280" w:type="dxa"/>
            <w:shd w:val="clear" w:color="auto" w:fill="auto"/>
            <w:tcMar>
              <w:top w:w="15" w:type="dxa"/>
              <w:left w:w="15" w:type="dxa"/>
              <w:bottom w:w="0" w:type="dxa"/>
              <w:right w:w="15" w:type="dxa"/>
            </w:tcMar>
            <w:vAlign w:val="center"/>
          </w:tcPr>
          <w:p>
            <w:pPr>
              <w:pStyle w:val="63"/>
            </w:pPr>
            <w:r>
              <w:rPr>
                <w:rFonts w:hint="eastAsia"/>
              </w:rPr>
              <w:t>原料库（160kg/桶）</w:t>
            </w:r>
          </w:p>
        </w:tc>
        <w:tc>
          <w:tcPr>
            <w:tcW w:w="1080" w:type="dxa"/>
            <w:shd w:val="clear" w:color="auto" w:fill="auto"/>
            <w:tcMar>
              <w:top w:w="15" w:type="dxa"/>
              <w:left w:w="15" w:type="dxa"/>
              <w:bottom w:w="0" w:type="dxa"/>
              <w:right w:w="15" w:type="dxa"/>
            </w:tcMar>
            <w:vAlign w:val="center"/>
          </w:tcPr>
          <w:p>
            <w:pPr>
              <w:pStyle w:val="63"/>
            </w:pPr>
            <w:r>
              <w:rPr>
                <w:rFonts w:hint="eastAsia"/>
              </w:rPr>
              <w:t>15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500</w:t>
            </w:r>
          </w:p>
        </w:tc>
        <w:tc>
          <w:tcPr>
            <w:tcW w:w="1180" w:type="dxa"/>
            <w:shd w:val="clear" w:color="auto" w:fill="auto"/>
            <w:tcMar>
              <w:top w:w="15" w:type="dxa"/>
              <w:left w:w="15" w:type="dxa"/>
              <w:bottom w:w="0" w:type="dxa"/>
              <w:right w:w="15" w:type="dxa"/>
            </w:tcMar>
            <w:vAlign w:val="center"/>
          </w:tcPr>
          <w:p>
            <w:pPr>
              <w:pStyle w:val="63"/>
            </w:pPr>
            <w:r>
              <w:rPr>
                <w:rFonts w:hint="eastAsia"/>
              </w:rPr>
              <w:t>0.03</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甲苯</w:t>
            </w:r>
          </w:p>
        </w:tc>
        <w:tc>
          <w:tcPr>
            <w:tcW w:w="1280" w:type="dxa"/>
            <w:shd w:val="clear" w:color="auto" w:fill="auto"/>
            <w:tcMar>
              <w:top w:w="15" w:type="dxa"/>
              <w:left w:w="15" w:type="dxa"/>
              <w:bottom w:w="0" w:type="dxa"/>
              <w:right w:w="15" w:type="dxa"/>
            </w:tcMar>
            <w:vAlign w:val="center"/>
          </w:tcPr>
          <w:p>
            <w:pPr>
              <w:pStyle w:val="63"/>
            </w:pPr>
            <w:r>
              <w:rPr>
                <w:rFonts w:hint="eastAsia"/>
              </w:rPr>
              <w:t>原料库（160kg/桶）</w:t>
            </w:r>
          </w:p>
        </w:tc>
        <w:tc>
          <w:tcPr>
            <w:tcW w:w="1080" w:type="dxa"/>
            <w:shd w:val="clear" w:color="auto" w:fill="auto"/>
            <w:tcMar>
              <w:top w:w="15" w:type="dxa"/>
              <w:left w:w="15" w:type="dxa"/>
              <w:bottom w:w="0" w:type="dxa"/>
              <w:right w:w="15" w:type="dxa"/>
            </w:tcMar>
            <w:vAlign w:val="center"/>
          </w:tcPr>
          <w:p>
            <w:pPr>
              <w:pStyle w:val="63"/>
            </w:pPr>
            <w:r>
              <w:rPr>
                <w:rFonts w:hint="eastAsia"/>
              </w:rPr>
              <w:t>15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1.5</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氢氧化钠</w:t>
            </w:r>
          </w:p>
        </w:tc>
        <w:tc>
          <w:tcPr>
            <w:tcW w:w="1280" w:type="dxa"/>
            <w:shd w:val="clear" w:color="auto" w:fill="auto"/>
            <w:tcMar>
              <w:top w:w="15" w:type="dxa"/>
              <w:left w:w="15" w:type="dxa"/>
              <w:bottom w:w="0" w:type="dxa"/>
              <w:right w:w="15" w:type="dxa"/>
            </w:tcMar>
            <w:vAlign w:val="center"/>
          </w:tcPr>
          <w:p>
            <w:pPr>
              <w:pStyle w:val="63"/>
            </w:pPr>
            <w:r>
              <w:rPr>
                <w:rFonts w:hint="eastAsia"/>
              </w:rPr>
              <w:t>原料库（25kg/袋）</w:t>
            </w:r>
          </w:p>
        </w:tc>
        <w:tc>
          <w:tcPr>
            <w:tcW w:w="1080" w:type="dxa"/>
            <w:shd w:val="clear" w:color="auto" w:fill="auto"/>
            <w:tcMar>
              <w:top w:w="15" w:type="dxa"/>
              <w:left w:w="15" w:type="dxa"/>
              <w:bottom w:w="0" w:type="dxa"/>
              <w:right w:w="15" w:type="dxa"/>
            </w:tcMar>
            <w:vAlign w:val="center"/>
          </w:tcPr>
          <w:p>
            <w:pPr>
              <w:pStyle w:val="63"/>
            </w:pPr>
            <w:r>
              <w:rPr>
                <w:rFonts w:hint="eastAsia"/>
              </w:rPr>
              <w:t>1</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二氯甲烷</w:t>
            </w:r>
          </w:p>
        </w:tc>
        <w:tc>
          <w:tcPr>
            <w:tcW w:w="1280" w:type="dxa"/>
            <w:shd w:val="clear" w:color="auto" w:fill="auto"/>
            <w:tcMar>
              <w:top w:w="15" w:type="dxa"/>
              <w:left w:w="15" w:type="dxa"/>
              <w:bottom w:w="0" w:type="dxa"/>
              <w:right w:w="15" w:type="dxa"/>
            </w:tcMar>
            <w:vAlign w:val="center"/>
          </w:tcPr>
          <w:p>
            <w:pPr>
              <w:pStyle w:val="63"/>
            </w:pPr>
            <w:r>
              <w:rPr>
                <w:rFonts w:hint="eastAsia"/>
              </w:rPr>
              <w:t>桶装（200kg/桶）、原料库</w:t>
            </w:r>
          </w:p>
        </w:tc>
        <w:tc>
          <w:tcPr>
            <w:tcW w:w="1080" w:type="dxa"/>
            <w:shd w:val="clear" w:color="auto" w:fill="auto"/>
            <w:tcMar>
              <w:top w:w="15" w:type="dxa"/>
              <w:left w:w="15" w:type="dxa"/>
              <w:bottom w:w="0" w:type="dxa"/>
              <w:right w:w="15" w:type="dxa"/>
            </w:tcMar>
            <w:vAlign w:val="center"/>
          </w:tcPr>
          <w:p>
            <w:pPr>
              <w:pStyle w:val="63"/>
            </w:pPr>
            <w:r>
              <w:rPr>
                <w:rFonts w:hint="eastAsia"/>
              </w:rPr>
              <w:t>15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1.5</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三氯甲烷</w:t>
            </w:r>
          </w:p>
        </w:tc>
        <w:tc>
          <w:tcPr>
            <w:tcW w:w="1280" w:type="dxa"/>
            <w:shd w:val="clear" w:color="auto" w:fill="auto"/>
            <w:tcMar>
              <w:top w:w="15" w:type="dxa"/>
              <w:left w:w="15" w:type="dxa"/>
              <w:bottom w:w="0" w:type="dxa"/>
              <w:right w:w="15" w:type="dxa"/>
            </w:tcMar>
            <w:vAlign w:val="center"/>
          </w:tcPr>
          <w:p>
            <w:pPr>
              <w:pStyle w:val="63"/>
            </w:pPr>
            <w:r>
              <w:rPr>
                <w:rFonts w:hint="eastAsia"/>
              </w:rPr>
              <w:t>桶装（250kg/桶）、原料库</w:t>
            </w:r>
          </w:p>
        </w:tc>
        <w:tc>
          <w:tcPr>
            <w:tcW w:w="1080" w:type="dxa"/>
            <w:shd w:val="clear" w:color="auto" w:fill="auto"/>
            <w:tcMar>
              <w:top w:w="15" w:type="dxa"/>
              <w:left w:w="15" w:type="dxa"/>
              <w:bottom w:w="0" w:type="dxa"/>
              <w:right w:w="15" w:type="dxa"/>
            </w:tcMar>
            <w:vAlign w:val="center"/>
          </w:tcPr>
          <w:p>
            <w:pPr>
              <w:pStyle w:val="63"/>
            </w:pPr>
            <w:r>
              <w:rPr>
                <w:rFonts w:hint="eastAsia"/>
              </w:rPr>
              <w:t>15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1.5</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08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二氯乙烷</w:t>
            </w:r>
          </w:p>
        </w:tc>
        <w:tc>
          <w:tcPr>
            <w:tcW w:w="1280" w:type="dxa"/>
            <w:shd w:val="clear" w:color="auto" w:fill="auto"/>
            <w:tcMar>
              <w:top w:w="15" w:type="dxa"/>
              <w:left w:w="15" w:type="dxa"/>
              <w:bottom w:w="0" w:type="dxa"/>
              <w:right w:w="15" w:type="dxa"/>
            </w:tcMar>
            <w:vAlign w:val="center"/>
          </w:tcPr>
          <w:p>
            <w:pPr>
              <w:pStyle w:val="63"/>
            </w:pPr>
            <w:r>
              <w:rPr>
                <w:rFonts w:hint="eastAsia"/>
              </w:rPr>
              <w:t>桶装（220kg/桶）、原料库</w:t>
            </w:r>
          </w:p>
        </w:tc>
        <w:tc>
          <w:tcPr>
            <w:tcW w:w="1080" w:type="dxa"/>
            <w:shd w:val="clear" w:color="auto" w:fill="auto"/>
            <w:tcMar>
              <w:top w:w="15" w:type="dxa"/>
              <w:left w:w="15" w:type="dxa"/>
              <w:bottom w:w="0" w:type="dxa"/>
              <w:right w:w="15" w:type="dxa"/>
            </w:tcMar>
            <w:vAlign w:val="center"/>
          </w:tcPr>
          <w:p>
            <w:pPr>
              <w:pStyle w:val="63"/>
            </w:pPr>
            <w:r>
              <w:rPr>
                <w:rFonts w:hint="eastAsia"/>
              </w:rPr>
              <w:t>15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环己酮</w:t>
            </w:r>
          </w:p>
        </w:tc>
        <w:tc>
          <w:tcPr>
            <w:tcW w:w="1280" w:type="dxa"/>
            <w:shd w:val="clear" w:color="auto" w:fill="auto"/>
            <w:tcMar>
              <w:top w:w="15" w:type="dxa"/>
              <w:left w:w="15" w:type="dxa"/>
              <w:bottom w:w="0" w:type="dxa"/>
              <w:right w:w="15" w:type="dxa"/>
            </w:tcMar>
            <w:vAlign w:val="center"/>
          </w:tcPr>
          <w:p>
            <w:pPr>
              <w:pStyle w:val="63"/>
            </w:pPr>
            <w:r>
              <w:rPr>
                <w:rFonts w:hint="eastAsia"/>
              </w:rPr>
              <w:t>桶装（200kg/桶）、原料库</w:t>
            </w:r>
          </w:p>
        </w:tc>
        <w:tc>
          <w:tcPr>
            <w:tcW w:w="1080" w:type="dxa"/>
            <w:shd w:val="clear" w:color="auto" w:fill="auto"/>
            <w:tcMar>
              <w:top w:w="15" w:type="dxa"/>
              <w:left w:w="15" w:type="dxa"/>
              <w:bottom w:w="0" w:type="dxa"/>
              <w:right w:w="15" w:type="dxa"/>
            </w:tcMar>
            <w:vAlign w:val="center"/>
          </w:tcPr>
          <w:p>
            <w:pPr>
              <w:pStyle w:val="63"/>
            </w:pPr>
            <w:r>
              <w:rPr>
                <w:rFonts w:hint="eastAsia"/>
              </w:rPr>
              <w:t>2</w:t>
            </w:r>
          </w:p>
        </w:tc>
        <w:tc>
          <w:tcPr>
            <w:tcW w:w="7600" w:type="dxa"/>
            <w:shd w:val="clear" w:color="auto" w:fill="auto"/>
            <w:tcMar>
              <w:top w:w="15" w:type="dxa"/>
              <w:left w:w="15" w:type="dxa"/>
              <w:bottom w:w="0" w:type="dxa"/>
              <w:right w:w="15" w:type="dxa"/>
            </w:tcMar>
            <w:vAlign w:val="center"/>
          </w:tcPr>
          <w:p>
            <w:pPr>
              <w:pStyle w:val="63"/>
            </w:pPr>
            <w:r>
              <w:rPr>
                <w:rFonts w:hint="eastAsia"/>
              </w:rPr>
              <w:t>有机化合物，是六个碳的环酮，室温下为无色油状液体，有类似薄荷油和丙酮的气味，久置颜色变黄。它微溶于水（5-10 g/100 ml），沸点（℃）：155.6，可与大多数有机溶剂混溶。不纯物为浅黄色，随着存放时间生成杂质而显色，呈水白色到灰黄色，具有强烈的刺鼻臭味。与空气混合爆炸极与开链饱和酮相同。环己酮在工业上被用作溶剂以及一些氧化反应的触发剂，也用于制取己二酸、环己酮树脂、己内酰胺以及尼龙。该品具有麻醉和刺激作用。急性中毒：主要表现有眼、鼻、喉粘膜刺激症状和头晕、胸闷、全身无力等症状。重者可出现休克、昏迷、四肢抽搐、肺水肿，最后因呼吸衰竭而死亡。脱离接触后能较快恢复正常。液体对皮肤有刺激性；眼接触有可能造成角膜损害。慢性影响：长期反复接触可致皮炎。</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0.4</w:t>
            </w:r>
          </w:p>
        </w:tc>
        <w:tc>
          <w:tcPr>
            <w:tcW w:w="1080" w:type="dxa"/>
            <w:shd w:val="clear" w:color="auto" w:fill="auto"/>
            <w:tcMar>
              <w:top w:w="15" w:type="dxa"/>
              <w:left w:w="15" w:type="dxa"/>
              <w:bottom w:w="0" w:type="dxa"/>
              <w:right w:w="15" w:type="dxa"/>
            </w:tcMar>
            <w:vAlign w:val="center"/>
          </w:tcPr>
          <w:p>
            <w:pPr>
              <w:pStyle w:val="63"/>
            </w:pPr>
            <w:r>
              <w:rPr>
                <w:rFonts w:hint="eastAsia"/>
              </w:rPr>
              <w:t>7.33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福尔程环保</w:t>
            </w:r>
          </w:p>
        </w:tc>
        <w:tc>
          <w:tcPr>
            <w:tcW w:w="1080" w:type="dxa"/>
            <w:shd w:val="clear" w:color="auto" w:fill="auto"/>
            <w:tcMar>
              <w:top w:w="15" w:type="dxa"/>
              <w:left w:w="15" w:type="dxa"/>
              <w:bottom w:w="0" w:type="dxa"/>
              <w:right w:w="15" w:type="dxa"/>
            </w:tcMar>
            <w:vAlign w:val="center"/>
          </w:tcPr>
          <w:p>
            <w:pPr>
              <w:pStyle w:val="63"/>
            </w:pPr>
            <w:r>
              <w:rPr>
                <w:rFonts w:hint="eastAsia"/>
              </w:rPr>
              <w:t>液氯</w:t>
            </w:r>
          </w:p>
        </w:tc>
        <w:tc>
          <w:tcPr>
            <w:tcW w:w="1280" w:type="dxa"/>
            <w:shd w:val="clear" w:color="auto" w:fill="auto"/>
            <w:tcMar>
              <w:top w:w="15" w:type="dxa"/>
              <w:left w:w="15" w:type="dxa"/>
              <w:bottom w:w="0" w:type="dxa"/>
              <w:right w:w="15" w:type="dxa"/>
            </w:tcMar>
            <w:vAlign w:val="center"/>
          </w:tcPr>
          <w:p>
            <w:pPr>
              <w:pStyle w:val="63"/>
            </w:pPr>
            <w:r>
              <w:rPr>
                <w:rFonts w:hint="eastAsia"/>
              </w:rPr>
              <w:t>液氯钢瓶、液氯库棚</w:t>
            </w:r>
          </w:p>
        </w:tc>
        <w:tc>
          <w:tcPr>
            <w:tcW w:w="1080" w:type="dxa"/>
            <w:shd w:val="clear" w:color="auto" w:fill="auto"/>
            <w:tcMar>
              <w:top w:w="15" w:type="dxa"/>
              <w:left w:w="15" w:type="dxa"/>
              <w:bottom w:w="0" w:type="dxa"/>
              <w:right w:w="15" w:type="dxa"/>
            </w:tcMar>
            <w:vAlign w:val="center"/>
          </w:tcPr>
          <w:p>
            <w:pPr>
              <w:pStyle w:val="63"/>
            </w:pPr>
            <w:r>
              <w:rPr>
                <w:rFonts w:hint="eastAsia"/>
              </w:rPr>
              <w:t>2</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w:t>
            </w:r>
          </w:p>
        </w:tc>
        <w:tc>
          <w:tcPr>
            <w:tcW w:w="1180" w:type="dxa"/>
            <w:shd w:val="clear" w:color="auto" w:fill="auto"/>
            <w:tcMar>
              <w:top w:w="15" w:type="dxa"/>
              <w:left w:w="15" w:type="dxa"/>
              <w:bottom w:w="0" w:type="dxa"/>
              <w:right w:w="15" w:type="dxa"/>
            </w:tcMar>
            <w:vAlign w:val="center"/>
          </w:tcPr>
          <w:p>
            <w:pPr>
              <w:pStyle w:val="63"/>
            </w:pPr>
            <w:r>
              <w:rPr>
                <w:rFonts w:hint="eastAsia"/>
              </w:rPr>
              <w:t>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盐酸</w:t>
            </w:r>
          </w:p>
        </w:tc>
        <w:tc>
          <w:tcPr>
            <w:tcW w:w="1280" w:type="dxa"/>
            <w:shd w:val="clear" w:color="auto" w:fill="auto"/>
            <w:tcMar>
              <w:top w:w="15" w:type="dxa"/>
              <w:left w:w="15" w:type="dxa"/>
              <w:bottom w:w="0" w:type="dxa"/>
              <w:right w:w="15" w:type="dxa"/>
            </w:tcMar>
            <w:vAlign w:val="center"/>
          </w:tcPr>
          <w:p>
            <w:pPr>
              <w:pStyle w:val="63"/>
            </w:pPr>
            <w:r>
              <w:rPr>
                <w:rFonts w:hint="eastAsia"/>
              </w:rPr>
              <w:t>1 个 20m³储罐、罐区</w:t>
            </w:r>
          </w:p>
        </w:tc>
        <w:tc>
          <w:tcPr>
            <w:tcW w:w="1080" w:type="dxa"/>
            <w:shd w:val="clear" w:color="auto" w:fill="auto"/>
            <w:tcMar>
              <w:top w:w="15" w:type="dxa"/>
              <w:left w:w="15" w:type="dxa"/>
              <w:bottom w:w="0" w:type="dxa"/>
              <w:right w:w="15" w:type="dxa"/>
            </w:tcMar>
            <w:vAlign w:val="center"/>
          </w:tcPr>
          <w:p>
            <w:pPr>
              <w:pStyle w:val="63"/>
            </w:pPr>
            <w:r>
              <w:rPr>
                <w:rFonts w:hint="eastAsia"/>
              </w:rPr>
              <w:t>50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20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甲醇</w:t>
            </w:r>
          </w:p>
        </w:tc>
        <w:tc>
          <w:tcPr>
            <w:tcW w:w="1280" w:type="dxa"/>
            <w:shd w:val="clear" w:color="auto" w:fill="auto"/>
            <w:tcMar>
              <w:top w:w="15" w:type="dxa"/>
              <w:left w:w="15" w:type="dxa"/>
              <w:bottom w:w="0" w:type="dxa"/>
              <w:right w:w="15" w:type="dxa"/>
            </w:tcMar>
            <w:vAlign w:val="center"/>
          </w:tcPr>
          <w:p>
            <w:pPr>
              <w:pStyle w:val="63"/>
            </w:pPr>
            <w:r>
              <w:rPr>
                <w:rFonts w:hint="eastAsia"/>
              </w:rPr>
              <w:t>1 个 10m³储罐、罐区</w:t>
            </w:r>
          </w:p>
        </w:tc>
        <w:tc>
          <w:tcPr>
            <w:tcW w:w="1080" w:type="dxa"/>
            <w:shd w:val="clear" w:color="auto" w:fill="auto"/>
            <w:tcMar>
              <w:top w:w="15" w:type="dxa"/>
              <w:left w:w="15" w:type="dxa"/>
              <w:bottom w:w="0" w:type="dxa"/>
              <w:right w:w="15" w:type="dxa"/>
            </w:tcMar>
            <w:vAlign w:val="center"/>
          </w:tcPr>
          <w:p>
            <w:pPr>
              <w:pStyle w:val="63"/>
            </w:pPr>
            <w:r>
              <w:rPr>
                <w:rFonts w:hint="eastAsia"/>
              </w:rPr>
              <w:t>25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500</w:t>
            </w:r>
          </w:p>
        </w:tc>
        <w:tc>
          <w:tcPr>
            <w:tcW w:w="1180" w:type="dxa"/>
            <w:shd w:val="clear" w:color="auto" w:fill="auto"/>
            <w:tcMar>
              <w:top w:w="15" w:type="dxa"/>
              <w:left w:w="15" w:type="dxa"/>
              <w:bottom w:w="0" w:type="dxa"/>
              <w:right w:w="15" w:type="dxa"/>
            </w:tcMar>
            <w:vAlign w:val="center"/>
          </w:tcPr>
          <w:p>
            <w:pPr>
              <w:pStyle w:val="63"/>
            </w:pPr>
            <w:r>
              <w:rPr>
                <w:rFonts w:hint="eastAsia"/>
              </w:rPr>
              <w:t>0.05</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甲苯</w:t>
            </w:r>
          </w:p>
        </w:tc>
        <w:tc>
          <w:tcPr>
            <w:tcW w:w="1280" w:type="dxa"/>
            <w:shd w:val="clear" w:color="auto" w:fill="auto"/>
            <w:tcMar>
              <w:top w:w="15" w:type="dxa"/>
              <w:left w:w="15" w:type="dxa"/>
              <w:bottom w:w="0" w:type="dxa"/>
              <w:right w:w="15" w:type="dxa"/>
            </w:tcMar>
            <w:vAlign w:val="center"/>
          </w:tcPr>
          <w:p>
            <w:pPr>
              <w:pStyle w:val="63"/>
            </w:pPr>
            <w:r>
              <w:rPr>
                <w:rFonts w:hint="eastAsia"/>
              </w:rPr>
              <w:t>1 个 10m³储罐、罐区</w:t>
            </w:r>
          </w:p>
        </w:tc>
        <w:tc>
          <w:tcPr>
            <w:tcW w:w="1080" w:type="dxa"/>
            <w:shd w:val="clear" w:color="auto" w:fill="auto"/>
            <w:tcMar>
              <w:top w:w="15" w:type="dxa"/>
              <w:left w:w="15" w:type="dxa"/>
              <w:bottom w:w="0" w:type="dxa"/>
              <w:right w:w="15" w:type="dxa"/>
            </w:tcMar>
            <w:vAlign w:val="center"/>
          </w:tcPr>
          <w:p>
            <w:pPr>
              <w:pStyle w:val="63"/>
            </w:pPr>
            <w:r>
              <w:rPr>
                <w:rFonts w:hint="eastAsia"/>
              </w:rPr>
              <w:t>20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液碱（31%）</w:t>
            </w:r>
          </w:p>
        </w:tc>
        <w:tc>
          <w:tcPr>
            <w:tcW w:w="1280" w:type="dxa"/>
            <w:shd w:val="clear" w:color="auto" w:fill="auto"/>
            <w:tcMar>
              <w:top w:w="15" w:type="dxa"/>
              <w:left w:w="15" w:type="dxa"/>
              <w:bottom w:w="0" w:type="dxa"/>
              <w:right w:w="15" w:type="dxa"/>
            </w:tcMar>
            <w:vAlign w:val="center"/>
          </w:tcPr>
          <w:p>
            <w:pPr>
              <w:pStyle w:val="63"/>
            </w:pPr>
            <w:r>
              <w:rPr>
                <w:rFonts w:hint="eastAsia"/>
              </w:rPr>
              <w:t>1 个 30m³储罐、罐区</w:t>
            </w:r>
          </w:p>
        </w:tc>
        <w:tc>
          <w:tcPr>
            <w:tcW w:w="1080" w:type="dxa"/>
            <w:shd w:val="clear" w:color="auto" w:fill="auto"/>
            <w:tcMar>
              <w:top w:w="15" w:type="dxa"/>
              <w:left w:w="15" w:type="dxa"/>
              <w:bottom w:w="0" w:type="dxa"/>
              <w:right w:w="15" w:type="dxa"/>
            </w:tcMar>
            <w:vAlign w:val="center"/>
          </w:tcPr>
          <w:p>
            <w:pPr>
              <w:pStyle w:val="63"/>
            </w:pPr>
            <w:r>
              <w:rPr>
                <w:rFonts w:hint="eastAsia"/>
              </w:rPr>
              <w:t>20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二氯乙烷</w:t>
            </w:r>
          </w:p>
        </w:tc>
        <w:tc>
          <w:tcPr>
            <w:tcW w:w="1280" w:type="dxa"/>
            <w:shd w:val="clear" w:color="auto" w:fill="auto"/>
            <w:tcMar>
              <w:top w:w="15" w:type="dxa"/>
              <w:left w:w="15" w:type="dxa"/>
              <w:bottom w:w="0" w:type="dxa"/>
              <w:right w:w="15" w:type="dxa"/>
            </w:tcMar>
            <w:vAlign w:val="center"/>
          </w:tcPr>
          <w:p>
            <w:pPr>
              <w:pStyle w:val="63"/>
            </w:pPr>
            <w:r>
              <w:rPr>
                <w:rFonts w:hint="eastAsia"/>
              </w:rPr>
              <w:t>罐区</w:t>
            </w:r>
          </w:p>
        </w:tc>
        <w:tc>
          <w:tcPr>
            <w:tcW w:w="1080" w:type="dxa"/>
            <w:shd w:val="clear" w:color="auto" w:fill="auto"/>
            <w:tcMar>
              <w:top w:w="15" w:type="dxa"/>
              <w:left w:w="15" w:type="dxa"/>
              <w:bottom w:w="0" w:type="dxa"/>
              <w:right w:w="15" w:type="dxa"/>
            </w:tcMar>
            <w:vAlign w:val="center"/>
          </w:tcPr>
          <w:p>
            <w:pPr>
              <w:pStyle w:val="63"/>
            </w:pPr>
            <w:r>
              <w:rPr>
                <w:rFonts w:hint="eastAsia"/>
              </w:rPr>
              <w:t>30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油类</w:t>
            </w:r>
          </w:p>
        </w:tc>
        <w:tc>
          <w:tcPr>
            <w:tcW w:w="1280" w:type="dxa"/>
            <w:shd w:val="clear" w:color="auto" w:fill="auto"/>
            <w:tcMar>
              <w:top w:w="15" w:type="dxa"/>
              <w:left w:w="15" w:type="dxa"/>
              <w:bottom w:w="0" w:type="dxa"/>
              <w:right w:w="15" w:type="dxa"/>
            </w:tcMar>
            <w:vAlign w:val="center"/>
          </w:tcPr>
          <w:p>
            <w:pPr>
              <w:pStyle w:val="63"/>
            </w:pPr>
            <w:r>
              <w:rPr>
                <w:rFonts w:hint="eastAsia"/>
              </w:rPr>
              <w:t>成品库</w:t>
            </w:r>
          </w:p>
        </w:tc>
        <w:tc>
          <w:tcPr>
            <w:tcW w:w="1080" w:type="dxa"/>
            <w:shd w:val="clear" w:color="auto" w:fill="auto"/>
            <w:tcMar>
              <w:top w:w="15" w:type="dxa"/>
              <w:left w:w="15" w:type="dxa"/>
              <w:bottom w:w="0" w:type="dxa"/>
              <w:right w:w="15" w:type="dxa"/>
            </w:tcMar>
            <w:vAlign w:val="center"/>
          </w:tcPr>
          <w:p>
            <w:pPr>
              <w:pStyle w:val="63"/>
            </w:pPr>
            <w:r>
              <w:rPr>
                <w:rFonts w:hint="eastAsia"/>
              </w:rPr>
              <w:t>12</w:t>
            </w:r>
          </w:p>
        </w:tc>
        <w:tc>
          <w:tcPr>
            <w:tcW w:w="7600" w:type="dxa"/>
            <w:shd w:val="clear" w:color="auto" w:fill="auto"/>
            <w:tcMar>
              <w:top w:w="15" w:type="dxa"/>
              <w:left w:w="15" w:type="dxa"/>
              <w:bottom w:w="0" w:type="dxa"/>
              <w:right w:w="15" w:type="dxa"/>
            </w:tcMar>
            <w:vAlign w:val="center"/>
          </w:tcPr>
          <w:p>
            <w:pPr>
              <w:pStyle w:val="63"/>
            </w:pPr>
            <w:r>
              <w:rPr>
                <w:rFonts w:hint="eastAsia"/>
              </w:rPr>
              <w:t>油类：指任何形式的石油，包括原油、燃油、油泥、油渣和炼制产品。水体中的油量稍多时，在水面上形成一层油膜，使大气与水面隔绝，破坏了正常的充氧条件，导致水体缺氧；油膜还能附着于鱼鳃上，使鱼类窒息而死；当鱼类产卵期，在含有油类污染物质废水中孵化的鱼苗，多数为畸形，生命力低下，易于死亡。含油污染物对植物也有影响，妨碍通气和光合作用，使水稻蔬菜等农作物大量减产，甚至绝收。 含有油类污染物的废水进入海洋后，造成的危害很为严重，不仅影响海洋生物的生长，降低海洋的自我净化能力，而且影响海滨环境。</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0.0048</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三氯化磷</w:t>
            </w:r>
          </w:p>
        </w:tc>
        <w:tc>
          <w:tcPr>
            <w:tcW w:w="1280" w:type="dxa"/>
            <w:shd w:val="clear" w:color="auto" w:fill="auto"/>
            <w:tcMar>
              <w:top w:w="15" w:type="dxa"/>
              <w:left w:w="15" w:type="dxa"/>
              <w:bottom w:w="0" w:type="dxa"/>
              <w:right w:w="15" w:type="dxa"/>
            </w:tcMar>
            <w:vAlign w:val="center"/>
          </w:tcPr>
          <w:p>
            <w:pPr>
              <w:pStyle w:val="63"/>
            </w:pPr>
            <w:r>
              <w:rPr>
                <w:rFonts w:hint="eastAsia"/>
              </w:rPr>
              <w:t>原料库</w:t>
            </w:r>
          </w:p>
        </w:tc>
        <w:tc>
          <w:tcPr>
            <w:tcW w:w="1080" w:type="dxa"/>
            <w:shd w:val="clear" w:color="auto" w:fill="auto"/>
            <w:tcMar>
              <w:top w:w="15" w:type="dxa"/>
              <w:left w:w="15" w:type="dxa"/>
              <w:bottom w:w="0" w:type="dxa"/>
              <w:right w:w="15" w:type="dxa"/>
            </w:tcMar>
            <w:vAlign w:val="center"/>
          </w:tcPr>
          <w:p>
            <w:pPr>
              <w:pStyle w:val="63"/>
            </w:pPr>
            <w:r>
              <w:rPr>
                <w:rFonts w:hint="eastAsia"/>
              </w:rPr>
              <w:t>10</w:t>
            </w:r>
          </w:p>
        </w:tc>
        <w:tc>
          <w:tcPr>
            <w:tcW w:w="7600" w:type="dxa"/>
            <w:shd w:val="clear" w:color="auto" w:fill="auto"/>
            <w:tcMar>
              <w:top w:w="15" w:type="dxa"/>
              <w:left w:w="15" w:type="dxa"/>
              <w:bottom w:w="0" w:type="dxa"/>
              <w:right w:w="15" w:type="dxa"/>
            </w:tcMar>
            <w:vAlign w:val="center"/>
          </w:tcPr>
          <w:p>
            <w:pPr>
              <w:pStyle w:val="63"/>
            </w:pPr>
            <w:r>
              <w:rPr>
                <w:rFonts w:hint="eastAsia"/>
              </w:rPr>
              <w:t>三氯化磷无色澄清液体。能发烟。溶于水和乙醇，同时分解并放出热。溶于苯、氯仿、乙醚和二硫化碳。相对密度（d214）1.574。熔点-112℃。沸点 76℃。低毒，半数致死量(大鼠，经口）550mg/kg。有腐蚀性。对皮肤、粘膜有刺激腐蚀作用。短期内吸入大量蒸气可引起上呼吸道刺激症状，出现咽喉炎、支气管炎，严重者可发生喉头水肿致窒息、肺炎或肺水肿。皮肤及眼接触，可引起刺激症状或灼伤，严重眼灼伤可致失明。长期低浓度接触可引起眼及呼吸道刺激症状，可引起磷毒性口腔病。三氯化磷气体有毒，有刺激性和强腐蚀性。遇水发生激烈反应，可引起爆炸。吸入三氯化磷 气体后能使结膜发炎，喉痛及眼睛组织破坏，对肺和黏膜都有刺激作用。该品腐蚀性强，与皮肤接触容易灼伤。</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1.33</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氰化钠（30%）</w:t>
            </w:r>
          </w:p>
        </w:tc>
        <w:tc>
          <w:tcPr>
            <w:tcW w:w="1280" w:type="dxa"/>
            <w:shd w:val="clear" w:color="auto" w:fill="auto"/>
            <w:tcMar>
              <w:top w:w="15" w:type="dxa"/>
              <w:left w:w="15" w:type="dxa"/>
              <w:bottom w:w="0" w:type="dxa"/>
              <w:right w:w="15" w:type="dxa"/>
            </w:tcMar>
            <w:vAlign w:val="center"/>
          </w:tcPr>
          <w:p>
            <w:pPr>
              <w:pStyle w:val="63"/>
            </w:pPr>
            <w:r>
              <w:rPr>
                <w:rFonts w:hint="eastAsia"/>
              </w:rPr>
              <w:t>储罐、罐区</w:t>
            </w:r>
          </w:p>
        </w:tc>
        <w:tc>
          <w:tcPr>
            <w:tcW w:w="1080" w:type="dxa"/>
            <w:shd w:val="clear" w:color="auto" w:fill="auto"/>
            <w:tcMar>
              <w:top w:w="15" w:type="dxa"/>
              <w:left w:w="15" w:type="dxa"/>
              <w:bottom w:w="0" w:type="dxa"/>
              <w:right w:w="15" w:type="dxa"/>
            </w:tcMar>
            <w:vAlign w:val="center"/>
          </w:tcPr>
          <w:p>
            <w:pPr>
              <w:pStyle w:val="63"/>
            </w:pPr>
            <w:r>
              <w:rPr>
                <w:rFonts w:hint="eastAsia"/>
              </w:rPr>
              <w:t>10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0.25</w:t>
            </w:r>
          </w:p>
        </w:tc>
        <w:tc>
          <w:tcPr>
            <w:tcW w:w="1180" w:type="dxa"/>
            <w:shd w:val="clear" w:color="auto" w:fill="auto"/>
            <w:tcMar>
              <w:top w:w="15" w:type="dxa"/>
              <w:left w:w="15" w:type="dxa"/>
              <w:bottom w:w="0" w:type="dxa"/>
              <w:right w:w="15" w:type="dxa"/>
            </w:tcMar>
            <w:vAlign w:val="center"/>
          </w:tcPr>
          <w:p>
            <w:pPr>
              <w:pStyle w:val="63"/>
            </w:pPr>
            <w:r>
              <w:rPr>
                <w:rFonts w:hint="eastAsia"/>
              </w:rPr>
              <w:t>40</w:t>
            </w:r>
          </w:p>
        </w:tc>
        <w:tc>
          <w:tcPr>
            <w:tcW w:w="1080" w:type="dxa"/>
            <w:shd w:val="clear" w:color="auto" w:fill="auto"/>
            <w:tcMar>
              <w:top w:w="15" w:type="dxa"/>
              <w:left w:w="15" w:type="dxa"/>
              <w:bottom w:w="0" w:type="dxa"/>
              <w:right w:w="15" w:type="dxa"/>
            </w:tcMar>
            <w:vAlign w:val="center"/>
          </w:tcPr>
          <w:p>
            <w:pPr>
              <w:pStyle w:val="63"/>
            </w:pPr>
            <w:r>
              <w:rPr>
                <w:rFonts w:hint="eastAsia"/>
              </w:rPr>
              <w:t>71.8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神骏化工</w:t>
            </w:r>
          </w:p>
        </w:tc>
        <w:tc>
          <w:tcPr>
            <w:tcW w:w="1080" w:type="dxa"/>
            <w:shd w:val="clear" w:color="auto" w:fill="auto"/>
            <w:tcMar>
              <w:top w:w="15" w:type="dxa"/>
              <w:left w:w="15" w:type="dxa"/>
              <w:bottom w:w="0" w:type="dxa"/>
              <w:right w:w="15" w:type="dxa"/>
            </w:tcMar>
            <w:vAlign w:val="center"/>
          </w:tcPr>
          <w:p>
            <w:pPr>
              <w:pStyle w:val="63"/>
            </w:pPr>
            <w:r>
              <w:rPr>
                <w:rFonts w:hint="eastAsia"/>
              </w:rPr>
              <w:t>液氯</w:t>
            </w:r>
          </w:p>
        </w:tc>
        <w:tc>
          <w:tcPr>
            <w:tcW w:w="1280" w:type="dxa"/>
            <w:shd w:val="clear" w:color="auto" w:fill="auto"/>
            <w:tcMar>
              <w:top w:w="15" w:type="dxa"/>
              <w:left w:w="15" w:type="dxa"/>
              <w:bottom w:w="0" w:type="dxa"/>
              <w:right w:w="15" w:type="dxa"/>
            </w:tcMar>
            <w:vAlign w:val="center"/>
          </w:tcPr>
          <w:p>
            <w:pPr>
              <w:pStyle w:val="63"/>
            </w:pPr>
            <w:r>
              <w:rPr>
                <w:rFonts w:hint="eastAsia"/>
              </w:rPr>
              <w:t>液氯仓库、液氯钢瓶</w:t>
            </w:r>
          </w:p>
        </w:tc>
        <w:tc>
          <w:tcPr>
            <w:tcW w:w="1080" w:type="dxa"/>
            <w:shd w:val="clear" w:color="auto" w:fill="auto"/>
            <w:tcMar>
              <w:top w:w="15" w:type="dxa"/>
              <w:left w:w="15" w:type="dxa"/>
              <w:bottom w:w="0" w:type="dxa"/>
              <w:right w:w="15" w:type="dxa"/>
            </w:tcMar>
            <w:vAlign w:val="center"/>
          </w:tcPr>
          <w:p>
            <w:pPr>
              <w:pStyle w:val="63"/>
            </w:pPr>
            <w:r>
              <w:rPr>
                <w:rFonts w:hint="eastAsia"/>
              </w:rPr>
              <w:t>200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w:t>
            </w:r>
          </w:p>
        </w:tc>
        <w:tc>
          <w:tcPr>
            <w:tcW w:w="1180" w:type="dxa"/>
            <w:shd w:val="clear" w:color="auto" w:fill="auto"/>
            <w:tcMar>
              <w:top w:w="15" w:type="dxa"/>
              <w:left w:w="15" w:type="dxa"/>
              <w:bottom w:w="0" w:type="dxa"/>
              <w:right w:w="15" w:type="dxa"/>
            </w:tcMar>
            <w:vAlign w:val="center"/>
          </w:tcPr>
          <w:p>
            <w:pPr>
              <w:pStyle w:val="63"/>
            </w:pPr>
            <w:r>
              <w:rPr>
                <w:rFonts w:hint="eastAsia"/>
              </w:rPr>
              <w:t>200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62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片碱</w:t>
            </w:r>
          </w:p>
        </w:tc>
        <w:tc>
          <w:tcPr>
            <w:tcW w:w="1280" w:type="dxa"/>
            <w:shd w:val="clear" w:color="auto" w:fill="auto"/>
            <w:tcMar>
              <w:top w:w="15" w:type="dxa"/>
              <w:left w:w="15" w:type="dxa"/>
              <w:bottom w:w="0" w:type="dxa"/>
              <w:right w:w="15" w:type="dxa"/>
            </w:tcMar>
            <w:vAlign w:val="center"/>
          </w:tcPr>
          <w:p>
            <w:pPr>
              <w:pStyle w:val="63"/>
            </w:pPr>
            <w:r>
              <w:rPr>
                <w:rFonts w:hint="eastAsia"/>
              </w:rPr>
              <w:t>仓库桶装</w:t>
            </w:r>
          </w:p>
        </w:tc>
        <w:tc>
          <w:tcPr>
            <w:tcW w:w="1080" w:type="dxa"/>
            <w:shd w:val="clear" w:color="auto" w:fill="auto"/>
            <w:tcMar>
              <w:top w:w="15" w:type="dxa"/>
              <w:left w:w="15" w:type="dxa"/>
              <w:bottom w:w="0" w:type="dxa"/>
              <w:right w:w="15" w:type="dxa"/>
            </w:tcMar>
            <w:vAlign w:val="center"/>
          </w:tcPr>
          <w:p>
            <w:pPr>
              <w:pStyle w:val="63"/>
            </w:pPr>
            <w:r>
              <w:rPr>
                <w:rFonts w:hint="eastAsia"/>
              </w:rPr>
              <w:t>13.4</w:t>
            </w:r>
          </w:p>
        </w:tc>
        <w:tc>
          <w:tcPr>
            <w:tcW w:w="7600" w:type="dxa"/>
            <w:shd w:val="clear" w:color="auto" w:fill="auto"/>
            <w:tcMar>
              <w:top w:w="15" w:type="dxa"/>
              <w:left w:w="15" w:type="dxa"/>
              <w:bottom w:w="0" w:type="dxa"/>
              <w:right w:w="15" w:type="dxa"/>
            </w:tcMar>
            <w:vAlign w:val="center"/>
          </w:tcPr>
          <w:p>
            <w:pPr>
              <w:pStyle w:val="63"/>
            </w:pPr>
            <w:r>
              <w:rPr>
                <w:rFonts w:hint="eastAsia"/>
              </w:rPr>
              <w:t>片碱性状是白色半透明片状固体，片碱是基本化工原料，广泛用于造纸、合成洗涤及肥皂、粘胶纤维、人造丝及绵织品等轻纺工业方面，农药、染料、橡胶和化学工业方面、石油钻探，精炼石油油脂和提炼焦油的石油工业等。具有极强腐蚀性，其溶液或粉尘溅到皮肤上，尤其是溅到粘膜，可产生软痂，并能渗入深层组织。灼伤后留有瘢痕。溅入眼内，不仅损伤角膜，而且可使眼睛深部组织损伤。空气中烧碱粉尘最高容许浓度为 0.5mg/m3。</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35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盐酸（31%）</w:t>
            </w:r>
          </w:p>
        </w:tc>
        <w:tc>
          <w:tcPr>
            <w:tcW w:w="1280" w:type="dxa"/>
            <w:shd w:val="clear" w:color="auto" w:fill="auto"/>
            <w:tcMar>
              <w:top w:w="15" w:type="dxa"/>
              <w:left w:w="15" w:type="dxa"/>
              <w:bottom w:w="0" w:type="dxa"/>
              <w:right w:w="15" w:type="dxa"/>
            </w:tcMar>
            <w:vAlign w:val="center"/>
          </w:tcPr>
          <w:p>
            <w:pPr>
              <w:pStyle w:val="63"/>
            </w:pPr>
            <w:r>
              <w:rPr>
                <w:rFonts w:hint="eastAsia"/>
              </w:rPr>
              <w:t>装置区14m3盐酸循环罐和罐区 2 个800m3盐酸储槽</w:t>
            </w:r>
          </w:p>
        </w:tc>
        <w:tc>
          <w:tcPr>
            <w:tcW w:w="1080" w:type="dxa"/>
            <w:shd w:val="clear" w:color="auto" w:fill="auto"/>
            <w:tcMar>
              <w:top w:w="15" w:type="dxa"/>
              <w:left w:w="15" w:type="dxa"/>
              <w:bottom w:w="0" w:type="dxa"/>
              <w:right w:w="15" w:type="dxa"/>
            </w:tcMar>
            <w:vAlign w:val="center"/>
          </w:tcPr>
          <w:p>
            <w:pPr>
              <w:pStyle w:val="63"/>
            </w:pPr>
            <w:r>
              <w:rPr>
                <w:rFonts w:hint="eastAsia"/>
              </w:rPr>
              <w:t>496</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198.4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鹏程化工</w:t>
            </w:r>
          </w:p>
        </w:tc>
        <w:tc>
          <w:tcPr>
            <w:tcW w:w="1080" w:type="dxa"/>
            <w:shd w:val="clear" w:color="auto" w:fill="auto"/>
            <w:tcMar>
              <w:top w:w="15" w:type="dxa"/>
              <w:left w:w="15" w:type="dxa"/>
              <w:bottom w:w="0" w:type="dxa"/>
              <w:right w:w="15" w:type="dxa"/>
            </w:tcMar>
            <w:vAlign w:val="center"/>
          </w:tcPr>
          <w:p>
            <w:pPr>
              <w:pStyle w:val="63"/>
            </w:pPr>
            <w:r>
              <w:rPr>
                <w:rFonts w:hint="eastAsia"/>
              </w:rPr>
              <w:t>液氯</w:t>
            </w:r>
          </w:p>
        </w:tc>
        <w:tc>
          <w:tcPr>
            <w:tcW w:w="1280" w:type="dxa"/>
            <w:shd w:val="clear" w:color="auto" w:fill="auto"/>
            <w:tcMar>
              <w:top w:w="15" w:type="dxa"/>
              <w:left w:w="15" w:type="dxa"/>
              <w:bottom w:w="0" w:type="dxa"/>
              <w:right w:w="15" w:type="dxa"/>
            </w:tcMar>
            <w:vAlign w:val="center"/>
          </w:tcPr>
          <w:p>
            <w:pPr>
              <w:pStyle w:val="63"/>
            </w:pPr>
            <w:r>
              <w:rPr>
                <w:rFonts w:hint="eastAsia"/>
              </w:rPr>
              <w:t>储罐区（2个 60 m3内浮顶罐）</w:t>
            </w:r>
          </w:p>
        </w:tc>
        <w:tc>
          <w:tcPr>
            <w:tcW w:w="1080" w:type="dxa"/>
            <w:shd w:val="clear" w:color="auto" w:fill="auto"/>
            <w:tcMar>
              <w:top w:w="15" w:type="dxa"/>
              <w:left w:w="15" w:type="dxa"/>
              <w:bottom w:w="0" w:type="dxa"/>
              <w:right w:w="15" w:type="dxa"/>
            </w:tcMar>
            <w:vAlign w:val="center"/>
          </w:tcPr>
          <w:p>
            <w:pPr>
              <w:pStyle w:val="63"/>
            </w:pPr>
            <w:r>
              <w:rPr>
                <w:rFonts w:hint="eastAsia"/>
              </w:rPr>
              <w:t>150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w:t>
            </w:r>
          </w:p>
        </w:tc>
        <w:tc>
          <w:tcPr>
            <w:tcW w:w="1180" w:type="dxa"/>
            <w:shd w:val="clear" w:color="auto" w:fill="auto"/>
            <w:tcMar>
              <w:top w:w="15" w:type="dxa"/>
              <w:left w:w="15" w:type="dxa"/>
              <w:bottom w:w="0" w:type="dxa"/>
              <w:right w:w="15" w:type="dxa"/>
            </w:tcMar>
            <w:vAlign w:val="center"/>
          </w:tcPr>
          <w:p>
            <w:pPr>
              <w:pStyle w:val="63"/>
            </w:pPr>
            <w:r>
              <w:rPr>
                <w:rFonts w:hint="eastAsia"/>
              </w:rPr>
              <w:t>150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片碱</w:t>
            </w:r>
          </w:p>
        </w:tc>
        <w:tc>
          <w:tcPr>
            <w:tcW w:w="1280" w:type="dxa"/>
            <w:shd w:val="clear" w:color="auto" w:fill="auto"/>
            <w:tcMar>
              <w:top w:w="15" w:type="dxa"/>
              <w:left w:w="15" w:type="dxa"/>
              <w:bottom w:w="0" w:type="dxa"/>
              <w:right w:w="15" w:type="dxa"/>
            </w:tcMar>
            <w:vAlign w:val="center"/>
          </w:tcPr>
          <w:p>
            <w:pPr>
              <w:pStyle w:val="63"/>
            </w:pPr>
            <w:r>
              <w:rPr>
                <w:rFonts w:hint="eastAsia"/>
              </w:rPr>
              <w:t>仓库桶装</w:t>
            </w:r>
          </w:p>
        </w:tc>
        <w:tc>
          <w:tcPr>
            <w:tcW w:w="1080" w:type="dxa"/>
            <w:shd w:val="clear" w:color="auto" w:fill="auto"/>
            <w:tcMar>
              <w:top w:w="15" w:type="dxa"/>
              <w:left w:w="15" w:type="dxa"/>
              <w:bottom w:w="0" w:type="dxa"/>
              <w:right w:w="15" w:type="dxa"/>
            </w:tcMar>
            <w:vAlign w:val="center"/>
          </w:tcPr>
          <w:p>
            <w:pPr>
              <w:pStyle w:val="63"/>
            </w:pPr>
            <w:r>
              <w:rPr>
                <w:rFonts w:hint="eastAsia"/>
              </w:rPr>
              <w:t>21</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盐酸</w:t>
            </w:r>
          </w:p>
        </w:tc>
        <w:tc>
          <w:tcPr>
            <w:tcW w:w="1280" w:type="dxa"/>
            <w:shd w:val="clear" w:color="auto" w:fill="auto"/>
            <w:tcMar>
              <w:top w:w="15" w:type="dxa"/>
              <w:left w:w="15" w:type="dxa"/>
              <w:bottom w:w="0" w:type="dxa"/>
              <w:right w:w="15" w:type="dxa"/>
            </w:tcMar>
            <w:vAlign w:val="center"/>
          </w:tcPr>
          <w:p>
            <w:pPr>
              <w:pStyle w:val="63"/>
            </w:pPr>
            <w:r>
              <w:rPr>
                <w:rFonts w:hint="eastAsia"/>
              </w:rPr>
              <w:t>储罐区（4个 400 m3储罐）</w:t>
            </w:r>
          </w:p>
        </w:tc>
        <w:tc>
          <w:tcPr>
            <w:tcW w:w="1080" w:type="dxa"/>
            <w:shd w:val="clear" w:color="auto" w:fill="auto"/>
            <w:tcMar>
              <w:top w:w="15" w:type="dxa"/>
              <w:left w:w="15" w:type="dxa"/>
              <w:bottom w:w="0" w:type="dxa"/>
              <w:right w:w="15" w:type="dxa"/>
            </w:tcMar>
            <w:vAlign w:val="center"/>
          </w:tcPr>
          <w:p>
            <w:pPr>
              <w:pStyle w:val="63"/>
            </w:pPr>
            <w:r>
              <w:rPr>
                <w:rFonts w:hint="eastAsia"/>
              </w:rPr>
              <w:t>380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152</w:t>
            </w:r>
          </w:p>
        </w:tc>
        <w:tc>
          <w:tcPr>
            <w:tcW w:w="1080" w:type="dxa"/>
            <w:shd w:val="clear" w:color="auto" w:fill="auto"/>
            <w:tcMar>
              <w:top w:w="15" w:type="dxa"/>
              <w:left w:w="15" w:type="dxa"/>
              <w:bottom w:w="0" w:type="dxa"/>
              <w:right w:w="15" w:type="dxa"/>
            </w:tcMar>
            <w:vAlign w:val="center"/>
          </w:tcPr>
          <w:p>
            <w:pPr>
              <w:pStyle w:val="63"/>
            </w:pPr>
            <w:r>
              <w:rPr>
                <w:rFonts w:hint="eastAsia"/>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24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德泽环保</w:t>
            </w:r>
          </w:p>
        </w:tc>
        <w:tc>
          <w:tcPr>
            <w:tcW w:w="1080" w:type="dxa"/>
            <w:shd w:val="clear" w:color="auto" w:fill="auto"/>
            <w:tcMar>
              <w:top w:w="15" w:type="dxa"/>
              <w:left w:w="15" w:type="dxa"/>
              <w:bottom w:w="0" w:type="dxa"/>
              <w:right w:w="15" w:type="dxa"/>
            </w:tcMar>
            <w:vAlign w:val="center"/>
          </w:tcPr>
          <w:p>
            <w:pPr>
              <w:pStyle w:val="63"/>
            </w:pPr>
            <w:r>
              <w:rPr>
                <w:rFonts w:hint="eastAsia"/>
              </w:rPr>
              <w:t>柴油</w:t>
            </w:r>
          </w:p>
        </w:tc>
        <w:tc>
          <w:tcPr>
            <w:tcW w:w="1280" w:type="dxa"/>
            <w:shd w:val="clear" w:color="auto" w:fill="auto"/>
            <w:tcMar>
              <w:top w:w="15" w:type="dxa"/>
              <w:left w:w="15" w:type="dxa"/>
              <w:bottom w:w="0" w:type="dxa"/>
              <w:right w:w="15" w:type="dxa"/>
            </w:tcMar>
            <w:vAlign w:val="center"/>
          </w:tcPr>
          <w:p>
            <w:pPr>
              <w:pStyle w:val="63"/>
            </w:pPr>
            <w:r>
              <w:rPr>
                <w:rFonts w:hint="eastAsia"/>
              </w:rPr>
              <w:t>储罐区（2个 20m3柴油储罐）</w:t>
            </w:r>
          </w:p>
        </w:tc>
        <w:tc>
          <w:tcPr>
            <w:tcW w:w="1080" w:type="dxa"/>
            <w:shd w:val="clear" w:color="auto" w:fill="auto"/>
            <w:tcMar>
              <w:top w:w="15" w:type="dxa"/>
              <w:left w:w="15" w:type="dxa"/>
              <w:bottom w:w="0" w:type="dxa"/>
              <w:right w:w="15" w:type="dxa"/>
            </w:tcMar>
            <w:vAlign w:val="center"/>
          </w:tcPr>
          <w:p>
            <w:pPr>
              <w:pStyle w:val="63"/>
            </w:pPr>
            <w:r>
              <w:rPr>
                <w:rFonts w:hint="eastAsia"/>
              </w:rPr>
              <w:t>20</w:t>
            </w:r>
          </w:p>
        </w:tc>
        <w:tc>
          <w:tcPr>
            <w:tcW w:w="7600" w:type="dxa"/>
            <w:shd w:val="clear" w:color="auto" w:fill="auto"/>
            <w:tcMar>
              <w:top w:w="15" w:type="dxa"/>
              <w:left w:w="15" w:type="dxa"/>
              <w:bottom w:w="0" w:type="dxa"/>
              <w:right w:w="15" w:type="dxa"/>
            </w:tcMar>
            <w:vAlign w:val="center"/>
          </w:tcPr>
          <w:p>
            <w:pPr>
              <w:pStyle w:val="63"/>
            </w:pPr>
            <w:r>
              <w:rPr>
                <w:rFonts w:hint="eastAsia"/>
              </w:rPr>
              <w:t>柴油是轻质石油产品，复杂烃类（碳原子数约 10～22）混合物。为柴油机燃料。主要由原油蒸馏、催化裂化、热裂化、加氢裂化、石油焦化等过程生产的柴油馏分调配而成；也可由页岩油加工和煤液化制取。分为轻柴油（沸点范围约 180～370℃）和重柴油（沸点范围约 350～410℃）两大类。广泛用于大型车辆、铁路机车、船舰。柴油最重要的性能是着火性和流动性。柴油的毒性类似于煤油，但由于添加剂(如硫化酯类)的影响，毒性可能比煤油略大。毒性健康影响：柴油为高沸点成份，故使用时由于蒸汽所致的毒性机会较小。柴油的雾滴吸入后可致吸入性肺炎。皮肤接触柴油可致接触性皮炎。多见于两手、腕部与前臂。柴油废气，内燃机燃烧柴油所产生的废气常能严重污染环境。废气中含有氮氧化物、一氧化碳、二氧化碳、醛类和不完全燃烧时的大量黑烟。黑烟中有未经燃烧的油雾、碳粒，一些高沸点的杂环和芳烃物质，并有些致癌物如 3.4-苯并芘。</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0.008</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89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废矿物油</w:t>
            </w:r>
          </w:p>
        </w:tc>
        <w:tc>
          <w:tcPr>
            <w:tcW w:w="1280" w:type="dxa"/>
            <w:shd w:val="clear" w:color="auto" w:fill="auto"/>
            <w:tcMar>
              <w:top w:w="15" w:type="dxa"/>
              <w:left w:w="15" w:type="dxa"/>
              <w:bottom w:w="0" w:type="dxa"/>
              <w:right w:w="15" w:type="dxa"/>
            </w:tcMar>
            <w:vAlign w:val="center"/>
          </w:tcPr>
          <w:p>
            <w:pPr>
              <w:pStyle w:val="63"/>
            </w:pPr>
            <w:r>
              <w:rPr>
                <w:rFonts w:hint="eastAsia"/>
              </w:rPr>
              <w:t>1250m2危废暂存仓库</w:t>
            </w:r>
          </w:p>
        </w:tc>
        <w:tc>
          <w:tcPr>
            <w:tcW w:w="1080" w:type="dxa"/>
            <w:shd w:val="clear" w:color="auto" w:fill="auto"/>
            <w:tcMar>
              <w:top w:w="15" w:type="dxa"/>
              <w:left w:w="15" w:type="dxa"/>
              <w:bottom w:w="0" w:type="dxa"/>
              <w:right w:w="15" w:type="dxa"/>
            </w:tcMar>
            <w:vAlign w:val="center"/>
          </w:tcPr>
          <w:p>
            <w:pPr>
              <w:pStyle w:val="63"/>
            </w:pPr>
            <w:r>
              <w:rPr>
                <w:rFonts w:hint="eastAsia"/>
              </w:rPr>
              <w:t>50</w:t>
            </w:r>
          </w:p>
        </w:tc>
        <w:tc>
          <w:tcPr>
            <w:tcW w:w="7600" w:type="dxa"/>
            <w:shd w:val="clear" w:color="auto" w:fill="auto"/>
            <w:tcMar>
              <w:top w:w="15" w:type="dxa"/>
              <w:left w:w="15" w:type="dxa"/>
              <w:bottom w:w="0" w:type="dxa"/>
              <w:right w:w="15" w:type="dxa"/>
            </w:tcMar>
            <w:vAlign w:val="center"/>
          </w:tcPr>
          <w:p>
            <w:pPr>
              <w:pStyle w:val="63"/>
            </w:pPr>
            <w:r>
              <w:rPr>
                <w:rFonts w:hint="eastAsia"/>
              </w:rPr>
              <w:t>从石油、煤炭、油页岩中提取和精炼，在开采、加工和使用过程中由于外</w:t>
            </w:r>
            <w:r>
              <w:rPr>
                <w:rFonts w:hint="eastAsia"/>
              </w:rPr>
              <w:br w:type="textWrapping"/>
            </w:r>
            <w:r>
              <w:rPr>
                <w:rFonts w:hint="eastAsia"/>
              </w:rPr>
              <w:t>在因素作用导致改变了原有的物理和化学性能，不能继续被使用的矿物油。废矿物油是因受杂质污染，氧化和热的作用，改变了原有的理化性能而不能继续使用时被更换下来的油；主要来自于石油开采和炼制产生的油泥和油脚；矿物油类仓储过程中产生的沉淀物；机械、动力、运输等设备的更换油及再生过程中的油渣及过滤介质等。根据《国家危险废物名录》规定属于危险废物。</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0.02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51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其他危险固废</w:t>
            </w:r>
          </w:p>
        </w:tc>
        <w:tc>
          <w:tcPr>
            <w:tcW w:w="1280" w:type="dxa"/>
            <w:shd w:val="clear" w:color="auto" w:fill="auto"/>
            <w:tcMar>
              <w:top w:w="15" w:type="dxa"/>
              <w:left w:w="15" w:type="dxa"/>
              <w:bottom w:w="0" w:type="dxa"/>
              <w:right w:w="15" w:type="dxa"/>
            </w:tcMar>
            <w:vAlign w:val="center"/>
          </w:tcPr>
          <w:p>
            <w:pPr>
              <w:pStyle w:val="63"/>
            </w:pPr>
            <w:r>
              <w:rPr>
                <w:rFonts w:hint="eastAsia"/>
              </w:rPr>
              <w:t>暂存库</w:t>
            </w:r>
          </w:p>
        </w:tc>
        <w:tc>
          <w:tcPr>
            <w:tcW w:w="1080" w:type="dxa"/>
            <w:shd w:val="clear" w:color="auto" w:fill="auto"/>
            <w:tcMar>
              <w:top w:w="15" w:type="dxa"/>
              <w:left w:w="15" w:type="dxa"/>
              <w:bottom w:w="0" w:type="dxa"/>
              <w:right w:w="15" w:type="dxa"/>
            </w:tcMar>
            <w:vAlign w:val="center"/>
          </w:tcPr>
          <w:p>
            <w:pPr>
              <w:pStyle w:val="63"/>
            </w:pPr>
            <w:r>
              <w:rPr>
                <w:rFonts w:hint="eastAsia"/>
              </w:rPr>
              <w:t>/</w:t>
            </w:r>
          </w:p>
        </w:tc>
        <w:tc>
          <w:tcPr>
            <w:tcW w:w="7600" w:type="dxa"/>
            <w:shd w:val="clear" w:color="auto" w:fill="auto"/>
            <w:tcMar>
              <w:top w:w="15" w:type="dxa"/>
              <w:left w:w="15" w:type="dxa"/>
              <w:bottom w:w="0" w:type="dxa"/>
              <w:right w:w="15" w:type="dxa"/>
            </w:tcMar>
            <w:vAlign w:val="center"/>
          </w:tcPr>
          <w:p>
            <w:pPr>
              <w:pStyle w:val="63"/>
            </w:pPr>
            <w:r>
              <w:rPr>
                <w:rFonts w:hint="eastAsia"/>
              </w:rPr>
              <w:t>危险废物是指列入国家危险废物名录或根据国家规定的危险废物鉴定标准和鉴定方法认定的具有危险废物特性的废物。危害特性是指腐蚀性、急性毒性、浸出毒性、反应性、传染性、核放射性等。危险废物因其会对环境甚至人体造成严重影响，因而必须安全妥善处理处置。根据国家和地方环保法律法规规定：产生危险废物单位必须将危险废物进行集中处理，安排专人负责收集和管理工作，待运危险废物要设置专门容器储存，危险废物必须交有具有相应资格的单位进行收集、运输、处理和处理。 危险固体废弃物一般需要深度填埋处理。破坏生态环境。随意排放、贮存的危废在雨水地下水的长期渗透、扩散作用下，会污染水体和土壤，降低地区的环境功能等级。影响人类健康。危险废物通过摄入、吸入、皮肤吸收、眼接触而引起毒害，或引起燃烧、爆炸等危险性事件; 长期危害包括重复接触导致的长期中毒、致癌、致畸、致变等。制约可持续发展。危险废物不处理或不规范处理处置所带来的大气、水源、土壤等的污染也将会成为制约经济活动的瓶颈。</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0.96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液碱</w:t>
            </w:r>
          </w:p>
        </w:tc>
        <w:tc>
          <w:tcPr>
            <w:tcW w:w="1280" w:type="dxa"/>
            <w:shd w:val="clear" w:color="auto" w:fill="auto"/>
            <w:tcMar>
              <w:top w:w="15" w:type="dxa"/>
              <w:left w:w="15" w:type="dxa"/>
              <w:bottom w:w="0" w:type="dxa"/>
              <w:right w:w="15" w:type="dxa"/>
            </w:tcMar>
            <w:vAlign w:val="center"/>
          </w:tcPr>
          <w:p>
            <w:pPr>
              <w:pStyle w:val="63"/>
            </w:pPr>
            <w:r>
              <w:rPr>
                <w:rFonts w:hint="eastAsia"/>
              </w:rPr>
              <w:t>液碱罐</w:t>
            </w:r>
          </w:p>
        </w:tc>
        <w:tc>
          <w:tcPr>
            <w:tcW w:w="1080" w:type="dxa"/>
            <w:shd w:val="clear" w:color="auto" w:fill="auto"/>
            <w:tcMar>
              <w:top w:w="15" w:type="dxa"/>
              <w:left w:w="15" w:type="dxa"/>
              <w:bottom w:w="0" w:type="dxa"/>
              <w:right w:w="15" w:type="dxa"/>
            </w:tcMar>
            <w:vAlign w:val="center"/>
          </w:tcPr>
          <w:p>
            <w:pPr>
              <w:pStyle w:val="63"/>
            </w:pPr>
            <w:r>
              <w:rPr>
                <w:rFonts w:hint="eastAsia"/>
              </w:rPr>
              <w:t>2</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0.988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24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驰兴化工</w:t>
            </w:r>
          </w:p>
        </w:tc>
        <w:tc>
          <w:tcPr>
            <w:tcW w:w="1080" w:type="dxa"/>
            <w:shd w:val="clear" w:color="auto" w:fill="auto"/>
            <w:tcMar>
              <w:top w:w="15" w:type="dxa"/>
              <w:left w:w="15" w:type="dxa"/>
              <w:bottom w:w="0" w:type="dxa"/>
              <w:right w:w="15" w:type="dxa"/>
            </w:tcMar>
            <w:vAlign w:val="center"/>
          </w:tcPr>
          <w:p>
            <w:pPr>
              <w:pStyle w:val="63"/>
            </w:pPr>
            <w:r>
              <w:rPr>
                <w:rFonts w:hint="eastAsia"/>
              </w:rPr>
              <w:t>硫酸</w:t>
            </w:r>
          </w:p>
        </w:tc>
        <w:tc>
          <w:tcPr>
            <w:tcW w:w="1280" w:type="dxa"/>
            <w:shd w:val="clear" w:color="auto" w:fill="auto"/>
            <w:tcMar>
              <w:top w:w="15" w:type="dxa"/>
              <w:left w:w="15" w:type="dxa"/>
              <w:bottom w:w="0" w:type="dxa"/>
              <w:right w:w="15" w:type="dxa"/>
            </w:tcMar>
            <w:vAlign w:val="center"/>
          </w:tcPr>
          <w:p>
            <w:pPr>
              <w:pStyle w:val="63"/>
            </w:pPr>
            <w:r>
              <w:rPr>
                <w:rFonts w:hint="eastAsia"/>
              </w:rPr>
              <w:t>储罐区（2个 60m³储罐）</w:t>
            </w:r>
          </w:p>
        </w:tc>
        <w:tc>
          <w:tcPr>
            <w:tcW w:w="1080" w:type="dxa"/>
            <w:shd w:val="clear" w:color="auto" w:fill="auto"/>
            <w:tcMar>
              <w:top w:w="15" w:type="dxa"/>
              <w:left w:w="15" w:type="dxa"/>
              <w:bottom w:w="0" w:type="dxa"/>
              <w:right w:w="15" w:type="dxa"/>
            </w:tcMar>
            <w:vAlign w:val="center"/>
          </w:tcPr>
          <w:p>
            <w:pPr>
              <w:pStyle w:val="63"/>
            </w:pPr>
            <w:r>
              <w:rPr>
                <w:rFonts w:hint="eastAsia"/>
              </w:rPr>
              <w:t>200</w:t>
            </w:r>
          </w:p>
        </w:tc>
        <w:tc>
          <w:tcPr>
            <w:tcW w:w="7600" w:type="dxa"/>
            <w:shd w:val="clear" w:color="auto" w:fill="auto"/>
            <w:tcMar>
              <w:top w:w="15" w:type="dxa"/>
              <w:left w:w="15" w:type="dxa"/>
              <w:bottom w:w="0" w:type="dxa"/>
              <w:right w:w="15" w:type="dxa"/>
            </w:tcMar>
            <w:vAlign w:val="center"/>
          </w:tcPr>
          <w:p>
            <w:pPr>
              <w:pStyle w:val="63"/>
            </w:pPr>
            <w:r>
              <w:rPr>
                <w:rFonts w:hint="eastAsia"/>
              </w:rPr>
              <w:t>硫酸（化学式：H</w:t>
            </w:r>
            <w:r>
              <w:rPr>
                <w:rFonts w:ascii="Cambria Math" w:hAnsi="Cambria Math" w:cs="Cambria Math"/>
              </w:rPr>
              <w:t>₂</w:t>
            </w:r>
            <w:r>
              <w:rPr>
                <w:rFonts w:hint="eastAsia"/>
              </w:rPr>
              <w:t>SO</w:t>
            </w:r>
            <w:r>
              <w:rPr>
                <w:rFonts w:ascii="Cambria Math" w:hAnsi="Cambria Math" w:cs="Cambria Math"/>
              </w:rPr>
              <w:t>₄</w:t>
            </w:r>
            <w:r>
              <w:rPr>
                <w:rFonts w:hint="eastAsia"/>
              </w:rPr>
              <w:t>），硫的最重要的含氧酸。无水硫酸为无色油状液体，</w:t>
            </w:r>
            <w:r>
              <w:rPr>
                <w:rFonts w:hint="eastAsia"/>
              </w:rPr>
              <w:br w:type="textWrapping"/>
            </w:r>
            <w:r>
              <w:rPr>
                <w:rFonts w:hint="eastAsia"/>
              </w:rPr>
              <w:t>10.36℃时结晶，通常使用的是它的各种不同浓度的水溶液，用塔式法和接触法制取。前者所得为粗制稀硫酸，质量分数一般在 75%左右；后者可得质量分数 98.3%的纯浓硫酸，沸点 338℃，相对密度 1.84。急性毒性：LD502140mg/kg(大鼠经口)；LC50510mg/m3，2 小时(大鼠吸入)；320mg/m3，虽然硫酸并不是易燃，但当与金属发生反应后会释出易燃的氢气，有机会导致爆炸，而作为强氧化剂的浓硫酸与金属进行氧化还原反应时会释出有毒的二氧化硫，威胁工作人员的健康。 另外，长时间暴露在带有硫酸成分的浮质中（特别是高浓度），会使呼吸管道受到严重的刺激，更可导致肺水肿。但风险会因暴露时间的缩短而减少。在美国，硫酸的最多可接触分量(PEL)被定为 1 mg/m3，此数字在其他国家相若。误服硫酸有机会导致维生素 B12 缺乏症，其中，脊椎是最易受影响的部位。</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80</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纯碱</w:t>
            </w:r>
          </w:p>
        </w:tc>
        <w:tc>
          <w:tcPr>
            <w:tcW w:w="1280" w:type="dxa"/>
            <w:shd w:val="clear" w:color="auto" w:fill="auto"/>
            <w:tcMar>
              <w:top w:w="15" w:type="dxa"/>
              <w:left w:w="15" w:type="dxa"/>
              <w:bottom w:w="0" w:type="dxa"/>
              <w:right w:w="15" w:type="dxa"/>
            </w:tcMar>
            <w:vAlign w:val="center"/>
          </w:tcPr>
          <w:p>
            <w:pPr>
              <w:pStyle w:val="63"/>
            </w:pPr>
            <w:r>
              <w:rPr>
                <w:rFonts w:hint="eastAsia"/>
              </w:rPr>
              <w:t>原料库（袋装）</w:t>
            </w:r>
          </w:p>
        </w:tc>
        <w:tc>
          <w:tcPr>
            <w:tcW w:w="1080" w:type="dxa"/>
            <w:shd w:val="clear" w:color="auto" w:fill="auto"/>
            <w:tcMar>
              <w:top w:w="15" w:type="dxa"/>
              <w:left w:w="15" w:type="dxa"/>
              <w:bottom w:w="0" w:type="dxa"/>
              <w:right w:w="15" w:type="dxa"/>
            </w:tcMar>
            <w:vAlign w:val="center"/>
          </w:tcPr>
          <w:p>
            <w:pPr>
              <w:pStyle w:val="63"/>
            </w:pPr>
            <w:r>
              <w:rPr>
                <w:rFonts w:hint="eastAsia"/>
              </w:rPr>
              <w:t>100</w:t>
            </w:r>
          </w:p>
        </w:tc>
        <w:tc>
          <w:tcPr>
            <w:tcW w:w="7600" w:type="dxa"/>
            <w:shd w:val="clear" w:color="auto" w:fill="auto"/>
            <w:tcMar>
              <w:top w:w="15" w:type="dxa"/>
              <w:left w:w="15" w:type="dxa"/>
              <w:bottom w:w="0" w:type="dxa"/>
              <w:right w:w="15" w:type="dxa"/>
            </w:tcMar>
            <w:vAlign w:val="center"/>
          </w:tcPr>
          <w:p>
            <w:pPr>
              <w:pStyle w:val="63"/>
            </w:pPr>
            <w:r>
              <w:rPr>
                <w:rFonts w:hint="eastAsia"/>
              </w:rPr>
              <w:t>碳酸钠常温下为白色粉末或颗粒。无气味。是强碱弱酸盐。有吸水性。露置空气中逐渐吸收 1mol/L 水分(约 15%)。遇酸分解并泡腾。溶于水（室温时 3.5 份，35℃时 2.2 份）和甘油，微溶于无水乙醇。水溶液呈强碱性，pH11.6。相对密度（25℃）2.53。熔点 851℃。半数致死量（30 日）（小鼠，腹腔）116.6mg/kg。有刺激性。可由氢氧化钠和碳酸发生化学反应结合而成。溶液呈碱性。碳酸钠在 2132K 分解。该品具有弱刺激性和弱腐蚀性。直接接触可引起皮肤和眼灼伤。生产中吸入其粉尘和烟雾可引起呼吸道刺激和结膜炎，还可有鼻粘膜溃疡、萎缩及鼻中隔穿孔。长时间接触该品溶液可发生湿疹、皮炎、鸡眼状溃疡和皮肤松弛。接触该品的作业工人呼吸器官疾病发病率升高。误服可造成消化道灼伤、粘膜糜烂、出血和休克。</w:t>
            </w:r>
          </w:p>
        </w:tc>
        <w:tc>
          <w:tcPr>
            <w:tcW w:w="1120" w:type="dxa"/>
            <w:shd w:val="clear" w:color="auto" w:fill="auto"/>
            <w:tcMar>
              <w:top w:w="15" w:type="dxa"/>
              <w:left w:w="15" w:type="dxa"/>
              <w:bottom w:w="0" w:type="dxa"/>
              <w:right w:w="15" w:type="dxa"/>
            </w:tcMar>
            <w:vAlign w:val="center"/>
          </w:tcPr>
          <w:p>
            <w:pPr>
              <w:pStyle w:val="63"/>
            </w:pPr>
            <w:r>
              <w:rPr>
                <w:rFonts w:hint="eastAsia"/>
              </w:rPr>
              <w:t>/</w:t>
            </w:r>
          </w:p>
        </w:tc>
        <w:tc>
          <w:tcPr>
            <w:tcW w:w="1180" w:type="dxa"/>
            <w:shd w:val="clear" w:color="auto" w:fill="auto"/>
            <w:tcMar>
              <w:top w:w="15" w:type="dxa"/>
              <w:left w:w="15" w:type="dxa"/>
              <w:bottom w:w="0" w:type="dxa"/>
              <w:right w:w="15" w:type="dxa"/>
            </w:tcMar>
            <w:vAlign w:val="center"/>
          </w:tcPr>
          <w:p>
            <w:pPr>
              <w:pStyle w:val="63"/>
            </w:pPr>
            <w:r>
              <w:rPr>
                <w:rFonts w:hint="eastAsia"/>
              </w:rPr>
              <w:t>/</w:t>
            </w:r>
          </w:p>
        </w:tc>
        <w:tc>
          <w:tcPr>
            <w:tcW w:w="1080" w:type="dxa"/>
            <w:shd w:val="clear" w:color="auto" w:fill="auto"/>
            <w:tcMar>
              <w:top w:w="15" w:type="dxa"/>
              <w:left w:w="15" w:type="dxa"/>
              <w:bottom w:w="0" w:type="dxa"/>
              <w:right w:w="15" w:type="dxa"/>
            </w:tcMar>
            <w:vAlign w:val="center"/>
          </w:tcPr>
          <w:p>
            <w:pPr>
              <w:pStyle w:val="63"/>
            </w:pPr>
            <w:r>
              <w:rPr>
                <w:rFonts w:hint="eastAsia"/>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1080" w:type="dxa"/>
            <w:shd w:val="clear" w:color="auto" w:fill="auto"/>
            <w:tcMar>
              <w:top w:w="15" w:type="dxa"/>
              <w:left w:w="15" w:type="dxa"/>
              <w:bottom w:w="0" w:type="dxa"/>
              <w:right w:w="15" w:type="dxa"/>
            </w:tcMar>
            <w:vAlign w:val="center"/>
          </w:tcPr>
          <w:p>
            <w:pPr>
              <w:pStyle w:val="63"/>
            </w:pPr>
            <w:r>
              <w:rPr>
                <w:rFonts w:hint="eastAsia"/>
              </w:rPr>
              <w:t>深水海纳污水</w:t>
            </w:r>
          </w:p>
        </w:tc>
        <w:tc>
          <w:tcPr>
            <w:tcW w:w="1080" w:type="dxa"/>
            <w:shd w:val="clear" w:color="auto" w:fill="auto"/>
            <w:tcMar>
              <w:top w:w="15" w:type="dxa"/>
              <w:left w:w="15" w:type="dxa"/>
              <w:bottom w:w="0" w:type="dxa"/>
              <w:right w:w="15" w:type="dxa"/>
            </w:tcMar>
            <w:vAlign w:val="center"/>
          </w:tcPr>
          <w:p>
            <w:pPr>
              <w:pStyle w:val="63"/>
            </w:pPr>
            <w:r>
              <w:rPr>
                <w:rFonts w:hint="eastAsia"/>
              </w:rPr>
              <w:t>盐酸</w:t>
            </w:r>
          </w:p>
        </w:tc>
        <w:tc>
          <w:tcPr>
            <w:tcW w:w="1280" w:type="dxa"/>
            <w:shd w:val="clear" w:color="auto" w:fill="auto"/>
            <w:tcMar>
              <w:top w:w="15" w:type="dxa"/>
              <w:left w:w="15" w:type="dxa"/>
              <w:bottom w:w="0" w:type="dxa"/>
              <w:right w:w="15" w:type="dxa"/>
            </w:tcMar>
            <w:vAlign w:val="center"/>
          </w:tcPr>
          <w:p>
            <w:pPr>
              <w:pStyle w:val="63"/>
            </w:pPr>
            <w:r>
              <w:rPr>
                <w:rFonts w:hint="eastAsia"/>
              </w:rPr>
              <w:t>药剂库</w:t>
            </w:r>
          </w:p>
        </w:tc>
        <w:tc>
          <w:tcPr>
            <w:tcW w:w="1080" w:type="dxa"/>
            <w:shd w:val="clear" w:color="auto" w:fill="auto"/>
            <w:tcMar>
              <w:top w:w="15" w:type="dxa"/>
              <w:left w:w="15" w:type="dxa"/>
              <w:bottom w:w="0" w:type="dxa"/>
              <w:right w:w="15" w:type="dxa"/>
            </w:tcMar>
            <w:vAlign w:val="center"/>
          </w:tcPr>
          <w:p>
            <w:pPr>
              <w:pStyle w:val="63"/>
            </w:pPr>
            <w:r>
              <w:rPr>
                <w:rFonts w:hint="eastAsia"/>
              </w:rPr>
              <w:t>0.5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w:t>
            </w:r>
          </w:p>
        </w:tc>
        <w:tc>
          <w:tcPr>
            <w:tcW w:w="1180" w:type="dxa"/>
            <w:shd w:val="clear" w:color="auto" w:fill="auto"/>
            <w:tcMar>
              <w:top w:w="15" w:type="dxa"/>
              <w:left w:w="15" w:type="dxa"/>
              <w:bottom w:w="0" w:type="dxa"/>
              <w:right w:w="15" w:type="dxa"/>
            </w:tcMar>
            <w:vAlign w:val="center"/>
          </w:tcPr>
          <w:p>
            <w:pPr>
              <w:pStyle w:val="63"/>
            </w:pPr>
            <w:r>
              <w:rPr>
                <w:rFonts w:hint="eastAsia"/>
              </w:rPr>
              <w:t>0.2</w:t>
            </w:r>
          </w:p>
        </w:tc>
        <w:tc>
          <w:tcPr>
            <w:tcW w:w="1080" w:type="dxa"/>
            <w:shd w:val="clear" w:color="auto" w:fill="auto"/>
            <w:tcMar>
              <w:top w:w="15" w:type="dxa"/>
              <w:left w:w="15" w:type="dxa"/>
              <w:bottom w:w="0" w:type="dxa"/>
              <w:right w:w="15" w:type="dxa"/>
            </w:tcMar>
            <w:vAlign w:val="center"/>
          </w:tcPr>
          <w:p>
            <w:pPr>
              <w:pStyle w:val="63"/>
            </w:pPr>
            <w:r>
              <w:rPr>
                <w:rFonts w:hint="eastAsia"/>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龙正节能</w:t>
            </w:r>
          </w:p>
        </w:tc>
        <w:tc>
          <w:tcPr>
            <w:tcW w:w="1080" w:type="dxa"/>
            <w:shd w:val="clear" w:color="auto" w:fill="auto"/>
            <w:tcMar>
              <w:top w:w="15" w:type="dxa"/>
              <w:left w:w="15" w:type="dxa"/>
              <w:bottom w:w="0" w:type="dxa"/>
              <w:right w:w="15" w:type="dxa"/>
            </w:tcMar>
            <w:vAlign w:val="center"/>
          </w:tcPr>
          <w:p>
            <w:pPr>
              <w:pStyle w:val="63"/>
            </w:pPr>
            <w:r>
              <w:rPr>
                <w:rFonts w:hint="eastAsia"/>
              </w:rPr>
              <w:t>柴油</w:t>
            </w:r>
          </w:p>
        </w:tc>
        <w:tc>
          <w:tcPr>
            <w:tcW w:w="1280" w:type="dxa"/>
            <w:shd w:val="clear" w:color="auto" w:fill="auto"/>
            <w:tcMar>
              <w:top w:w="15" w:type="dxa"/>
              <w:left w:w="15" w:type="dxa"/>
              <w:bottom w:w="0" w:type="dxa"/>
              <w:right w:w="15" w:type="dxa"/>
            </w:tcMar>
            <w:vAlign w:val="center"/>
          </w:tcPr>
          <w:p>
            <w:pPr>
              <w:pStyle w:val="63"/>
            </w:pPr>
            <w:r>
              <w:rPr>
                <w:rFonts w:hint="eastAsia"/>
              </w:rPr>
              <w:t>储油罐</w:t>
            </w:r>
          </w:p>
        </w:tc>
        <w:tc>
          <w:tcPr>
            <w:tcW w:w="1080" w:type="dxa"/>
            <w:shd w:val="clear" w:color="auto" w:fill="auto"/>
            <w:tcMar>
              <w:top w:w="15" w:type="dxa"/>
              <w:left w:w="15" w:type="dxa"/>
              <w:bottom w:w="0" w:type="dxa"/>
              <w:right w:w="15" w:type="dxa"/>
            </w:tcMar>
            <w:vAlign w:val="center"/>
          </w:tcPr>
          <w:p>
            <w:pPr>
              <w:pStyle w:val="63"/>
            </w:pPr>
            <w:r>
              <w:rPr>
                <w:rFonts w:hint="eastAsia"/>
              </w:rPr>
              <w:t>1</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0.0004</w:t>
            </w:r>
          </w:p>
        </w:tc>
        <w:tc>
          <w:tcPr>
            <w:tcW w:w="1080" w:type="dxa"/>
            <w:shd w:val="clear" w:color="auto" w:fill="auto"/>
            <w:tcMar>
              <w:top w:w="15" w:type="dxa"/>
              <w:left w:w="15" w:type="dxa"/>
              <w:bottom w:w="0" w:type="dxa"/>
              <w:right w:w="15" w:type="dxa"/>
            </w:tcMar>
            <w:vAlign w:val="center"/>
          </w:tcPr>
          <w:p>
            <w:pPr>
              <w:pStyle w:val="63"/>
            </w:pPr>
            <w:r>
              <w:rPr>
                <w:rFonts w:hint="eastAsia"/>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氨</w:t>
            </w:r>
          </w:p>
        </w:tc>
        <w:tc>
          <w:tcPr>
            <w:tcW w:w="1280" w:type="dxa"/>
            <w:shd w:val="clear" w:color="auto" w:fill="auto"/>
            <w:tcMar>
              <w:top w:w="15" w:type="dxa"/>
              <w:left w:w="15" w:type="dxa"/>
              <w:bottom w:w="0" w:type="dxa"/>
              <w:right w:w="15" w:type="dxa"/>
            </w:tcMar>
            <w:vAlign w:val="center"/>
          </w:tcPr>
          <w:p>
            <w:pPr>
              <w:pStyle w:val="63"/>
            </w:pPr>
            <w:r>
              <w:rPr>
                <w:rFonts w:hint="eastAsia"/>
              </w:rPr>
              <w:t>生产区</w:t>
            </w:r>
          </w:p>
        </w:tc>
        <w:tc>
          <w:tcPr>
            <w:tcW w:w="1080" w:type="dxa"/>
            <w:shd w:val="clear" w:color="auto" w:fill="auto"/>
            <w:tcMar>
              <w:top w:w="15" w:type="dxa"/>
              <w:left w:w="15" w:type="dxa"/>
              <w:bottom w:w="0" w:type="dxa"/>
              <w:right w:w="15" w:type="dxa"/>
            </w:tcMar>
            <w:vAlign w:val="center"/>
          </w:tcPr>
          <w:p>
            <w:pPr>
              <w:pStyle w:val="63"/>
            </w:pPr>
            <w:r>
              <w:rPr>
                <w:rFonts w:hint="eastAsia"/>
              </w:rPr>
              <w:t>0.375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10</w:t>
            </w:r>
          </w:p>
        </w:tc>
        <w:tc>
          <w:tcPr>
            <w:tcW w:w="1180" w:type="dxa"/>
            <w:shd w:val="clear" w:color="auto" w:fill="auto"/>
            <w:tcMar>
              <w:top w:w="15" w:type="dxa"/>
              <w:left w:w="15" w:type="dxa"/>
              <w:bottom w:w="0" w:type="dxa"/>
              <w:right w:w="15" w:type="dxa"/>
            </w:tcMar>
            <w:vAlign w:val="center"/>
          </w:tcPr>
          <w:p>
            <w:pPr>
              <w:pStyle w:val="63"/>
            </w:pPr>
            <w:r>
              <w:rPr>
                <w:rFonts w:hint="eastAsia"/>
              </w:rPr>
              <w:t>0.0375</w:t>
            </w:r>
          </w:p>
        </w:tc>
        <w:tc>
          <w:tcPr>
            <w:tcW w:w="1080" w:type="dxa"/>
            <w:shd w:val="clear" w:color="auto" w:fill="auto"/>
            <w:tcMar>
              <w:top w:w="15" w:type="dxa"/>
              <w:left w:w="15" w:type="dxa"/>
              <w:bottom w:w="0" w:type="dxa"/>
              <w:right w:w="15" w:type="dxa"/>
            </w:tcMar>
            <w:vAlign w:val="center"/>
          </w:tcPr>
          <w:p>
            <w:pPr>
              <w:pStyle w:val="63"/>
            </w:pPr>
            <w:r>
              <w:rPr>
                <w:rFonts w:hint="eastAsia"/>
              </w:rPr>
              <w:t>0.0375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1080" w:type="dxa"/>
            <w:shd w:val="clear" w:color="auto" w:fill="auto"/>
            <w:tcMar>
              <w:top w:w="15" w:type="dxa"/>
              <w:left w:w="15" w:type="dxa"/>
              <w:bottom w:w="0" w:type="dxa"/>
              <w:right w:w="15" w:type="dxa"/>
            </w:tcMar>
            <w:vAlign w:val="center"/>
          </w:tcPr>
          <w:p>
            <w:pPr>
              <w:pStyle w:val="63"/>
            </w:pPr>
            <w:r>
              <w:rPr>
                <w:rFonts w:hint="eastAsia"/>
              </w:rPr>
              <w:t>三智碳材</w:t>
            </w:r>
          </w:p>
        </w:tc>
        <w:tc>
          <w:tcPr>
            <w:tcW w:w="1080" w:type="dxa"/>
            <w:shd w:val="clear" w:color="auto" w:fill="auto"/>
            <w:tcMar>
              <w:top w:w="15" w:type="dxa"/>
              <w:left w:w="15" w:type="dxa"/>
              <w:bottom w:w="0" w:type="dxa"/>
              <w:right w:w="15" w:type="dxa"/>
            </w:tcMar>
            <w:vAlign w:val="center"/>
          </w:tcPr>
          <w:p>
            <w:pPr>
              <w:pStyle w:val="63"/>
            </w:pPr>
            <w:r>
              <w:rPr>
                <w:rFonts w:hint="eastAsia"/>
              </w:rPr>
              <w:t>焦油</w:t>
            </w:r>
          </w:p>
        </w:tc>
        <w:tc>
          <w:tcPr>
            <w:tcW w:w="1280" w:type="dxa"/>
            <w:shd w:val="clear" w:color="auto" w:fill="auto"/>
            <w:tcMar>
              <w:top w:w="15" w:type="dxa"/>
              <w:left w:w="15" w:type="dxa"/>
              <w:bottom w:w="0" w:type="dxa"/>
              <w:right w:w="15" w:type="dxa"/>
            </w:tcMar>
            <w:vAlign w:val="center"/>
          </w:tcPr>
          <w:p>
            <w:pPr>
              <w:pStyle w:val="63"/>
            </w:pPr>
            <w:r>
              <w:rPr>
                <w:rFonts w:hint="eastAsia"/>
              </w:rPr>
              <w:t>焦油区（生焦池、熟焦仓）</w:t>
            </w:r>
          </w:p>
        </w:tc>
        <w:tc>
          <w:tcPr>
            <w:tcW w:w="1080" w:type="dxa"/>
            <w:shd w:val="clear" w:color="auto" w:fill="auto"/>
            <w:tcMar>
              <w:top w:w="15" w:type="dxa"/>
              <w:left w:w="15" w:type="dxa"/>
              <w:bottom w:w="0" w:type="dxa"/>
              <w:right w:w="15" w:type="dxa"/>
            </w:tcMar>
            <w:vAlign w:val="center"/>
          </w:tcPr>
          <w:p>
            <w:pPr>
              <w:pStyle w:val="63"/>
            </w:pPr>
            <w:r>
              <w:rPr>
                <w:rFonts w:hint="eastAsia"/>
              </w:rPr>
              <w:t>8000</w:t>
            </w:r>
          </w:p>
        </w:tc>
        <w:tc>
          <w:tcPr>
            <w:tcW w:w="7600" w:type="dxa"/>
            <w:shd w:val="clear" w:color="auto" w:fill="auto"/>
            <w:tcMar>
              <w:top w:w="15" w:type="dxa"/>
              <w:left w:w="15" w:type="dxa"/>
              <w:bottom w:w="0" w:type="dxa"/>
              <w:right w:w="15" w:type="dxa"/>
            </w:tcMar>
            <w:vAlign w:val="center"/>
          </w:tcPr>
          <w:p>
            <w:pPr>
              <w:pStyle w:val="63"/>
            </w:pPr>
            <w:r>
              <w:rPr>
                <w:rFonts w:hint="eastAsia"/>
              </w:rPr>
              <w:t>黑色粘稠液体，具有特殊臭味。相对密度（水=1）：1.02~1.23。开口闪点（℃）：200℃左右。溶解性：微溶于水，溶于苯、乙醇、乙醚、氯仿、丙酮等多数有机溶剂</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3.2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43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兆邦陶瓷</w:t>
            </w:r>
          </w:p>
        </w:tc>
        <w:tc>
          <w:tcPr>
            <w:tcW w:w="1080" w:type="dxa"/>
            <w:shd w:val="clear" w:color="auto" w:fill="auto"/>
            <w:tcMar>
              <w:top w:w="15" w:type="dxa"/>
              <w:left w:w="15" w:type="dxa"/>
              <w:bottom w:w="0" w:type="dxa"/>
              <w:right w:w="15" w:type="dxa"/>
            </w:tcMar>
            <w:vAlign w:val="center"/>
          </w:tcPr>
          <w:p>
            <w:pPr>
              <w:pStyle w:val="63"/>
            </w:pPr>
            <w:r>
              <w:rPr>
                <w:rFonts w:hint="eastAsia"/>
              </w:rPr>
              <w:t>煤气</w:t>
            </w:r>
          </w:p>
        </w:tc>
        <w:tc>
          <w:tcPr>
            <w:tcW w:w="1280" w:type="dxa"/>
            <w:shd w:val="clear" w:color="auto" w:fill="auto"/>
            <w:tcMar>
              <w:top w:w="15" w:type="dxa"/>
              <w:left w:w="15" w:type="dxa"/>
              <w:bottom w:w="0" w:type="dxa"/>
              <w:right w:w="15" w:type="dxa"/>
            </w:tcMar>
            <w:vAlign w:val="center"/>
          </w:tcPr>
          <w:p>
            <w:pPr>
              <w:pStyle w:val="63"/>
            </w:pPr>
            <w:r>
              <w:rPr>
                <w:rFonts w:hint="eastAsia"/>
              </w:rPr>
              <w:t>在线</w:t>
            </w:r>
          </w:p>
        </w:tc>
        <w:tc>
          <w:tcPr>
            <w:tcW w:w="1080" w:type="dxa"/>
            <w:shd w:val="clear" w:color="auto" w:fill="auto"/>
            <w:tcMar>
              <w:top w:w="15" w:type="dxa"/>
              <w:left w:w="15" w:type="dxa"/>
              <w:bottom w:w="0" w:type="dxa"/>
              <w:right w:w="15" w:type="dxa"/>
            </w:tcMar>
            <w:vAlign w:val="center"/>
          </w:tcPr>
          <w:p>
            <w:pPr>
              <w:pStyle w:val="63"/>
            </w:pPr>
            <w:r>
              <w:rPr>
                <w:rFonts w:hint="eastAsia"/>
              </w:rPr>
              <w:t>2.212</w:t>
            </w:r>
          </w:p>
        </w:tc>
        <w:tc>
          <w:tcPr>
            <w:tcW w:w="7600" w:type="dxa"/>
            <w:shd w:val="clear" w:color="auto" w:fill="auto"/>
            <w:tcMar>
              <w:top w:w="15" w:type="dxa"/>
              <w:left w:w="15" w:type="dxa"/>
              <w:bottom w:w="0" w:type="dxa"/>
              <w:right w:w="15" w:type="dxa"/>
            </w:tcMar>
            <w:vAlign w:val="center"/>
          </w:tcPr>
          <w:p>
            <w:pPr>
              <w:pStyle w:val="63"/>
            </w:pPr>
            <w:r>
              <w:rPr>
                <w:rFonts w:hint="eastAsia"/>
              </w:rPr>
              <w:t>煤气，是以煤为原料加工制得的含有可燃组分的气体，煤气中的一氧化碳和</w:t>
            </w:r>
            <w:r>
              <w:rPr>
                <w:rFonts w:hint="eastAsia"/>
              </w:rPr>
              <w:br w:type="textWrapping"/>
            </w:r>
            <w:r>
              <w:rPr>
                <w:rFonts w:hint="eastAsia"/>
              </w:rPr>
              <w:t>氢气是重要的化工原料。根据加工方法、煤气性质和用途分为：水煤气、半水煤气、空气煤气 （或称发生炉煤气），这些煤气的发热值较低，故又统称为低热值煤气；煤干馏法中焦化得到的气体称为焦炉煤气，高炉煤气。高炉煤气属于中热值煤气，可供城市作民用燃料。煤气中毒依其吸入空气中所含一氧化碳的浓度、中毒时间的长短.当居室内一氧化碳体积达 0.06%时，人会感到头晕、头痛、恶心、呕吐、四肢乏力等症；超过 0.1%时，只要吸入半小时，人即会昏睡，进而昏迷；达到 0.4%时，只要吸入 1 小时就可致人于死亡。</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0.29</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62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焦油</w:t>
            </w:r>
          </w:p>
        </w:tc>
        <w:tc>
          <w:tcPr>
            <w:tcW w:w="1280" w:type="dxa"/>
            <w:shd w:val="clear" w:color="auto" w:fill="auto"/>
            <w:tcMar>
              <w:top w:w="15" w:type="dxa"/>
              <w:left w:w="15" w:type="dxa"/>
              <w:bottom w:w="0" w:type="dxa"/>
              <w:right w:w="15" w:type="dxa"/>
            </w:tcMar>
            <w:vAlign w:val="center"/>
          </w:tcPr>
          <w:p>
            <w:pPr>
              <w:pStyle w:val="63"/>
            </w:pPr>
            <w:r>
              <w:rPr>
                <w:rFonts w:hint="eastAsia"/>
              </w:rPr>
              <w:t>储存池</w:t>
            </w:r>
          </w:p>
        </w:tc>
        <w:tc>
          <w:tcPr>
            <w:tcW w:w="1080" w:type="dxa"/>
            <w:shd w:val="clear" w:color="auto" w:fill="auto"/>
            <w:tcMar>
              <w:top w:w="15" w:type="dxa"/>
              <w:left w:w="15" w:type="dxa"/>
              <w:bottom w:w="0" w:type="dxa"/>
              <w:right w:w="15" w:type="dxa"/>
            </w:tcMar>
            <w:vAlign w:val="center"/>
          </w:tcPr>
          <w:p>
            <w:pPr>
              <w:pStyle w:val="63"/>
            </w:pPr>
            <w:r>
              <w:rPr>
                <w:rFonts w:hint="eastAsia"/>
              </w:rPr>
              <w:t>300</w:t>
            </w:r>
          </w:p>
        </w:tc>
        <w:tc>
          <w:tcPr>
            <w:tcW w:w="7600" w:type="dxa"/>
            <w:shd w:val="clear" w:color="auto" w:fill="auto"/>
            <w:tcMar>
              <w:top w:w="15" w:type="dxa"/>
              <w:left w:w="15" w:type="dxa"/>
              <w:bottom w:w="0" w:type="dxa"/>
              <w:right w:w="15" w:type="dxa"/>
            </w:tcMar>
            <w:vAlign w:val="center"/>
          </w:tcPr>
          <w:p>
            <w:pPr>
              <w:pStyle w:val="63"/>
            </w:pPr>
            <w:r>
              <w:rPr>
                <w:rFonts w:hint="eastAsia"/>
              </w:rPr>
              <w:t>焦油又称煤膏，是煤干馏过程中得到的一种黑色或黑褐色粘稠状液体，具有特殊的臭味，可燃并有腐蚀性。是一种高芳香度的碳氢化合物的复杂混合物。焦油是煤炭在焦化过程中产生的。其产量约占装炉煤的 3%~4%在常温常压下其产品呈黑色粘稠液状，密度通常在 0.95-1.10g./cm3之间，闪点 100℃具有特殊臭味，焦油又称煤焦油。可粘附在咽部和支气管的内表面上。烟焦油储积多年后可诱发异常细胞生成，形成肺癌</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0.12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6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酚水</w:t>
            </w:r>
          </w:p>
        </w:tc>
        <w:tc>
          <w:tcPr>
            <w:tcW w:w="1280" w:type="dxa"/>
            <w:shd w:val="clear" w:color="auto" w:fill="auto"/>
            <w:tcMar>
              <w:top w:w="15" w:type="dxa"/>
              <w:left w:w="15" w:type="dxa"/>
              <w:bottom w:w="0" w:type="dxa"/>
              <w:right w:w="15" w:type="dxa"/>
            </w:tcMar>
            <w:vAlign w:val="center"/>
          </w:tcPr>
          <w:p>
            <w:pPr>
              <w:pStyle w:val="63"/>
            </w:pPr>
            <w:r>
              <w:rPr>
                <w:rFonts w:hint="eastAsia"/>
              </w:rPr>
              <w:t>41 个酚水收集缸、1个 1600m3酚水池</w:t>
            </w:r>
          </w:p>
        </w:tc>
        <w:tc>
          <w:tcPr>
            <w:tcW w:w="1080" w:type="dxa"/>
            <w:shd w:val="clear" w:color="auto" w:fill="auto"/>
            <w:tcMar>
              <w:top w:w="15" w:type="dxa"/>
              <w:left w:w="15" w:type="dxa"/>
              <w:bottom w:w="0" w:type="dxa"/>
              <w:right w:w="15" w:type="dxa"/>
            </w:tcMar>
            <w:vAlign w:val="center"/>
          </w:tcPr>
          <w:p>
            <w:pPr>
              <w:pStyle w:val="63"/>
            </w:pPr>
            <w:r>
              <w:rPr>
                <w:rFonts w:hint="eastAsia"/>
              </w:rPr>
              <w:t>20</w:t>
            </w:r>
          </w:p>
        </w:tc>
        <w:tc>
          <w:tcPr>
            <w:tcW w:w="7600" w:type="dxa"/>
            <w:shd w:val="clear" w:color="auto" w:fill="auto"/>
            <w:tcMar>
              <w:top w:w="15" w:type="dxa"/>
              <w:left w:w="15" w:type="dxa"/>
              <w:bottom w:w="0" w:type="dxa"/>
              <w:right w:w="15" w:type="dxa"/>
            </w:tcMar>
            <w:vAlign w:val="center"/>
          </w:tcPr>
          <w:p>
            <w:pPr>
              <w:pStyle w:val="63"/>
            </w:pPr>
            <w:r>
              <w:rPr>
                <w:rFonts w:hint="eastAsia"/>
              </w:rPr>
              <w:t>酚水是含有各种化合物（酚、氨、 氰化物、 硫化物） 油类、焦油及机械杂质这些水的总称。根据我国焦化厂生产情况酚水主要来源有如下几个方面：1．剩余氨水：由炼焦配合煤水份及炼焦生成的化合水以及焦炉上升管集气管喷射的蒸汽和冷凝工段清扫管道的蒸汽所组成。含酚废水不仅对人类健康带来严重威胁，也对动植物产生危害。水中含酚含量达到 10-6~2×10-6时，鱼类就会出现中毒症状，超过 4×10-6~1.5×10-5时会引起鱼类大量死亡，甚至绝迹。如果使用含酚废水灌溉农田，则会使农作物减产或枯死。含酚废水的毒性还可抑制水体中其它生物的自然生长速度，破坏生态平衡。</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4</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0" w:hRule="atLeast"/>
          <w:jc w:val="center"/>
        </w:trPr>
        <w:tc>
          <w:tcPr>
            <w:tcW w:w="1080" w:type="dxa"/>
            <w:vMerge w:val="restart"/>
            <w:shd w:val="clear" w:color="auto" w:fill="auto"/>
            <w:tcMar>
              <w:top w:w="15" w:type="dxa"/>
              <w:left w:w="15" w:type="dxa"/>
              <w:bottom w:w="0" w:type="dxa"/>
              <w:right w:w="15" w:type="dxa"/>
            </w:tcMar>
            <w:vAlign w:val="center"/>
          </w:tcPr>
          <w:p>
            <w:pPr>
              <w:pStyle w:val="63"/>
            </w:pPr>
            <w:r>
              <w:rPr>
                <w:rFonts w:hint="eastAsia"/>
              </w:rPr>
              <w:t>发达陶瓷</w:t>
            </w:r>
          </w:p>
        </w:tc>
        <w:tc>
          <w:tcPr>
            <w:tcW w:w="1080" w:type="dxa"/>
            <w:shd w:val="clear" w:color="auto" w:fill="auto"/>
            <w:tcMar>
              <w:top w:w="15" w:type="dxa"/>
              <w:left w:w="15" w:type="dxa"/>
              <w:bottom w:w="0" w:type="dxa"/>
              <w:right w:w="15" w:type="dxa"/>
            </w:tcMar>
            <w:vAlign w:val="center"/>
          </w:tcPr>
          <w:p>
            <w:pPr>
              <w:pStyle w:val="63"/>
            </w:pPr>
            <w:r>
              <w:rPr>
                <w:rFonts w:hint="eastAsia"/>
              </w:rPr>
              <w:t>煤气</w:t>
            </w:r>
          </w:p>
        </w:tc>
        <w:tc>
          <w:tcPr>
            <w:tcW w:w="1280" w:type="dxa"/>
            <w:shd w:val="clear" w:color="auto" w:fill="auto"/>
            <w:tcMar>
              <w:top w:w="15" w:type="dxa"/>
              <w:left w:w="15" w:type="dxa"/>
              <w:bottom w:w="0" w:type="dxa"/>
              <w:right w:w="15" w:type="dxa"/>
            </w:tcMar>
            <w:vAlign w:val="center"/>
          </w:tcPr>
          <w:p>
            <w:pPr>
              <w:pStyle w:val="63"/>
            </w:pPr>
            <w:r>
              <w:rPr>
                <w:rFonts w:hint="eastAsia"/>
              </w:rPr>
              <w:t>在线,2000m2煤气站</w:t>
            </w:r>
          </w:p>
        </w:tc>
        <w:tc>
          <w:tcPr>
            <w:tcW w:w="1080" w:type="dxa"/>
            <w:shd w:val="clear" w:color="auto" w:fill="auto"/>
            <w:tcMar>
              <w:top w:w="15" w:type="dxa"/>
              <w:left w:w="15" w:type="dxa"/>
              <w:bottom w:w="0" w:type="dxa"/>
              <w:right w:w="15" w:type="dxa"/>
            </w:tcMar>
            <w:vAlign w:val="center"/>
          </w:tcPr>
          <w:p>
            <w:pPr>
              <w:pStyle w:val="63"/>
            </w:pPr>
            <w:r>
              <w:rPr>
                <w:rFonts w:hint="eastAsia"/>
              </w:rPr>
              <w:t>0.455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7.5</w:t>
            </w:r>
          </w:p>
        </w:tc>
        <w:tc>
          <w:tcPr>
            <w:tcW w:w="1180" w:type="dxa"/>
            <w:shd w:val="clear" w:color="auto" w:fill="auto"/>
            <w:tcMar>
              <w:top w:w="15" w:type="dxa"/>
              <w:left w:w="15" w:type="dxa"/>
              <w:bottom w:w="0" w:type="dxa"/>
              <w:right w:w="15" w:type="dxa"/>
            </w:tcMar>
            <w:vAlign w:val="center"/>
          </w:tcPr>
          <w:p>
            <w:pPr>
              <w:pStyle w:val="63"/>
            </w:pPr>
            <w:r>
              <w:rPr>
                <w:rFonts w:hint="eastAsia"/>
              </w:rPr>
              <w:t>0.06</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焦油</w:t>
            </w:r>
          </w:p>
        </w:tc>
        <w:tc>
          <w:tcPr>
            <w:tcW w:w="1280" w:type="dxa"/>
            <w:shd w:val="clear" w:color="auto" w:fill="auto"/>
            <w:tcMar>
              <w:top w:w="15" w:type="dxa"/>
              <w:left w:w="15" w:type="dxa"/>
              <w:bottom w:w="0" w:type="dxa"/>
              <w:right w:w="15" w:type="dxa"/>
            </w:tcMar>
            <w:vAlign w:val="center"/>
          </w:tcPr>
          <w:p>
            <w:pPr>
              <w:pStyle w:val="63"/>
            </w:pPr>
            <w:r>
              <w:rPr>
                <w:rFonts w:hint="eastAsia"/>
              </w:rPr>
              <w:t>3 个 30m3储罐</w:t>
            </w:r>
          </w:p>
        </w:tc>
        <w:tc>
          <w:tcPr>
            <w:tcW w:w="1080" w:type="dxa"/>
            <w:shd w:val="clear" w:color="auto" w:fill="auto"/>
            <w:tcMar>
              <w:top w:w="15" w:type="dxa"/>
              <w:left w:w="15" w:type="dxa"/>
              <w:bottom w:w="0" w:type="dxa"/>
              <w:right w:w="15" w:type="dxa"/>
            </w:tcMar>
            <w:vAlign w:val="center"/>
          </w:tcPr>
          <w:p>
            <w:pPr>
              <w:pStyle w:val="63"/>
            </w:pPr>
            <w:r>
              <w:rPr>
                <w:rFonts w:hint="eastAsia"/>
              </w:rPr>
              <w:t>180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0.072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0" w:type="auto"/>
            <w:vMerge w:val="continue"/>
            <w:vAlign w:val="center"/>
          </w:tcPr>
          <w:p>
            <w:pPr>
              <w:pStyle w:val="63"/>
            </w:pPr>
          </w:p>
        </w:tc>
        <w:tc>
          <w:tcPr>
            <w:tcW w:w="1080" w:type="dxa"/>
            <w:shd w:val="clear" w:color="auto" w:fill="auto"/>
            <w:tcMar>
              <w:top w:w="15" w:type="dxa"/>
              <w:left w:w="15" w:type="dxa"/>
              <w:bottom w:w="0" w:type="dxa"/>
              <w:right w:w="15" w:type="dxa"/>
            </w:tcMar>
            <w:vAlign w:val="center"/>
          </w:tcPr>
          <w:p>
            <w:pPr>
              <w:pStyle w:val="63"/>
            </w:pPr>
            <w:r>
              <w:rPr>
                <w:rFonts w:hint="eastAsia"/>
              </w:rPr>
              <w:t>酚水</w:t>
            </w:r>
          </w:p>
        </w:tc>
        <w:tc>
          <w:tcPr>
            <w:tcW w:w="1280" w:type="dxa"/>
            <w:shd w:val="clear" w:color="auto" w:fill="auto"/>
            <w:tcMar>
              <w:top w:w="15" w:type="dxa"/>
              <w:left w:w="15" w:type="dxa"/>
              <w:bottom w:w="0" w:type="dxa"/>
              <w:right w:w="15" w:type="dxa"/>
            </w:tcMar>
            <w:vAlign w:val="center"/>
          </w:tcPr>
          <w:p>
            <w:pPr>
              <w:pStyle w:val="63"/>
            </w:pPr>
            <w:r>
              <w:rPr>
                <w:rFonts w:hint="eastAsia"/>
              </w:rPr>
              <w:t>2 个 26m3酚水收集罐</w:t>
            </w:r>
          </w:p>
        </w:tc>
        <w:tc>
          <w:tcPr>
            <w:tcW w:w="1080" w:type="dxa"/>
            <w:shd w:val="clear" w:color="auto" w:fill="auto"/>
            <w:tcMar>
              <w:top w:w="15" w:type="dxa"/>
              <w:left w:w="15" w:type="dxa"/>
              <w:bottom w:w="0" w:type="dxa"/>
              <w:right w:w="15" w:type="dxa"/>
            </w:tcMar>
            <w:vAlign w:val="center"/>
          </w:tcPr>
          <w:p>
            <w:pPr>
              <w:pStyle w:val="63"/>
            </w:pPr>
            <w:r>
              <w:rPr>
                <w:rFonts w:hint="eastAsia"/>
              </w:rPr>
              <w:t>5</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5</w:t>
            </w:r>
          </w:p>
        </w:tc>
        <w:tc>
          <w:tcPr>
            <w:tcW w:w="1180" w:type="dxa"/>
            <w:shd w:val="clear" w:color="auto" w:fill="auto"/>
            <w:tcMar>
              <w:top w:w="15" w:type="dxa"/>
              <w:left w:w="15" w:type="dxa"/>
              <w:bottom w:w="0" w:type="dxa"/>
              <w:right w:w="15" w:type="dxa"/>
            </w:tcMar>
            <w:vAlign w:val="center"/>
          </w:tcPr>
          <w:p>
            <w:pPr>
              <w:pStyle w:val="63"/>
            </w:pPr>
            <w:r>
              <w:rPr>
                <w:rFonts w:hint="eastAsia"/>
              </w:rPr>
              <w:t>1</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0" w:hRule="atLeast"/>
          <w:jc w:val="center"/>
        </w:trPr>
        <w:tc>
          <w:tcPr>
            <w:tcW w:w="1080" w:type="dxa"/>
            <w:shd w:val="clear" w:color="auto" w:fill="auto"/>
            <w:tcMar>
              <w:top w:w="15" w:type="dxa"/>
              <w:left w:w="15" w:type="dxa"/>
              <w:bottom w:w="0" w:type="dxa"/>
              <w:right w:w="15" w:type="dxa"/>
            </w:tcMar>
            <w:vAlign w:val="center"/>
          </w:tcPr>
          <w:p>
            <w:pPr>
              <w:pStyle w:val="63"/>
            </w:pPr>
            <w:r>
              <w:rPr>
                <w:rFonts w:hint="eastAsia"/>
              </w:rPr>
              <w:t>凯美陶瓷</w:t>
            </w:r>
          </w:p>
        </w:tc>
        <w:tc>
          <w:tcPr>
            <w:tcW w:w="1080" w:type="dxa"/>
            <w:shd w:val="clear" w:color="auto" w:fill="auto"/>
            <w:tcMar>
              <w:top w:w="15" w:type="dxa"/>
              <w:left w:w="15" w:type="dxa"/>
              <w:bottom w:w="0" w:type="dxa"/>
              <w:right w:w="15" w:type="dxa"/>
            </w:tcMar>
            <w:vAlign w:val="center"/>
          </w:tcPr>
          <w:p>
            <w:pPr>
              <w:pStyle w:val="63"/>
            </w:pPr>
            <w:r>
              <w:rPr>
                <w:rFonts w:hint="eastAsia"/>
              </w:rPr>
              <w:t>焦油</w:t>
            </w:r>
          </w:p>
        </w:tc>
        <w:tc>
          <w:tcPr>
            <w:tcW w:w="1280" w:type="dxa"/>
            <w:shd w:val="clear" w:color="auto" w:fill="auto"/>
            <w:tcMar>
              <w:top w:w="15" w:type="dxa"/>
              <w:left w:w="15" w:type="dxa"/>
              <w:bottom w:w="0" w:type="dxa"/>
              <w:right w:w="15" w:type="dxa"/>
            </w:tcMar>
            <w:vAlign w:val="center"/>
          </w:tcPr>
          <w:p>
            <w:pPr>
              <w:pStyle w:val="63"/>
            </w:pPr>
            <w:r>
              <w:rPr>
                <w:rFonts w:hint="eastAsia"/>
              </w:rPr>
              <w:t>3 个 30m3储罐</w:t>
            </w:r>
          </w:p>
        </w:tc>
        <w:tc>
          <w:tcPr>
            <w:tcW w:w="1080" w:type="dxa"/>
            <w:shd w:val="clear" w:color="auto" w:fill="auto"/>
            <w:tcMar>
              <w:top w:w="15" w:type="dxa"/>
              <w:left w:w="15" w:type="dxa"/>
              <w:bottom w:w="0" w:type="dxa"/>
              <w:right w:w="15" w:type="dxa"/>
            </w:tcMar>
            <w:vAlign w:val="center"/>
          </w:tcPr>
          <w:p>
            <w:pPr>
              <w:pStyle w:val="63"/>
            </w:pPr>
            <w:r>
              <w:rPr>
                <w:rFonts w:hint="eastAsia"/>
              </w:rPr>
              <w:t>500</w:t>
            </w:r>
          </w:p>
        </w:tc>
        <w:tc>
          <w:tcPr>
            <w:tcW w:w="7600" w:type="dxa"/>
            <w:shd w:val="clear" w:color="auto" w:fill="auto"/>
            <w:tcMar>
              <w:top w:w="15" w:type="dxa"/>
              <w:left w:w="15" w:type="dxa"/>
              <w:bottom w:w="0" w:type="dxa"/>
              <w:right w:w="15" w:type="dxa"/>
            </w:tcMar>
            <w:vAlign w:val="center"/>
          </w:tcPr>
          <w:p>
            <w:pPr>
              <w:pStyle w:val="63"/>
            </w:pPr>
            <w:r>
              <w:rPr>
                <w:rFonts w:hint="eastAsia"/>
              </w:rPr>
              <w:t>物化性质同上</w:t>
            </w:r>
          </w:p>
        </w:tc>
        <w:tc>
          <w:tcPr>
            <w:tcW w:w="1120" w:type="dxa"/>
            <w:shd w:val="clear" w:color="auto" w:fill="auto"/>
            <w:tcMar>
              <w:top w:w="15" w:type="dxa"/>
              <w:left w:w="15" w:type="dxa"/>
              <w:bottom w:w="0" w:type="dxa"/>
              <w:right w:w="15" w:type="dxa"/>
            </w:tcMar>
            <w:vAlign w:val="center"/>
          </w:tcPr>
          <w:p>
            <w:pPr>
              <w:pStyle w:val="63"/>
            </w:pPr>
            <w:r>
              <w:rPr>
                <w:rFonts w:hint="eastAsia"/>
              </w:rPr>
              <w:t>2500</w:t>
            </w:r>
          </w:p>
        </w:tc>
        <w:tc>
          <w:tcPr>
            <w:tcW w:w="1180" w:type="dxa"/>
            <w:shd w:val="clear" w:color="auto" w:fill="auto"/>
            <w:tcMar>
              <w:top w:w="15" w:type="dxa"/>
              <w:left w:w="15" w:type="dxa"/>
              <w:bottom w:w="0" w:type="dxa"/>
              <w:right w:w="15" w:type="dxa"/>
            </w:tcMar>
            <w:vAlign w:val="center"/>
          </w:tcPr>
          <w:p>
            <w:pPr>
              <w:pStyle w:val="63"/>
            </w:pPr>
            <w:r>
              <w:rPr>
                <w:rFonts w:hint="eastAsia"/>
              </w:rPr>
              <w:t>0.2</w:t>
            </w:r>
          </w:p>
        </w:tc>
        <w:tc>
          <w:tcPr>
            <w:tcW w:w="1080" w:type="dxa"/>
            <w:shd w:val="clear" w:color="auto" w:fill="auto"/>
            <w:tcMar>
              <w:top w:w="15" w:type="dxa"/>
              <w:left w:w="15" w:type="dxa"/>
              <w:bottom w:w="0" w:type="dxa"/>
              <w:right w:w="15" w:type="dxa"/>
            </w:tcMar>
            <w:vAlign w:val="center"/>
          </w:tcPr>
          <w:p>
            <w:pPr>
              <w:pStyle w:val="63"/>
            </w:pPr>
            <w:r>
              <w:rPr>
                <w:rFonts w:hint="eastAsia"/>
              </w:rPr>
              <w:t>　</w:t>
            </w:r>
          </w:p>
        </w:tc>
      </w:tr>
    </w:tbl>
    <w:p>
      <w:pPr>
        <w:spacing w:line="360" w:lineRule="auto"/>
        <w:ind w:firstLine="488" w:firstLineChars="200"/>
        <w:rPr>
          <w:rFonts w:ascii="Times New Roman" w:hAnsi="Times New Roman" w:cs="Times New Roman"/>
        </w:rPr>
        <w:sectPr>
          <w:pgSz w:w="16838" w:h="11906" w:orient="landscape"/>
          <w:pgMar w:top="1418" w:right="1418" w:bottom="1701" w:left="1418" w:header="851" w:footer="992" w:gutter="0"/>
          <w:cols w:space="425" w:num="1"/>
          <w:docGrid w:type="linesAndChars" w:linePitch="326" w:charSpace="915"/>
        </w:sectPr>
      </w:pPr>
    </w:p>
    <w:p>
      <w:pPr>
        <w:spacing w:line="360" w:lineRule="auto"/>
        <w:ind w:firstLine="480" w:firstLineChars="200"/>
        <w:rPr>
          <w:rFonts w:ascii="Times New Roman" w:hAnsi="Times New Roman" w:cs="Times New Roman"/>
        </w:rPr>
      </w:pPr>
      <w:r>
        <w:rPr>
          <w:rFonts w:ascii="Times New Roman" w:hAnsi="Times New Roman" w:cs="Times New Roman"/>
        </w:rPr>
        <w:t>（2）园区环境风险受体</w:t>
      </w:r>
    </w:p>
    <w:p>
      <w:pPr>
        <w:spacing w:line="360" w:lineRule="auto"/>
        <w:ind w:firstLine="480" w:firstLineChars="200"/>
        <w:rPr>
          <w:rFonts w:ascii="Times New Roman" w:hAnsi="Times New Roman" w:cs="Times New Roman"/>
        </w:rPr>
      </w:pPr>
      <w:r>
        <w:rPr>
          <w:rFonts w:ascii="Times New Roman" w:hAnsi="Times New Roman" w:cs="Times New Roman"/>
        </w:rPr>
        <w:t>园区大气环境环境风险受体主要是园区及园区周边村庄居民区</w:t>
      </w:r>
      <w:r>
        <w:rPr>
          <w:rFonts w:hint="eastAsia" w:ascii="Times New Roman" w:hAnsi="Times New Roman" w:cs="Times New Roman"/>
        </w:rPr>
        <w:t>、住宅、学校和医院</w:t>
      </w:r>
      <w:r>
        <w:rPr>
          <w:rFonts w:ascii="Times New Roman" w:hAnsi="Times New Roman" w:cs="Times New Roman"/>
        </w:rPr>
        <w:t>，地表水环境风险受体主要是</w:t>
      </w:r>
      <w:r>
        <w:rPr>
          <w:rFonts w:hint="eastAsia" w:ascii="Times New Roman" w:hAnsi="Times New Roman" w:cs="Times New Roman"/>
        </w:rPr>
        <w:t>长江</w:t>
      </w:r>
      <w:r>
        <w:rPr>
          <w:rFonts w:ascii="Times New Roman" w:hAnsi="Times New Roman" w:cs="Times New Roman"/>
        </w:rPr>
        <w:t>(</w:t>
      </w:r>
      <w:r>
        <w:rPr>
          <w:rFonts w:hint="eastAsia" w:ascii="Times New Roman" w:hAnsi="Times New Roman" w:cs="Times New Roman"/>
        </w:rPr>
        <w:t>城陵矶至黄盖湖段</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长安河</w:t>
      </w:r>
      <w:r>
        <w:rPr>
          <w:rFonts w:hint="eastAsia" w:ascii="Times New Roman" w:hAnsi="Times New Roman" w:cs="Times New Roman"/>
        </w:rPr>
        <w:t>、洋溪湖、冶湖及规划区内水渠</w:t>
      </w:r>
      <w:r>
        <w:rPr>
          <w:rFonts w:ascii="Times New Roman" w:hAnsi="Times New Roman" w:cs="Times New Roman"/>
        </w:rPr>
        <w:t>。园区周边环境风险受体情况具体见表1.6-1~</w:t>
      </w:r>
      <w:r>
        <w:rPr>
          <w:rFonts w:hint="eastAsia" w:ascii="Times New Roman" w:hAnsi="Times New Roman" w:cs="Times New Roman"/>
        </w:rPr>
        <w:t>5</w:t>
      </w:r>
      <w:r>
        <w:rPr>
          <w:rFonts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（3）已发生的环境风险事故</w:t>
      </w:r>
    </w:p>
    <w:p>
      <w:pPr>
        <w:spacing w:line="360" w:lineRule="auto"/>
        <w:ind w:firstLine="480" w:firstLineChars="200"/>
        <w:rPr>
          <w:rFonts w:ascii="Times New Roman" w:hAnsi="Times New Roman" w:cs="Times New Roman"/>
        </w:rPr>
      </w:pPr>
      <w:r>
        <w:rPr>
          <w:rFonts w:ascii="Times New Roman" w:hAnsi="Times New Roman" w:cs="Times New Roman"/>
        </w:rPr>
        <w:t>至今为止，园区未发生重特大环境污染事件或存在被省级以上环境主管部门通报的突出环境安全隐患，也未出现区域限批、挂牌督办、约谈、中央及省级环保督查反馈问题不力等情况。</w:t>
      </w:r>
    </w:p>
    <w:p>
      <w:pPr>
        <w:spacing w:line="360" w:lineRule="auto"/>
        <w:ind w:firstLine="480" w:firstLineChars="200"/>
        <w:rPr>
          <w:rFonts w:ascii="Times New Roman" w:hAnsi="Times New Roman" w:cs="Times New Roman"/>
        </w:rPr>
      </w:pPr>
      <w:r>
        <w:rPr>
          <w:rFonts w:ascii="Times New Roman" w:hAnsi="Times New Roman" w:cs="Times New Roman"/>
        </w:rPr>
        <w:t>（4）风险防范措施落实情况</w:t>
      </w:r>
    </w:p>
    <w:p>
      <w:pPr>
        <w:spacing w:line="360" w:lineRule="auto"/>
        <w:ind w:firstLine="480" w:firstLineChars="200"/>
        <w:rPr>
          <w:rFonts w:ascii="Times New Roman" w:hAnsi="Times New Roman" w:cs="Times New Roman"/>
        </w:rPr>
      </w:pPr>
      <w:r>
        <w:rPr>
          <w:rFonts w:ascii="Times New Roman" w:hAnsi="Times New Roman" w:cs="Times New Roman"/>
        </w:rPr>
        <w:t>2022年，园区管委会组织编制了</w:t>
      </w:r>
      <w:r>
        <w:rPr>
          <w:rFonts w:hint="eastAsia" w:ascii="Times New Roman" w:hAnsi="Times New Roman" w:cs="Times New Roman"/>
        </w:rPr>
        <w:t>临湘高新区突发环境事件应急预案，</w:t>
      </w:r>
      <w:r>
        <w:rPr>
          <w:rFonts w:ascii="Times New Roman" w:hAnsi="Times New Roman" w:cs="Times New Roman"/>
        </w:rPr>
        <w:t>已完成生态环境部门备案。园区和企业突发环境应急预案中的风险防范措施落实情况见下表。</w:t>
      </w:r>
    </w:p>
    <w:p>
      <w:pPr>
        <w:pStyle w:val="6"/>
        <w:rPr>
          <w:rFonts w:ascii="Times New Roman" w:hAnsi="Times New Roman" w:cs="Times New Roman"/>
        </w:rPr>
      </w:pPr>
      <w:r>
        <w:rPr>
          <w:rFonts w:ascii="Times New Roman" w:hAnsi="Times New Roman" w:cs="Times New Roman"/>
        </w:rPr>
        <w:t>表2.2-</w:t>
      </w:r>
      <w:r>
        <w:rPr>
          <w:rFonts w:hint="eastAsia" w:ascii="Times New Roman" w:hAnsi="Times New Roman" w:cs="Times New Roman"/>
        </w:rPr>
        <w:t>1</w:t>
      </w:r>
      <w:r>
        <w:rPr>
          <w:rFonts w:ascii="Times New Roman" w:hAnsi="Times New Roman" w:cs="Times New Roman"/>
        </w:rPr>
        <w:t>3 园区风险防范措施落实情况</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20"/>
        <w:gridCol w:w="924"/>
        <w:gridCol w:w="4012"/>
        <w:gridCol w:w="1250"/>
        <w:gridCol w:w="22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89" w:type="pct"/>
            <w:vAlign w:val="center"/>
          </w:tcPr>
          <w:p>
            <w:pPr>
              <w:pStyle w:val="63"/>
              <w:rPr>
                <w:rFonts w:eastAsiaTheme="minorEastAsia"/>
                <w:szCs w:val="21"/>
              </w:rPr>
            </w:pPr>
            <w:r>
              <w:rPr>
                <w:rFonts w:eastAsiaTheme="minorEastAsia"/>
                <w:szCs w:val="21"/>
              </w:rPr>
              <w:t>序号</w:t>
            </w:r>
          </w:p>
        </w:tc>
        <w:tc>
          <w:tcPr>
            <w:tcW w:w="513" w:type="pct"/>
            <w:vAlign w:val="center"/>
          </w:tcPr>
          <w:p>
            <w:pPr>
              <w:pStyle w:val="63"/>
              <w:rPr>
                <w:rFonts w:eastAsiaTheme="minorEastAsia"/>
                <w:szCs w:val="21"/>
              </w:rPr>
            </w:pPr>
            <w:r>
              <w:rPr>
                <w:rFonts w:eastAsiaTheme="minorEastAsia"/>
                <w:szCs w:val="21"/>
              </w:rPr>
              <w:t>差距内容</w:t>
            </w:r>
          </w:p>
        </w:tc>
        <w:tc>
          <w:tcPr>
            <w:tcW w:w="2228" w:type="pct"/>
            <w:vAlign w:val="center"/>
          </w:tcPr>
          <w:p>
            <w:pPr>
              <w:pStyle w:val="63"/>
              <w:rPr>
                <w:rFonts w:eastAsiaTheme="minorEastAsia"/>
                <w:szCs w:val="21"/>
              </w:rPr>
            </w:pPr>
            <w:r>
              <w:rPr>
                <w:rFonts w:eastAsiaTheme="minorEastAsia"/>
                <w:szCs w:val="21"/>
              </w:rPr>
              <w:t>整改建议</w:t>
            </w:r>
          </w:p>
        </w:tc>
        <w:tc>
          <w:tcPr>
            <w:tcW w:w="694" w:type="pct"/>
            <w:vAlign w:val="center"/>
          </w:tcPr>
          <w:p>
            <w:pPr>
              <w:pStyle w:val="63"/>
              <w:rPr>
                <w:rFonts w:eastAsiaTheme="minorEastAsia"/>
                <w:szCs w:val="21"/>
              </w:rPr>
            </w:pPr>
            <w:r>
              <w:rPr>
                <w:rFonts w:eastAsiaTheme="minorEastAsia"/>
                <w:szCs w:val="21"/>
              </w:rPr>
              <w:t>责任单位</w:t>
            </w:r>
          </w:p>
        </w:tc>
        <w:tc>
          <w:tcPr>
            <w:tcW w:w="1276" w:type="pct"/>
            <w:vAlign w:val="center"/>
          </w:tcPr>
          <w:p>
            <w:pPr>
              <w:pStyle w:val="63"/>
              <w:rPr>
                <w:rFonts w:eastAsiaTheme="minorEastAsia"/>
                <w:szCs w:val="21"/>
              </w:rPr>
            </w:pPr>
            <w:r>
              <w:rPr>
                <w:rFonts w:eastAsiaTheme="minorEastAsia"/>
                <w:szCs w:val="21"/>
              </w:rPr>
              <w:t>落实情况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000" w:type="pct"/>
            <w:gridSpan w:val="5"/>
            <w:vAlign w:val="center"/>
          </w:tcPr>
          <w:p>
            <w:pPr>
              <w:pStyle w:val="63"/>
              <w:rPr>
                <w:rFonts w:eastAsiaTheme="minorEastAsia"/>
                <w:szCs w:val="21"/>
              </w:rPr>
            </w:pPr>
            <w:r>
              <w:rPr>
                <w:rFonts w:eastAsiaTheme="minorEastAsia"/>
                <w:szCs w:val="21"/>
              </w:rPr>
              <w:t>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89" w:type="pct"/>
            <w:vAlign w:val="center"/>
          </w:tcPr>
          <w:p>
            <w:pPr>
              <w:pStyle w:val="63"/>
              <w:rPr>
                <w:rFonts w:eastAsiaTheme="minorEastAsia"/>
                <w:szCs w:val="21"/>
              </w:rPr>
            </w:pPr>
            <w:r>
              <w:rPr>
                <w:rFonts w:eastAsiaTheme="minorEastAsia"/>
                <w:szCs w:val="21"/>
              </w:rPr>
              <w:t>1</w:t>
            </w:r>
          </w:p>
        </w:tc>
        <w:tc>
          <w:tcPr>
            <w:tcW w:w="513" w:type="pct"/>
            <w:vAlign w:val="center"/>
          </w:tcPr>
          <w:p>
            <w:pPr>
              <w:pStyle w:val="63"/>
              <w:rPr>
                <w:rFonts w:eastAsiaTheme="minorEastAsia"/>
                <w:szCs w:val="21"/>
              </w:rPr>
            </w:pPr>
            <w:r>
              <w:rPr>
                <w:rFonts w:hint="eastAsia" w:eastAsiaTheme="minorEastAsia"/>
                <w:color w:val="000000"/>
                <w:szCs w:val="21"/>
              </w:rPr>
              <w:t>管理制度</w:t>
            </w:r>
          </w:p>
        </w:tc>
        <w:tc>
          <w:tcPr>
            <w:tcW w:w="2228" w:type="pct"/>
            <w:vAlign w:val="center"/>
          </w:tcPr>
          <w:p>
            <w:pPr>
              <w:pStyle w:val="63"/>
              <w:rPr>
                <w:rFonts w:eastAsiaTheme="minorEastAsia"/>
                <w:szCs w:val="21"/>
              </w:rPr>
            </w:pPr>
            <w:r>
              <w:rPr>
                <w:rFonts w:hint="eastAsia" w:eastAsiaTheme="minorEastAsia"/>
                <w:szCs w:val="21"/>
              </w:rPr>
              <w:t>依托环保部门不断建立健全应急制度和环保制度</w:t>
            </w:r>
          </w:p>
        </w:tc>
        <w:tc>
          <w:tcPr>
            <w:tcW w:w="694" w:type="pct"/>
            <w:vAlign w:val="center"/>
          </w:tcPr>
          <w:p>
            <w:pPr>
              <w:pStyle w:val="63"/>
              <w:rPr>
                <w:rFonts w:eastAsiaTheme="minorEastAsia"/>
                <w:bCs/>
                <w:szCs w:val="21"/>
              </w:rPr>
            </w:pPr>
            <w:r>
              <w:rPr>
                <w:rFonts w:eastAsiaTheme="minorEastAsia"/>
                <w:bCs/>
                <w:szCs w:val="21"/>
              </w:rPr>
              <w:t>临湘高新技术产业开发区管理委员会</w:t>
            </w:r>
          </w:p>
        </w:tc>
        <w:tc>
          <w:tcPr>
            <w:tcW w:w="1276" w:type="pct"/>
            <w:vAlign w:val="center"/>
          </w:tcPr>
          <w:p>
            <w:pPr>
              <w:pStyle w:val="63"/>
              <w:rPr>
                <w:rFonts w:eastAsiaTheme="minorEastAsia"/>
                <w:szCs w:val="21"/>
              </w:rPr>
            </w:pPr>
            <w:r>
              <w:rPr>
                <w:rFonts w:eastAsiaTheme="minorEastAsia"/>
                <w:szCs w:val="21"/>
              </w:rPr>
              <w:t>已落实</w:t>
            </w:r>
            <w:r>
              <w:rPr>
                <w:rFonts w:hint="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89" w:type="pct"/>
            <w:vAlign w:val="center"/>
          </w:tcPr>
          <w:p>
            <w:pPr>
              <w:pStyle w:val="63"/>
              <w:rPr>
                <w:rFonts w:eastAsiaTheme="minorEastAsia"/>
                <w:szCs w:val="21"/>
              </w:rPr>
            </w:pPr>
            <w:r>
              <w:rPr>
                <w:rFonts w:eastAsiaTheme="minorEastAsia"/>
                <w:szCs w:val="21"/>
              </w:rPr>
              <w:t>2</w:t>
            </w:r>
          </w:p>
        </w:tc>
        <w:tc>
          <w:tcPr>
            <w:tcW w:w="513" w:type="pct"/>
            <w:vAlign w:val="center"/>
          </w:tcPr>
          <w:p>
            <w:pPr>
              <w:pStyle w:val="63"/>
              <w:rPr>
                <w:rFonts w:eastAsiaTheme="minorEastAsia"/>
                <w:szCs w:val="21"/>
              </w:rPr>
            </w:pPr>
            <w:r>
              <w:rPr>
                <w:rFonts w:hint="eastAsia" w:eastAsiaTheme="minorEastAsia"/>
                <w:color w:val="000000"/>
                <w:szCs w:val="21"/>
              </w:rPr>
              <w:t>环境管理</w:t>
            </w:r>
          </w:p>
        </w:tc>
        <w:tc>
          <w:tcPr>
            <w:tcW w:w="2228" w:type="pct"/>
            <w:vAlign w:val="center"/>
          </w:tcPr>
          <w:p>
            <w:pPr>
              <w:widowControl/>
              <w:jc w:val="left"/>
              <w:rPr>
                <w:rFonts w:ascii="宋体" w:hAnsi="宋体" w:cs="宋体"/>
                <w:kern w:val="0"/>
                <w:sz w:val="21"/>
                <w:szCs w:val="21"/>
              </w:rPr>
            </w:pPr>
            <w:r>
              <w:rPr>
                <w:rFonts w:hint="eastAsia" w:ascii="宋体" w:hAnsi="宋体" w:cs="宋体"/>
                <w:color w:val="000000"/>
                <w:kern w:val="0"/>
                <w:sz w:val="21"/>
                <w:szCs w:val="21"/>
              </w:rPr>
              <w:t>积极开展宣传，通知周边村民代表加入到应急演练当中</w:t>
            </w:r>
          </w:p>
        </w:tc>
        <w:tc>
          <w:tcPr>
            <w:tcW w:w="694" w:type="pct"/>
            <w:vAlign w:val="center"/>
          </w:tcPr>
          <w:p>
            <w:pPr>
              <w:pStyle w:val="63"/>
              <w:rPr>
                <w:rFonts w:eastAsiaTheme="minorEastAsia"/>
                <w:szCs w:val="21"/>
              </w:rPr>
            </w:pPr>
            <w:r>
              <w:rPr>
                <w:rFonts w:eastAsiaTheme="minorEastAsia"/>
                <w:szCs w:val="21"/>
              </w:rPr>
              <w:t>临湘高新技术产业开发区管理委员会</w:t>
            </w:r>
          </w:p>
        </w:tc>
        <w:tc>
          <w:tcPr>
            <w:tcW w:w="1276" w:type="pct"/>
            <w:vAlign w:val="center"/>
          </w:tcPr>
          <w:p>
            <w:pPr>
              <w:widowControl/>
              <w:jc w:val="left"/>
              <w:rPr>
                <w:rFonts w:ascii="宋体" w:hAnsi="宋体" w:cs="宋体"/>
                <w:kern w:val="0"/>
                <w:sz w:val="21"/>
                <w:szCs w:val="21"/>
              </w:rPr>
            </w:pPr>
            <w:r>
              <w:rPr>
                <w:rFonts w:hint="eastAsia" w:ascii="Times New Roman" w:hAnsi="Times New Roman" w:cs="Times New Roman"/>
                <w:bCs/>
                <w:sz w:val="21"/>
                <w:szCs w:val="21"/>
              </w:rPr>
              <w:t>未落实，6月22日组织的应急演练未通知周边村民参加。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89" w:type="pct"/>
            <w:vAlign w:val="center"/>
          </w:tcPr>
          <w:p>
            <w:pPr>
              <w:pStyle w:val="63"/>
              <w:rPr>
                <w:rFonts w:eastAsiaTheme="minorEastAsia"/>
                <w:szCs w:val="21"/>
              </w:rPr>
            </w:pPr>
            <w:r>
              <w:rPr>
                <w:rFonts w:eastAsiaTheme="minorEastAsia"/>
                <w:szCs w:val="21"/>
              </w:rPr>
              <w:t>3</w:t>
            </w:r>
          </w:p>
        </w:tc>
        <w:tc>
          <w:tcPr>
            <w:tcW w:w="513" w:type="pct"/>
            <w:vMerge w:val="restart"/>
            <w:vAlign w:val="center"/>
          </w:tcPr>
          <w:p>
            <w:pPr>
              <w:pStyle w:val="63"/>
              <w:rPr>
                <w:rFonts w:eastAsiaTheme="minorEastAsia"/>
                <w:szCs w:val="21"/>
              </w:rPr>
            </w:pPr>
            <w:r>
              <w:rPr>
                <w:rFonts w:hint="eastAsia" w:eastAsiaTheme="minorEastAsia"/>
                <w:szCs w:val="21"/>
              </w:rPr>
              <w:t>风险应急措施</w:t>
            </w:r>
          </w:p>
        </w:tc>
        <w:tc>
          <w:tcPr>
            <w:tcW w:w="2228" w:type="pct"/>
            <w:vAlign w:val="center"/>
          </w:tcPr>
          <w:p>
            <w:pPr>
              <w:pStyle w:val="63"/>
              <w:rPr>
                <w:rFonts w:eastAsiaTheme="minorEastAsia"/>
                <w:szCs w:val="21"/>
              </w:rPr>
            </w:pPr>
            <w:r>
              <w:rPr>
                <w:rFonts w:hint="eastAsia" w:eastAsiaTheme="minorEastAsia"/>
                <w:szCs w:val="21"/>
              </w:rPr>
              <w:t>建设园区专用应急物资库，并按照应急物资清单补充应急物资</w:t>
            </w:r>
          </w:p>
        </w:tc>
        <w:tc>
          <w:tcPr>
            <w:tcW w:w="694" w:type="pct"/>
            <w:vAlign w:val="center"/>
          </w:tcPr>
          <w:p>
            <w:pPr>
              <w:pStyle w:val="63"/>
              <w:rPr>
                <w:rFonts w:eastAsiaTheme="minorEastAsia"/>
                <w:szCs w:val="21"/>
              </w:rPr>
            </w:pPr>
            <w:r>
              <w:rPr>
                <w:rFonts w:eastAsiaTheme="minorEastAsia"/>
                <w:szCs w:val="21"/>
              </w:rPr>
              <w:t>临湘高新技术产业开发区管理委员会</w:t>
            </w:r>
          </w:p>
        </w:tc>
        <w:tc>
          <w:tcPr>
            <w:tcW w:w="1276" w:type="pct"/>
            <w:vAlign w:val="center"/>
          </w:tcPr>
          <w:p>
            <w:pPr>
              <w:pStyle w:val="63"/>
              <w:rPr>
                <w:rFonts w:eastAsiaTheme="minorEastAsia"/>
                <w:szCs w:val="21"/>
              </w:rPr>
            </w:pPr>
            <w:r>
              <w:rPr>
                <w:rFonts w:eastAsiaTheme="minorEastAsia"/>
                <w:szCs w:val="21"/>
              </w:rPr>
              <w:t>已落实。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89" w:type="pct"/>
            <w:vAlign w:val="center"/>
          </w:tcPr>
          <w:p>
            <w:pPr>
              <w:pStyle w:val="63"/>
              <w:rPr>
                <w:rFonts w:eastAsiaTheme="minorEastAsia"/>
                <w:szCs w:val="21"/>
              </w:rPr>
            </w:pPr>
            <w:r>
              <w:rPr>
                <w:rFonts w:hint="eastAsia" w:eastAsiaTheme="minorEastAsia"/>
                <w:szCs w:val="21"/>
              </w:rPr>
              <w:t>4</w:t>
            </w:r>
          </w:p>
        </w:tc>
        <w:tc>
          <w:tcPr>
            <w:tcW w:w="513" w:type="pct"/>
            <w:vMerge w:val="continue"/>
            <w:vAlign w:val="center"/>
          </w:tcPr>
          <w:p>
            <w:pPr>
              <w:pStyle w:val="63"/>
              <w:rPr>
                <w:rFonts w:eastAsiaTheme="minorEastAsia"/>
                <w:szCs w:val="21"/>
              </w:rPr>
            </w:pPr>
          </w:p>
        </w:tc>
        <w:tc>
          <w:tcPr>
            <w:tcW w:w="2228" w:type="pct"/>
            <w:vAlign w:val="center"/>
          </w:tcPr>
          <w:p>
            <w:pPr>
              <w:pStyle w:val="63"/>
              <w:rPr>
                <w:rFonts w:eastAsiaTheme="minorEastAsia"/>
                <w:szCs w:val="21"/>
              </w:rPr>
            </w:pPr>
            <w:r>
              <w:rPr>
                <w:rFonts w:hint="eastAsia" w:eastAsiaTheme="minorEastAsia"/>
                <w:szCs w:val="21"/>
              </w:rPr>
              <w:t>滨江产业区化工企业建设‘一企一管’排污管网，园区深水海纳污水处理厂改造后出水水质标准由《城镇污水处理厂污染物排放标准》（</w:t>
            </w:r>
            <w:r>
              <w:rPr>
                <w:rFonts w:eastAsiaTheme="minorEastAsia"/>
                <w:szCs w:val="21"/>
              </w:rPr>
              <w:t>GB18918-2002</w:t>
            </w:r>
            <w:r>
              <w:rPr>
                <w:rFonts w:hint="eastAsia" w:eastAsiaTheme="minorEastAsia"/>
                <w:szCs w:val="21"/>
              </w:rPr>
              <w:t>）一级</w:t>
            </w:r>
            <w:r>
              <w:rPr>
                <w:rFonts w:eastAsiaTheme="minorEastAsia"/>
                <w:szCs w:val="21"/>
              </w:rPr>
              <w:t>B</w:t>
            </w:r>
            <w:r>
              <w:rPr>
                <w:rFonts w:hint="eastAsia" w:eastAsiaTheme="minorEastAsia"/>
                <w:szCs w:val="21"/>
              </w:rPr>
              <w:t xml:space="preserve">标准提高到一级 </w:t>
            </w:r>
            <w:r>
              <w:rPr>
                <w:rFonts w:eastAsiaTheme="minorEastAsia"/>
                <w:szCs w:val="21"/>
              </w:rPr>
              <w:t xml:space="preserve">A </w:t>
            </w:r>
            <w:r>
              <w:rPr>
                <w:rFonts w:hint="eastAsia" w:eastAsiaTheme="minorEastAsia"/>
                <w:szCs w:val="21"/>
              </w:rPr>
              <w:t>标准，处理后达标外排</w:t>
            </w:r>
          </w:p>
        </w:tc>
        <w:tc>
          <w:tcPr>
            <w:tcW w:w="694" w:type="pct"/>
            <w:vAlign w:val="center"/>
          </w:tcPr>
          <w:p>
            <w:pPr>
              <w:pStyle w:val="63"/>
              <w:rPr>
                <w:rFonts w:eastAsiaTheme="minorEastAsia"/>
                <w:szCs w:val="21"/>
              </w:rPr>
            </w:pPr>
            <w:r>
              <w:rPr>
                <w:rFonts w:eastAsiaTheme="minorEastAsia"/>
                <w:szCs w:val="21"/>
              </w:rPr>
              <w:t>临湘高新技术产业开发区管理委员会</w:t>
            </w:r>
          </w:p>
        </w:tc>
        <w:tc>
          <w:tcPr>
            <w:tcW w:w="1276" w:type="pct"/>
            <w:vAlign w:val="center"/>
          </w:tcPr>
          <w:p>
            <w:pPr>
              <w:pStyle w:val="63"/>
              <w:rPr>
                <w:rFonts w:eastAsiaTheme="minorEastAsia"/>
                <w:szCs w:val="21"/>
              </w:rPr>
            </w:pPr>
            <w:r>
              <w:rPr>
                <w:rFonts w:eastAsiaTheme="minorEastAsia"/>
                <w:szCs w:val="21"/>
              </w:rPr>
              <w:t>已落实。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89" w:type="pct"/>
            <w:vAlign w:val="center"/>
          </w:tcPr>
          <w:p>
            <w:pPr>
              <w:pStyle w:val="63"/>
              <w:rPr>
                <w:rFonts w:eastAsiaTheme="minorEastAsia"/>
                <w:szCs w:val="21"/>
              </w:rPr>
            </w:pPr>
            <w:r>
              <w:rPr>
                <w:rFonts w:hint="eastAsia" w:eastAsiaTheme="minorEastAsia"/>
                <w:szCs w:val="21"/>
              </w:rPr>
              <w:t>5</w:t>
            </w:r>
          </w:p>
        </w:tc>
        <w:tc>
          <w:tcPr>
            <w:tcW w:w="513" w:type="pct"/>
            <w:vMerge w:val="continue"/>
            <w:vAlign w:val="center"/>
          </w:tcPr>
          <w:p>
            <w:pPr>
              <w:pStyle w:val="63"/>
              <w:rPr>
                <w:rFonts w:eastAsiaTheme="minorEastAsia"/>
                <w:szCs w:val="21"/>
              </w:rPr>
            </w:pPr>
          </w:p>
        </w:tc>
        <w:tc>
          <w:tcPr>
            <w:tcW w:w="2228" w:type="pct"/>
            <w:vAlign w:val="center"/>
          </w:tcPr>
          <w:p>
            <w:pPr>
              <w:pStyle w:val="63"/>
              <w:rPr>
                <w:rFonts w:eastAsiaTheme="minorEastAsia"/>
                <w:szCs w:val="21"/>
              </w:rPr>
            </w:pPr>
            <w:r>
              <w:rPr>
                <w:rFonts w:hint="eastAsia" w:eastAsiaTheme="minorEastAsia"/>
                <w:szCs w:val="21"/>
              </w:rPr>
              <w:t>新建容积不小于</w:t>
            </w:r>
            <w:r>
              <w:rPr>
                <w:rFonts w:eastAsiaTheme="minorEastAsia"/>
                <w:szCs w:val="21"/>
              </w:rPr>
              <w:t>10000m</w:t>
            </w:r>
            <w:r>
              <w:rPr>
                <w:rFonts w:eastAsiaTheme="minorEastAsia"/>
                <w:szCs w:val="21"/>
                <w:vertAlign w:val="superscript"/>
              </w:rPr>
              <w:t>3</w:t>
            </w:r>
            <w:r>
              <w:rPr>
                <w:rFonts w:hint="eastAsia" w:eastAsiaTheme="minorEastAsia"/>
                <w:szCs w:val="21"/>
              </w:rPr>
              <w:t>的初期雨水收集池，并进行防渗处理</w:t>
            </w:r>
          </w:p>
        </w:tc>
        <w:tc>
          <w:tcPr>
            <w:tcW w:w="694" w:type="pct"/>
            <w:vAlign w:val="center"/>
          </w:tcPr>
          <w:p>
            <w:pPr>
              <w:pStyle w:val="63"/>
              <w:rPr>
                <w:rFonts w:eastAsiaTheme="minorEastAsia"/>
                <w:szCs w:val="21"/>
              </w:rPr>
            </w:pPr>
            <w:r>
              <w:rPr>
                <w:rFonts w:eastAsiaTheme="minorEastAsia"/>
                <w:szCs w:val="21"/>
              </w:rPr>
              <w:t>临湘高新技术产业开发区管理委员会</w:t>
            </w:r>
          </w:p>
        </w:tc>
        <w:tc>
          <w:tcPr>
            <w:tcW w:w="1276" w:type="pct"/>
            <w:vAlign w:val="center"/>
          </w:tcPr>
          <w:p>
            <w:pPr>
              <w:pStyle w:val="63"/>
              <w:rPr>
                <w:rFonts w:eastAsiaTheme="minorEastAsia"/>
                <w:szCs w:val="21"/>
              </w:rPr>
            </w:pPr>
            <w:r>
              <w:rPr>
                <w:rFonts w:eastAsiaTheme="minorEastAsia"/>
                <w:szCs w:val="21"/>
              </w:rPr>
              <w:t>已落实。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000" w:type="pct"/>
            <w:gridSpan w:val="5"/>
            <w:vAlign w:val="center"/>
          </w:tcPr>
          <w:p>
            <w:pPr>
              <w:pStyle w:val="63"/>
              <w:rPr>
                <w:rFonts w:eastAsiaTheme="minorEastAsia"/>
                <w:szCs w:val="21"/>
              </w:rPr>
            </w:pPr>
            <w:r>
              <w:rPr>
                <w:rFonts w:eastAsiaTheme="minorEastAsia"/>
                <w:szCs w:val="21"/>
              </w:rPr>
              <w:t>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89" w:type="pct"/>
            <w:vAlign w:val="center"/>
          </w:tcPr>
          <w:p>
            <w:pPr>
              <w:pStyle w:val="63"/>
              <w:rPr>
                <w:rFonts w:eastAsiaTheme="minorEastAsia"/>
                <w:szCs w:val="21"/>
              </w:rPr>
            </w:pPr>
            <w:r>
              <w:rPr>
                <w:rFonts w:eastAsiaTheme="minorEastAsia"/>
                <w:szCs w:val="21"/>
              </w:rPr>
              <w:t>1</w:t>
            </w:r>
          </w:p>
        </w:tc>
        <w:tc>
          <w:tcPr>
            <w:tcW w:w="513" w:type="pct"/>
            <w:vAlign w:val="center"/>
          </w:tcPr>
          <w:p>
            <w:pPr>
              <w:pStyle w:val="63"/>
              <w:rPr>
                <w:rFonts w:eastAsiaTheme="minorEastAsia"/>
                <w:szCs w:val="21"/>
              </w:rPr>
            </w:pPr>
            <w:r>
              <w:rPr>
                <w:rFonts w:eastAsiaTheme="minorEastAsia"/>
                <w:szCs w:val="21"/>
              </w:rPr>
              <w:t>应急预案</w:t>
            </w:r>
          </w:p>
        </w:tc>
        <w:tc>
          <w:tcPr>
            <w:tcW w:w="2228" w:type="pct"/>
            <w:vAlign w:val="center"/>
          </w:tcPr>
          <w:p>
            <w:pPr>
              <w:pStyle w:val="63"/>
              <w:rPr>
                <w:rFonts w:eastAsiaTheme="minorEastAsia"/>
                <w:szCs w:val="21"/>
              </w:rPr>
            </w:pPr>
            <w:r>
              <w:rPr>
                <w:rFonts w:hint="eastAsia" w:eastAsiaTheme="minorEastAsia"/>
                <w:szCs w:val="21"/>
              </w:rPr>
              <w:t>园区管委会应督促未编制突发环境事件应急预案的企业尽快完成备案。</w:t>
            </w:r>
          </w:p>
        </w:tc>
        <w:tc>
          <w:tcPr>
            <w:tcW w:w="694" w:type="pct"/>
            <w:vAlign w:val="center"/>
          </w:tcPr>
          <w:p>
            <w:pPr>
              <w:pStyle w:val="63"/>
              <w:rPr>
                <w:rFonts w:eastAsiaTheme="minorEastAsia"/>
                <w:szCs w:val="21"/>
              </w:rPr>
            </w:pPr>
            <w:r>
              <w:rPr>
                <w:rFonts w:eastAsiaTheme="minorEastAsia"/>
                <w:szCs w:val="21"/>
              </w:rPr>
              <w:t>各涉风险物质企业</w:t>
            </w:r>
          </w:p>
        </w:tc>
        <w:tc>
          <w:tcPr>
            <w:tcW w:w="1276" w:type="pct"/>
            <w:vAlign w:val="center"/>
          </w:tcPr>
          <w:p>
            <w:pPr>
              <w:pStyle w:val="63"/>
              <w:rPr>
                <w:rFonts w:eastAsiaTheme="minorEastAsia"/>
                <w:szCs w:val="21"/>
              </w:rPr>
            </w:pPr>
            <w:r>
              <w:rPr>
                <w:rFonts w:hint="eastAsia" w:eastAsiaTheme="minorEastAsia"/>
                <w:szCs w:val="21"/>
              </w:rPr>
              <w:t>基本落实，重大风险企业已全部编制应急预案，但个别企业编制时间已超过三年，正在进行修编。</w:t>
            </w:r>
          </w:p>
        </w:tc>
      </w:tr>
      <w:bookmarkEnd w:id="70"/>
      <w:bookmarkEnd w:id="71"/>
      <w:bookmarkEnd w:id="72"/>
    </w:tbl>
    <w:p>
      <w:pPr>
        <w:pStyle w:val="4"/>
        <w:rPr>
          <w:rFonts w:ascii="Times New Roman" w:hAnsi="Times New Roman" w:cs="Times New Roman"/>
        </w:rPr>
      </w:pPr>
      <w:bookmarkStart w:id="89" w:name="_Toc113460738"/>
      <w:bookmarkStart w:id="90" w:name="_Toc134088446"/>
      <w:bookmarkStart w:id="91" w:name="_Toc146091886"/>
      <w:bookmarkStart w:id="92" w:name="_Toc82606961"/>
      <w:bookmarkStart w:id="93" w:name="_Toc54516684"/>
      <w:bookmarkStart w:id="94" w:name="_Toc56066048"/>
      <w:bookmarkStart w:id="95" w:name="_Toc50625263"/>
      <w:bookmarkStart w:id="96" w:name="_Toc50966743"/>
      <w:bookmarkStart w:id="97" w:name="_Toc72263586"/>
      <w:r>
        <w:rPr>
          <w:rFonts w:ascii="Times New Roman" w:hAnsi="Times New Roman" w:cs="Times New Roman"/>
        </w:rPr>
        <w:t>2.2.9 资源利用现状评价</w:t>
      </w:r>
      <w:bookmarkEnd w:id="89"/>
      <w:bookmarkEnd w:id="90"/>
      <w:bookmarkEnd w:id="91"/>
    </w:p>
    <w:p>
      <w:pPr>
        <w:pStyle w:val="5"/>
        <w:ind w:firstLine="482"/>
        <w:rPr>
          <w:rFonts w:ascii="Times New Roman" w:hAnsi="Times New Roman" w:cs="Times New Roman"/>
        </w:rPr>
      </w:pPr>
      <w:r>
        <w:rPr>
          <w:rFonts w:ascii="Times New Roman" w:hAnsi="Times New Roman" w:cs="Times New Roman"/>
        </w:rPr>
        <w:t>2.2.9.1 三湾片区</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（1）土地资源利用规划及实际开发情况</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截止2022年11月，园区共入驻企业55家，其中正常生产企业数量51家，已停产或退出企业数量4家。入园企业总用地面积约3.051km</w:t>
      </w:r>
      <w:r>
        <w:rPr>
          <w:rFonts w:ascii="Times New Roman" w:hAnsi="Times New Roman" w:cs="Times New Roman"/>
          <w:highlight w:val="yellow"/>
          <w:vertAlign w:val="superscript"/>
        </w:rPr>
        <w:t>2</w:t>
      </w:r>
      <w:r>
        <w:rPr>
          <w:rFonts w:ascii="Times New Roman" w:hAnsi="Times New Roman" w:cs="Times New Roman"/>
          <w:highlight w:val="yellow"/>
        </w:rPr>
        <w:t>（其中工业用地298.43ha，仓储物流用地6.67ha），工业园开发建设总用地面积为335.77ha，已超过临湘市工业园规划用地规模3.0km</w:t>
      </w:r>
      <w:r>
        <w:rPr>
          <w:rFonts w:ascii="Times New Roman" w:hAnsi="Times New Roman" w:cs="Times New Roman"/>
          <w:highlight w:val="yellow"/>
          <w:vertAlign w:val="superscript"/>
        </w:rPr>
        <w:t>2</w:t>
      </w:r>
      <w:r>
        <w:rPr>
          <w:rFonts w:ascii="Times New Roman" w:hAnsi="Times New Roman" w:cs="Times New Roman"/>
          <w:highlight w:val="yellow"/>
        </w:rPr>
        <w:t>，且临湘市工业园不再扩建，因此临湘市工业园规划用地已无富余。</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（2）水资源利用规划及实际消耗情况</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园区取水自城西水厂，城西水厂作为城市规划区供水水厂，城西水厂现供水能力3万m</w:t>
      </w:r>
      <w:r>
        <w:rPr>
          <w:rFonts w:ascii="Times New Roman" w:hAnsi="Times New Roman" w:cs="Times New Roman"/>
          <w:highlight w:val="yellow"/>
          <w:vertAlign w:val="superscript"/>
        </w:rPr>
        <w:t>3</w:t>
      </w:r>
      <w:r>
        <w:rPr>
          <w:rFonts w:ascii="Times New Roman" w:hAnsi="Times New Roman" w:cs="Times New Roman"/>
          <w:highlight w:val="yellow"/>
        </w:rPr>
        <w:t>/d，远期规划供水能力达到6万m</w:t>
      </w:r>
      <w:r>
        <w:rPr>
          <w:rFonts w:ascii="Times New Roman" w:hAnsi="Times New Roman" w:cs="Times New Roman"/>
          <w:highlight w:val="yellow"/>
          <w:vertAlign w:val="superscript"/>
        </w:rPr>
        <w:t>3</w:t>
      </w:r>
      <w:r>
        <w:rPr>
          <w:rFonts w:ascii="Times New Roman" w:hAnsi="Times New Roman" w:cs="Times New Roman"/>
          <w:highlight w:val="yellow"/>
        </w:rPr>
        <w:t>/d。</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根据原规划环评报告，三湾产业区2030年水资源需求为4200m</w:t>
      </w:r>
      <w:r>
        <w:rPr>
          <w:rFonts w:ascii="Times New Roman" w:hAnsi="Times New Roman" w:cs="Times New Roman"/>
          <w:highlight w:val="yellow"/>
          <w:vertAlign w:val="superscript"/>
        </w:rPr>
        <w:t>3</w:t>
      </w:r>
      <w:r>
        <w:rPr>
          <w:rFonts w:ascii="Times New Roman" w:hAnsi="Times New Roman" w:cs="Times New Roman"/>
          <w:highlight w:val="yellow"/>
        </w:rPr>
        <w:t>/d，占城西水厂规划供水能力的7%，占比较小。三湾产业区目前水资源用量为3688m</w:t>
      </w:r>
      <w:r>
        <w:rPr>
          <w:rFonts w:ascii="Times New Roman" w:hAnsi="Times New Roman" w:cs="Times New Roman"/>
          <w:highlight w:val="yellow"/>
          <w:vertAlign w:val="superscript"/>
        </w:rPr>
        <w:t>3</w:t>
      </w:r>
      <w:r>
        <w:rPr>
          <w:rFonts w:ascii="Times New Roman" w:hAnsi="Times New Roman" w:cs="Times New Roman"/>
          <w:highlight w:val="yellow"/>
        </w:rPr>
        <w:t>/d，占城西水厂规划供水能力的6.15%，小于原规划环评报告中水资源需求占比。区域水厂的供水规模可保证园区用水需求，水厂的水源产水规模远大于水厂取水量，供水水源有保障。未来的供水管网会相互贯通，形成完善的供水管网，确保经园内的企业生产、生活用水。综上所述，园区供水来源可以保证对规划区的长期用水供应，给水规划基本合理。</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（3）能源利用规划及实际消耗情况</w:t>
      </w:r>
    </w:p>
    <w:p>
      <w:pPr>
        <w:spacing w:line="360" w:lineRule="auto"/>
        <w:ind w:firstLine="480" w:firstLineChars="200"/>
        <w:rPr>
          <w:rFonts w:ascii="Times New Roman" w:hAnsi="Times New Roman" w:cs="Times New Roman"/>
          <w:highlight w:val="yellow"/>
        </w:rPr>
      </w:pPr>
      <w:r>
        <w:rPr>
          <w:rFonts w:ascii="Times New Roman" w:hAnsi="Times New Roman" w:cs="Times New Roman"/>
          <w:highlight w:val="yellow"/>
        </w:rPr>
        <w:t>原规划环评未提出总能耗指标，根据临湘高新技术产业开发区“三线一单”管控要求：加快推进清洁能源替代利用,实施能源消耗总量和强度双控行动，推进集中供热和工业余热利用；推行生物质成型燃料锅炉，鼓励发展生物天然气。园区2020年的区域综合能耗消费量预测当量值为608900吨标煤，2020年区域单位GDP能耗预测值为0.400吨标煤/万元，消耗增量当量值控制在18600吨标煤。2025年区域综合能耗消费量预测当量值为710200吨标煤，2025年区域单位GDP能耗预测值为0.326吨标煤/万元。区域十四五期间能耗消耗增量控制在101300吨标煤。</w:t>
      </w:r>
    </w:p>
    <w:p>
      <w:pPr>
        <w:spacing w:line="360" w:lineRule="auto"/>
        <w:ind w:firstLine="480" w:firstLineChars="200"/>
        <w:rPr>
          <w:rFonts w:ascii="Times New Roman" w:hAnsi="Times New Roman" w:cs="Times New Roman"/>
        </w:rPr>
      </w:pPr>
      <w:r>
        <w:rPr>
          <w:rFonts w:ascii="Times New Roman" w:hAnsi="Times New Roman" w:cs="Times New Roman"/>
          <w:highlight w:val="yellow"/>
        </w:rPr>
        <w:t>目前，三湾产业区工业用能主要为电能、燃煤、生物质燃料，区域生活用能以电能为主。2021年三湾产业区工业企业电能、燃煤、生物质燃料用量分别为1.3亿kWh/a、32万t/a、1483t/a，折算标煤后分别为16057tce、228576tce、934tce，消费比例分别为6.5%、93%、0.5%，燃煤消费比重高。三湾产业区2021年规模工业增加值为34.9亿元，总能耗为24.56万t标煤，单位地区生产总值能耗为0.7t标煤/万元，高于临湘高新技术产业开发区“三线一单”管控要求中单位地区生产总值能耗2025年预测值。</w:t>
      </w:r>
    </w:p>
    <w:p>
      <w:pPr>
        <w:pStyle w:val="5"/>
        <w:ind w:firstLine="482"/>
        <w:rPr>
          <w:rFonts w:ascii="Times New Roman" w:hAnsi="Times New Roman" w:cs="Times New Roman"/>
        </w:rPr>
      </w:pPr>
      <w:r>
        <w:rPr>
          <w:rFonts w:ascii="Times New Roman" w:hAnsi="Times New Roman" w:cs="Times New Roman"/>
        </w:rPr>
        <w:t>2.2.9.2 滨江片区</w:t>
      </w:r>
    </w:p>
    <w:p>
      <w:pPr>
        <w:spacing w:line="360" w:lineRule="auto"/>
        <w:ind w:firstLine="480" w:firstLineChars="200"/>
        <w:rPr>
          <w:rFonts w:ascii="Times New Roman" w:hAnsi="Times New Roman" w:cs="Times New Roman"/>
        </w:rPr>
      </w:pPr>
      <w:r>
        <w:rPr>
          <w:rFonts w:ascii="Times New Roman" w:hAnsi="Times New Roman" w:cs="Times New Roman"/>
        </w:rPr>
        <w:t>（1）土地资源利用规划及实际开发情况</w:t>
      </w:r>
    </w:p>
    <w:p>
      <w:pPr>
        <w:spacing w:line="360" w:lineRule="auto"/>
        <w:ind w:firstLine="480" w:firstLineChars="200"/>
        <w:rPr>
          <w:rFonts w:ascii="Times New Roman" w:hAnsi="Times New Roman" w:eastAsia="宋体" w:cs="Times New Roman"/>
          <w:color w:val="000000"/>
          <w:kern w:val="0"/>
          <w:sz w:val="22"/>
        </w:rPr>
      </w:pPr>
      <w:r>
        <w:rPr>
          <w:rFonts w:ascii="Times New Roman" w:hAnsi="Times New Roman" w:cs="Times New Roman"/>
        </w:rPr>
        <w:t>目前滨江片区已开发用地面积为230.51公顷，</w:t>
      </w:r>
      <w:r>
        <w:rPr>
          <w:rFonts w:ascii="Times New Roman" w:hAnsi="Times New Roman" w:eastAsia="宋体" w:cs="Times New Roman"/>
          <w:color w:val="000000"/>
          <w:kern w:val="0"/>
          <w:sz w:val="22"/>
        </w:rPr>
        <w:t>其中已开发用地中儒溪地块208.92公顷，属于原有化工企业用地，待企业搬迁后，可用做其他企业建设用地。滨江片区</w:t>
      </w:r>
      <w:r>
        <w:rPr>
          <w:rFonts w:ascii="Times New Roman" w:hAnsi="Times New Roman" w:cs="Times New Roman"/>
        </w:rPr>
        <w:t>规划总用地面积为</w:t>
      </w:r>
      <w:r>
        <w:rPr>
          <w:rFonts w:ascii="Times New Roman" w:hAnsi="Times New Roman" w:eastAsia="宋体" w:cs="Times New Roman"/>
          <w:color w:val="000000"/>
          <w:kern w:val="0"/>
          <w:sz w:val="22"/>
        </w:rPr>
        <w:t>800.23公顷，有较多的土地资源满足园区的后续发展需求。</w:t>
      </w:r>
    </w:p>
    <w:p>
      <w:pPr>
        <w:spacing w:line="360" w:lineRule="auto"/>
        <w:ind w:firstLine="480" w:firstLineChars="200"/>
        <w:rPr>
          <w:rFonts w:ascii="Times New Roman" w:hAnsi="Times New Roman" w:cs="Times New Roman"/>
        </w:rPr>
      </w:pPr>
      <w:r>
        <w:rPr>
          <w:rFonts w:ascii="Times New Roman" w:hAnsi="Times New Roman" w:cs="Times New Roman"/>
        </w:rPr>
        <w:t>（2）水资源利用规划及实际消耗情况</w:t>
      </w:r>
    </w:p>
    <w:p>
      <w:pPr>
        <w:spacing w:line="360" w:lineRule="auto"/>
        <w:ind w:firstLine="480" w:firstLineChars="200"/>
        <w:rPr>
          <w:rFonts w:ascii="Times New Roman" w:hAnsi="Times New Roman" w:cs="Times New Roman"/>
        </w:rPr>
      </w:pPr>
      <w:r>
        <w:rPr>
          <w:rFonts w:ascii="Times New Roman" w:hAnsi="Times New Roman" w:cs="Times New Roman"/>
        </w:rPr>
        <w:t>园区取水自临湘工业园内自来水厂，水厂一期供水规模为5万m</w:t>
      </w:r>
      <w:r>
        <w:rPr>
          <w:rFonts w:ascii="Times New Roman" w:hAnsi="Times New Roman" w:cs="Times New Roman"/>
          <w:vertAlign w:val="superscript"/>
        </w:rPr>
        <w:t>3</w:t>
      </w:r>
      <w:r>
        <w:rPr>
          <w:rFonts w:ascii="Times New Roman" w:hAnsi="Times New Roman" w:cs="Times New Roman"/>
        </w:rPr>
        <w:t>/d，其中生活用水的供水规模为1万m</w:t>
      </w:r>
      <w:r>
        <w:rPr>
          <w:rFonts w:ascii="Times New Roman" w:hAnsi="Times New Roman" w:cs="Times New Roman"/>
          <w:vertAlign w:val="superscript"/>
        </w:rPr>
        <w:t>3</w:t>
      </w:r>
      <w:r>
        <w:rPr>
          <w:rFonts w:ascii="Times New Roman" w:hAnsi="Times New Roman" w:cs="Times New Roman"/>
        </w:rPr>
        <w:t>/d，工业用水的供水规模为4万m</w:t>
      </w:r>
      <w:r>
        <w:rPr>
          <w:rFonts w:ascii="Times New Roman" w:hAnsi="Times New Roman" w:cs="Times New Roman"/>
          <w:vertAlign w:val="superscript"/>
        </w:rPr>
        <w:t>3</w:t>
      </w:r>
      <w:r>
        <w:rPr>
          <w:rFonts w:ascii="Times New Roman" w:hAnsi="Times New Roman" w:cs="Times New Roman"/>
        </w:rPr>
        <w:t>/d，</w:t>
      </w:r>
    </w:p>
    <w:p>
      <w:pPr>
        <w:spacing w:line="360" w:lineRule="auto"/>
        <w:ind w:firstLine="480" w:firstLineChars="200"/>
        <w:rPr>
          <w:rFonts w:ascii="Times New Roman" w:hAnsi="Times New Roman" w:cs="Times New Roman"/>
        </w:rPr>
      </w:pPr>
      <w:r>
        <w:rPr>
          <w:rFonts w:ascii="Times New Roman" w:hAnsi="Times New Roman" w:cs="Times New Roman"/>
        </w:rPr>
        <w:t>（3）能源利用规划及实际消耗情况</w:t>
      </w:r>
    </w:p>
    <w:p>
      <w:pPr>
        <w:spacing w:line="360" w:lineRule="auto"/>
        <w:ind w:firstLine="480" w:firstLineChars="200"/>
        <w:rPr>
          <w:rFonts w:ascii="Times New Roman" w:hAnsi="Times New Roman" w:cs="Times New Roman"/>
        </w:rPr>
      </w:pPr>
      <w:r>
        <w:rPr>
          <w:rFonts w:ascii="Times New Roman" w:hAnsi="Times New Roman" w:cs="Times New Roman"/>
        </w:rPr>
        <w:t>目前滨江片区仅有1家企业处于试生产阶段，其余企业均已停产或者处于在建状态，能源消耗较低。</w:t>
      </w:r>
    </w:p>
    <w:p>
      <w:pPr>
        <w:pStyle w:val="3"/>
        <w:rPr>
          <w:rFonts w:ascii="Times New Roman" w:hAnsi="Times New Roman" w:cs="Times New Roman"/>
        </w:rPr>
      </w:pPr>
      <w:bookmarkStart w:id="98" w:name="_Toc146091887"/>
      <w:bookmarkStart w:id="99" w:name="_Toc134088448"/>
      <w:r>
        <w:rPr>
          <w:rFonts w:ascii="Times New Roman" w:hAnsi="Times New Roman" w:cs="Times New Roman"/>
        </w:rPr>
        <w:t>2.3 规划环评回顾性评价</w:t>
      </w:r>
      <w:bookmarkEnd w:id="92"/>
      <w:bookmarkEnd w:id="98"/>
      <w:bookmarkEnd w:id="99"/>
    </w:p>
    <w:p>
      <w:pPr>
        <w:spacing w:line="360" w:lineRule="auto"/>
        <w:ind w:firstLine="480" w:firstLineChars="200"/>
        <w:rPr>
          <w:rFonts w:ascii="Times New Roman" w:hAnsi="Times New Roman" w:cs="Times New Roman"/>
        </w:rPr>
      </w:pPr>
      <w:r>
        <w:rPr>
          <w:rFonts w:ascii="Times New Roman" w:hAnsi="Times New Roman" w:cs="Times New Roman"/>
          <w:szCs w:val="24"/>
        </w:rPr>
        <w:t>2017年临湘工业园针对三湾片区开展回顾性评价，取得《湖南省环境保护厅关于临湘工业园回顾性环境影响报告书的审查意见》（湘环评函（2017）30号），2020年10月，临湘高新区滨江产业区开展调区扩区工作，取得《湖南省生态环境厅关于湖南临湘工业园（滨江产业区）调区（扩区）规划环境影响报告书审查意见的函》（湘环评函〔2020〕1号），</w:t>
      </w:r>
      <w:r>
        <w:rPr>
          <w:rFonts w:ascii="Times New Roman" w:hAnsi="Times New Roman" w:cs="Times New Roman"/>
        </w:rPr>
        <w:t>本次园区回顾性评价对原规划环评时园区制约因素解决情况、审查意见、优化调整建议等方面的执行情况与落实情况。</w:t>
      </w:r>
    </w:p>
    <w:p>
      <w:pPr>
        <w:pStyle w:val="4"/>
        <w:rPr>
          <w:rFonts w:ascii="Times New Roman" w:hAnsi="Times New Roman" w:cs="Times New Roman"/>
        </w:rPr>
      </w:pPr>
      <w:bookmarkStart w:id="100" w:name="_Toc134088451"/>
      <w:bookmarkStart w:id="101" w:name="_Toc146091888"/>
      <w:bookmarkStart w:id="102" w:name="_Toc134088449"/>
      <w:r>
        <w:rPr>
          <w:rFonts w:ascii="Times New Roman" w:hAnsi="Times New Roman" w:cs="Times New Roman"/>
        </w:rPr>
        <w:t>2.3.1 规划环评审查意见执行情况</w:t>
      </w:r>
      <w:bookmarkEnd w:id="100"/>
      <w:bookmarkEnd w:id="101"/>
    </w:p>
    <w:p>
      <w:pPr>
        <w:spacing w:line="360" w:lineRule="auto"/>
        <w:ind w:firstLine="480" w:firstLineChars="200"/>
        <w:rPr>
          <w:rFonts w:ascii="Times New Roman" w:hAnsi="Times New Roman" w:cs="Times New Roman"/>
        </w:rPr>
      </w:pPr>
      <w:r>
        <w:rPr>
          <w:rFonts w:ascii="Times New Roman" w:hAnsi="Times New Roman" w:cs="Times New Roman"/>
        </w:rPr>
        <w:t>《</w:t>
      </w:r>
      <w:r>
        <w:rPr>
          <w:rFonts w:ascii="Times New Roman" w:hAnsi="Times New Roman" w:cs="Times New Roman"/>
          <w:szCs w:val="24"/>
        </w:rPr>
        <w:t>湖南省环境保护厅</w:t>
      </w:r>
      <w:r>
        <w:rPr>
          <w:rFonts w:ascii="Times New Roman" w:hAnsi="Times New Roman" w:cs="Times New Roman"/>
        </w:rPr>
        <w:t>关于临湘工业园回顾性环境影响报告书的审查意见》（湘环评函（2017）30号）、</w:t>
      </w:r>
      <w:r>
        <w:rPr>
          <w:rFonts w:ascii="Times New Roman" w:hAnsi="Times New Roman" w:cs="Times New Roman"/>
          <w:szCs w:val="24"/>
        </w:rPr>
        <w:t>《湖南省生态环境厅关于湖南临湘工业园（滨江产业区）调区（扩区）规划环境影响报告书审查意见的函》（湘环评函〔2020〕1号）</w:t>
      </w:r>
      <w:r>
        <w:rPr>
          <w:rFonts w:ascii="Times New Roman" w:hAnsi="Times New Roman" w:cs="Times New Roman"/>
        </w:rPr>
        <w:t>要求落实情况见下表。</w:t>
      </w:r>
    </w:p>
    <w:p>
      <w:pPr>
        <w:pStyle w:val="6"/>
        <w:rPr>
          <w:rFonts w:ascii="Times New Roman" w:hAnsi="Times New Roman" w:cs="Times New Roman"/>
        </w:rPr>
      </w:pPr>
      <w:r>
        <w:rPr>
          <w:rFonts w:ascii="Times New Roman" w:hAnsi="Times New Roman" w:cs="Times New Roman"/>
        </w:rPr>
        <w:t>表2.3-1  湘环评函（2017）30号执行情况</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06"/>
        <w:gridCol w:w="4368"/>
        <w:gridCol w:w="38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4" w:type="pct"/>
            <w:vAlign w:val="center"/>
          </w:tcPr>
          <w:p>
            <w:pPr>
              <w:pStyle w:val="63"/>
            </w:pPr>
            <w:r>
              <w:t>序号</w:t>
            </w:r>
          </w:p>
        </w:tc>
        <w:tc>
          <w:tcPr>
            <w:tcW w:w="2478" w:type="pct"/>
            <w:vAlign w:val="center"/>
          </w:tcPr>
          <w:p>
            <w:pPr>
              <w:pStyle w:val="63"/>
            </w:pPr>
            <w:r>
              <w:t>湘环评函（2017）30号</w:t>
            </w:r>
          </w:p>
        </w:tc>
        <w:tc>
          <w:tcPr>
            <w:tcW w:w="2178" w:type="pct"/>
            <w:vAlign w:val="center"/>
          </w:tcPr>
          <w:p>
            <w:pPr>
              <w:pStyle w:val="63"/>
            </w:pPr>
            <w:r>
              <w:t>园区落实情况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4" w:type="pct"/>
            <w:vAlign w:val="center"/>
          </w:tcPr>
          <w:p>
            <w:pPr>
              <w:pStyle w:val="63"/>
            </w:pPr>
            <w:r>
              <w:t>1</w:t>
            </w:r>
          </w:p>
        </w:tc>
        <w:tc>
          <w:tcPr>
            <w:tcW w:w="2478" w:type="pct"/>
            <w:vAlign w:val="center"/>
          </w:tcPr>
          <w:p>
            <w:pPr>
              <w:pStyle w:val="63"/>
            </w:pPr>
            <w:r>
              <w:t>加强入园企业环境监管，确保生产企业污防设施稳定正常运行，保障达标排放要求；针对园区目前以建材陶瓷等气型污染企业为主导的发展现状，地方政府及规划部门现阶段应合理控制园区周边的规划建设，限制周边新批建环境敏感型的商住等项目，防止园区内外功能相互干扰。</w:t>
            </w:r>
          </w:p>
        </w:tc>
        <w:tc>
          <w:tcPr>
            <w:tcW w:w="2178" w:type="pct"/>
            <w:vAlign w:val="center"/>
          </w:tcPr>
          <w:p>
            <w:pPr>
              <w:pStyle w:val="63"/>
            </w:pPr>
            <w:r>
              <w:t>已落实，制定园区污染防治攻坚战工作方案，引入园区环保管家协助园区加强对入园企业监管，开展园区环境问题大排查、大整治，针对涉VOCs企业、涉固废企业开展环境问题排查整治，确保生产企业污防设施稳定正常运行，保障达标排放要求。园区周边无新批建环境敏感型的商住等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4" w:type="pct"/>
            <w:vAlign w:val="center"/>
          </w:tcPr>
          <w:p>
            <w:pPr>
              <w:pStyle w:val="63"/>
            </w:pPr>
            <w:r>
              <w:t>2</w:t>
            </w:r>
          </w:p>
        </w:tc>
        <w:tc>
          <w:tcPr>
            <w:tcW w:w="2478" w:type="pct"/>
            <w:vAlign w:val="center"/>
          </w:tcPr>
          <w:p>
            <w:pPr>
              <w:pStyle w:val="63"/>
            </w:pPr>
            <w:r>
              <w:t>结合国家产业政策，湖南省2016版园区主导产业目录和当前环保管理要求，对园区内环保手续不健全、环保措施不到位，落后淘汰产能企业、已停建停产企业进行全面清理，提出限期整改退出要求；加强园区清洁生产管理，指导可存续企业升级污防措施，保障规划期内的可持续发展。</w:t>
            </w:r>
          </w:p>
        </w:tc>
        <w:tc>
          <w:tcPr>
            <w:tcW w:w="2178" w:type="pct"/>
            <w:vAlign w:val="center"/>
          </w:tcPr>
          <w:p>
            <w:pPr>
              <w:pStyle w:val="63"/>
            </w:pPr>
            <w:r>
              <w:t>已落实，结合国家产业政策，对园区企业进行全面清理：</w:t>
            </w:r>
          </w:p>
          <w:p>
            <w:pPr>
              <w:pStyle w:val="63"/>
            </w:pPr>
            <w:r>
              <w:t>1、对园区涉VOCs陶瓷企业（兆邦陶瓷）进行督查整改；</w:t>
            </w:r>
          </w:p>
          <w:p>
            <w:pPr>
              <w:pStyle w:val="63"/>
            </w:pPr>
            <w:r>
              <w:t>2、全面清理园区企业，2021年度13家企业完成退出。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4" w:type="pct"/>
            <w:vAlign w:val="center"/>
          </w:tcPr>
          <w:p>
            <w:pPr>
              <w:pStyle w:val="63"/>
            </w:pPr>
            <w:r>
              <w:t>3</w:t>
            </w:r>
          </w:p>
        </w:tc>
        <w:tc>
          <w:tcPr>
            <w:tcW w:w="2478" w:type="pct"/>
            <w:vAlign w:val="center"/>
          </w:tcPr>
          <w:p>
            <w:pPr>
              <w:pStyle w:val="63"/>
            </w:pPr>
            <w:r>
              <w:t>优化园区产业结构，后续不得再引进三类工业企业建设；现有化工企业应搬迁至专业的化工园区，陶瓷产业逐步退出；优化园区产业转型，后续只允许引进污染小的一类工业。地方环保部门应切实做好后续项目引进建设的环保把关，严格执行环境准入和优化后的产业转入要求，落实环评及“三同时”管理</w:t>
            </w:r>
          </w:p>
        </w:tc>
        <w:tc>
          <w:tcPr>
            <w:tcW w:w="2178" w:type="pct"/>
            <w:vAlign w:val="center"/>
          </w:tcPr>
          <w:p>
            <w:pPr>
              <w:pStyle w:val="63"/>
            </w:pPr>
            <w:r>
              <w:t>已落实，1、严格项目准入关：近几年来严禁第三类工业企业进入三湾园区，做到了依法依规依序审批项目，2017年来，没有准入一个不符合产业定位或二、三类工业项目入园。</w:t>
            </w:r>
          </w:p>
          <w:p>
            <w:pPr>
              <w:pStyle w:val="63"/>
            </w:pPr>
            <w:r>
              <w:t>已落实，2、化工项目已退出：三湾产业区区已建成5家化工企业，其中临湘吉象精细化工有限责任公司、临湘浩林添加剂有限责任公司、湖南凌峰化工有限公司、南开明科技有限公司、岳阳市鹏辉科技有限公司已退出三湾园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4" w:type="pct"/>
            <w:vAlign w:val="center"/>
          </w:tcPr>
          <w:p>
            <w:pPr>
              <w:pStyle w:val="63"/>
            </w:pPr>
            <w:r>
              <w:t>4</w:t>
            </w:r>
          </w:p>
        </w:tc>
        <w:tc>
          <w:tcPr>
            <w:tcW w:w="2478" w:type="pct"/>
            <w:vAlign w:val="center"/>
          </w:tcPr>
          <w:p>
            <w:pPr>
              <w:pStyle w:val="63"/>
            </w:pPr>
            <w:r>
              <w:t>进一步完善园区相关环保基础设施建设，禁止燃煤企业入园，加快实施现有清洁能源替代工程，限期淘汰现有燃煤锅炉，对现有陶瓷产业进行清洁能源改造，并按园区产业结构调整思路逐步退出，以确保区域空气环境质量得到改善</w:t>
            </w:r>
          </w:p>
        </w:tc>
        <w:tc>
          <w:tcPr>
            <w:tcW w:w="2178" w:type="pct"/>
            <w:vAlign w:val="center"/>
          </w:tcPr>
          <w:p>
            <w:pPr>
              <w:pStyle w:val="63"/>
            </w:pPr>
            <w:r>
              <w:t>已落实，已入园企业除了几家陶瓷企业外，都使用生物质燃料。无新的燃煤企业入园；天然气管道已铺设入园，已埋设至园区建陶路，湖南安佑饲料科技有限公司天然气管道和新购置的天然气锅炉已入厂，准备替换原使用的2t/h生物质锅炉。</w:t>
            </w:r>
          </w:p>
        </w:tc>
      </w:tr>
    </w:tbl>
    <w:p>
      <w:pPr>
        <w:pStyle w:val="6"/>
        <w:rPr>
          <w:rFonts w:ascii="Times New Roman" w:hAnsi="Times New Roman" w:cs="Times New Roman"/>
        </w:rPr>
      </w:pPr>
      <w:r>
        <w:rPr>
          <w:rFonts w:ascii="Times New Roman" w:hAnsi="Times New Roman" w:cs="Times New Roman"/>
        </w:rPr>
        <w:t xml:space="preserve">表2.3-2  </w:t>
      </w:r>
      <w:r>
        <w:rPr>
          <w:rFonts w:ascii="Times New Roman" w:hAnsi="Times New Roman" w:cs="Times New Roman"/>
          <w:szCs w:val="24"/>
        </w:rPr>
        <w:t>湘环评函〔2020〕1号</w:t>
      </w:r>
      <w:r>
        <w:rPr>
          <w:rFonts w:ascii="Times New Roman" w:hAnsi="Times New Roman" w:cs="Times New Roman"/>
        </w:rPr>
        <w:t>执行情况</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03"/>
        <w:gridCol w:w="5080"/>
        <w:gridCol w:w="31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42" w:type="pct"/>
            <w:vAlign w:val="center"/>
          </w:tcPr>
          <w:p>
            <w:pPr>
              <w:pStyle w:val="63"/>
            </w:pPr>
            <w:r>
              <w:t>序号</w:t>
            </w:r>
          </w:p>
        </w:tc>
        <w:tc>
          <w:tcPr>
            <w:tcW w:w="2882" w:type="pct"/>
            <w:vAlign w:val="center"/>
          </w:tcPr>
          <w:p>
            <w:pPr>
              <w:pStyle w:val="63"/>
            </w:pPr>
            <w:r>
              <w:t>湘环评函（2017）30号</w:t>
            </w:r>
          </w:p>
        </w:tc>
        <w:tc>
          <w:tcPr>
            <w:tcW w:w="1776" w:type="pct"/>
            <w:vAlign w:val="center"/>
          </w:tcPr>
          <w:p>
            <w:pPr>
              <w:pStyle w:val="63"/>
            </w:pPr>
            <w:r>
              <w:t>园区落实情况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1</w:t>
            </w:r>
          </w:p>
        </w:tc>
        <w:tc>
          <w:tcPr>
            <w:tcW w:w="2882" w:type="pct"/>
            <w:vAlign w:val="center"/>
          </w:tcPr>
          <w:p>
            <w:pPr>
              <w:pStyle w:val="63"/>
            </w:pPr>
            <w:r>
              <w:t>严格依规开发，优化园区空间布局。严格依规开发建设，进一步优化各园区规划功能布局，将工业产业与新城发展方向明确，并做好隔离、防护，避免工业与新城混合发展。做好各片区边界管理，在工业用地与周边商业、居住用地之间设置防护隔离带，减少园区生产活动对外部居住用地的影响。沿江工业组团适度调整规划范围，预留沿长江景观带和沿洋溪湖景观带建设用地。</w:t>
            </w:r>
          </w:p>
        </w:tc>
        <w:tc>
          <w:tcPr>
            <w:tcW w:w="1776" w:type="pct"/>
            <w:vAlign w:val="center"/>
          </w:tcPr>
          <w:p>
            <w:pPr>
              <w:pStyle w:val="63"/>
            </w:pPr>
            <w:r>
              <w:t>已落实，目前该片区严格依规开发建设，后续化工企业布局在滨江片区杨桥地块范围内，并做好隔离、防护，沿江儒溪地块发展加工制造和对非贸易并预留沿长江景观带和沿洋溪湖景观带建设用地。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2</w:t>
            </w:r>
          </w:p>
        </w:tc>
        <w:tc>
          <w:tcPr>
            <w:tcW w:w="2882" w:type="pct"/>
            <w:vAlign w:val="center"/>
          </w:tcPr>
          <w:p>
            <w:pPr>
              <w:pStyle w:val="63"/>
            </w:pPr>
            <w:r>
              <w:t>严格环境准入，优化园区产业结构。严格按照国家、省级关于主体功能区划的环境保护及产业准入相关要求，严格限制与主体功能定位相冲突的产业扩张。沿江1公里范围内不再新建、扩建化工项目，园区已存在的化工产业的保留与退出须严格执行《长江经济带发展负面清单》、《湖南省长江经济带发展负面清单实施细则》、《湖南省沿江化工企业搬迁改造实施方案》及有关政策，确保过渡期化工企业环保措施持续稳妥有效</w:t>
            </w:r>
          </w:p>
        </w:tc>
        <w:tc>
          <w:tcPr>
            <w:tcW w:w="1776" w:type="pct"/>
            <w:vAlign w:val="center"/>
          </w:tcPr>
          <w:p>
            <w:pPr>
              <w:pStyle w:val="63"/>
            </w:pPr>
            <w:r>
              <w:t>已落实，园区严格执行园区项目准入制度，入园项目选址符合园区总体发展规划、用地规划、功能布局、环保规划及总体产业准入要求。沿江1公里范围内（儒溪地块）化工企业均已退出，后续发展加工制造和对非贸易，并按照新的产业定位引入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3</w:t>
            </w:r>
          </w:p>
        </w:tc>
        <w:tc>
          <w:tcPr>
            <w:tcW w:w="2882" w:type="pct"/>
            <w:vAlign w:val="center"/>
          </w:tcPr>
          <w:p>
            <w:pPr>
              <w:pStyle w:val="63"/>
            </w:pPr>
            <w:r>
              <w:t>落实管控措施，加强园区排污管理。完善园区污水处理厂入江排污口的审批手续。做好园区新扩区域污水管网设施建设，园区实行雨污分流，提高中水回用率，做到废水应收尽收并集中排入园区污水处理厂处理。管网建设未完成、生产废水未接管之前，相关区域新建涉废水排放的企业不得投产（含试生产）。加快园区燃气管网及供应工程建设，严格限制园区企业使用高污染能源。采取全流程管控措施，建立园区固废规范化管理体系。做好工业固体废物和生活垃圾的分类收集、转运、综合利用和无害化处理，建立完善的固废管理体系。对各类工业企业产生固体废物特别是危险固废应严格按照国家有关规定综合利用或妥善处置，对危险废物产生企业和经营单位，强化日常环境监管。园区须严格落实排污许可制度和污染物排放总量控制，督促现有入园企业完成环境保护竣工验收工作。</w:t>
            </w:r>
          </w:p>
        </w:tc>
        <w:tc>
          <w:tcPr>
            <w:tcW w:w="1776" w:type="pct"/>
            <w:vAlign w:val="center"/>
          </w:tcPr>
          <w:p>
            <w:pPr>
              <w:pStyle w:val="63"/>
            </w:pPr>
            <w:r>
              <w:t>已落实，园区工业污水处理厂已取得排污口论证批复，后续园区加强污水管网设施建设，实行雨污分流，加快园区燃气管网及供应工程建设，企业使用清洁燃料，生产废气处理达到相应的行业排放标准，园区落实了工业固体废物和生活垃圾的分类收集、转运、综合.利用和无害化处理，建立统一固废收集、贮存、运输、综合利用和安全处置的运营管理体系；危险废物交由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4</w:t>
            </w:r>
          </w:p>
        </w:tc>
        <w:tc>
          <w:tcPr>
            <w:tcW w:w="2882" w:type="pct"/>
            <w:vAlign w:val="center"/>
          </w:tcPr>
          <w:p>
            <w:pPr>
              <w:pStyle w:val="63"/>
            </w:pPr>
            <w:r>
              <w:t>完善监测体系，监控环境质量变化状况。结合园区规划的功能分区、产业布局、重点企业分布、特征污染物的排放种类和状况、周边环境敏感目标分布等，建立健全环境空气、地表水、地下水、土壤等环境要素的监控体系，由园区委托有资质的第三方严格按照规划环评提出的监测方案落实相关工作。</w:t>
            </w:r>
          </w:p>
        </w:tc>
        <w:tc>
          <w:tcPr>
            <w:tcW w:w="1776" w:type="pct"/>
            <w:vAlign w:val="center"/>
          </w:tcPr>
          <w:p>
            <w:pPr>
              <w:pStyle w:val="63"/>
            </w:pPr>
            <w:r>
              <w:t>部分落实，园区定期委托第三方进行地表水、环境空气环境质量监测，尚未进行周边地下水、土壤环境要素监测。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5</w:t>
            </w:r>
          </w:p>
        </w:tc>
        <w:tc>
          <w:tcPr>
            <w:tcW w:w="2882" w:type="pct"/>
            <w:vAlign w:val="center"/>
          </w:tcPr>
          <w:p>
            <w:pPr>
              <w:pStyle w:val="63"/>
            </w:pPr>
            <w:r>
              <w:t>强化风险管控，严防园区环境事故。加强园区环境风险防控、预警和应急体系建设。建立健全园区环境风险管理工作长效机制；落实环境风险防控措施，制定环境应急预案，加强应急救援队伍、装备和设施建设，储备必要的应急物资，有计划地组织应急培训和演练，全面提升园区风险防控和事故应急处置能力。</w:t>
            </w:r>
          </w:p>
        </w:tc>
        <w:tc>
          <w:tcPr>
            <w:tcW w:w="1776" w:type="pct"/>
            <w:vAlign w:val="center"/>
          </w:tcPr>
          <w:p>
            <w:pPr>
              <w:pStyle w:val="63"/>
            </w:pPr>
            <w:r>
              <w:t>已落实，园区成立环境管理部门，建立健全环境风险事故防范措施，严防环境风险事故发生，已编制了园区应急预案，并于2023年完成修编工作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6</w:t>
            </w:r>
          </w:p>
        </w:tc>
        <w:tc>
          <w:tcPr>
            <w:tcW w:w="2882" w:type="pct"/>
            <w:vAlign w:val="center"/>
          </w:tcPr>
          <w:p>
            <w:pPr>
              <w:pStyle w:val="63"/>
            </w:pPr>
            <w:r>
              <w:t>做好园区周边控规，减少环境敏感目标。园区调扩区范围内禁止新建学校、医院以及集中居住区等环境敏感目标，相关项目环评设置了环境防护距离的，须严格予以落实。</w:t>
            </w:r>
          </w:p>
        </w:tc>
        <w:tc>
          <w:tcPr>
            <w:tcW w:w="1776" w:type="pct"/>
            <w:vAlign w:val="center"/>
          </w:tcPr>
          <w:p>
            <w:pPr>
              <w:pStyle w:val="63"/>
            </w:pPr>
            <w:r>
              <w:t>已落实，园区调扩区范围内禁止新建学校、医院以及集中居住区等环境敏感目标，相关项目环评设置了环境防护距离的，须严格予以落实。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2" w:type="pct"/>
            <w:vAlign w:val="center"/>
          </w:tcPr>
          <w:p>
            <w:pPr>
              <w:pStyle w:val="63"/>
            </w:pPr>
            <w:r>
              <w:t>7</w:t>
            </w:r>
          </w:p>
        </w:tc>
        <w:tc>
          <w:tcPr>
            <w:tcW w:w="2882" w:type="pct"/>
            <w:vAlign w:val="center"/>
          </w:tcPr>
          <w:p>
            <w:pPr>
              <w:pStyle w:val="63"/>
            </w:pPr>
            <w:r>
              <w:t>做好园区建设期生态环境保护和水土保持。园区开发建设过程中尽可能保留自然水体，施工期对土石方开挖、堆存及回填要实施围挡、护坡等措施，裸露地及时恢复植被，防止水土流失，杜绝施工建设对地表水体的污染。</w:t>
            </w:r>
          </w:p>
        </w:tc>
        <w:tc>
          <w:tcPr>
            <w:tcW w:w="1776" w:type="pct"/>
            <w:vAlign w:val="center"/>
          </w:tcPr>
          <w:p>
            <w:pPr>
              <w:pStyle w:val="63"/>
            </w:pPr>
            <w:r>
              <w:t>已落实，做好建设期的生态保护和水土保持工作。园区开发建设过程中，保存园区自然山体、水塘及自然景观；对园区内的高大乔木应采取就地保护或保护性移植措施，土石方开挖、堆存及回填要实施围挡、护坡等措施，裸露地及时恢复植被，防止水土流失，园区道路施工结束后按景观设计设置了绿化恢复工程。</w:t>
            </w:r>
          </w:p>
        </w:tc>
      </w:tr>
    </w:tbl>
    <w:p>
      <w:pPr>
        <w:pStyle w:val="4"/>
        <w:rPr>
          <w:rFonts w:ascii="Times New Roman" w:hAnsi="Times New Roman" w:cs="Times New Roman"/>
        </w:rPr>
      </w:pPr>
      <w:bookmarkStart w:id="103" w:name="_Toc146091889"/>
      <w:bookmarkStart w:id="104" w:name="_Toc134088450"/>
      <w:r>
        <w:rPr>
          <w:rFonts w:ascii="Times New Roman" w:hAnsi="Times New Roman" w:cs="Times New Roman"/>
        </w:rPr>
        <w:t>2.3.2 规划环评时期制约因素解决情况</w:t>
      </w:r>
      <w:bookmarkEnd w:id="103"/>
      <w:bookmarkEnd w:id="104"/>
    </w:p>
    <w:p>
      <w:pPr>
        <w:spacing w:line="360" w:lineRule="auto"/>
        <w:ind w:firstLine="480" w:firstLineChars="200"/>
        <w:rPr>
          <w:rFonts w:ascii="Times New Roman" w:hAnsi="Times New Roman" w:cs="Times New Roman"/>
        </w:rPr>
      </w:pPr>
      <w:r>
        <w:rPr>
          <w:rFonts w:ascii="Times New Roman" w:hAnsi="Times New Roman" w:cs="Times New Roman"/>
        </w:rPr>
        <w:t>原规划环评时期制约因素与解决方案的落实情况具体见下表。</w:t>
      </w:r>
    </w:p>
    <w:p>
      <w:pPr>
        <w:pStyle w:val="6"/>
        <w:rPr>
          <w:rFonts w:ascii="Times New Roman" w:hAnsi="Times New Roman" w:cs="Times New Roman"/>
        </w:rPr>
      </w:pPr>
      <w:r>
        <w:rPr>
          <w:rFonts w:ascii="Times New Roman" w:hAnsi="Times New Roman" w:cs="Times New Roman"/>
        </w:rPr>
        <w:t>表2.3-3  原规划环评时期制约因素与解决方案的落实情况</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8"/>
        <w:gridCol w:w="2552"/>
        <w:gridCol w:w="3684"/>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454" w:type="pct"/>
            <w:vAlign w:val="center"/>
          </w:tcPr>
          <w:p>
            <w:pPr>
              <w:pStyle w:val="63"/>
              <w:rPr>
                <w:rFonts w:eastAsiaTheme="minorEastAsia"/>
              </w:rPr>
            </w:pPr>
            <w:r>
              <w:rPr>
                <w:rFonts w:eastAsiaTheme="minorEastAsia"/>
              </w:rPr>
              <w:t>片区</w:t>
            </w:r>
          </w:p>
        </w:tc>
        <w:tc>
          <w:tcPr>
            <w:tcW w:w="1417" w:type="pct"/>
            <w:vAlign w:val="center"/>
          </w:tcPr>
          <w:p>
            <w:pPr>
              <w:pStyle w:val="63"/>
              <w:rPr>
                <w:rFonts w:eastAsiaTheme="minorEastAsia"/>
              </w:rPr>
            </w:pPr>
            <w:r>
              <w:rPr>
                <w:rFonts w:eastAsiaTheme="minorEastAsia"/>
              </w:rPr>
              <w:t>原规划环评时期制约因素</w:t>
            </w:r>
          </w:p>
        </w:tc>
        <w:tc>
          <w:tcPr>
            <w:tcW w:w="2046" w:type="pct"/>
            <w:vAlign w:val="center"/>
          </w:tcPr>
          <w:p>
            <w:pPr>
              <w:pStyle w:val="63"/>
              <w:rPr>
                <w:rFonts w:eastAsiaTheme="minorEastAsia"/>
              </w:rPr>
            </w:pPr>
            <w:r>
              <w:rPr>
                <w:rFonts w:eastAsiaTheme="minorEastAsia"/>
              </w:rPr>
              <w:t>解决方案</w:t>
            </w:r>
          </w:p>
        </w:tc>
        <w:tc>
          <w:tcPr>
            <w:tcW w:w="1083" w:type="pct"/>
            <w:vAlign w:val="center"/>
          </w:tcPr>
          <w:p>
            <w:pPr>
              <w:pStyle w:val="63"/>
              <w:rPr>
                <w:rFonts w:eastAsiaTheme="minorEastAsia"/>
              </w:rPr>
            </w:pPr>
            <w:r>
              <w:rPr>
                <w:rFonts w:eastAsiaTheme="minorEastAsia"/>
              </w:rPr>
              <w:t>落实情况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4" w:type="pct"/>
            <w:vAlign w:val="center"/>
          </w:tcPr>
          <w:p>
            <w:pPr>
              <w:pStyle w:val="63"/>
              <w:rPr>
                <w:rFonts w:eastAsiaTheme="minorEastAsia"/>
              </w:rPr>
            </w:pPr>
            <w:r>
              <w:rPr>
                <w:rFonts w:eastAsiaTheme="minorEastAsia"/>
              </w:rPr>
              <w:t>三湾片区</w:t>
            </w:r>
          </w:p>
        </w:tc>
        <w:tc>
          <w:tcPr>
            <w:tcW w:w="1417" w:type="pct"/>
            <w:vAlign w:val="center"/>
          </w:tcPr>
          <w:p>
            <w:pPr>
              <w:pStyle w:val="63"/>
              <w:rPr>
                <w:rFonts w:eastAsiaTheme="minorEastAsia"/>
              </w:rPr>
            </w:pPr>
            <w:r>
              <w:rPr>
                <w:rFonts w:eastAsiaTheme="minorEastAsia"/>
              </w:rPr>
              <w:t>园区存在工住混杂、废气扰民现象。</w:t>
            </w:r>
          </w:p>
        </w:tc>
        <w:tc>
          <w:tcPr>
            <w:tcW w:w="2046" w:type="pct"/>
            <w:vAlign w:val="center"/>
          </w:tcPr>
          <w:p>
            <w:pPr>
              <w:pStyle w:val="63"/>
              <w:rPr>
                <w:rFonts w:eastAsiaTheme="minorEastAsia"/>
              </w:rPr>
            </w:pPr>
            <w:r>
              <w:rPr>
                <w:rFonts w:eastAsiaTheme="minorEastAsia"/>
              </w:rPr>
              <w:t>对陶瓷企业的燃料进行更换，取消煤制气工序，使用天然气作为燃料，减少粉尘和VOCs的产生量，同时加强对厂区内环保设施维护，特别是对布袋除尘器进行定期维护和清理。加强重点工业企业废气排放监管，加大环境监察监测力度，开展浮标企业、渔具企业、塑料品制造等企业挥发性有机物综合治理，推广使用低（无）VOCs涂料、油墨、胶粘剂原辅材料；推行强制和自愿的清洁生产方式，对陶瓷、浮标等行业的重点企业实施强制清洁生产审核。</w:t>
            </w:r>
          </w:p>
        </w:tc>
        <w:tc>
          <w:tcPr>
            <w:tcW w:w="1083" w:type="pct"/>
            <w:vAlign w:val="center"/>
          </w:tcPr>
          <w:p>
            <w:pPr>
              <w:pStyle w:val="63"/>
              <w:rPr>
                <w:rFonts w:eastAsiaTheme="minorEastAsia"/>
              </w:rPr>
            </w:pPr>
            <w:r>
              <w:rPr>
                <w:rFonts w:eastAsiaTheme="minorEastAsia"/>
              </w:rPr>
              <w:t>部分落实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4" w:type="pct"/>
            <w:vMerge w:val="restart"/>
            <w:vAlign w:val="center"/>
          </w:tcPr>
          <w:p>
            <w:pPr>
              <w:pStyle w:val="63"/>
              <w:rPr>
                <w:rFonts w:eastAsiaTheme="minorEastAsia"/>
              </w:rPr>
            </w:pPr>
            <w:r>
              <w:rPr>
                <w:rFonts w:eastAsiaTheme="minorEastAsia"/>
              </w:rPr>
              <w:t>滨江片区</w:t>
            </w:r>
          </w:p>
        </w:tc>
        <w:tc>
          <w:tcPr>
            <w:tcW w:w="1417" w:type="pct"/>
            <w:vAlign w:val="center"/>
          </w:tcPr>
          <w:p>
            <w:pPr>
              <w:pStyle w:val="63"/>
              <w:rPr>
                <w:rFonts w:eastAsiaTheme="minorEastAsia"/>
              </w:rPr>
            </w:pPr>
            <w:r>
              <w:rPr>
                <w:rFonts w:eastAsiaTheme="minorEastAsia"/>
              </w:rPr>
              <w:t>规划排污口位于白鱀豚保护区</w:t>
            </w:r>
            <w:r>
              <w:rPr>
                <w:rFonts w:hint="eastAsia" w:eastAsiaTheme="minorEastAsia"/>
              </w:rPr>
              <w:t>试验区</w:t>
            </w:r>
            <w:r>
              <w:rPr>
                <w:rFonts w:eastAsiaTheme="minorEastAsia"/>
              </w:rPr>
              <w:t>，水体敏感度高</w:t>
            </w:r>
          </w:p>
        </w:tc>
        <w:tc>
          <w:tcPr>
            <w:tcW w:w="2046" w:type="pct"/>
            <w:vAlign w:val="center"/>
          </w:tcPr>
          <w:p>
            <w:pPr>
              <w:pStyle w:val="63"/>
              <w:rPr>
                <w:rFonts w:eastAsiaTheme="minorEastAsia"/>
              </w:rPr>
            </w:pPr>
            <w:r>
              <w:rPr>
                <w:szCs w:val="21"/>
              </w:rPr>
              <w:t>逐步加大中水回用力度，减少污染物排放量</w:t>
            </w:r>
          </w:p>
        </w:tc>
        <w:tc>
          <w:tcPr>
            <w:tcW w:w="1083" w:type="pct"/>
            <w:vAlign w:val="center"/>
          </w:tcPr>
          <w:p>
            <w:pPr>
              <w:pStyle w:val="63"/>
              <w:rPr>
                <w:rFonts w:eastAsiaTheme="minorEastAsia"/>
              </w:rPr>
            </w:pPr>
            <w:r>
              <w:rPr>
                <w:rFonts w:eastAsiaTheme="minorEastAsia"/>
              </w:rPr>
              <w:t>已落实，目前已取得排污口论证批复，排放量不得超过20000m</w:t>
            </w:r>
            <w:r>
              <w:rPr>
                <w:rFonts w:eastAsiaTheme="minorEastAsia"/>
                <w:vertAlign w:val="superscript"/>
              </w:rPr>
              <w:t>3</w:t>
            </w:r>
            <w:r>
              <w:rPr>
                <w:rFonts w:eastAsiaTheme="minorEastAsia"/>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4" w:type="pct"/>
            <w:vMerge w:val="continue"/>
            <w:vAlign w:val="center"/>
          </w:tcPr>
          <w:p>
            <w:pPr>
              <w:pStyle w:val="63"/>
              <w:rPr>
                <w:rFonts w:eastAsiaTheme="minorEastAsia"/>
              </w:rPr>
            </w:pPr>
          </w:p>
        </w:tc>
        <w:tc>
          <w:tcPr>
            <w:tcW w:w="1417" w:type="pct"/>
            <w:vAlign w:val="center"/>
          </w:tcPr>
          <w:p>
            <w:pPr>
              <w:pStyle w:val="63"/>
              <w:rPr>
                <w:rFonts w:eastAsiaTheme="minorEastAsia"/>
              </w:rPr>
            </w:pPr>
            <w:r>
              <w:rPr>
                <w:rFonts w:eastAsiaTheme="minorEastAsia"/>
              </w:rPr>
              <w:t>工业区普遍存在居住区与工业区混杂的现象，且部分居住区位于工业区的主导风向下风向，工业区大气污染物的排放易造成居住区的大气污染影响。</w:t>
            </w:r>
          </w:p>
        </w:tc>
        <w:tc>
          <w:tcPr>
            <w:tcW w:w="2046" w:type="pct"/>
            <w:vAlign w:val="center"/>
          </w:tcPr>
          <w:p>
            <w:pPr>
              <w:pStyle w:val="63"/>
              <w:rPr>
                <w:rFonts w:eastAsiaTheme="minorEastAsia"/>
              </w:rPr>
            </w:pPr>
            <w:r>
              <w:rPr>
                <w:rFonts w:eastAsiaTheme="minorEastAsia"/>
              </w:rPr>
              <w:t>加强大气污染防治治理，提高处理设施处理效率，合理布局企业，污染企业远离居民区布局；建议电子信息组团与居住区之间至少有50m的环保隔离带（道路+绿化带），并严格控制气型污染企业，企业实行严格的大气污染治理措施</w:t>
            </w:r>
          </w:p>
        </w:tc>
        <w:tc>
          <w:tcPr>
            <w:tcW w:w="1083" w:type="pct"/>
            <w:vAlign w:val="center"/>
          </w:tcPr>
          <w:p>
            <w:pPr>
              <w:pStyle w:val="63"/>
              <w:rPr>
                <w:rFonts w:eastAsiaTheme="minorEastAsia"/>
              </w:rPr>
            </w:pPr>
            <w:r>
              <w:rPr>
                <w:rFonts w:eastAsiaTheme="minorEastAsia"/>
              </w:rPr>
              <w:t>已落实，目前企业废气采取相应的环保措施，均能达标排放；电子信息组团与东侧居民区不足50m，但通过企业布局，靠近居民区未布局气型污染企业。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4" w:type="pct"/>
            <w:vMerge w:val="continue"/>
            <w:vAlign w:val="center"/>
          </w:tcPr>
          <w:p>
            <w:pPr>
              <w:pStyle w:val="63"/>
              <w:rPr>
                <w:rFonts w:eastAsiaTheme="minorEastAsia"/>
              </w:rPr>
            </w:pPr>
          </w:p>
        </w:tc>
        <w:tc>
          <w:tcPr>
            <w:tcW w:w="1417" w:type="pct"/>
            <w:vAlign w:val="center"/>
          </w:tcPr>
          <w:p>
            <w:pPr>
              <w:pStyle w:val="63"/>
              <w:rPr>
                <w:rFonts w:eastAsiaTheme="minorEastAsia"/>
              </w:rPr>
            </w:pPr>
            <w:r>
              <w:rPr>
                <w:rFonts w:eastAsiaTheme="minorEastAsia"/>
              </w:rPr>
              <w:t>征地拆迁对居民生活带来一定负面影响。</w:t>
            </w:r>
          </w:p>
        </w:tc>
        <w:tc>
          <w:tcPr>
            <w:tcW w:w="2046" w:type="pct"/>
            <w:vAlign w:val="center"/>
          </w:tcPr>
          <w:p>
            <w:pPr>
              <w:pStyle w:val="63"/>
              <w:rPr>
                <w:rFonts w:eastAsiaTheme="minorEastAsia"/>
              </w:rPr>
            </w:pPr>
            <w:r>
              <w:rPr>
                <w:rFonts w:eastAsiaTheme="minorEastAsia"/>
              </w:rPr>
              <w:t>先安置，后拆迁；遵循国家和地方拆迁安置政策</w:t>
            </w:r>
          </w:p>
        </w:tc>
        <w:tc>
          <w:tcPr>
            <w:tcW w:w="1083" w:type="pct"/>
            <w:vAlign w:val="center"/>
          </w:tcPr>
          <w:p>
            <w:pPr>
              <w:pStyle w:val="63"/>
              <w:rPr>
                <w:rFonts w:eastAsiaTheme="minorEastAsia"/>
              </w:rPr>
            </w:pPr>
            <w:r>
              <w:rPr>
                <w:rFonts w:eastAsiaTheme="minorEastAsia"/>
              </w:rPr>
              <w:t>已落实，园区拆迁遵循国家和地方拆迁安置政策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4" w:type="pct"/>
            <w:vMerge w:val="continue"/>
            <w:vAlign w:val="center"/>
          </w:tcPr>
          <w:p>
            <w:pPr>
              <w:pStyle w:val="63"/>
              <w:rPr>
                <w:rFonts w:eastAsiaTheme="minorEastAsia"/>
              </w:rPr>
            </w:pPr>
          </w:p>
        </w:tc>
        <w:tc>
          <w:tcPr>
            <w:tcW w:w="1417" w:type="pct"/>
            <w:vAlign w:val="center"/>
          </w:tcPr>
          <w:p>
            <w:pPr>
              <w:pStyle w:val="63"/>
              <w:rPr>
                <w:rFonts w:eastAsiaTheme="minorEastAsia"/>
              </w:rPr>
            </w:pPr>
            <w:r>
              <w:rPr>
                <w:rFonts w:eastAsiaTheme="minorEastAsia"/>
              </w:rPr>
              <w:t>区内及边界处分布有省级及市级不可移文物</w:t>
            </w:r>
          </w:p>
        </w:tc>
        <w:tc>
          <w:tcPr>
            <w:tcW w:w="2046" w:type="pct"/>
            <w:vAlign w:val="center"/>
          </w:tcPr>
          <w:p>
            <w:pPr>
              <w:pStyle w:val="63"/>
              <w:rPr>
                <w:rFonts w:eastAsiaTheme="minorEastAsia"/>
              </w:rPr>
            </w:pPr>
            <w:r>
              <w:rPr>
                <w:szCs w:val="21"/>
              </w:rPr>
              <w:t>设置文物控制范围，禁止任何破坏活动</w:t>
            </w:r>
          </w:p>
        </w:tc>
        <w:tc>
          <w:tcPr>
            <w:tcW w:w="1083" w:type="pct"/>
            <w:vAlign w:val="center"/>
          </w:tcPr>
          <w:p>
            <w:pPr>
              <w:pStyle w:val="63"/>
              <w:rPr>
                <w:rFonts w:eastAsiaTheme="minorEastAsia"/>
              </w:rPr>
            </w:pPr>
            <w:r>
              <w:rPr>
                <w:rFonts w:eastAsiaTheme="minorEastAsia"/>
              </w:rPr>
              <w:t>已落实，</w:t>
            </w:r>
            <w:r>
              <w:rPr>
                <w:szCs w:val="21"/>
              </w:rPr>
              <w:t>设置文物控制范围，禁止任何破坏活动</w:t>
            </w:r>
          </w:p>
        </w:tc>
      </w:tr>
    </w:tbl>
    <w:p>
      <w:pPr>
        <w:pStyle w:val="4"/>
        <w:rPr>
          <w:rFonts w:ascii="Times New Roman" w:hAnsi="Times New Roman" w:cs="Times New Roman"/>
        </w:rPr>
      </w:pPr>
      <w:bookmarkStart w:id="105" w:name="_Toc146091890"/>
      <w:r>
        <w:rPr>
          <w:rFonts w:ascii="Times New Roman" w:hAnsi="Times New Roman" w:cs="Times New Roman"/>
        </w:rPr>
        <w:t>2.3.3 园区准入条件执行情况</w:t>
      </w:r>
      <w:bookmarkEnd w:id="102"/>
      <w:bookmarkEnd w:id="105"/>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临湘高新技术产业开发区在空间布局约束、污染物排放管控、环境风险防控、资源开发效率要求等方面对“三线一单”落地应用情况见下表所示。</w:t>
      </w:r>
    </w:p>
    <w:p>
      <w:pPr>
        <w:spacing w:line="360" w:lineRule="auto"/>
        <w:ind w:firstLine="480" w:firstLineChars="200"/>
        <w:rPr>
          <w:rFonts w:ascii="Times New Roman" w:hAnsi="Times New Roman" w:cs="Times New Roman"/>
        </w:rPr>
        <w:sectPr>
          <w:pgSz w:w="11907" w:h="16840"/>
          <w:pgMar w:top="1418" w:right="1418" w:bottom="1418" w:left="1701" w:header="935" w:footer="1021" w:gutter="0"/>
          <w:paperSrc w:first="7" w:other="7"/>
          <w:cols w:space="720" w:num="1"/>
          <w:docGrid w:linePitch="326" w:charSpace="0"/>
        </w:sectPr>
      </w:pPr>
    </w:p>
    <w:p>
      <w:pPr>
        <w:pStyle w:val="6"/>
        <w:rPr>
          <w:rFonts w:ascii="Times New Roman" w:hAnsi="Times New Roman" w:cs="Times New Roman"/>
        </w:rPr>
      </w:pPr>
      <w:r>
        <w:rPr>
          <w:rFonts w:ascii="Times New Roman" w:hAnsi="Times New Roman" w:cs="Times New Roman"/>
        </w:rPr>
        <w:t>表2.3-4  园区准入条件执行情况</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1"/>
        <w:gridCol w:w="937"/>
        <w:gridCol w:w="5001"/>
        <w:gridCol w:w="4942"/>
        <w:gridCol w:w="853"/>
        <w:gridCol w:w="18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68" w:type="pct"/>
            <w:vAlign w:val="center"/>
          </w:tcPr>
          <w:p>
            <w:pPr>
              <w:pStyle w:val="63"/>
            </w:pPr>
            <w:r>
              <w:t>序号</w:t>
            </w:r>
          </w:p>
        </w:tc>
        <w:tc>
          <w:tcPr>
            <w:tcW w:w="334" w:type="pct"/>
            <w:vAlign w:val="center"/>
          </w:tcPr>
          <w:p>
            <w:pPr>
              <w:pStyle w:val="63"/>
            </w:pPr>
            <w:r>
              <w:t>管控维度</w:t>
            </w:r>
          </w:p>
        </w:tc>
        <w:tc>
          <w:tcPr>
            <w:tcW w:w="1782" w:type="pct"/>
            <w:vAlign w:val="center"/>
          </w:tcPr>
          <w:p>
            <w:pPr>
              <w:pStyle w:val="63"/>
            </w:pPr>
            <w:r>
              <w:t>管控要求</w:t>
            </w:r>
          </w:p>
        </w:tc>
        <w:tc>
          <w:tcPr>
            <w:tcW w:w="1761" w:type="pct"/>
            <w:vAlign w:val="center"/>
          </w:tcPr>
          <w:p>
            <w:pPr>
              <w:pStyle w:val="63"/>
            </w:pPr>
            <w:r>
              <w:t>落地应用情况</w:t>
            </w:r>
          </w:p>
        </w:tc>
        <w:tc>
          <w:tcPr>
            <w:tcW w:w="304" w:type="pct"/>
            <w:vAlign w:val="center"/>
          </w:tcPr>
          <w:p>
            <w:pPr>
              <w:pStyle w:val="63"/>
            </w:pPr>
            <w:r>
              <w:t>落实情况</w:t>
            </w:r>
          </w:p>
        </w:tc>
        <w:tc>
          <w:tcPr>
            <w:tcW w:w="650" w:type="pct"/>
            <w:vAlign w:val="center"/>
          </w:tcPr>
          <w:p>
            <w:pPr>
              <w:pStyle w:val="63"/>
            </w:pPr>
            <w:r>
              <w:t>建议措施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7" w:hRule="atLeast"/>
          <w:jc w:val="center"/>
        </w:trPr>
        <w:tc>
          <w:tcPr>
            <w:tcW w:w="168" w:type="pct"/>
            <w:vMerge w:val="restart"/>
            <w:vAlign w:val="center"/>
          </w:tcPr>
          <w:p>
            <w:pPr>
              <w:pStyle w:val="63"/>
            </w:pPr>
            <w:r>
              <w:t>1</w:t>
            </w:r>
          </w:p>
        </w:tc>
        <w:tc>
          <w:tcPr>
            <w:tcW w:w="334" w:type="pct"/>
            <w:vMerge w:val="restart"/>
            <w:vAlign w:val="center"/>
          </w:tcPr>
          <w:p>
            <w:pPr>
              <w:pStyle w:val="63"/>
            </w:pPr>
            <w:r>
              <w:t>空间布局约束</w:t>
            </w:r>
          </w:p>
        </w:tc>
        <w:tc>
          <w:tcPr>
            <w:tcW w:w="1782" w:type="pct"/>
            <w:vMerge w:val="restart"/>
            <w:vAlign w:val="center"/>
          </w:tcPr>
          <w:p>
            <w:pPr>
              <w:pStyle w:val="63"/>
            </w:pPr>
            <w:r>
              <w:t>（1.1）三湾产业区：优化园区产业布局，在污染防治措施可靠可控，满足区域环境质量要求的前提下，支持污染小的钓具浮标系列的特色产业发展。园区后续不得再引进三类工业企业建设，现有化工企业必须搬迁至专门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p>
          <w:p>
            <w:pPr>
              <w:pStyle w:val="63"/>
            </w:pPr>
            <w:r>
              <w:t>（1.2）滨江产业区：严格按照国家、省级关于主体功能区划的环境保护及产业准入相关要求，严格限制与主体功能定位相冲突的产业扩张。沿江1公里范围内不再新建、扩建化工项目，园区已存在的化工产业的保留与退出须严格执行有关政策。园区调扩区范围内禁止新建学校、医院以及集中居住区等环境敏感目标。</w:t>
            </w:r>
          </w:p>
        </w:tc>
        <w:tc>
          <w:tcPr>
            <w:tcW w:w="1761" w:type="pct"/>
            <w:vAlign w:val="center"/>
          </w:tcPr>
          <w:p>
            <w:pPr>
              <w:pStyle w:val="63"/>
              <w:jc w:val="both"/>
            </w:pPr>
            <w:r>
              <w:t>三湾片区以钓具浮标企业为主，园区未引进三类工业企业建设，化工企业已搬迁至专门的化工园区，环保手续已落实，环保措施已落实，落后淘汰产能企业、已停建停产企业全面清理。 其余环境管理要求已按《湖南省环境保护厅关于临湘工业园区回顾性环境影响报告书的审查意见》执行。</w:t>
            </w:r>
          </w:p>
          <w:p>
            <w:pPr>
              <w:pStyle w:val="63"/>
              <w:jc w:val="both"/>
            </w:pPr>
            <w:r>
              <w:t>目前园区仍存在三家陶瓷企业未退出。</w:t>
            </w:r>
          </w:p>
        </w:tc>
        <w:tc>
          <w:tcPr>
            <w:tcW w:w="304" w:type="pct"/>
            <w:vAlign w:val="center"/>
          </w:tcPr>
          <w:p>
            <w:pPr>
              <w:pStyle w:val="63"/>
            </w:pPr>
            <w:r>
              <w:t>部分落实</w:t>
            </w:r>
          </w:p>
        </w:tc>
        <w:tc>
          <w:tcPr>
            <w:tcW w:w="650" w:type="pct"/>
            <w:vAlign w:val="center"/>
          </w:tcPr>
          <w:p>
            <w:pPr>
              <w:pStyle w:val="63"/>
            </w:pPr>
            <w:r>
              <w:t>逐步退出陶瓷企业，在陶瓷企业退出前，推进煤改气等环保措施升级改造工程，减少其对周边的环境影响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7"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Merge w:val="continue"/>
            <w:vAlign w:val="center"/>
          </w:tcPr>
          <w:p>
            <w:pPr>
              <w:pStyle w:val="63"/>
            </w:pPr>
          </w:p>
        </w:tc>
        <w:tc>
          <w:tcPr>
            <w:tcW w:w="1761" w:type="pct"/>
            <w:vAlign w:val="center"/>
          </w:tcPr>
          <w:p>
            <w:pPr>
              <w:pStyle w:val="63"/>
            </w:pPr>
            <w:r>
              <w:t>滨江片区严格执行园区项目准入制度，入园项目选址符合园区总体发展规划、用地规划、功能布局、环保规划及总体产业准入要求。沿江1公里范围内（儒溪地块）化工企业均已退出，后续发展加工制造和对非贸易，并按照新的产业定位引入企业</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67" w:hRule="atLeast"/>
          <w:jc w:val="center"/>
        </w:trPr>
        <w:tc>
          <w:tcPr>
            <w:tcW w:w="168" w:type="pct"/>
            <w:vMerge w:val="restart"/>
            <w:vAlign w:val="center"/>
          </w:tcPr>
          <w:p>
            <w:pPr>
              <w:pStyle w:val="63"/>
            </w:pPr>
            <w:r>
              <w:t>2</w:t>
            </w:r>
          </w:p>
        </w:tc>
        <w:tc>
          <w:tcPr>
            <w:tcW w:w="334" w:type="pct"/>
            <w:vMerge w:val="restart"/>
            <w:vAlign w:val="center"/>
          </w:tcPr>
          <w:p>
            <w:pPr>
              <w:pStyle w:val="63"/>
            </w:pPr>
            <w:r>
              <w:t>污染物排放管控</w:t>
            </w:r>
          </w:p>
        </w:tc>
        <w:tc>
          <w:tcPr>
            <w:tcW w:w="1782" w:type="pct"/>
            <w:vMerge w:val="restart"/>
            <w:vAlign w:val="center"/>
          </w:tcPr>
          <w:p>
            <w:pPr>
              <w:pStyle w:val="63"/>
            </w:pPr>
            <w:r>
              <w:t>废水：三湾产业区：园区废水经预处理后，全部经市政污水管网送临湘市污水净化中心处理排入长安河，雨水依地势就近排入长安河。</w:t>
            </w:r>
          </w:p>
          <w:p>
            <w:pPr>
              <w:pStyle w:val="63"/>
            </w:pPr>
            <w:r>
              <w:t>滨江产业区：工业废水、生活污水在各自企业内经预处理达标后送至园区污水处理厂进行处理，排往长江；园区新扩区域做好污水管网设施建设，做到废水应收尽收并集中排入园区污水处理厂，管网建设未完成、生产废水未接管之前，相关区域新建涉废水排放的企业不得投产（含试生产）。</w:t>
            </w:r>
          </w:p>
        </w:tc>
        <w:tc>
          <w:tcPr>
            <w:tcW w:w="1761" w:type="pct"/>
            <w:vAlign w:val="center"/>
          </w:tcPr>
          <w:p>
            <w:pPr>
              <w:pStyle w:val="63"/>
            </w:pPr>
            <w:r>
              <w:t>三湾片区目前园区污水管网全部建设完成，经市政污水管网送临湘市污水净化中心处理排入长安河，雨水依地势就近排入长安河。</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67"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Merge w:val="continue"/>
            <w:vAlign w:val="center"/>
          </w:tcPr>
          <w:p>
            <w:pPr>
              <w:pStyle w:val="63"/>
            </w:pPr>
          </w:p>
        </w:tc>
        <w:tc>
          <w:tcPr>
            <w:tcW w:w="1761" w:type="pct"/>
            <w:vAlign w:val="center"/>
          </w:tcPr>
          <w:p>
            <w:pPr>
              <w:pStyle w:val="63"/>
            </w:pPr>
            <w:r>
              <w:t>滨江片区工业废水、生活污水在各自企业内经预处理达标后送至园区污水处理厂进行处理，排往长江；新扩区域部分已建设污水管网设施，做到废水应收尽收，并在管网建设未完成、生产废水未接管之前，相关区域新建涉废水排放的企业不得投产（含试生产）。</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0"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Merge w:val="restart"/>
            <w:vAlign w:val="center"/>
          </w:tcPr>
          <w:p>
            <w:pPr>
              <w:pStyle w:val="63"/>
            </w:pPr>
            <w:r>
              <w:t>废气：三湾产业区：全面提升大气环境监控水平，推进重点污染源自动监控体系建设，排气口高度超过45米的高架源，以及包装印刷、工业涂装、家具制造等VOCs排放重点源，纳入重点排污单位名录；</w:t>
            </w:r>
          </w:p>
          <w:p>
            <w:pPr>
              <w:pStyle w:val="63"/>
            </w:pPr>
            <w:r>
              <w:t>滨江产业区：全面提升大气环境监控水平，推进重点污染源自动监控体系建设，排气口高度超过45米的高架源，以及化工等VOCs排放重点源，纳入重点排污单位名录。</w:t>
            </w:r>
          </w:p>
        </w:tc>
        <w:tc>
          <w:tcPr>
            <w:tcW w:w="1761" w:type="pct"/>
            <w:vAlign w:val="center"/>
          </w:tcPr>
          <w:p>
            <w:pPr>
              <w:pStyle w:val="63"/>
            </w:pPr>
            <w:r>
              <w:t>目前，三湾片区已建设污染物在线监控系统，对园区重点排位企业进行实时监控，对兆邦陶瓷有限公司已纳入重点排污单位名录；</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39"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Merge w:val="continue"/>
            <w:vAlign w:val="center"/>
          </w:tcPr>
          <w:p>
            <w:pPr>
              <w:pStyle w:val="63"/>
            </w:pPr>
          </w:p>
        </w:tc>
        <w:tc>
          <w:tcPr>
            <w:tcW w:w="1761" w:type="pct"/>
            <w:vAlign w:val="center"/>
          </w:tcPr>
          <w:p>
            <w:pPr>
              <w:pStyle w:val="63"/>
            </w:pPr>
            <w:r>
              <w:t>滨江片区已建设污染物在线监控系统，对园区重点排位企业进行实时监控，对于后续引入排气口高度超过45米的高架源企业，以及化工等VOCs排放重点源，纳入重点排污单位名录。</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固废：进一步健全危险废物源头管控、规范化管理和处置等工作机制。做好工业固体废物和生活垃圾的分类收集、转运、综合利用和无害化处理，建立完善的固废管理体系。对各类工业企业产生固体废物特别是危险固废应严格按照国家有关规定综合利用或妥善处置，对危险废物产生企业和经营单位，强化日常环境监管。</w:t>
            </w:r>
          </w:p>
        </w:tc>
        <w:tc>
          <w:tcPr>
            <w:tcW w:w="1761" w:type="pct"/>
            <w:vAlign w:val="center"/>
          </w:tcPr>
          <w:p>
            <w:pPr>
              <w:pStyle w:val="63"/>
            </w:pPr>
            <w:r>
              <w:t>目前三湾片区、滨江片区已进一步健全危险废物源头管控、规范化管理和处置等工作机制。做好了工业固体废物和生活垃圾的分类收集、转运、综合利用和无害化处理，建立了完善的固废管理体系。对各类工业企业产生固体废物特别是危险固废应严格按照国家有关规定综合利用或妥善处置。</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6" w:hRule="atLeast"/>
          <w:jc w:val="center"/>
        </w:trPr>
        <w:tc>
          <w:tcPr>
            <w:tcW w:w="168" w:type="pct"/>
            <w:vMerge w:val="restart"/>
            <w:vAlign w:val="center"/>
          </w:tcPr>
          <w:p>
            <w:pPr>
              <w:pStyle w:val="63"/>
            </w:pPr>
            <w:r>
              <w:t>3</w:t>
            </w:r>
          </w:p>
        </w:tc>
        <w:tc>
          <w:tcPr>
            <w:tcW w:w="334" w:type="pct"/>
            <w:vMerge w:val="restart"/>
            <w:vAlign w:val="center"/>
          </w:tcPr>
          <w:p>
            <w:pPr>
              <w:pStyle w:val="63"/>
            </w:pPr>
            <w:r>
              <w:t>环境风险防控</w:t>
            </w:r>
          </w:p>
        </w:tc>
        <w:tc>
          <w:tcPr>
            <w:tcW w:w="1782" w:type="pct"/>
            <w:vAlign w:val="center"/>
          </w:tcPr>
          <w:p>
            <w:pPr>
              <w:pStyle w:val="63"/>
            </w:pPr>
            <w:r>
              <w:t>园区须建立健全环境风险防控体系，严格落实《临湘工业园区突发环境事件应急预案》的相关要求，严防环境风险事故发生，提高应急处置能力。</w:t>
            </w:r>
          </w:p>
        </w:tc>
        <w:tc>
          <w:tcPr>
            <w:tcW w:w="1761" w:type="pct"/>
            <w:vAlign w:val="center"/>
          </w:tcPr>
          <w:p>
            <w:pPr>
              <w:pStyle w:val="63"/>
            </w:pPr>
            <w:r>
              <w:t>园区已建立健全的环境风险防控体系，并按照《临湘工业园区突发环境时间应急预案》中内容落实了相关要求。园区自建园起至今，未发生重大风险事故。</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tc>
        <w:tc>
          <w:tcPr>
            <w:tcW w:w="1761" w:type="pct"/>
            <w:vAlign w:val="center"/>
          </w:tcPr>
          <w:p>
            <w:pPr>
              <w:pStyle w:val="63"/>
            </w:pPr>
            <w:r>
              <w:t>园区三湾片区企业已进行应急预案备案企业28家，仍有25家企业未进行应急预案。滨江片区目前仅有1家企业试生产。</w:t>
            </w:r>
          </w:p>
        </w:tc>
        <w:tc>
          <w:tcPr>
            <w:tcW w:w="304" w:type="pct"/>
            <w:vAlign w:val="center"/>
          </w:tcPr>
          <w:p>
            <w:pPr>
              <w:pStyle w:val="63"/>
            </w:pPr>
            <w:r>
              <w:t>基本落实</w:t>
            </w:r>
          </w:p>
        </w:tc>
        <w:tc>
          <w:tcPr>
            <w:tcW w:w="650" w:type="pct"/>
            <w:vAlign w:val="center"/>
          </w:tcPr>
          <w:p>
            <w:pPr>
              <w:pStyle w:val="63"/>
            </w:pPr>
            <w:r>
              <w:t>督促未编制应急预案企业尽快编制应急预案或转账并备案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建设用地土壤风险防控：将建设用地土壤环境管理要求纳入城市规划和供地管理，土地开发利用必须符合土壤环境质量要求；各类涉及土地利用的规划和可能造成土壤污染的建设项目，依法进行环境影响评价。</w:t>
            </w:r>
          </w:p>
        </w:tc>
        <w:tc>
          <w:tcPr>
            <w:tcW w:w="1761" w:type="pct"/>
            <w:vAlign w:val="center"/>
          </w:tcPr>
          <w:p>
            <w:pPr>
              <w:pStyle w:val="63"/>
            </w:pPr>
            <w:r>
              <w:t>已将建设用地土壤环境管理要求纳入城市规划和供地管理；土地开发利用符合土壤环境质量要求。涉及土地利用的规划和可能造成土壤污染的建设项目已进行环境影响评价工作。</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0"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加强环境风险防控和应急管理。开展全市生态隐患和环境风险调查评估，从严实施环境风险防控措施；深化全市范围内化工、医药等重点企业环境风险评估，提升风险防控和突发环境事件应急处理处置能力。</w:t>
            </w:r>
          </w:p>
        </w:tc>
        <w:tc>
          <w:tcPr>
            <w:tcW w:w="1761" w:type="pct"/>
            <w:vAlign w:val="center"/>
          </w:tcPr>
          <w:p>
            <w:pPr>
              <w:pStyle w:val="63"/>
            </w:pPr>
            <w:r>
              <w:t>园区已有完善的环境风险防控及应急管理体系。岳阳市目前已开展全市范围内生态隐患和环境风险调查评估。园区已有相关风险防控及突发环境事件应急处理处置能力。</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建立健全重污染天气预警和应急机制，提高政府有效应对空气重污染的能力，最大限度降低重污染天气造成的危害，保障环境安全和公众身体健康。</w:t>
            </w:r>
          </w:p>
        </w:tc>
        <w:tc>
          <w:tcPr>
            <w:tcW w:w="1761" w:type="pct"/>
            <w:vAlign w:val="center"/>
          </w:tcPr>
          <w:p>
            <w:pPr>
              <w:pStyle w:val="63"/>
            </w:pPr>
            <w:r>
              <w:t>无</w:t>
            </w:r>
          </w:p>
        </w:tc>
        <w:tc>
          <w:tcPr>
            <w:tcW w:w="304" w:type="pct"/>
            <w:vAlign w:val="center"/>
          </w:tcPr>
          <w:p>
            <w:pPr>
              <w:pStyle w:val="63"/>
            </w:pPr>
            <w:r>
              <w:t>未落实</w:t>
            </w:r>
          </w:p>
        </w:tc>
        <w:tc>
          <w:tcPr>
            <w:tcW w:w="650" w:type="pct"/>
            <w:vAlign w:val="center"/>
          </w:tcPr>
          <w:p>
            <w:pPr>
              <w:pStyle w:val="63"/>
            </w:pPr>
            <w:r>
              <w:t>需尽快立健全重污染天气预警和应急机制，提高政府有效应对空气重污染的能力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园区应推进有毒有害气体预警预报体系建设，提高风险防控能力。</w:t>
            </w:r>
          </w:p>
        </w:tc>
        <w:tc>
          <w:tcPr>
            <w:tcW w:w="1761" w:type="pct"/>
            <w:vAlign w:val="center"/>
          </w:tcPr>
          <w:p>
            <w:pPr>
              <w:pStyle w:val="63"/>
            </w:pPr>
            <w:r>
              <w:t>园区已有有毒有害气体预警预报体系建设</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restart"/>
            <w:vAlign w:val="center"/>
          </w:tcPr>
          <w:p>
            <w:pPr>
              <w:pStyle w:val="63"/>
            </w:pPr>
            <w:r>
              <w:t>4</w:t>
            </w:r>
          </w:p>
        </w:tc>
        <w:tc>
          <w:tcPr>
            <w:tcW w:w="334" w:type="pct"/>
            <w:vMerge w:val="restart"/>
            <w:vAlign w:val="center"/>
          </w:tcPr>
          <w:p>
            <w:pPr>
              <w:pStyle w:val="63"/>
            </w:pPr>
            <w:r>
              <w:t>资源开发效益要求</w:t>
            </w:r>
          </w:p>
        </w:tc>
        <w:tc>
          <w:tcPr>
            <w:tcW w:w="1782" w:type="pct"/>
            <w:vAlign w:val="center"/>
          </w:tcPr>
          <w:p>
            <w:pPr>
              <w:pStyle w:val="63"/>
            </w:pPr>
            <w:r>
              <w:t>能源：加快推进清洁能源替代利用,实施能源消耗总量和强度双控行动，推进集中供热和工业余热利用；推行生物质成型燃料锅炉，励发展生物天然气。园区2020年的区域综合能耗消费量预测当量值为608900吨标煤，2020年区域单位GDP能耗预测值为0.400吨标煤/</w:t>
            </w:r>
          </w:p>
          <w:p>
            <w:pPr>
              <w:pStyle w:val="63"/>
            </w:pPr>
            <w:r>
              <w:t>万元，消耗增量当量值控制在18600吨标煤。2025年区域综合能耗消费量预测当量值为710200吨标煤，2025年区域单位GDP能耗预测值为0.326吨标煤/万元。区域十四五期间能耗消耗增量控制在101300吨标煤。</w:t>
            </w:r>
          </w:p>
        </w:tc>
        <w:tc>
          <w:tcPr>
            <w:tcW w:w="1761" w:type="pct"/>
            <w:vAlign w:val="center"/>
          </w:tcPr>
          <w:p>
            <w:pPr>
              <w:pStyle w:val="63"/>
              <w:rPr>
                <w:highlight w:val="yellow"/>
              </w:rPr>
            </w:pPr>
            <w:r>
              <w:rPr>
                <w:highlight w:val="yellow"/>
              </w:rPr>
              <w:t>三湾产业区2021年规模工业增加值为34.9亿元，总能耗为24.56万t标煤，单位地区生产总值能耗为0.7t标煤/万元，高于临湘高新技术产业开发区“三线一单”管控要求中单位地区生产总值能耗2025年预测值。</w:t>
            </w:r>
          </w:p>
        </w:tc>
        <w:tc>
          <w:tcPr>
            <w:tcW w:w="304" w:type="pct"/>
            <w:vAlign w:val="center"/>
          </w:tcPr>
          <w:p>
            <w:pPr>
              <w:pStyle w:val="63"/>
            </w:pPr>
            <w:r>
              <w:t>未落实</w:t>
            </w:r>
          </w:p>
        </w:tc>
        <w:tc>
          <w:tcPr>
            <w:tcW w:w="650" w:type="pct"/>
            <w:vAlign w:val="center"/>
          </w:tcPr>
          <w:p>
            <w:pPr>
              <w:pStyle w:val="63"/>
            </w:pPr>
            <w:r>
              <w:t>建议对陶瓷企业的燃料进行更换，取消煤制气工序，使用天然气作为燃料，远期园区采用电或天然气等清洁能源代替燃煤。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水资源：强化工业节水，根据国家统一要求和部署，重点开展化工等行业节水技术改造，逐步淘汰高耗水的落后产能，积极推广工业水循环利用，推进节水型工业园区建设。临湘市2020年万元工业增加值用水量控制指标为31立方米/万元，万元国内生产总值用水量104</w:t>
            </w:r>
          </w:p>
          <w:p>
            <w:pPr>
              <w:pStyle w:val="63"/>
            </w:pPr>
            <w:r>
              <w:t>立方米/万元。</w:t>
            </w:r>
          </w:p>
        </w:tc>
        <w:tc>
          <w:tcPr>
            <w:tcW w:w="1761" w:type="pct"/>
            <w:vAlign w:val="center"/>
          </w:tcPr>
          <w:p>
            <w:pPr>
              <w:pStyle w:val="63"/>
              <w:rPr>
                <w:highlight w:val="yellow"/>
              </w:rPr>
            </w:pPr>
            <w:r>
              <w:rPr>
                <w:highlight w:val="yellow"/>
              </w:rPr>
              <w:t>三湾产业区2021年总产值为37.12亿元，总用水量约135万立方米，国内生产总值用水量3.64立方米/万元</w:t>
            </w:r>
          </w:p>
        </w:tc>
        <w:tc>
          <w:tcPr>
            <w:tcW w:w="304" w:type="pct"/>
            <w:vAlign w:val="center"/>
          </w:tcPr>
          <w:p>
            <w:pPr>
              <w:pStyle w:val="63"/>
            </w:pPr>
            <w:r>
              <w:t>落实</w:t>
            </w:r>
          </w:p>
        </w:tc>
        <w:tc>
          <w:tcPr>
            <w:tcW w:w="650"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8" w:type="pct"/>
            <w:vMerge w:val="continue"/>
            <w:vAlign w:val="center"/>
          </w:tcPr>
          <w:p>
            <w:pPr>
              <w:pStyle w:val="63"/>
            </w:pPr>
          </w:p>
        </w:tc>
        <w:tc>
          <w:tcPr>
            <w:tcW w:w="334" w:type="pct"/>
            <w:vMerge w:val="continue"/>
            <w:vAlign w:val="center"/>
          </w:tcPr>
          <w:p>
            <w:pPr>
              <w:pStyle w:val="63"/>
            </w:pPr>
          </w:p>
        </w:tc>
        <w:tc>
          <w:tcPr>
            <w:tcW w:w="1782" w:type="pct"/>
            <w:vAlign w:val="center"/>
          </w:tcPr>
          <w:p>
            <w:pPr>
              <w:pStyle w:val="63"/>
            </w:pPr>
            <w:r>
              <w:t>土地资源：以国家产业发展政策为导向，合理制定区域产业用地政策，优先保障主导产业发展用地，严禁向禁止类工业项目供地，严格控制限制类工业项目用地，重点支持发展与区域资源环境条件相适应的产业。园区化工新材料产业、浮标钓具及体育用品制造产业、电</w:t>
            </w:r>
          </w:p>
          <w:p>
            <w:pPr>
              <w:pStyle w:val="63"/>
            </w:pPr>
            <w:r>
              <w:t>子信息产业、医药制造产业、建材业土地投资强度标准分别为220万元/亩、200万元/亩、280万元/亩、260万元/亩、170万元/亩。</w:t>
            </w:r>
          </w:p>
        </w:tc>
        <w:tc>
          <w:tcPr>
            <w:tcW w:w="1761" w:type="pct"/>
            <w:vAlign w:val="center"/>
          </w:tcPr>
          <w:p>
            <w:pPr>
              <w:pStyle w:val="63"/>
              <w:rPr>
                <w:highlight w:val="yellow"/>
              </w:rPr>
            </w:pPr>
            <w:r>
              <w:rPr>
                <w:highlight w:val="yellow"/>
              </w:rPr>
              <w:t>园区购地产业项目投资强度为397万元/亩</w:t>
            </w:r>
          </w:p>
        </w:tc>
        <w:tc>
          <w:tcPr>
            <w:tcW w:w="304" w:type="pct"/>
            <w:vAlign w:val="center"/>
          </w:tcPr>
          <w:p>
            <w:pPr>
              <w:pStyle w:val="63"/>
            </w:pPr>
            <w:r>
              <w:t>落实</w:t>
            </w:r>
          </w:p>
        </w:tc>
        <w:tc>
          <w:tcPr>
            <w:tcW w:w="650" w:type="pct"/>
            <w:vAlign w:val="center"/>
          </w:tcPr>
          <w:p>
            <w:pPr>
              <w:pStyle w:val="63"/>
            </w:pPr>
            <w:r>
              <w:t>/</w:t>
            </w:r>
          </w:p>
        </w:tc>
      </w:tr>
    </w:tbl>
    <w:p>
      <w:pPr>
        <w:rPr>
          <w:rFonts w:ascii="Times New Roman" w:hAnsi="Times New Roman" w:cs="Times New Roman"/>
        </w:rPr>
      </w:pPr>
    </w:p>
    <w:p>
      <w:pPr>
        <w:rPr>
          <w:rFonts w:ascii="Times New Roman" w:hAnsi="Times New Roman" w:cs="Times New Roman"/>
        </w:rPr>
        <w:sectPr>
          <w:pgSz w:w="16840" w:h="11907" w:orient="landscape"/>
          <w:pgMar w:top="1418" w:right="1418" w:bottom="1701" w:left="1418" w:header="935" w:footer="1021" w:gutter="0"/>
          <w:paperSrc w:first="7" w:other="7"/>
          <w:cols w:space="720" w:num="1"/>
          <w:docGrid w:linePitch="326" w:charSpace="0"/>
        </w:sectPr>
      </w:pPr>
    </w:p>
    <w:p>
      <w:pPr>
        <w:pStyle w:val="4"/>
        <w:rPr>
          <w:rFonts w:ascii="Times New Roman" w:hAnsi="Times New Roman" w:cs="Times New Roman"/>
        </w:rPr>
      </w:pPr>
      <w:bookmarkStart w:id="106" w:name="_Toc134088453"/>
      <w:bookmarkStart w:id="107" w:name="_Toc146091891"/>
      <w:bookmarkStart w:id="108" w:name="_Toc134088455"/>
      <w:bookmarkStart w:id="109" w:name="_Toc93071863"/>
      <w:bookmarkStart w:id="110" w:name="_Toc50625261"/>
      <w:bookmarkStart w:id="111" w:name="_Toc54516682"/>
      <w:bookmarkStart w:id="112" w:name="_Toc56066046"/>
      <w:bookmarkStart w:id="113" w:name="_Toc50625243"/>
      <w:bookmarkStart w:id="114" w:name="_Toc50966741"/>
      <w:r>
        <w:rPr>
          <w:rFonts w:ascii="Times New Roman" w:hAnsi="Times New Roman" w:cs="Times New Roman"/>
        </w:rPr>
        <w:t>2.3.</w:t>
      </w:r>
      <w:r>
        <w:rPr>
          <w:rFonts w:hint="eastAsia" w:ascii="Times New Roman" w:hAnsi="Times New Roman" w:cs="Times New Roman"/>
        </w:rPr>
        <w:t xml:space="preserve">4 </w:t>
      </w:r>
      <w:r>
        <w:rPr>
          <w:rFonts w:ascii="Times New Roman" w:hAnsi="Times New Roman" w:cs="Times New Roman"/>
        </w:rPr>
        <w:t>规划实施期间环保督察问题、环保投诉情况</w:t>
      </w:r>
      <w:bookmarkEnd w:id="106"/>
      <w:bookmarkEnd w:id="107"/>
    </w:p>
    <w:p>
      <w:pPr>
        <w:spacing w:line="360" w:lineRule="auto"/>
        <w:ind w:firstLine="480" w:firstLineChars="200"/>
        <w:rPr>
          <w:rFonts w:ascii="Times New Roman" w:hAnsi="Times New Roman" w:cs="Times New Roman"/>
        </w:rPr>
      </w:pPr>
      <w:r>
        <w:rPr>
          <w:rFonts w:ascii="Times New Roman" w:hAnsi="Times New Roman" w:cs="Times New Roman"/>
        </w:rPr>
        <w:t>根据资料，2017~2022年各级督察问题和涉及园区企业环保的投诉整改情况，园区无环保督察和企业环保投诉问题。</w:t>
      </w:r>
    </w:p>
    <w:p>
      <w:pPr>
        <w:pStyle w:val="6"/>
      </w:pPr>
      <w:r>
        <w:rPr>
          <w:rFonts w:ascii="Times New Roman" w:hAnsi="Times New Roman" w:cs="Times New Roman"/>
        </w:rPr>
        <w:t>表2.</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 xml:space="preserve">5 </w:t>
      </w:r>
      <w:r>
        <w:rPr>
          <w:rFonts w:ascii="Times New Roman" w:hAnsi="Times New Roman" w:cs="Times New Roman"/>
        </w:rPr>
        <w:t xml:space="preserve"> </w:t>
      </w:r>
      <w:r>
        <w:rPr>
          <w:rFonts w:hint="eastAsia" w:ascii="Times New Roman" w:hAnsi="Times New Roman" w:cs="Times New Roman"/>
        </w:rPr>
        <w:t>2017年以来中央、省级交办问题自查情况汇总表</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084"/>
        <w:gridCol w:w="3675"/>
        <w:gridCol w:w="4819"/>
        <w:gridCol w:w="1559"/>
        <w:gridCol w:w="1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序号</w:t>
            </w:r>
          </w:p>
        </w:tc>
        <w:tc>
          <w:tcPr>
            <w:tcW w:w="2084" w:type="dxa"/>
            <w:vAlign w:val="center"/>
          </w:tcPr>
          <w:p>
            <w:pPr>
              <w:pStyle w:val="63"/>
              <w:rPr>
                <w:rFonts w:eastAsiaTheme="minorEastAsia"/>
                <w:szCs w:val="21"/>
              </w:rPr>
            </w:pPr>
            <w:r>
              <w:rPr>
                <w:rFonts w:hint="eastAsia" w:eastAsiaTheme="minorEastAsia"/>
                <w:szCs w:val="21"/>
              </w:rPr>
              <w:t>问题来源</w:t>
            </w:r>
          </w:p>
        </w:tc>
        <w:tc>
          <w:tcPr>
            <w:tcW w:w="3676" w:type="dxa"/>
            <w:vAlign w:val="center"/>
          </w:tcPr>
          <w:p>
            <w:pPr>
              <w:pStyle w:val="63"/>
              <w:rPr>
                <w:rFonts w:eastAsiaTheme="minorEastAsia"/>
                <w:szCs w:val="21"/>
              </w:rPr>
            </w:pPr>
            <w:r>
              <w:rPr>
                <w:rFonts w:hint="eastAsia" w:eastAsiaTheme="minorEastAsia"/>
                <w:szCs w:val="21"/>
              </w:rPr>
              <w:t>问题</w:t>
            </w:r>
            <w:r>
              <w:rPr>
                <w:rFonts w:eastAsiaTheme="minorEastAsia"/>
                <w:szCs w:val="21"/>
              </w:rPr>
              <w:t>描述</w:t>
            </w:r>
          </w:p>
        </w:tc>
        <w:tc>
          <w:tcPr>
            <w:tcW w:w="4820" w:type="dxa"/>
            <w:vAlign w:val="center"/>
          </w:tcPr>
          <w:p>
            <w:pPr>
              <w:pStyle w:val="63"/>
              <w:rPr>
                <w:rFonts w:eastAsiaTheme="minorEastAsia"/>
                <w:szCs w:val="21"/>
              </w:rPr>
            </w:pPr>
            <w:r>
              <w:rPr>
                <w:rFonts w:hint="eastAsia" w:eastAsiaTheme="minorEastAsia"/>
                <w:szCs w:val="21"/>
              </w:rPr>
              <w:t>自查情况</w:t>
            </w:r>
          </w:p>
        </w:tc>
        <w:tc>
          <w:tcPr>
            <w:tcW w:w="1559" w:type="dxa"/>
            <w:vAlign w:val="center"/>
          </w:tcPr>
          <w:p>
            <w:pPr>
              <w:pStyle w:val="63"/>
              <w:rPr>
                <w:rFonts w:eastAsiaTheme="minorEastAsia"/>
                <w:szCs w:val="21"/>
              </w:rPr>
            </w:pPr>
            <w:r>
              <w:rPr>
                <w:rFonts w:hint="eastAsia" w:eastAsiaTheme="minorEastAsia"/>
                <w:szCs w:val="21"/>
              </w:rPr>
              <w:t>存在的</w:t>
            </w:r>
            <w:r>
              <w:rPr>
                <w:rFonts w:eastAsiaTheme="minorEastAsia"/>
                <w:szCs w:val="21"/>
              </w:rPr>
              <w:t>问题</w:t>
            </w:r>
          </w:p>
        </w:tc>
        <w:tc>
          <w:tcPr>
            <w:tcW w:w="1354" w:type="dxa"/>
            <w:vAlign w:val="center"/>
          </w:tcPr>
          <w:p>
            <w:pPr>
              <w:pStyle w:val="63"/>
              <w:rPr>
                <w:rFonts w:eastAsiaTheme="minorEastAsia"/>
                <w:szCs w:val="21"/>
              </w:rPr>
            </w:pPr>
            <w:r>
              <w:rPr>
                <w:rFonts w:hint="eastAsia" w:eastAsiaTheme="minorEastAsia"/>
                <w:szCs w:val="21"/>
              </w:rPr>
              <w:t>整改措施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w:t>
            </w:r>
          </w:p>
        </w:tc>
        <w:tc>
          <w:tcPr>
            <w:tcW w:w="2084" w:type="dxa"/>
            <w:vAlign w:val="center"/>
          </w:tcPr>
          <w:p>
            <w:pPr>
              <w:pStyle w:val="63"/>
              <w:rPr>
                <w:rFonts w:eastAsiaTheme="minorEastAsia"/>
                <w:szCs w:val="21"/>
              </w:rPr>
            </w:pPr>
            <w:r>
              <w:rPr>
                <w:rFonts w:hint="eastAsia" w:eastAsiaTheme="minorEastAsia"/>
                <w:szCs w:val="21"/>
              </w:rPr>
              <w:t>贯彻落实第二轮中央生态环境保护督察</w:t>
            </w:r>
          </w:p>
        </w:tc>
        <w:tc>
          <w:tcPr>
            <w:tcW w:w="3676" w:type="dxa"/>
            <w:vAlign w:val="center"/>
          </w:tcPr>
          <w:p>
            <w:pPr>
              <w:pStyle w:val="63"/>
              <w:rPr>
                <w:rFonts w:eastAsiaTheme="minorEastAsia"/>
                <w:szCs w:val="21"/>
              </w:rPr>
            </w:pPr>
            <w:r>
              <w:rPr>
                <w:rFonts w:hint="eastAsia" w:eastAsiaTheme="minorEastAsia"/>
                <w:szCs w:val="21"/>
              </w:rPr>
              <w:t>园区</w:t>
            </w:r>
            <w:r>
              <w:rPr>
                <w:rFonts w:eastAsiaTheme="minorEastAsia"/>
                <w:szCs w:val="21"/>
              </w:rPr>
              <w:t>环境保护</w:t>
            </w:r>
            <w:r>
              <w:rPr>
                <w:rFonts w:hint="eastAsia" w:eastAsiaTheme="minorEastAsia"/>
                <w:szCs w:val="21"/>
              </w:rPr>
              <w:t>水平</w:t>
            </w:r>
            <w:r>
              <w:rPr>
                <w:rFonts w:eastAsiaTheme="minorEastAsia"/>
                <w:szCs w:val="21"/>
              </w:rPr>
              <w:t>较低</w:t>
            </w:r>
          </w:p>
        </w:tc>
        <w:tc>
          <w:tcPr>
            <w:tcW w:w="4820" w:type="dxa"/>
            <w:vAlign w:val="center"/>
          </w:tcPr>
          <w:p>
            <w:pPr>
              <w:pStyle w:val="63"/>
              <w:rPr>
                <w:rFonts w:eastAsiaTheme="minorEastAsia"/>
                <w:szCs w:val="21"/>
              </w:rPr>
            </w:pPr>
            <w:r>
              <w:rPr>
                <w:rFonts w:hint="eastAsia" w:eastAsiaTheme="minorEastAsia"/>
                <w:szCs w:val="21"/>
              </w:rPr>
              <w:t>一是园区成立了专职环境监管机构安环部，二是国区聘请了第三方环保管家。三是园区委托专业环保公司运营管理园区集中污水处理厂(深水海纳公司)和园区雨水泵站(湖南湘恩环保公司)。四是园区委托具有资质第三方检测公司，根据环评要求，定期对园区地表水、地下水、环境空气、环境噪声和土壤进行季度性检测。</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持续推进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临湘市江南镇儒溪居委会旁临湘工业园排放废水废气影响环境。居民检测过水质，是不合格的。督查期间企业都停产了，但是希望能在将来也有所改进</w:t>
            </w:r>
          </w:p>
        </w:tc>
        <w:tc>
          <w:tcPr>
            <w:tcW w:w="4820" w:type="dxa"/>
            <w:vAlign w:val="center"/>
          </w:tcPr>
          <w:p>
            <w:pPr>
              <w:pStyle w:val="63"/>
              <w:rPr>
                <w:rFonts w:eastAsiaTheme="minorEastAsia"/>
                <w:szCs w:val="21"/>
              </w:rPr>
            </w:pPr>
            <w:r>
              <w:rPr>
                <w:rFonts w:hint="eastAsia" w:eastAsiaTheme="minorEastAsia"/>
                <w:szCs w:val="21"/>
              </w:rPr>
              <w:t>废水经企业预处理后进入污水处理厂进行深度处理达标后排入长江，废气经处理后达标排放。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持续推进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3</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临湘市儒溪镇化工园区主要做农药可能存在大的隐患，离长江500米不到，存在大隐患</w:t>
            </w:r>
          </w:p>
        </w:tc>
        <w:tc>
          <w:tcPr>
            <w:tcW w:w="4820" w:type="dxa"/>
            <w:vAlign w:val="center"/>
          </w:tcPr>
          <w:p>
            <w:pPr>
              <w:pStyle w:val="63"/>
              <w:rPr>
                <w:rFonts w:eastAsiaTheme="minorEastAsia"/>
                <w:szCs w:val="21"/>
              </w:rPr>
            </w:pPr>
            <w:r>
              <w:rPr>
                <w:rFonts w:hint="eastAsia" w:eastAsiaTheme="minorEastAsia"/>
                <w:szCs w:val="21"/>
              </w:rPr>
              <w:t>现园区化工企业正在搬迁至杨桥片区。</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4</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岳阳市临湘市三湾工业园内有很多陶瓷厂, 环保设施不到位，粉尘严重，反应很多次没有改善，废水污染周边溪沟。督察组进驻后所有企业均停止生产</w:t>
            </w:r>
          </w:p>
        </w:tc>
        <w:tc>
          <w:tcPr>
            <w:tcW w:w="4820" w:type="dxa"/>
            <w:vAlign w:val="center"/>
          </w:tcPr>
          <w:p>
            <w:pPr>
              <w:pStyle w:val="63"/>
              <w:rPr>
                <w:rFonts w:eastAsiaTheme="minorEastAsia"/>
                <w:szCs w:val="21"/>
              </w:rPr>
            </w:pPr>
            <w:r>
              <w:rPr>
                <w:rFonts w:hint="eastAsia" w:eastAsiaTheme="minorEastAsia"/>
                <w:szCs w:val="21"/>
              </w:rPr>
              <w:t>现三湾陶瓷企业已正在逐步退出，仅剩兆邦陶瓷、凯美陶瓷、发达陶瓷正常生产运营，均已按照环评等文件要求对企业进行管理</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5</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岳阳市临湘市临湘工业园湖南邵帮陶瓷厂(生产石板砖)，生产废水未经处理排入周边水沟，周边居民地下水发黄，噪声扰民。</w:t>
            </w:r>
          </w:p>
        </w:tc>
        <w:tc>
          <w:tcPr>
            <w:tcW w:w="4820" w:type="dxa"/>
            <w:vAlign w:val="center"/>
          </w:tcPr>
          <w:p>
            <w:pPr>
              <w:pStyle w:val="63"/>
              <w:rPr>
                <w:rFonts w:eastAsiaTheme="minorEastAsia"/>
                <w:szCs w:val="21"/>
              </w:rPr>
            </w:pPr>
            <w:r>
              <w:rPr>
                <w:rFonts w:hint="eastAsia" w:eastAsiaTheme="minorEastAsia"/>
                <w:szCs w:val="21"/>
              </w:rPr>
              <w:t>现三湾陶瓷企业生产废水经处理后循环使用，不外排。</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6</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云溪区陆城镇新港村同力矿业有限公司(选矿)生产废水通过涵管偷排入洞庭湖、长江。燃煤排放黑烟。矿内含有放射性物质。曾向区、临湘市、岳阳市环保局12345市政热线反映，三个部门回答废水处理方案有不同的答案，环保局曾要求整改，后又恢复原状未处理</w:t>
            </w:r>
          </w:p>
        </w:tc>
        <w:tc>
          <w:tcPr>
            <w:tcW w:w="4820" w:type="dxa"/>
            <w:vAlign w:val="center"/>
          </w:tcPr>
          <w:p>
            <w:pPr>
              <w:pStyle w:val="63"/>
              <w:rPr>
                <w:rFonts w:eastAsiaTheme="minorEastAsia"/>
                <w:szCs w:val="21"/>
              </w:rPr>
            </w:pPr>
            <w:r>
              <w:rPr>
                <w:rFonts w:hint="eastAsia" w:eastAsiaTheme="minorEastAsia"/>
                <w:szCs w:val="21"/>
              </w:rPr>
              <w:t>同力矿业已拆除清退</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7</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岳阳市云溪区同力化工厂位于临湘市江南镇纯湖村委会里面，废水直排到长江，这个厂废水流到云溪区陆城镇新港村一组污染水源。曾向当地媒体、政府、12345反映多次未果。</w:t>
            </w:r>
          </w:p>
        </w:tc>
        <w:tc>
          <w:tcPr>
            <w:tcW w:w="4820" w:type="dxa"/>
            <w:vAlign w:val="center"/>
          </w:tcPr>
          <w:p>
            <w:pPr>
              <w:pStyle w:val="63"/>
              <w:rPr>
                <w:rFonts w:eastAsiaTheme="minorEastAsia"/>
                <w:szCs w:val="21"/>
              </w:rPr>
            </w:pPr>
            <w:r>
              <w:rPr>
                <w:rFonts w:hint="eastAsia" w:eastAsiaTheme="minorEastAsia"/>
                <w:szCs w:val="21"/>
              </w:rPr>
              <w:t>同力矿业已拆除清退</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8</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岳阳市临湘市临湘滨江工业园，2012 年起生产农药，对周边环境污染严重。空气污染很严重，河水是黑红色的，河里鱼死光了，周边农田种的莲藕、养的龙虾、牛鸡鸭都受到影响，喝的水也被污染。检查时就关闭不生产。岳阳市垃圾发电厂距离仅几百米远，还未生产，担心对农田有污染。</w:t>
            </w:r>
          </w:p>
        </w:tc>
        <w:tc>
          <w:tcPr>
            <w:tcW w:w="4820" w:type="dxa"/>
            <w:vAlign w:val="center"/>
          </w:tcPr>
          <w:p>
            <w:pPr>
              <w:pStyle w:val="63"/>
              <w:rPr>
                <w:rFonts w:eastAsiaTheme="minorEastAsia"/>
                <w:szCs w:val="21"/>
              </w:rPr>
            </w:pPr>
            <w:r>
              <w:rPr>
                <w:rFonts w:hint="eastAsia" w:eastAsiaTheme="minorEastAsia"/>
                <w:szCs w:val="21"/>
              </w:rPr>
              <w:t>废水经企业预处理后进入污水处理厂进行深度处理达标后排入长江，废气经处理后达标排放。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9</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岳阳市临湘市临湘工业园几家企业(金牛陶瓷厂、发达陶瓷厂、邵帮陶瓷厂，凯美陶瓷厂)，企业烧煤，排放黑烟，粉尘污染周边环境，生产废水直排农田、废沟，污染了地表水。噪声扰民</w:t>
            </w:r>
          </w:p>
        </w:tc>
        <w:tc>
          <w:tcPr>
            <w:tcW w:w="4820" w:type="dxa"/>
            <w:vAlign w:val="center"/>
          </w:tcPr>
          <w:p>
            <w:pPr>
              <w:pStyle w:val="63"/>
              <w:rPr>
                <w:rFonts w:eastAsiaTheme="minorEastAsia"/>
                <w:szCs w:val="21"/>
              </w:rPr>
            </w:pPr>
            <w:r>
              <w:rPr>
                <w:rFonts w:hint="eastAsia" w:eastAsiaTheme="minorEastAsia"/>
                <w:szCs w:val="21"/>
              </w:rPr>
              <w:t>现陶瓷企业已正在逐步退出，仅剩兆邦陶瓷、凯美陶瓷、发达陶瓷正常生产运营。陶瓷企业生产废水经处理后循环使用不外排，各企业废气均达标排放。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10</w:t>
            </w:r>
          </w:p>
        </w:tc>
        <w:tc>
          <w:tcPr>
            <w:tcW w:w="2084" w:type="dxa"/>
            <w:vAlign w:val="center"/>
          </w:tcPr>
          <w:p>
            <w:pPr>
              <w:pStyle w:val="63"/>
              <w:rPr>
                <w:rFonts w:eastAsiaTheme="minorEastAsia"/>
                <w:szCs w:val="21"/>
              </w:rPr>
            </w:pPr>
            <w:r>
              <w:rPr>
                <w:rFonts w:hint="eastAsia" w:eastAsiaTheme="minorEastAsia"/>
                <w:szCs w:val="21"/>
              </w:rPr>
              <w:t>2017年中央</w:t>
            </w:r>
            <w:r>
              <w:rPr>
                <w:rFonts w:eastAsiaTheme="minorEastAsia"/>
                <w:szCs w:val="21"/>
              </w:rPr>
              <w:t>环保</w:t>
            </w:r>
            <w:r>
              <w:rPr>
                <w:rFonts w:hint="eastAsia" w:eastAsiaTheme="minorEastAsia"/>
                <w:szCs w:val="21"/>
              </w:rPr>
              <w:t>督查信访交办件</w:t>
            </w:r>
          </w:p>
        </w:tc>
        <w:tc>
          <w:tcPr>
            <w:tcW w:w="3676" w:type="dxa"/>
            <w:vAlign w:val="center"/>
          </w:tcPr>
          <w:p>
            <w:pPr>
              <w:pStyle w:val="63"/>
              <w:rPr>
                <w:rFonts w:eastAsiaTheme="minorEastAsia"/>
                <w:szCs w:val="21"/>
              </w:rPr>
            </w:pPr>
            <w:r>
              <w:rPr>
                <w:rFonts w:hint="eastAsia" w:eastAsiaTheme="minorEastAsia"/>
                <w:szCs w:val="21"/>
              </w:rPr>
              <w:t>岳阳市云溪区儒溪工业园比德生化科技有限公司，危险化学品自行填埋在云溪区岳化冶炼厂围墙边上。曾向区环保局反|映未果。</w:t>
            </w:r>
          </w:p>
        </w:tc>
        <w:tc>
          <w:tcPr>
            <w:tcW w:w="4820" w:type="dxa"/>
            <w:vAlign w:val="center"/>
          </w:tcPr>
          <w:p>
            <w:pPr>
              <w:pStyle w:val="63"/>
              <w:rPr>
                <w:rFonts w:eastAsiaTheme="minorEastAsia"/>
                <w:szCs w:val="21"/>
              </w:rPr>
            </w:pPr>
            <w:r>
              <w:rPr>
                <w:rFonts w:hint="eastAsia" w:eastAsiaTheme="minorEastAsia"/>
                <w:szCs w:val="21"/>
              </w:rPr>
              <w:t>湖南比德生化科技有限公司严格管理危险废物，危险废物暂存于危废暂存间，定期交由有资质单位进行处置</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11</w:t>
            </w:r>
          </w:p>
        </w:tc>
        <w:tc>
          <w:tcPr>
            <w:tcW w:w="2084" w:type="dxa"/>
            <w:vAlign w:val="center"/>
          </w:tcPr>
          <w:p>
            <w:pPr>
              <w:pStyle w:val="63"/>
              <w:rPr>
                <w:rFonts w:eastAsiaTheme="minorEastAsia"/>
                <w:szCs w:val="21"/>
              </w:rPr>
            </w:pPr>
            <w:r>
              <w:rPr>
                <w:rFonts w:hint="eastAsia" w:eastAsiaTheme="minorEastAsia"/>
                <w:szCs w:val="21"/>
              </w:rPr>
              <w:t>2018年第一轮中央环保督察“回头看”信访件</w:t>
            </w:r>
          </w:p>
        </w:tc>
        <w:tc>
          <w:tcPr>
            <w:tcW w:w="3676" w:type="dxa"/>
            <w:vAlign w:val="center"/>
          </w:tcPr>
          <w:p>
            <w:pPr>
              <w:pStyle w:val="63"/>
              <w:rPr>
                <w:rFonts w:eastAsiaTheme="minorEastAsia"/>
                <w:szCs w:val="21"/>
              </w:rPr>
            </w:pPr>
            <w:r>
              <w:rPr>
                <w:rFonts w:hint="eastAsia" w:eastAsiaTheme="minorEastAsia"/>
                <w:szCs w:val="21"/>
              </w:rPr>
              <w:t>陶瓷工业园生产作业废水直排，污染了当地河流，24小时生产，扬尘扰民，检查时就停产。</w:t>
            </w:r>
          </w:p>
        </w:tc>
        <w:tc>
          <w:tcPr>
            <w:tcW w:w="4820" w:type="dxa"/>
            <w:vAlign w:val="center"/>
          </w:tcPr>
          <w:p>
            <w:pPr>
              <w:pStyle w:val="63"/>
              <w:rPr>
                <w:rFonts w:eastAsiaTheme="minorEastAsia"/>
                <w:szCs w:val="21"/>
              </w:rPr>
            </w:pPr>
            <w:r>
              <w:rPr>
                <w:rFonts w:hint="eastAsia" w:eastAsiaTheme="minorEastAsia"/>
                <w:szCs w:val="21"/>
              </w:rPr>
              <w:t>现陶瓷企业已正在逐步退出，仅剩兆邦陶瓷、凯美陶瓷、发达陶瓷正常生产运营。陶瓷企业生产废水经处理后循环使用不外排，各企业废气均达标排放。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12</w:t>
            </w:r>
          </w:p>
        </w:tc>
        <w:tc>
          <w:tcPr>
            <w:tcW w:w="2084" w:type="dxa"/>
            <w:vAlign w:val="center"/>
          </w:tcPr>
          <w:p>
            <w:pPr>
              <w:pStyle w:val="63"/>
              <w:rPr>
                <w:rFonts w:eastAsiaTheme="minorEastAsia"/>
                <w:szCs w:val="21"/>
              </w:rPr>
            </w:pPr>
            <w:r>
              <w:rPr>
                <w:rFonts w:hint="eastAsia" w:eastAsiaTheme="minorEastAsia"/>
                <w:szCs w:val="21"/>
              </w:rPr>
              <w:t>2018年第一轮中央环保督察“回头看”信访件</w:t>
            </w:r>
          </w:p>
        </w:tc>
        <w:tc>
          <w:tcPr>
            <w:tcW w:w="3676" w:type="dxa"/>
            <w:vAlign w:val="center"/>
          </w:tcPr>
          <w:p>
            <w:pPr>
              <w:pStyle w:val="63"/>
              <w:rPr>
                <w:rFonts w:eastAsiaTheme="minorEastAsia"/>
                <w:szCs w:val="21"/>
              </w:rPr>
            </w:pPr>
            <w:r>
              <w:rPr>
                <w:rFonts w:hint="eastAsia" w:eastAsiaTheme="minorEastAsia"/>
                <w:szCs w:val="21"/>
              </w:rPr>
              <w:t>鸭栏港码头扬尘和运输噪音扰民，并且每天运输车辆未覆盖导致泥沙、煤渣散落，没有清理。多次举报无果。</w:t>
            </w:r>
          </w:p>
        </w:tc>
        <w:tc>
          <w:tcPr>
            <w:tcW w:w="4820" w:type="dxa"/>
            <w:vAlign w:val="center"/>
          </w:tcPr>
          <w:p>
            <w:pPr>
              <w:pStyle w:val="63"/>
              <w:rPr>
                <w:rFonts w:eastAsiaTheme="minorEastAsia"/>
                <w:szCs w:val="21"/>
              </w:rPr>
            </w:pPr>
            <w:r>
              <w:rPr>
                <w:rFonts w:hint="eastAsia" w:eastAsiaTheme="minorEastAsia"/>
                <w:szCs w:val="21"/>
              </w:rPr>
              <w:t>现运输车辆均要求篷布覆盖，路面采用洒水车定期洒水清理。</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13</w:t>
            </w:r>
          </w:p>
        </w:tc>
        <w:tc>
          <w:tcPr>
            <w:tcW w:w="2084" w:type="dxa"/>
            <w:vAlign w:val="center"/>
          </w:tcPr>
          <w:p>
            <w:pPr>
              <w:pStyle w:val="63"/>
              <w:rPr>
                <w:rFonts w:eastAsiaTheme="minorEastAsia"/>
                <w:szCs w:val="21"/>
              </w:rPr>
            </w:pPr>
            <w:r>
              <w:rPr>
                <w:rFonts w:hint="eastAsia" w:eastAsiaTheme="minorEastAsia"/>
                <w:szCs w:val="21"/>
              </w:rPr>
              <w:t>2018年第一轮中央环保督察“回头看”信访件</w:t>
            </w:r>
          </w:p>
        </w:tc>
        <w:tc>
          <w:tcPr>
            <w:tcW w:w="3676" w:type="dxa"/>
            <w:vAlign w:val="center"/>
          </w:tcPr>
          <w:p>
            <w:pPr>
              <w:pStyle w:val="63"/>
              <w:rPr>
                <w:rFonts w:eastAsiaTheme="minorEastAsia"/>
                <w:szCs w:val="21"/>
              </w:rPr>
            </w:pPr>
            <w:r>
              <w:rPr>
                <w:rFonts w:hint="eastAsia" w:eastAsiaTheme="minorEastAsia"/>
                <w:szCs w:val="21"/>
              </w:rPr>
              <w:t>岳阳市临湘市存在的问题:1、儒溪工业园污水处理厂未改造完成的情况下，企业生产废水通过雨水外排至洋溪湖。2、儒溪的污染问题没有得到解决，国发右边有一个低洼地，下雨时企业废水汇集这里,最后排到洋溪湖，现在这片地被填起来并种了草，表面看起来没问题，但实际下面的土壤已被污染了，没做任何处理就直接填理。</w:t>
            </w:r>
          </w:p>
        </w:tc>
        <w:tc>
          <w:tcPr>
            <w:tcW w:w="4820" w:type="dxa"/>
            <w:vAlign w:val="center"/>
          </w:tcPr>
          <w:p>
            <w:pPr>
              <w:pStyle w:val="63"/>
              <w:rPr>
                <w:rFonts w:eastAsiaTheme="minorEastAsia"/>
                <w:szCs w:val="21"/>
              </w:rPr>
            </w:pPr>
            <w:r>
              <w:rPr>
                <w:rFonts w:hint="eastAsia" w:eastAsiaTheme="minorEastAsia"/>
                <w:szCs w:val="21"/>
              </w:rPr>
              <w:t>1、现污水处理厂已改造完成，企业生产废水经一企一管进入污水处理厂处理后排入长江; 2.园区企业雨水严格进入雨水管网，经雨水泵站检测后超标则排入污水处理厂进行处理，达标则通过老龙口排入洋溪湖。腰子湖水排入雨水泵站经检测达标后外排。</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持续推进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14</w:t>
            </w:r>
          </w:p>
        </w:tc>
        <w:tc>
          <w:tcPr>
            <w:tcW w:w="2084" w:type="dxa"/>
            <w:vAlign w:val="center"/>
          </w:tcPr>
          <w:p>
            <w:pPr>
              <w:pStyle w:val="63"/>
              <w:rPr>
                <w:rFonts w:eastAsiaTheme="minorEastAsia"/>
                <w:szCs w:val="21"/>
              </w:rPr>
            </w:pPr>
            <w:r>
              <w:rPr>
                <w:rFonts w:hint="eastAsia" w:eastAsiaTheme="minorEastAsia"/>
                <w:szCs w:val="21"/>
              </w:rPr>
              <w:t>2018年第一轮中央环保督察“回头看”信访件</w:t>
            </w:r>
          </w:p>
        </w:tc>
        <w:tc>
          <w:tcPr>
            <w:tcW w:w="3676" w:type="dxa"/>
            <w:vAlign w:val="center"/>
          </w:tcPr>
          <w:p>
            <w:pPr>
              <w:pStyle w:val="63"/>
              <w:rPr>
                <w:rFonts w:eastAsiaTheme="minorEastAsia"/>
                <w:szCs w:val="21"/>
              </w:rPr>
            </w:pPr>
            <w:r>
              <w:rPr>
                <w:rFonts w:hint="eastAsia" w:eastAsiaTheme="minorEastAsia"/>
                <w:szCs w:val="21"/>
              </w:rPr>
              <w:t>临湘市安基化工公司工业废水直排，导致农田荒废，工业废气直排，气味扰民。希望取缔。</w:t>
            </w:r>
          </w:p>
        </w:tc>
        <w:tc>
          <w:tcPr>
            <w:tcW w:w="4820" w:type="dxa"/>
            <w:vAlign w:val="center"/>
          </w:tcPr>
          <w:p>
            <w:pPr>
              <w:pStyle w:val="63"/>
              <w:rPr>
                <w:rFonts w:eastAsiaTheme="minorEastAsia"/>
                <w:szCs w:val="21"/>
              </w:rPr>
            </w:pPr>
            <w:r>
              <w:rPr>
                <w:rFonts w:hint="eastAsia" w:eastAsiaTheme="minorEastAsia"/>
                <w:szCs w:val="21"/>
              </w:rPr>
              <w:t>临湘市安基化工公司已拆除退出。</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15</w:t>
            </w:r>
          </w:p>
        </w:tc>
        <w:tc>
          <w:tcPr>
            <w:tcW w:w="2084" w:type="dxa"/>
            <w:vAlign w:val="center"/>
          </w:tcPr>
          <w:p>
            <w:pPr>
              <w:pStyle w:val="63"/>
              <w:rPr>
                <w:rFonts w:eastAsiaTheme="minorEastAsia"/>
                <w:szCs w:val="21"/>
              </w:rPr>
            </w:pPr>
            <w:r>
              <w:rPr>
                <w:rFonts w:hint="eastAsia" w:eastAsiaTheme="minorEastAsia"/>
                <w:szCs w:val="21"/>
              </w:rPr>
              <w:t>2018年第一轮中央环保督察“回头看”信访件</w:t>
            </w:r>
          </w:p>
        </w:tc>
        <w:tc>
          <w:tcPr>
            <w:tcW w:w="3676" w:type="dxa"/>
            <w:vAlign w:val="center"/>
          </w:tcPr>
          <w:p>
            <w:pPr>
              <w:pStyle w:val="63"/>
              <w:rPr>
                <w:rFonts w:eastAsiaTheme="minorEastAsia"/>
                <w:szCs w:val="21"/>
              </w:rPr>
            </w:pPr>
            <w:r>
              <w:rPr>
                <w:rFonts w:hint="eastAsia" w:eastAsiaTheme="minorEastAsia"/>
                <w:szCs w:val="21"/>
              </w:rPr>
              <w:t>滨江工业园有十几家生物化工厂，离居民区只有几百米，生产废水直排入农田，并且生产废气刺鼻。</w:t>
            </w:r>
          </w:p>
        </w:tc>
        <w:tc>
          <w:tcPr>
            <w:tcW w:w="4820" w:type="dxa"/>
            <w:vAlign w:val="center"/>
          </w:tcPr>
          <w:p>
            <w:pPr>
              <w:pStyle w:val="63"/>
              <w:rPr>
                <w:rFonts w:eastAsiaTheme="minorEastAsia"/>
                <w:szCs w:val="21"/>
              </w:rPr>
            </w:pPr>
            <w:r>
              <w:rPr>
                <w:rFonts w:hint="eastAsia" w:eastAsiaTheme="minorEastAsia"/>
                <w:szCs w:val="21"/>
              </w:rPr>
              <w:t>滨江工业园企业生产废水经一企一管进入污水处理厂处理达标后排入长江，生产废气经处理后达标排放。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16</w:t>
            </w:r>
          </w:p>
        </w:tc>
        <w:tc>
          <w:tcPr>
            <w:tcW w:w="2084" w:type="dxa"/>
            <w:vAlign w:val="center"/>
          </w:tcPr>
          <w:p>
            <w:pPr>
              <w:pStyle w:val="63"/>
              <w:rPr>
                <w:rFonts w:eastAsiaTheme="minorEastAsia"/>
                <w:szCs w:val="21"/>
              </w:rPr>
            </w:pPr>
            <w:r>
              <w:rPr>
                <w:rFonts w:hint="eastAsia" w:eastAsiaTheme="minorEastAsia"/>
                <w:szCs w:val="21"/>
              </w:rPr>
              <w:t>2018年省环保督察信访件</w:t>
            </w:r>
          </w:p>
        </w:tc>
        <w:tc>
          <w:tcPr>
            <w:tcW w:w="3676" w:type="dxa"/>
            <w:vAlign w:val="center"/>
          </w:tcPr>
          <w:p>
            <w:pPr>
              <w:pStyle w:val="63"/>
              <w:rPr>
                <w:rFonts w:eastAsiaTheme="minorEastAsia"/>
                <w:szCs w:val="21"/>
              </w:rPr>
            </w:pPr>
            <w:r>
              <w:rPr>
                <w:rFonts w:hint="eastAsia" w:eastAsiaTheme="minorEastAsia"/>
                <w:szCs w:val="21"/>
              </w:rPr>
              <w:t>反映岳阳市临湘市三湾工业园旁居民区100米的发达陶瓷厂，有二氧化硫气味散发，噪音、粉尘污染比较严重。</w:t>
            </w:r>
          </w:p>
        </w:tc>
        <w:tc>
          <w:tcPr>
            <w:tcW w:w="4820" w:type="dxa"/>
            <w:vAlign w:val="center"/>
          </w:tcPr>
          <w:p>
            <w:pPr>
              <w:pStyle w:val="63"/>
              <w:rPr>
                <w:rFonts w:eastAsiaTheme="minorEastAsia"/>
                <w:szCs w:val="21"/>
              </w:rPr>
            </w:pPr>
            <w:r>
              <w:rPr>
                <w:rFonts w:hint="eastAsia" w:eastAsiaTheme="minorEastAsia"/>
                <w:szCs w:val="21"/>
              </w:rPr>
              <w:t>发达陶瓷生产废气经处理后达标排放。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w:t>
            </w:r>
            <w:r>
              <w:rPr>
                <w:rFonts w:eastAsiaTheme="minorEastAsia"/>
                <w:szCs w:val="21"/>
              </w:rPr>
              <w:t>7</w:t>
            </w:r>
          </w:p>
        </w:tc>
        <w:tc>
          <w:tcPr>
            <w:tcW w:w="2084" w:type="dxa"/>
            <w:vAlign w:val="center"/>
          </w:tcPr>
          <w:p>
            <w:pPr>
              <w:pStyle w:val="63"/>
              <w:rPr>
                <w:rFonts w:eastAsiaTheme="minorEastAsia"/>
                <w:szCs w:val="21"/>
              </w:rPr>
            </w:pPr>
            <w:r>
              <w:rPr>
                <w:rFonts w:hint="eastAsia" w:eastAsiaTheme="minorEastAsia"/>
                <w:szCs w:val="21"/>
              </w:rPr>
              <w:t>2018年省环保督察信访件</w:t>
            </w:r>
          </w:p>
        </w:tc>
        <w:tc>
          <w:tcPr>
            <w:tcW w:w="3676" w:type="dxa"/>
            <w:vAlign w:val="center"/>
          </w:tcPr>
          <w:p>
            <w:pPr>
              <w:pStyle w:val="63"/>
              <w:rPr>
                <w:rFonts w:eastAsiaTheme="minorEastAsia"/>
                <w:szCs w:val="21"/>
              </w:rPr>
            </w:pPr>
            <w:r>
              <w:rPr>
                <w:rFonts w:hint="eastAsia" w:eastAsiaTheme="minorEastAsia"/>
                <w:szCs w:val="21"/>
              </w:rPr>
              <w:t>临湘市滨江产业园园区企业排放的农药气味难闻,使农作物减产、植物枯萎，废水未通过任何处理通过暗管排入泾港河里使鱼虾死亡，对周边居民生活造成很大影响。滨江产业园曾许诺儒溪社区整体搬迁，到现在10年了还没得到解决，希望工业园兑现承诺把我们搬迁。</w:t>
            </w:r>
          </w:p>
        </w:tc>
        <w:tc>
          <w:tcPr>
            <w:tcW w:w="4820" w:type="dxa"/>
            <w:vAlign w:val="center"/>
          </w:tcPr>
          <w:p>
            <w:pPr>
              <w:pStyle w:val="63"/>
              <w:rPr>
                <w:rFonts w:eastAsiaTheme="minorEastAsia"/>
                <w:szCs w:val="21"/>
              </w:rPr>
            </w:pPr>
            <w:r>
              <w:rPr>
                <w:rFonts w:hint="eastAsia" w:eastAsiaTheme="minorEastAsia"/>
                <w:szCs w:val="21"/>
              </w:rPr>
              <w:t>临湘市滨江产业园园区企业生产废水经一企一管进入污水处理厂处理后达标排入长江，现儒溪社区已整体搬迁。</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18</w:t>
            </w:r>
          </w:p>
        </w:tc>
        <w:tc>
          <w:tcPr>
            <w:tcW w:w="2084" w:type="dxa"/>
            <w:vAlign w:val="center"/>
          </w:tcPr>
          <w:p>
            <w:pPr>
              <w:pStyle w:val="63"/>
              <w:rPr>
                <w:rFonts w:eastAsiaTheme="minorEastAsia"/>
                <w:szCs w:val="21"/>
              </w:rPr>
            </w:pPr>
            <w:r>
              <w:rPr>
                <w:rFonts w:hint="eastAsia" w:eastAsiaTheme="minorEastAsia"/>
                <w:szCs w:val="21"/>
              </w:rPr>
              <w:t>2018年省环保督察信访件</w:t>
            </w:r>
          </w:p>
        </w:tc>
        <w:tc>
          <w:tcPr>
            <w:tcW w:w="3676" w:type="dxa"/>
            <w:vAlign w:val="center"/>
          </w:tcPr>
          <w:p>
            <w:pPr>
              <w:pStyle w:val="63"/>
              <w:rPr>
                <w:rFonts w:eastAsiaTheme="minorEastAsia"/>
                <w:szCs w:val="21"/>
              </w:rPr>
            </w:pPr>
            <w:r>
              <w:rPr>
                <w:rFonts w:hint="eastAsia" w:eastAsiaTheme="minorEastAsia"/>
                <w:szCs w:val="21"/>
              </w:rPr>
              <w:t>临湘滨江工业园(岳阳环宇药业有限公司、湖南比德生化科技股份有限公司、岳阳市宇恒化工有限公司、湖南国发精细化工有限公司几家公司存在废气排放有异味、废水污染问题。</w:t>
            </w:r>
          </w:p>
        </w:tc>
        <w:tc>
          <w:tcPr>
            <w:tcW w:w="4820" w:type="dxa"/>
            <w:vAlign w:val="center"/>
          </w:tcPr>
          <w:p>
            <w:pPr>
              <w:pStyle w:val="63"/>
              <w:rPr>
                <w:rFonts w:eastAsiaTheme="minorEastAsia"/>
                <w:szCs w:val="21"/>
              </w:rPr>
            </w:pPr>
            <w:r>
              <w:rPr>
                <w:rFonts w:hint="eastAsia" w:eastAsiaTheme="minorEastAsia"/>
                <w:szCs w:val="21"/>
              </w:rPr>
              <w:t>滨江工业园企业生产废水经一企一管进入污水处理厂处理后排入长江，生产废气经处理后达标排放。</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19</w:t>
            </w:r>
          </w:p>
        </w:tc>
        <w:tc>
          <w:tcPr>
            <w:tcW w:w="2084" w:type="dxa"/>
            <w:vAlign w:val="center"/>
          </w:tcPr>
          <w:p>
            <w:pPr>
              <w:pStyle w:val="63"/>
              <w:rPr>
                <w:rFonts w:eastAsiaTheme="minorEastAsia"/>
                <w:szCs w:val="21"/>
              </w:rPr>
            </w:pPr>
            <w:r>
              <w:rPr>
                <w:rFonts w:hint="eastAsia" w:eastAsiaTheme="minorEastAsia"/>
                <w:szCs w:val="21"/>
              </w:rPr>
              <w:t>2018年污染防治</w:t>
            </w:r>
            <w:r>
              <w:rPr>
                <w:rFonts w:eastAsiaTheme="minorEastAsia"/>
                <w:szCs w:val="21"/>
              </w:rPr>
              <w:t>攻坚战</w:t>
            </w:r>
          </w:p>
        </w:tc>
        <w:tc>
          <w:tcPr>
            <w:tcW w:w="3676" w:type="dxa"/>
            <w:vAlign w:val="center"/>
          </w:tcPr>
          <w:p>
            <w:pPr>
              <w:pStyle w:val="63"/>
              <w:rPr>
                <w:rFonts w:eastAsiaTheme="minorEastAsia"/>
                <w:szCs w:val="21"/>
              </w:rPr>
            </w:pPr>
            <w:r>
              <w:rPr>
                <w:rFonts w:hint="eastAsia" w:eastAsiaTheme="minorEastAsia"/>
                <w:szCs w:val="21"/>
              </w:rPr>
              <w:t>儒溪工业园园区部分雨水管网建设不完善,集中污水处理厂不能稳定达标运行，且联网不正常</w:t>
            </w:r>
          </w:p>
        </w:tc>
        <w:tc>
          <w:tcPr>
            <w:tcW w:w="4820" w:type="dxa"/>
            <w:vAlign w:val="center"/>
          </w:tcPr>
          <w:p>
            <w:pPr>
              <w:pStyle w:val="63"/>
              <w:rPr>
                <w:rFonts w:eastAsiaTheme="minorEastAsia"/>
                <w:szCs w:val="21"/>
              </w:rPr>
            </w:pPr>
            <w:r>
              <w:rPr>
                <w:rFonts w:hint="eastAsia" w:eastAsiaTheme="minorEastAsia"/>
                <w:szCs w:val="21"/>
              </w:rPr>
              <w:t>儒溪工业园园区雨水管网已建设完善，集中污水处理厂稳定达标排放，联网正常。</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20</w:t>
            </w:r>
          </w:p>
        </w:tc>
        <w:tc>
          <w:tcPr>
            <w:tcW w:w="2084" w:type="dxa"/>
            <w:vAlign w:val="center"/>
          </w:tcPr>
          <w:p>
            <w:pPr>
              <w:pStyle w:val="63"/>
              <w:rPr>
                <w:rFonts w:eastAsiaTheme="minorEastAsia"/>
                <w:szCs w:val="21"/>
              </w:rPr>
            </w:pPr>
            <w:r>
              <w:rPr>
                <w:rFonts w:hint="eastAsia" w:eastAsiaTheme="minorEastAsia"/>
                <w:szCs w:val="21"/>
              </w:rPr>
              <w:t>201</w:t>
            </w:r>
            <w:r>
              <w:rPr>
                <w:rFonts w:eastAsiaTheme="minorEastAsia"/>
                <w:szCs w:val="21"/>
              </w:rPr>
              <w:t>9</w:t>
            </w:r>
            <w:r>
              <w:rPr>
                <w:rFonts w:hint="eastAsia" w:eastAsiaTheme="minorEastAsia"/>
                <w:szCs w:val="21"/>
              </w:rPr>
              <w:t>年污染防治</w:t>
            </w:r>
            <w:r>
              <w:rPr>
                <w:rFonts w:eastAsiaTheme="minorEastAsia"/>
                <w:szCs w:val="21"/>
              </w:rPr>
              <w:t>攻坚战</w:t>
            </w:r>
          </w:p>
        </w:tc>
        <w:tc>
          <w:tcPr>
            <w:tcW w:w="3676" w:type="dxa"/>
            <w:vAlign w:val="center"/>
          </w:tcPr>
          <w:p>
            <w:pPr>
              <w:pStyle w:val="63"/>
              <w:rPr>
                <w:rFonts w:eastAsiaTheme="minorEastAsia"/>
                <w:szCs w:val="21"/>
              </w:rPr>
            </w:pPr>
            <w:r>
              <w:rPr>
                <w:rFonts w:hint="eastAsia" w:eastAsiaTheme="minorEastAsia"/>
                <w:szCs w:val="21"/>
              </w:rPr>
              <w:t>临湘市辖区多次发生侵蚀长江岸线、堵塞长江水道等问题，直接影响长江行洪，破坏湿地生态，影响候乌迁徙。</w:t>
            </w:r>
          </w:p>
        </w:tc>
        <w:tc>
          <w:tcPr>
            <w:tcW w:w="4820" w:type="dxa"/>
            <w:vAlign w:val="center"/>
          </w:tcPr>
          <w:p>
            <w:pPr>
              <w:pStyle w:val="63"/>
              <w:rPr>
                <w:rFonts w:eastAsiaTheme="minorEastAsia"/>
                <w:szCs w:val="21"/>
              </w:rPr>
            </w:pPr>
            <w:r>
              <w:rPr>
                <w:rFonts w:hint="eastAsia" w:eastAsiaTheme="minorEastAsia"/>
                <w:szCs w:val="21"/>
              </w:rPr>
              <w:t>现已建设沿江风光带，化工企业正搬迁至杨桥片区。</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21</w:t>
            </w:r>
          </w:p>
        </w:tc>
        <w:tc>
          <w:tcPr>
            <w:tcW w:w="2084" w:type="dxa"/>
            <w:vAlign w:val="center"/>
          </w:tcPr>
          <w:p>
            <w:pPr>
              <w:pStyle w:val="63"/>
              <w:rPr>
                <w:rFonts w:eastAsiaTheme="minorEastAsia"/>
                <w:szCs w:val="21"/>
              </w:rPr>
            </w:pPr>
            <w:r>
              <w:rPr>
                <w:rFonts w:hint="eastAsia" w:eastAsiaTheme="minorEastAsia"/>
                <w:szCs w:val="21"/>
              </w:rPr>
              <w:t>201</w:t>
            </w:r>
            <w:r>
              <w:rPr>
                <w:rFonts w:eastAsiaTheme="minorEastAsia"/>
                <w:szCs w:val="21"/>
              </w:rPr>
              <w:t>9</w:t>
            </w:r>
            <w:r>
              <w:rPr>
                <w:rFonts w:hint="eastAsia" w:eastAsiaTheme="minorEastAsia"/>
                <w:szCs w:val="21"/>
              </w:rPr>
              <w:t>年污染防治</w:t>
            </w:r>
            <w:r>
              <w:rPr>
                <w:rFonts w:eastAsiaTheme="minorEastAsia"/>
                <w:szCs w:val="21"/>
              </w:rPr>
              <w:t>攻坚战</w:t>
            </w:r>
          </w:p>
        </w:tc>
        <w:tc>
          <w:tcPr>
            <w:tcW w:w="3676" w:type="dxa"/>
            <w:vAlign w:val="center"/>
          </w:tcPr>
          <w:p>
            <w:pPr>
              <w:pStyle w:val="63"/>
              <w:rPr>
                <w:rFonts w:eastAsiaTheme="minorEastAsia"/>
                <w:szCs w:val="21"/>
              </w:rPr>
            </w:pPr>
            <w:r>
              <w:rPr>
                <w:rFonts w:hint="eastAsia" w:eastAsiaTheme="minorEastAsia"/>
                <w:szCs w:val="21"/>
              </w:rPr>
              <w:t>省级及以上工业园区(集聚区)整治任务清单(湖南临湘工业园区)</w:t>
            </w:r>
          </w:p>
        </w:tc>
        <w:tc>
          <w:tcPr>
            <w:tcW w:w="4820" w:type="dxa"/>
            <w:vAlign w:val="center"/>
          </w:tcPr>
          <w:p>
            <w:pPr>
              <w:pStyle w:val="63"/>
              <w:rPr>
                <w:rFonts w:eastAsiaTheme="minorEastAsia"/>
                <w:szCs w:val="21"/>
              </w:rPr>
            </w:pPr>
            <w:r>
              <w:rPr>
                <w:rFonts w:hint="eastAsia" w:eastAsiaTheme="minorEastAsia"/>
                <w:szCs w:val="21"/>
              </w:rPr>
              <w:t>/</w:t>
            </w:r>
          </w:p>
        </w:tc>
        <w:tc>
          <w:tcPr>
            <w:tcW w:w="1559" w:type="dxa"/>
            <w:vAlign w:val="center"/>
          </w:tcPr>
          <w:p>
            <w:pPr>
              <w:pStyle w:val="63"/>
              <w:rPr>
                <w:rFonts w:eastAsiaTheme="minorEastAsia"/>
                <w:szCs w:val="21"/>
              </w:rPr>
            </w:pPr>
            <w:r>
              <w:rPr>
                <w:rFonts w:hint="eastAsia" w:eastAsiaTheme="minorEastAsia"/>
                <w:szCs w:val="21"/>
              </w:rPr>
              <w:t>/</w:t>
            </w:r>
          </w:p>
        </w:tc>
        <w:tc>
          <w:tcPr>
            <w:tcW w:w="1354" w:type="dxa"/>
            <w:vAlign w:val="center"/>
          </w:tcPr>
          <w:p>
            <w:pPr>
              <w:pStyle w:val="63"/>
              <w:rPr>
                <w:rFonts w:eastAsiaTheme="minorEastAsia"/>
                <w:szCs w:val="21"/>
              </w:rPr>
            </w:pPr>
            <w:r>
              <w:rPr>
                <w:rFonts w:hint="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22</w:t>
            </w:r>
          </w:p>
        </w:tc>
        <w:tc>
          <w:tcPr>
            <w:tcW w:w="2084" w:type="dxa"/>
            <w:vAlign w:val="center"/>
          </w:tcPr>
          <w:p>
            <w:pPr>
              <w:pStyle w:val="63"/>
              <w:rPr>
                <w:rFonts w:eastAsiaTheme="minorEastAsia"/>
                <w:szCs w:val="21"/>
              </w:rPr>
            </w:pPr>
            <w:r>
              <w:rPr>
                <w:rFonts w:hint="eastAsia" w:eastAsiaTheme="minorEastAsia"/>
                <w:szCs w:val="21"/>
              </w:rPr>
              <w:t>“2020年省级环保督察“回头看”交办件、2021年“洞庭清波”</w:t>
            </w:r>
          </w:p>
        </w:tc>
        <w:tc>
          <w:tcPr>
            <w:tcW w:w="3676" w:type="dxa"/>
            <w:vAlign w:val="center"/>
          </w:tcPr>
          <w:p>
            <w:pPr>
              <w:pStyle w:val="63"/>
              <w:rPr>
                <w:rFonts w:eastAsiaTheme="minorEastAsia"/>
                <w:szCs w:val="21"/>
              </w:rPr>
            </w:pPr>
            <w:r>
              <w:rPr>
                <w:rFonts w:hint="eastAsia" w:eastAsiaTheme="minorEastAsia"/>
                <w:szCs w:val="21"/>
              </w:rPr>
              <w:t>反映临湘市工业园的废水排入云溪区陆城镇泾港村,导致下游养殖户无水可用，多次投诉为得到解决。</w:t>
            </w:r>
          </w:p>
        </w:tc>
        <w:tc>
          <w:tcPr>
            <w:tcW w:w="4820" w:type="dxa"/>
            <w:vAlign w:val="center"/>
          </w:tcPr>
          <w:p>
            <w:pPr>
              <w:pStyle w:val="63"/>
              <w:rPr>
                <w:rFonts w:eastAsiaTheme="minorEastAsia"/>
                <w:szCs w:val="21"/>
              </w:rPr>
            </w:pPr>
            <w:r>
              <w:rPr>
                <w:rFonts w:hint="eastAsia" w:eastAsiaTheme="minorEastAsia"/>
                <w:szCs w:val="21"/>
              </w:rPr>
              <w:t>临湘市滨江产业园园区企业生产废水经一企一管进入污水处理厂深度处理达标后排入长江。</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23</w:t>
            </w:r>
          </w:p>
        </w:tc>
        <w:tc>
          <w:tcPr>
            <w:tcW w:w="2084" w:type="dxa"/>
            <w:vAlign w:val="center"/>
          </w:tcPr>
          <w:p>
            <w:pPr>
              <w:pStyle w:val="63"/>
              <w:rPr>
                <w:rFonts w:eastAsiaTheme="minorEastAsia"/>
                <w:szCs w:val="21"/>
              </w:rPr>
            </w:pPr>
            <w:r>
              <w:rPr>
                <w:rFonts w:hint="eastAsia" w:eastAsiaTheme="minorEastAsia"/>
                <w:szCs w:val="21"/>
              </w:rPr>
              <w:t>“202</w:t>
            </w:r>
            <w:r>
              <w:rPr>
                <w:rFonts w:eastAsiaTheme="minorEastAsia"/>
                <w:szCs w:val="21"/>
              </w:rPr>
              <w:t>1</w:t>
            </w:r>
            <w:r>
              <w:rPr>
                <w:rFonts w:hint="eastAsia" w:eastAsiaTheme="minorEastAsia"/>
                <w:szCs w:val="21"/>
              </w:rPr>
              <w:t>年第一轮中央环保督察交办件、2021年“洞庭清波”</w:t>
            </w:r>
          </w:p>
        </w:tc>
        <w:tc>
          <w:tcPr>
            <w:tcW w:w="3676" w:type="dxa"/>
            <w:vAlign w:val="center"/>
          </w:tcPr>
          <w:p>
            <w:pPr>
              <w:pStyle w:val="63"/>
              <w:rPr>
                <w:rFonts w:eastAsiaTheme="minorEastAsia"/>
                <w:szCs w:val="21"/>
              </w:rPr>
            </w:pPr>
            <w:r>
              <w:rPr>
                <w:rFonts w:hint="eastAsia" w:eastAsiaTheme="minorEastAsia"/>
                <w:szCs w:val="21"/>
              </w:rPr>
              <w:t>岳阳市临湘市云湖街道办事处大岭村曹家组新美陶瓷有限公司拆除后未妥善处理煤焦油，污染大坡塘水质，岳阳市生态环境局临湘分局责令公司整改,但该公司尚未整改</w:t>
            </w:r>
          </w:p>
        </w:tc>
        <w:tc>
          <w:tcPr>
            <w:tcW w:w="4820" w:type="dxa"/>
            <w:vAlign w:val="center"/>
          </w:tcPr>
          <w:p>
            <w:pPr>
              <w:pStyle w:val="63"/>
              <w:rPr>
                <w:rFonts w:eastAsiaTheme="minorEastAsia"/>
                <w:szCs w:val="21"/>
              </w:rPr>
            </w:pPr>
            <w:r>
              <w:rPr>
                <w:rFonts w:hint="eastAsia" w:eastAsiaTheme="minorEastAsia"/>
                <w:szCs w:val="21"/>
              </w:rPr>
              <w:t>临湘高新区管委会已于2021年督促兆邦陶瓷公司，按程序办理转移联单，对新美陶瓷遗留的危险废物委托湖南瀚洋环保科技有限公司处理，并投资50万元对废水进行处理，现大坡塘已恢复正常。</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24</w:t>
            </w:r>
          </w:p>
        </w:tc>
        <w:tc>
          <w:tcPr>
            <w:tcW w:w="2084" w:type="dxa"/>
            <w:vAlign w:val="center"/>
          </w:tcPr>
          <w:p>
            <w:pPr>
              <w:pStyle w:val="63"/>
              <w:rPr>
                <w:rFonts w:eastAsiaTheme="minorEastAsia"/>
                <w:szCs w:val="21"/>
              </w:rPr>
            </w:pPr>
            <w:r>
              <w:rPr>
                <w:rFonts w:hint="eastAsia" w:eastAsiaTheme="minorEastAsia"/>
                <w:szCs w:val="21"/>
              </w:rPr>
              <w:t>2021年第一轮中央环保督察交办件、2021年“洞庭清波”</w:t>
            </w:r>
          </w:p>
        </w:tc>
        <w:tc>
          <w:tcPr>
            <w:tcW w:w="3676" w:type="dxa"/>
            <w:vAlign w:val="center"/>
          </w:tcPr>
          <w:p>
            <w:pPr>
              <w:pStyle w:val="63"/>
              <w:rPr>
                <w:rFonts w:eastAsiaTheme="minorEastAsia"/>
                <w:szCs w:val="21"/>
              </w:rPr>
            </w:pPr>
            <w:r>
              <w:rPr>
                <w:rFonts w:hint="eastAsia" w:eastAsiaTheme="minorEastAsia"/>
                <w:szCs w:val="21"/>
              </w:rPr>
              <w:t>岳阳市临湘市儒溪镇工业大道岳阳环宇药业有限公司生产原材料与环评不符，违法生产，废水、废气未经处理偷排，固废填埋厂区地下。</w:t>
            </w:r>
          </w:p>
        </w:tc>
        <w:tc>
          <w:tcPr>
            <w:tcW w:w="4820" w:type="dxa"/>
            <w:vAlign w:val="center"/>
          </w:tcPr>
          <w:p>
            <w:pPr>
              <w:pStyle w:val="63"/>
              <w:rPr>
                <w:rFonts w:eastAsiaTheme="minorEastAsia"/>
                <w:szCs w:val="21"/>
              </w:rPr>
            </w:pPr>
            <w:r>
              <w:rPr>
                <w:rFonts w:hint="eastAsia" w:eastAsiaTheme="minorEastAsia"/>
                <w:szCs w:val="21"/>
              </w:rPr>
              <w:t>企业生产工艺未发生重大变更，投诉情况中废水、废气未经处理偷排，固废填埋厂区地下不属实。</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25</w:t>
            </w:r>
          </w:p>
        </w:tc>
        <w:tc>
          <w:tcPr>
            <w:tcW w:w="2084" w:type="dxa"/>
            <w:vAlign w:val="center"/>
          </w:tcPr>
          <w:p>
            <w:pPr>
              <w:pStyle w:val="63"/>
              <w:rPr>
                <w:rFonts w:eastAsiaTheme="minorEastAsia"/>
                <w:szCs w:val="21"/>
              </w:rPr>
            </w:pPr>
            <w:r>
              <w:rPr>
                <w:rFonts w:hint="eastAsia" w:eastAsiaTheme="minorEastAsia"/>
                <w:szCs w:val="21"/>
              </w:rPr>
              <w:t>202</w:t>
            </w:r>
            <w:r>
              <w:rPr>
                <w:rFonts w:eastAsiaTheme="minorEastAsia"/>
                <w:szCs w:val="21"/>
              </w:rPr>
              <w:t>2</w:t>
            </w:r>
            <w:r>
              <w:rPr>
                <w:rFonts w:hint="eastAsia" w:eastAsiaTheme="minorEastAsia"/>
                <w:szCs w:val="21"/>
              </w:rPr>
              <w:t>年“洞庭清波”</w:t>
            </w:r>
          </w:p>
        </w:tc>
        <w:tc>
          <w:tcPr>
            <w:tcW w:w="3676" w:type="dxa"/>
            <w:vAlign w:val="center"/>
          </w:tcPr>
          <w:p>
            <w:pPr>
              <w:pStyle w:val="63"/>
              <w:rPr>
                <w:rFonts w:eastAsiaTheme="minorEastAsia"/>
                <w:szCs w:val="21"/>
              </w:rPr>
            </w:pPr>
            <w:r>
              <w:rPr>
                <w:rFonts w:hint="eastAsia" w:eastAsiaTheme="minorEastAsia"/>
                <w:szCs w:val="21"/>
              </w:rPr>
              <w:t>湖南省产业园区普遍存在规划环评执行不严、园区环境保护基础设施建设运行管理不到位、园区企业环境违法现象时有发生等问题。</w:t>
            </w:r>
          </w:p>
        </w:tc>
        <w:tc>
          <w:tcPr>
            <w:tcW w:w="4820" w:type="dxa"/>
            <w:vAlign w:val="center"/>
          </w:tcPr>
          <w:p>
            <w:pPr>
              <w:pStyle w:val="63"/>
              <w:rPr>
                <w:rFonts w:eastAsiaTheme="minorEastAsia"/>
                <w:szCs w:val="21"/>
              </w:rPr>
            </w:pPr>
            <w:r>
              <w:rPr>
                <w:rFonts w:hint="eastAsia" w:eastAsiaTheme="minorEastAsia"/>
                <w:szCs w:val="21"/>
              </w:rPr>
              <w:t>园区成立了安环部，聘请了第三方环保管家，委托第三方公司运营园区集中污水处理厂和园区雨水泵站，委托具有资质第三方检测公司进行定期检测; 2020年1月21日编制了《湖南临湘工业园(滨江产业区)调区(扩区) 规划环境影响报告书》;园区配套集中污水处理设施1个，雨水管网全部已配套完善，三是园区设立有物业管理部，园区安环部建立了常态化企业检查机制; 2019年以来，园区因环境问题被省级及以上生态环境部门挂牌督办事件共1件，即221年第二轮中央环保督察及省环保专项督导反馈指出临湘工业园区污水处理厂外不达标排放等问题。</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7" w:type="dxa"/>
            <w:vAlign w:val="center"/>
          </w:tcPr>
          <w:p>
            <w:pPr>
              <w:pStyle w:val="63"/>
              <w:rPr>
                <w:rFonts w:eastAsiaTheme="minorEastAsia"/>
                <w:szCs w:val="21"/>
              </w:rPr>
            </w:pPr>
            <w:r>
              <w:rPr>
                <w:rFonts w:hint="eastAsia" w:eastAsiaTheme="minorEastAsia"/>
                <w:szCs w:val="21"/>
              </w:rPr>
              <w:t>26</w:t>
            </w:r>
          </w:p>
        </w:tc>
        <w:tc>
          <w:tcPr>
            <w:tcW w:w="2084" w:type="dxa"/>
            <w:vAlign w:val="center"/>
          </w:tcPr>
          <w:p>
            <w:pPr>
              <w:pStyle w:val="63"/>
              <w:rPr>
                <w:rFonts w:eastAsiaTheme="minorEastAsia"/>
                <w:szCs w:val="21"/>
              </w:rPr>
            </w:pPr>
            <w:r>
              <w:rPr>
                <w:rFonts w:hint="eastAsia" w:eastAsiaTheme="minorEastAsia"/>
                <w:szCs w:val="21"/>
              </w:rPr>
              <w:t>2022年临湘市生态警示片</w:t>
            </w:r>
          </w:p>
        </w:tc>
        <w:tc>
          <w:tcPr>
            <w:tcW w:w="3676" w:type="dxa"/>
            <w:vAlign w:val="center"/>
          </w:tcPr>
          <w:p>
            <w:pPr>
              <w:pStyle w:val="63"/>
              <w:rPr>
                <w:rFonts w:eastAsiaTheme="minorEastAsia"/>
                <w:szCs w:val="21"/>
              </w:rPr>
            </w:pPr>
            <w:r>
              <w:rPr>
                <w:rFonts w:hint="eastAsia" w:eastAsiaTheme="minorEastAsia"/>
                <w:szCs w:val="21"/>
              </w:rPr>
              <w:t>临湘市华强混凝土公司存在雨污混流，强碱性废水直排、混凝渣土随意倾倒。</w:t>
            </w:r>
          </w:p>
        </w:tc>
        <w:tc>
          <w:tcPr>
            <w:tcW w:w="4820" w:type="dxa"/>
            <w:vAlign w:val="center"/>
          </w:tcPr>
          <w:p>
            <w:pPr>
              <w:pStyle w:val="63"/>
              <w:rPr>
                <w:rFonts w:eastAsiaTheme="minorEastAsia"/>
                <w:szCs w:val="21"/>
              </w:rPr>
            </w:pPr>
            <w:r>
              <w:rPr>
                <w:rFonts w:hint="eastAsia" w:eastAsiaTheme="minorEastAsia"/>
                <w:szCs w:val="21"/>
              </w:rPr>
              <w:t>2022年11月已销号，华强混凝土公司立行立改，强碱废水经处理后回用于工序，混凝渣土按要求妥善处置</w:t>
            </w:r>
          </w:p>
        </w:tc>
        <w:tc>
          <w:tcPr>
            <w:tcW w:w="1559" w:type="dxa"/>
            <w:vAlign w:val="center"/>
          </w:tcPr>
          <w:p>
            <w:pPr>
              <w:pStyle w:val="63"/>
              <w:rPr>
                <w:rFonts w:eastAsiaTheme="minorEastAsia"/>
                <w:szCs w:val="21"/>
              </w:rPr>
            </w:pPr>
            <w:r>
              <w:rPr>
                <w:rFonts w:hint="eastAsia" w:eastAsiaTheme="minorEastAsia"/>
                <w:szCs w:val="21"/>
              </w:rPr>
              <w:t>无</w:t>
            </w:r>
          </w:p>
        </w:tc>
        <w:tc>
          <w:tcPr>
            <w:tcW w:w="1354" w:type="dxa"/>
            <w:vAlign w:val="center"/>
          </w:tcPr>
          <w:p>
            <w:pPr>
              <w:pStyle w:val="63"/>
              <w:rPr>
                <w:rFonts w:eastAsiaTheme="minorEastAsia"/>
                <w:szCs w:val="21"/>
              </w:rPr>
            </w:pPr>
            <w:r>
              <w:rPr>
                <w:rFonts w:hint="eastAsia" w:eastAsiaTheme="minorEastAsia"/>
                <w:szCs w:val="21"/>
              </w:rPr>
              <w:t>无</w:t>
            </w:r>
          </w:p>
        </w:tc>
      </w:tr>
    </w:tbl>
    <w:p>
      <w:pPr>
        <w:spacing w:line="360" w:lineRule="auto"/>
        <w:ind w:firstLine="480" w:firstLineChars="200"/>
        <w:rPr>
          <w:rFonts w:ascii="Times New Roman" w:hAnsi="Times New Roman" w:cs="Times New Roman"/>
        </w:rPr>
        <w:sectPr>
          <w:pgSz w:w="16838" w:h="11906" w:orient="landscape"/>
          <w:pgMar w:top="1418" w:right="1418" w:bottom="1701" w:left="1418" w:header="851" w:footer="992" w:gutter="0"/>
          <w:paperSrc w:first="7" w:other="7"/>
          <w:cols w:space="425" w:num="1"/>
          <w:docGrid w:linePitch="326" w:charSpace="915"/>
        </w:sectPr>
      </w:pPr>
    </w:p>
    <w:p>
      <w:pPr>
        <w:pStyle w:val="4"/>
      </w:pPr>
      <w:bookmarkStart w:id="115" w:name="_Toc146091892"/>
      <w:r>
        <w:rPr>
          <w:rFonts w:ascii="Times New Roman" w:hAnsi="Times New Roman" w:cs="Times New Roman"/>
        </w:rPr>
        <w:t>2.3.6</w:t>
      </w:r>
      <w:r>
        <w:rPr>
          <w:rFonts w:hint="eastAsia"/>
        </w:rPr>
        <w:t>企业规划符合性分析</w:t>
      </w:r>
      <w:bookmarkEnd w:id="115"/>
    </w:p>
    <w:p>
      <w:r>
        <w:rPr>
          <w:rFonts w:hint="eastAsia"/>
        </w:rPr>
        <w:t>本次环评对规划范围内现有企业与规划用地性质及产业布局符合性进行分析，具体情况详细见下表。</w:t>
      </w:r>
    </w:p>
    <w:p>
      <w:pPr>
        <w:pStyle w:val="6"/>
      </w:pPr>
      <w:r>
        <w:rPr>
          <w:rFonts w:ascii="Times New Roman" w:hAnsi="Times New Roman" w:cs="Times New Roman"/>
        </w:rPr>
        <w:t>表</w:t>
      </w:r>
      <w:r>
        <w:rPr>
          <w:rFonts w:hint="eastAsia" w:ascii="Times New Roman" w:hAnsi="Times New Roman" w:cs="Times New Roman"/>
        </w:rPr>
        <w:t>2</w:t>
      </w:r>
      <w:r>
        <w:rPr>
          <w:rFonts w:ascii="Times New Roman" w:hAnsi="Times New Roman" w:cs="Times New Roman"/>
        </w:rPr>
        <w:t>.3-</w:t>
      </w:r>
      <w:r>
        <w:rPr>
          <w:rFonts w:hint="eastAsia" w:ascii="Times New Roman" w:hAnsi="Times New Roman" w:cs="Times New Roman"/>
        </w:rPr>
        <w:t xml:space="preserve">6 </w:t>
      </w:r>
      <w:r>
        <w:rPr>
          <w:rFonts w:ascii="Times New Roman" w:hAnsi="Times New Roman" w:cs="Times New Roman"/>
        </w:rPr>
        <w:t xml:space="preserve"> 企业与园区规划符合性分析及建议</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1"/>
        <w:gridCol w:w="2338"/>
        <w:gridCol w:w="2815"/>
        <w:gridCol w:w="2447"/>
        <w:gridCol w:w="1673"/>
        <w:gridCol w:w="1546"/>
        <w:gridCol w:w="1417"/>
        <w:gridCol w:w="1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序号</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企业</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建设内容及规模</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行业</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上一轮规划用地性质</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是否符合上一轮规划用地性质</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是否符合上一轮产业定位</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深水海纳水务集团股份有限公司岳阳分公司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20000t/d</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污水处理及其再生利用</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三类工业用地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湖南德泽环保科技有限公司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30t/d 危废处理</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危险废物治理-焚烧</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临湘市振湘水务有限公司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水的生产和供应</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中非经贸产业园</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湖南滨晟新材料有限公司（杨桥新引进企业）</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50万m3/a 蒸汽加压砌块墙体材料90万m3/a 预拌混凝土</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水泥制品制造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6</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兆邦陶瓷有限责任公司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高档陶瓷墙地砖2400万m2/a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建筑陶瓷制品制造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不符合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7</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湖南凯美陶瓷有限公司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陶瓷墙地砖1200万m2/a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建筑陶瓷制品制造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不符合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8</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湖南省发达陶瓷有限责任公司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高档陶瓷墙地砖1000万m2/a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建筑陶瓷制品制造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不符合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9</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湖南安佑饲料科技有限公司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配合饲料</w:t>
            </w:r>
            <w:r>
              <w:rPr>
                <w:rFonts w:ascii="Times New Roman" w:hAnsi="Times New Roman" w:cs="Times New Roman"/>
                <w:color w:val="000000"/>
                <w:kern w:val="0"/>
                <w:sz w:val="21"/>
                <w:szCs w:val="21"/>
              </w:rPr>
              <w:t>12</w:t>
            </w:r>
            <w:r>
              <w:rPr>
                <w:rFonts w:hint="eastAsia" w:ascii="宋体" w:hAnsi="宋体" w:cs="宋体"/>
                <w:color w:val="000000"/>
                <w:kern w:val="0"/>
                <w:sz w:val="21"/>
                <w:szCs w:val="21"/>
              </w:rPr>
              <w:t>万吨</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其他饲料加工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10</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临湘市华顺包装有限责任公司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纸制品</w:t>
            </w:r>
            <w:r>
              <w:rPr>
                <w:rFonts w:ascii="Times New Roman" w:hAnsi="Times New Roman" w:cs="Times New Roman"/>
                <w:color w:val="000000"/>
                <w:kern w:val="0"/>
                <w:sz w:val="21"/>
                <w:szCs w:val="21"/>
              </w:rPr>
              <w:t>2500</w:t>
            </w:r>
            <w:r>
              <w:rPr>
                <w:rFonts w:hint="eastAsia" w:ascii="宋体" w:hAnsi="宋体" w:cs="宋体"/>
                <w:color w:val="000000"/>
                <w:kern w:val="0"/>
                <w:sz w:val="21"/>
                <w:szCs w:val="21"/>
              </w:rPr>
              <w:t>万</w:t>
            </w:r>
            <w:r>
              <w:rPr>
                <w:rFonts w:ascii="Times New Roman" w:hAnsi="Times New Roman" w:cs="Times New Roman"/>
                <w:color w:val="000000"/>
                <w:kern w:val="0"/>
                <w:sz w:val="21"/>
                <w:szCs w:val="21"/>
              </w:rPr>
              <w:t>m</w:t>
            </w:r>
            <w:r>
              <w:rPr>
                <w:rFonts w:ascii="Times New Roman" w:hAnsi="Times New Roman" w:cs="Times New Roman"/>
                <w:color w:val="000000"/>
                <w:kern w:val="0"/>
                <w:sz w:val="21"/>
                <w:szCs w:val="21"/>
                <w:vertAlign w:val="superscript"/>
              </w:rPr>
              <w:t>2</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其他纸制品制造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11</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岳阳华强混凝土有限公司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商品混凝土</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万立方</w:t>
            </w:r>
            <w:r>
              <w:rPr>
                <w:rFonts w:ascii="Times New Roman" w:hAnsi="Times New Roman" w:cs="Times New Roman"/>
                <w:color w:val="000000"/>
                <w:kern w:val="0"/>
                <w:sz w:val="21"/>
                <w:szCs w:val="21"/>
              </w:rPr>
              <w:t>/</w:t>
            </w:r>
            <w:r>
              <w:rPr>
                <w:rFonts w:hint="eastAsia" w:ascii="宋体" w:hAnsi="宋体" w:cs="宋体"/>
                <w:color w:val="000000"/>
                <w:kern w:val="0"/>
                <w:sz w:val="21"/>
                <w:szCs w:val="21"/>
              </w:rPr>
              <w:t>年</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水泥制品制造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12</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湖南如虹制药有限公司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原料药</w:t>
            </w:r>
            <w:r>
              <w:rPr>
                <w:rFonts w:ascii="Times New Roman" w:hAnsi="Times New Roman" w:cs="Times New Roman"/>
                <w:color w:val="000000"/>
                <w:kern w:val="0"/>
                <w:sz w:val="21"/>
                <w:szCs w:val="21"/>
              </w:rPr>
              <w:t>5t/a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化学药品原料药制造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13</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岳阳神力生物科技有限公司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鱼药</w:t>
            </w:r>
            <w:r>
              <w:rPr>
                <w:rFonts w:ascii="Times New Roman" w:hAnsi="Times New Roman" w:cs="Times New Roman"/>
                <w:color w:val="000000"/>
                <w:kern w:val="0"/>
                <w:sz w:val="21"/>
                <w:szCs w:val="21"/>
              </w:rPr>
              <w:t>300t/a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其他渔业专业及辅助性活动</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科研用地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14</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湖南康大生物药品有限责任公司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杀虫剂</w:t>
            </w:r>
            <w:r>
              <w:rPr>
                <w:rFonts w:ascii="Times New Roman" w:hAnsi="Times New Roman" w:cs="Times New Roman"/>
                <w:color w:val="000000"/>
                <w:kern w:val="0"/>
                <w:sz w:val="21"/>
                <w:szCs w:val="21"/>
              </w:rPr>
              <w:t>10t/a</w:t>
            </w:r>
            <w:r>
              <w:rPr>
                <w:rFonts w:hint="eastAsia" w:ascii="宋体" w:hAnsi="宋体" w:cs="宋体"/>
                <w:color w:val="000000"/>
                <w:kern w:val="0"/>
                <w:sz w:val="21"/>
                <w:szCs w:val="21"/>
              </w:rPr>
              <w:t>、消毒剂</w:t>
            </w:r>
            <w:r>
              <w:rPr>
                <w:rFonts w:ascii="Times New Roman" w:hAnsi="Times New Roman" w:cs="Times New Roman"/>
                <w:color w:val="000000"/>
                <w:kern w:val="0"/>
                <w:sz w:val="21"/>
                <w:szCs w:val="21"/>
              </w:rPr>
              <w:t>10t/a</w:t>
            </w:r>
            <w:r>
              <w:rPr>
                <w:rFonts w:hint="eastAsia" w:ascii="宋体" w:hAnsi="宋体" w:cs="宋体"/>
                <w:color w:val="000000"/>
                <w:kern w:val="0"/>
                <w:sz w:val="21"/>
                <w:szCs w:val="21"/>
              </w:rPr>
              <w:t>、粉剂</w:t>
            </w:r>
            <w:r>
              <w:rPr>
                <w:rFonts w:ascii="Times New Roman" w:hAnsi="Times New Roman" w:cs="Times New Roman"/>
                <w:color w:val="000000"/>
                <w:kern w:val="0"/>
                <w:sz w:val="21"/>
                <w:szCs w:val="21"/>
              </w:rPr>
              <w:t>50t/a</w:t>
            </w:r>
            <w:r>
              <w:rPr>
                <w:rFonts w:hint="eastAsia" w:ascii="宋体" w:hAnsi="宋体" w:cs="宋体"/>
                <w:color w:val="000000"/>
                <w:kern w:val="0"/>
                <w:sz w:val="21"/>
                <w:szCs w:val="21"/>
              </w:rPr>
              <w:t>、有机肥</w:t>
            </w:r>
            <w:r>
              <w:rPr>
                <w:rFonts w:ascii="Times New Roman" w:hAnsi="Times New Roman" w:cs="Times New Roman"/>
                <w:color w:val="000000"/>
                <w:kern w:val="0"/>
                <w:sz w:val="21"/>
                <w:szCs w:val="21"/>
              </w:rPr>
              <w:t>10t/a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生物化学农药及微生物农药制造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科研用地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15</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湖南康易达绿茵科技有限公司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聚维酮碘</w:t>
            </w:r>
            <w:r>
              <w:rPr>
                <w:rFonts w:ascii="Times New Roman" w:hAnsi="Times New Roman" w:cs="Times New Roman"/>
                <w:color w:val="000000"/>
                <w:kern w:val="0"/>
                <w:sz w:val="21"/>
                <w:szCs w:val="21"/>
              </w:rPr>
              <w:t>120t/a</w:t>
            </w:r>
            <w:r>
              <w:rPr>
                <w:rFonts w:hint="eastAsia" w:ascii="宋体" w:hAnsi="宋体" w:cs="宋体"/>
                <w:color w:val="000000"/>
                <w:kern w:val="0"/>
                <w:sz w:val="21"/>
                <w:szCs w:val="21"/>
              </w:rPr>
              <w:t>、白斑灵散粉剂</w:t>
            </w:r>
            <w:r>
              <w:rPr>
                <w:rFonts w:ascii="Times New Roman" w:hAnsi="Times New Roman" w:cs="Times New Roman"/>
                <w:color w:val="000000"/>
                <w:kern w:val="0"/>
                <w:sz w:val="21"/>
                <w:szCs w:val="21"/>
              </w:rPr>
              <w:t>300t/a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化学原料药制造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16</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湖南大豪铝业有限公司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铝型材</w:t>
            </w:r>
            <w:r>
              <w:rPr>
                <w:rFonts w:ascii="Times New Roman" w:hAnsi="Times New Roman" w:cs="Times New Roman"/>
                <w:color w:val="000000"/>
                <w:kern w:val="0"/>
                <w:sz w:val="21"/>
                <w:szCs w:val="21"/>
              </w:rPr>
              <w:t>1000t/a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铝压延加工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17</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临湘市兆盈陶瓷原料加工有限公司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陶瓷瓷泥加工</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w:t>
            </w:r>
            <w:r>
              <w:rPr>
                <w:rFonts w:ascii="Times New Roman" w:hAnsi="Times New Roman" w:cs="Times New Roman"/>
                <w:color w:val="000000"/>
                <w:kern w:val="0"/>
                <w:sz w:val="21"/>
                <w:szCs w:val="21"/>
              </w:rPr>
              <w:t>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其他非金属矿物制品制造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18</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湖南远瑞机械制造有限公司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简易升降机50台、智能立体停车设备500台、钢结构材料100吨</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金属结构制造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19</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临湘市五鑫工程塑料有限公司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滑轮5000件/a、MC尼龙及机械加工400t/a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其他传动部件制造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商业用地、居住用地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20</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临湘市金鑫龙纸制品包装厂</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纸板、纸箱</w:t>
            </w:r>
            <w:r>
              <w:rPr>
                <w:rFonts w:ascii="Times New Roman" w:hAnsi="Times New Roman" w:cs="Times New Roman"/>
                <w:color w:val="000000"/>
                <w:kern w:val="0"/>
                <w:sz w:val="21"/>
                <w:szCs w:val="21"/>
              </w:rPr>
              <w:t>140</w:t>
            </w:r>
            <w:r>
              <w:rPr>
                <w:rFonts w:hint="eastAsia" w:ascii="宋体" w:hAnsi="宋体" w:cs="宋体"/>
                <w:color w:val="000000"/>
                <w:kern w:val="0"/>
                <w:sz w:val="21"/>
                <w:szCs w:val="21"/>
              </w:rPr>
              <w:t>万个</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机制纸及纸板制造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21</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临湘市东泰饲料机械有限公司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渔业专业机械制造100台/a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渔业机械制造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22</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临湘市中诚矿业有限公司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矿石粉</w:t>
            </w:r>
            <w:r>
              <w:rPr>
                <w:rFonts w:ascii="Times New Roman" w:hAnsi="Times New Roman" w:cs="Times New Roman"/>
                <w:color w:val="000000"/>
                <w:kern w:val="0"/>
                <w:sz w:val="21"/>
                <w:szCs w:val="21"/>
              </w:rPr>
              <w:t>6</w:t>
            </w:r>
            <w:r>
              <w:rPr>
                <w:rFonts w:hint="eastAsia" w:ascii="宋体" w:hAnsi="宋体" w:cs="宋体"/>
                <w:color w:val="000000"/>
                <w:kern w:val="0"/>
                <w:sz w:val="21"/>
                <w:szCs w:val="21"/>
              </w:rPr>
              <w:t>万吨</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其他非金属矿物制品制造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23</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湖南领翔玻璃制品有限公司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钢化玻璃</w:t>
            </w:r>
            <w:r>
              <w:rPr>
                <w:rFonts w:ascii="Times New Roman" w:hAnsi="Times New Roman" w:cs="Times New Roman"/>
                <w:color w:val="000000"/>
                <w:kern w:val="0"/>
                <w:sz w:val="21"/>
                <w:szCs w:val="21"/>
              </w:rPr>
              <w:t>30</w:t>
            </w:r>
            <w:r>
              <w:rPr>
                <w:rFonts w:hint="eastAsia" w:ascii="宋体" w:hAnsi="宋体" w:cs="宋体"/>
                <w:color w:val="000000"/>
                <w:kern w:val="0"/>
                <w:sz w:val="21"/>
                <w:szCs w:val="21"/>
              </w:rPr>
              <w:t>万</w:t>
            </w:r>
            <w:r>
              <w:rPr>
                <w:rFonts w:ascii="Times New Roman" w:hAnsi="Times New Roman" w:cs="Times New Roman"/>
                <w:color w:val="000000"/>
                <w:kern w:val="0"/>
                <w:sz w:val="21"/>
                <w:szCs w:val="21"/>
              </w:rPr>
              <w:t>m</w:t>
            </w:r>
            <w:r>
              <w:rPr>
                <w:rFonts w:ascii="Times New Roman" w:hAnsi="Times New Roman" w:cs="Times New Roman"/>
                <w:color w:val="000000"/>
                <w:kern w:val="0"/>
                <w:sz w:val="21"/>
                <w:szCs w:val="21"/>
                <w:vertAlign w:val="superscript"/>
              </w:rPr>
              <w:t>2</w:t>
            </w:r>
            <w:r>
              <w:rPr>
                <w:rFonts w:ascii="Times New Roman" w:hAnsi="Times New Roman" w:cs="Times New Roman"/>
                <w:color w:val="000000"/>
                <w:kern w:val="0"/>
                <w:sz w:val="21"/>
                <w:szCs w:val="21"/>
              </w:rPr>
              <w:t>/a</w:t>
            </w:r>
            <w:r>
              <w:rPr>
                <w:rFonts w:hint="eastAsia" w:ascii="宋体" w:hAnsi="宋体" w:cs="宋体"/>
                <w:color w:val="000000"/>
                <w:kern w:val="0"/>
                <w:sz w:val="21"/>
                <w:szCs w:val="21"/>
              </w:rPr>
              <w:t>、</w:t>
            </w:r>
            <w:r>
              <w:rPr>
                <w:rFonts w:ascii="Times New Roman" w:hAnsi="Times New Roman" w:cs="Times New Roman"/>
                <w:color w:val="000000"/>
                <w:kern w:val="0"/>
                <w:sz w:val="21"/>
                <w:szCs w:val="21"/>
              </w:rPr>
              <w:t>LOW-E</w:t>
            </w:r>
            <w:r>
              <w:rPr>
                <w:rFonts w:hint="eastAsia" w:ascii="宋体" w:hAnsi="宋体" w:cs="宋体"/>
                <w:color w:val="000000"/>
                <w:kern w:val="0"/>
                <w:sz w:val="21"/>
                <w:szCs w:val="21"/>
              </w:rPr>
              <w:t>中空玻璃</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w:t>
            </w:r>
            <w:r>
              <w:rPr>
                <w:rFonts w:ascii="Times New Roman" w:hAnsi="Times New Roman" w:cs="Times New Roman"/>
                <w:color w:val="000000"/>
                <w:kern w:val="0"/>
                <w:sz w:val="21"/>
                <w:szCs w:val="21"/>
              </w:rPr>
              <w:t>m2/a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特种玻璃制造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24</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湖南名冠钓具有限公司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芦苇浮标</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r>
              <w:rPr>
                <w:rFonts w:hint="eastAsia" w:ascii="宋体" w:hAnsi="宋体" w:cs="宋体"/>
                <w:color w:val="000000"/>
                <w:kern w:val="0"/>
                <w:sz w:val="21"/>
                <w:szCs w:val="21"/>
              </w:rPr>
              <w:t>、巴尔杉木浮标</w:t>
            </w:r>
            <w:r>
              <w:rPr>
                <w:rFonts w:ascii="Times New Roman" w:hAnsi="Times New Roman" w:cs="Times New Roman"/>
                <w:color w:val="000000"/>
                <w:kern w:val="0"/>
                <w:sz w:val="21"/>
                <w:szCs w:val="21"/>
              </w:rPr>
              <w:t>50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r>
              <w:rPr>
                <w:rFonts w:hint="eastAsia" w:ascii="宋体" w:hAnsi="宋体" w:cs="宋体"/>
                <w:color w:val="000000"/>
                <w:kern w:val="0"/>
                <w:sz w:val="21"/>
                <w:szCs w:val="21"/>
              </w:rPr>
              <w:t>、纳米浮标</w:t>
            </w:r>
            <w:r>
              <w:rPr>
                <w:rFonts w:ascii="Times New Roman" w:hAnsi="Times New Roman" w:cs="Times New Roman"/>
                <w:color w:val="000000"/>
                <w:kern w:val="0"/>
                <w:sz w:val="21"/>
                <w:szCs w:val="21"/>
              </w:rPr>
              <w:t>20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r>
              <w:rPr>
                <w:rFonts w:hint="eastAsia" w:ascii="宋体" w:hAnsi="宋体" w:cs="宋体"/>
                <w:color w:val="000000"/>
                <w:kern w:val="0"/>
                <w:sz w:val="21"/>
                <w:szCs w:val="21"/>
              </w:rPr>
              <w:t>、羽毛浮标</w:t>
            </w:r>
            <w:r>
              <w:rPr>
                <w:rFonts w:ascii="Times New Roman" w:hAnsi="Times New Roman" w:cs="Times New Roman"/>
                <w:color w:val="000000"/>
                <w:kern w:val="0"/>
                <w:sz w:val="21"/>
                <w:szCs w:val="21"/>
              </w:rPr>
              <w:t>1</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25</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湖南水密码钓具有限公司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水密码浮标</w:t>
            </w:r>
            <w:r>
              <w:rPr>
                <w:rFonts w:ascii="Times New Roman" w:hAnsi="Times New Roman" w:cs="Times New Roman"/>
                <w:color w:val="000000"/>
                <w:kern w:val="0"/>
                <w:sz w:val="21"/>
                <w:szCs w:val="21"/>
              </w:rPr>
              <w:t>20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r>
              <w:rPr>
                <w:rFonts w:hint="eastAsia" w:ascii="宋体" w:hAnsi="宋体" w:cs="宋体"/>
                <w:color w:val="000000"/>
                <w:kern w:val="0"/>
                <w:sz w:val="21"/>
                <w:szCs w:val="21"/>
              </w:rPr>
              <w:t>、美人鱼浮标</w:t>
            </w:r>
            <w:r>
              <w:rPr>
                <w:rFonts w:ascii="Times New Roman" w:hAnsi="Times New Roman" w:cs="Times New Roman"/>
                <w:color w:val="000000"/>
                <w:kern w:val="0"/>
                <w:sz w:val="21"/>
                <w:szCs w:val="21"/>
              </w:rPr>
              <w:t>12</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26</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湖南海鳌渔具有限公司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80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27</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湖南狼图腾碳纤维科技有限公司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碳纤维浮标盒</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万套</w:t>
            </w:r>
            <w:r>
              <w:rPr>
                <w:rFonts w:ascii="Times New Roman" w:hAnsi="Times New Roman" w:cs="Times New Roman"/>
                <w:color w:val="000000"/>
                <w:kern w:val="0"/>
                <w:sz w:val="21"/>
                <w:szCs w:val="21"/>
              </w:rPr>
              <w:t>/a</w:t>
            </w:r>
            <w:r>
              <w:rPr>
                <w:rFonts w:hint="eastAsia" w:ascii="宋体" w:hAnsi="宋体" w:cs="宋体"/>
                <w:color w:val="000000"/>
                <w:kern w:val="0"/>
                <w:sz w:val="21"/>
                <w:szCs w:val="21"/>
              </w:rPr>
              <w:t>、碳纤维浮标</w:t>
            </w:r>
            <w:r>
              <w:rPr>
                <w:rFonts w:ascii="Times New Roman" w:hAnsi="Times New Roman" w:cs="Times New Roman"/>
                <w:color w:val="000000"/>
                <w:kern w:val="0"/>
                <w:sz w:val="21"/>
                <w:szCs w:val="21"/>
              </w:rPr>
              <w:t>100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28</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湖南池海浮标钓具有限公司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80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29</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湖南驰冠钓具有限公司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万支</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30</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湖南鱼乐饵料科技有限公司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块状鱼饵</w:t>
            </w:r>
            <w:r>
              <w:rPr>
                <w:rFonts w:ascii="Times New Roman" w:hAnsi="Times New Roman" w:cs="Times New Roman"/>
                <w:color w:val="000000"/>
                <w:kern w:val="0"/>
                <w:sz w:val="21"/>
                <w:szCs w:val="21"/>
              </w:rPr>
              <w:t>1000t/a</w:t>
            </w:r>
            <w:r>
              <w:rPr>
                <w:rFonts w:hint="eastAsia" w:ascii="宋体" w:hAnsi="宋体" w:cs="宋体"/>
                <w:color w:val="000000"/>
                <w:kern w:val="0"/>
                <w:sz w:val="21"/>
                <w:szCs w:val="21"/>
              </w:rPr>
              <w:t>、粉状鱼饵</w:t>
            </w:r>
            <w:r>
              <w:rPr>
                <w:rFonts w:ascii="Times New Roman" w:hAnsi="Times New Roman" w:cs="Times New Roman"/>
                <w:color w:val="000000"/>
                <w:kern w:val="0"/>
                <w:sz w:val="21"/>
                <w:szCs w:val="21"/>
              </w:rPr>
              <w:t>3000t/a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宠物饲料加工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二类工业用地、居住用地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部分</w:t>
            </w:r>
            <w:r>
              <w:rPr>
                <w:rFonts w:ascii="宋体" w:hAnsi="宋体" w:cs="宋体"/>
                <w:kern w:val="0"/>
                <w:sz w:val="21"/>
                <w:szCs w:val="21"/>
              </w:rPr>
              <w:t>符合（</w:t>
            </w:r>
            <w:r>
              <w:rPr>
                <w:rFonts w:hint="eastAsia" w:ascii="宋体" w:hAnsi="宋体" w:cs="宋体"/>
                <w:kern w:val="0"/>
                <w:sz w:val="21"/>
                <w:szCs w:val="21"/>
              </w:rPr>
              <w:t>二类工业用地）</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31</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湖南匠星印刷包装有限公司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纸箱</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万个</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机制纸及纸板制造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32</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湖南瑞琦户外用品有限公司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软饵</w:t>
            </w:r>
            <w:r>
              <w:rPr>
                <w:rFonts w:ascii="Times New Roman" w:hAnsi="Times New Roman" w:cs="Times New Roman"/>
                <w:color w:val="000000"/>
                <w:kern w:val="0"/>
                <w:sz w:val="21"/>
                <w:szCs w:val="21"/>
              </w:rPr>
              <w:t>700t/a</w:t>
            </w:r>
            <w:r>
              <w:rPr>
                <w:rFonts w:hint="eastAsia" w:ascii="宋体" w:hAnsi="宋体" w:cs="宋体"/>
                <w:color w:val="000000"/>
                <w:kern w:val="0"/>
                <w:sz w:val="21"/>
                <w:szCs w:val="21"/>
              </w:rPr>
              <w:t>、硬饵</w:t>
            </w:r>
            <w:r>
              <w:rPr>
                <w:rFonts w:ascii="Times New Roman" w:hAnsi="Times New Roman" w:cs="Times New Roman"/>
                <w:color w:val="000000"/>
                <w:kern w:val="0"/>
                <w:sz w:val="21"/>
                <w:szCs w:val="21"/>
              </w:rPr>
              <w:t>300t/a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宠物饲料加工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33</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岳阳恒正精密工业有限公司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合成纤维品</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万套</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合成纤维制造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34</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湖南中渔户外用品有限公司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5</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35</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湖南天斩钓具有限公司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80</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36</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湖南明宇钓具有限公司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100</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37</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临湘市金宏报废汽车回收有限公司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年拆卸</w:t>
            </w:r>
            <w:r>
              <w:rPr>
                <w:rFonts w:ascii="Times New Roman" w:hAnsi="Times New Roman" w:cs="Times New Roman"/>
                <w:color w:val="000000"/>
                <w:kern w:val="0"/>
                <w:sz w:val="21"/>
                <w:szCs w:val="21"/>
              </w:rPr>
              <w:t>1000</w:t>
            </w:r>
            <w:r>
              <w:rPr>
                <w:rFonts w:hint="eastAsia" w:ascii="宋体" w:hAnsi="宋体" w:cs="宋体"/>
                <w:color w:val="000000"/>
                <w:kern w:val="0"/>
                <w:sz w:val="21"/>
                <w:szCs w:val="21"/>
              </w:rPr>
              <w:t>辆</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再生物资回收与批发</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38</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湖南天狼星钓具有限公司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鱼饵料</w:t>
            </w:r>
            <w:r>
              <w:rPr>
                <w:rFonts w:ascii="Times New Roman" w:hAnsi="Times New Roman" w:cs="Times New Roman"/>
                <w:color w:val="000000"/>
                <w:kern w:val="0"/>
                <w:sz w:val="21"/>
                <w:szCs w:val="21"/>
              </w:rPr>
              <w:t>300t/a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宠物饲料加工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仓储用地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39</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临湘市南岛科技有限公司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5</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40</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临湘市寰宇鱼具有限责任公司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41</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湖南龙窖山生态农业有限公司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加工大米</w:t>
            </w:r>
            <w:r>
              <w:rPr>
                <w:rFonts w:ascii="Times New Roman" w:hAnsi="Times New Roman" w:cs="Times New Roman"/>
                <w:color w:val="000000"/>
                <w:kern w:val="0"/>
                <w:sz w:val="21"/>
                <w:szCs w:val="21"/>
              </w:rPr>
              <w:t>1</w:t>
            </w:r>
            <w:r>
              <w:rPr>
                <w:rFonts w:hint="eastAsia" w:ascii="宋体" w:hAnsi="宋体" w:cs="宋体"/>
                <w:color w:val="000000"/>
                <w:kern w:val="0"/>
                <w:sz w:val="21"/>
                <w:szCs w:val="21"/>
              </w:rPr>
              <w:t>万吨</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稻谷加工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42</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临湘市皇阁智能门窗科技有限公司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铝合金门窗</w:t>
            </w:r>
            <w:r>
              <w:rPr>
                <w:rFonts w:ascii="Times New Roman" w:hAnsi="Times New Roman" w:cs="Times New Roman"/>
                <w:color w:val="000000"/>
                <w:kern w:val="0"/>
                <w:sz w:val="21"/>
                <w:szCs w:val="21"/>
              </w:rPr>
              <w:t>3</w:t>
            </w:r>
            <w:r>
              <w:rPr>
                <w:rFonts w:hint="eastAsia" w:ascii="宋体" w:hAnsi="宋体" w:cs="宋体"/>
                <w:color w:val="000000"/>
                <w:kern w:val="0"/>
                <w:sz w:val="21"/>
                <w:szCs w:val="21"/>
              </w:rPr>
              <w:t>万套</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金属门窗制造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43</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临湘市圣烨模具维修部</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瓷器模具</w:t>
            </w:r>
            <w:r>
              <w:rPr>
                <w:rFonts w:ascii="Times New Roman" w:hAnsi="Times New Roman" w:cs="Times New Roman"/>
                <w:color w:val="000000"/>
                <w:kern w:val="0"/>
                <w:sz w:val="21"/>
                <w:szCs w:val="21"/>
              </w:rPr>
              <w:t>960</w:t>
            </w:r>
            <w:r>
              <w:rPr>
                <w:rFonts w:hint="eastAsia" w:ascii="宋体" w:hAnsi="宋体" w:cs="宋体"/>
                <w:color w:val="000000"/>
                <w:kern w:val="0"/>
                <w:sz w:val="21"/>
                <w:szCs w:val="21"/>
              </w:rPr>
              <w:t>件</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模具制造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居住用地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44</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岳阳艾孚贝科技有限公司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包装材料</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万套</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塑料零件及其他塑料制品制造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45</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岳阳市鑫沃高分子材料有限公司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CMPU/PU</w:t>
            </w:r>
            <w:r>
              <w:rPr>
                <w:rFonts w:hint="eastAsia" w:ascii="宋体" w:hAnsi="宋体" w:cs="宋体"/>
                <w:color w:val="000000"/>
                <w:kern w:val="0"/>
                <w:sz w:val="21"/>
                <w:szCs w:val="21"/>
              </w:rPr>
              <w:t>片</w:t>
            </w:r>
            <w:r>
              <w:rPr>
                <w:rFonts w:ascii="Times New Roman" w:hAnsi="Times New Roman" w:cs="Times New Roman"/>
                <w:color w:val="000000"/>
                <w:kern w:val="0"/>
                <w:sz w:val="21"/>
                <w:szCs w:val="21"/>
              </w:rPr>
              <w:t>200</w:t>
            </w:r>
            <w:r>
              <w:rPr>
                <w:rFonts w:hint="eastAsia" w:ascii="宋体" w:hAnsi="宋体" w:cs="宋体"/>
                <w:color w:val="000000"/>
                <w:kern w:val="0"/>
                <w:sz w:val="21"/>
                <w:szCs w:val="21"/>
              </w:rPr>
              <w:t>万片</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塑料零件及其他塑料制品制造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46</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湖南省湘申包装有限公司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浮漂包装</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万套</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塑料零件及其他塑料制品制造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47</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渔德鱼钓具有限公司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48</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临湘市聚渔堂鱼饵厂</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鱼饵料</w:t>
            </w:r>
            <w:r>
              <w:rPr>
                <w:rFonts w:ascii="Times New Roman" w:hAnsi="Times New Roman" w:cs="Times New Roman"/>
                <w:color w:val="000000"/>
                <w:kern w:val="0"/>
                <w:sz w:val="21"/>
                <w:szCs w:val="21"/>
              </w:rPr>
              <w:t>1</w:t>
            </w:r>
            <w:r>
              <w:rPr>
                <w:rFonts w:hint="eastAsia" w:ascii="宋体" w:hAnsi="宋体" w:cs="宋体"/>
                <w:color w:val="000000"/>
                <w:kern w:val="0"/>
                <w:sz w:val="21"/>
                <w:szCs w:val="21"/>
              </w:rPr>
              <w:t>万吨</w:t>
            </w:r>
            <w:r>
              <w:rPr>
                <w:rFonts w:ascii="Times New Roman" w:hAnsi="Times New Roman" w:cs="Times New Roman"/>
                <w:color w:val="000000"/>
                <w:kern w:val="0"/>
                <w:sz w:val="21"/>
                <w:szCs w:val="21"/>
              </w:rPr>
              <w:t>/a</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宠物饲料加工</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是</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49</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临湘市渔我同乐渔具有限公司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浮标销售</w:t>
            </w:r>
            <w:r>
              <w:rPr>
                <w:rFonts w:ascii="Times New Roman" w:hAnsi="Times New Roman" w:cs="Times New Roman"/>
                <w:color w:val="000000"/>
                <w:kern w:val="0"/>
                <w:sz w:val="21"/>
                <w:szCs w:val="21"/>
              </w:rPr>
              <w:t>1000</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50</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临湘市小凤仙渔具中心</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500</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51</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临湘骑乐钓具有限公司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浮标</w:t>
            </w:r>
            <w:r>
              <w:rPr>
                <w:rFonts w:ascii="Times New Roman" w:hAnsi="Times New Roman" w:cs="Times New Roman"/>
                <w:color w:val="000000"/>
                <w:kern w:val="0"/>
                <w:sz w:val="21"/>
                <w:szCs w:val="21"/>
              </w:rPr>
              <w:t>10</w:t>
            </w:r>
            <w:r>
              <w:rPr>
                <w:rFonts w:hint="eastAsia" w:ascii="宋体" w:hAnsi="宋体" w:cs="宋体"/>
                <w:color w:val="000000"/>
                <w:kern w:val="0"/>
                <w:sz w:val="21"/>
                <w:szCs w:val="21"/>
              </w:rPr>
              <w:t>万支</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其他体育用品制造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二类工业用地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52</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临湘市邦田汽修厂</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年修理汽车</w:t>
            </w:r>
            <w:r>
              <w:rPr>
                <w:rFonts w:ascii="Times New Roman" w:hAnsi="Times New Roman" w:cs="Times New Roman"/>
                <w:color w:val="000000"/>
                <w:kern w:val="0"/>
                <w:sz w:val="21"/>
                <w:szCs w:val="21"/>
              </w:rPr>
              <w:t>100</w:t>
            </w:r>
            <w:r>
              <w:rPr>
                <w:rFonts w:hint="eastAsia" w:ascii="宋体" w:hAnsi="宋体" w:cs="宋体"/>
                <w:color w:val="000000"/>
                <w:kern w:val="0"/>
                <w:sz w:val="21"/>
                <w:szCs w:val="21"/>
              </w:rPr>
              <w:t>台</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汽车修理与维护</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一类工业用地</w:t>
            </w: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否</w:t>
            </w: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符合</w:t>
            </w: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53</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海螺水泥厂</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4500t/d新型干法水泥</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水泥制造</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54</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岳阳佳利新能源有限公司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10000万AH/a AH聚合物锂离子电池</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锂离子电池制造（组装）</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55</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湖南宇触科技有限公司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20万m3/a 电容式触摸屏</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计算机、通信和其他电子设备制造业（组装）</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56</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岳阳蓝宇通信技术有限公司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软件和信息技术服务业（组装）</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57</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岳阳沃客信息技术有限公司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计算机、通信和其他电子设备制造业（组装）</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58</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湖南美新医疗用品有限公司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医疗用品制造（组装）</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59</w:t>
            </w:r>
          </w:p>
        </w:tc>
        <w:tc>
          <w:tcPr>
            <w:tcW w:w="83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岳阳泓扬电子科技有限公司</w:t>
            </w:r>
          </w:p>
        </w:tc>
        <w:tc>
          <w:tcPr>
            <w:tcW w:w="1003"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w:t>
            </w:r>
          </w:p>
        </w:tc>
        <w:tc>
          <w:tcPr>
            <w:tcW w:w="872"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r>
              <w:rPr>
                <w:rFonts w:hint="eastAsia" w:ascii="宋体" w:hAnsi="宋体" w:cs="宋体"/>
                <w:kern w:val="0"/>
                <w:sz w:val="21"/>
                <w:szCs w:val="21"/>
              </w:rPr>
              <w:t>计算机、通信和其他电子设备制造业（组装）</w:t>
            </w:r>
          </w:p>
        </w:tc>
        <w:tc>
          <w:tcPr>
            <w:tcW w:w="596"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51"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505"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c>
          <w:tcPr>
            <w:tcW w:w="458" w:type="pct"/>
            <w:shd w:val="clear" w:color="auto" w:fill="auto"/>
            <w:tcMar>
              <w:top w:w="15" w:type="dxa"/>
              <w:left w:w="15" w:type="dxa"/>
              <w:bottom w:w="0" w:type="dxa"/>
              <w:right w:w="15" w:type="dxa"/>
            </w:tcMar>
            <w:vAlign w:val="center"/>
          </w:tcPr>
          <w:p>
            <w:pPr>
              <w:widowControl/>
              <w:jc w:val="center"/>
              <w:rPr>
                <w:rFonts w:ascii="宋体" w:hAnsi="宋体" w:cs="宋体"/>
                <w:kern w:val="0"/>
                <w:sz w:val="21"/>
                <w:szCs w:val="21"/>
              </w:rPr>
            </w:pPr>
          </w:p>
        </w:tc>
      </w:tr>
    </w:tbl>
    <w:p>
      <w:pPr>
        <w:spacing w:line="360" w:lineRule="auto"/>
        <w:ind w:firstLine="480" w:firstLineChars="200"/>
        <w:rPr>
          <w:rFonts w:ascii="Times New Roman" w:hAnsi="Times New Roman" w:cs="Times New Roman"/>
        </w:rPr>
        <w:sectPr>
          <w:pgSz w:w="16838" w:h="11906" w:orient="landscape"/>
          <w:pgMar w:top="1418" w:right="1418" w:bottom="1701" w:left="1418" w:header="851" w:footer="992" w:gutter="0"/>
          <w:paperSrc w:first="7" w:other="7"/>
          <w:cols w:space="425" w:num="1"/>
          <w:docGrid w:linePitch="326" w:charSpace="915"/>
        </w:sectPr>
      </w:pPr>
    </w:p>
    <w:p>
      <w:pPr>
        <w:pStyle w:val="3"/>
        <w:rPr>
          <w:rFonts w:ascii="Times New Roman" w:hAnsi="Times New Roman" w:cs="Times New Roman" w:eastAsiaTheme="minorEastAsia"/>
        </w:rPr>
      </w:pPr>
      <w:bookmarkStart w:id="116" w:name="_Toc146091893"/>
      <w:r>
        <w:rPr>
          <w:rFonts w:ascii="Times New Roman" w:hAnsi="Times New Roman" w:cs="Times New Roman" w:eastAsiaTheme="minorEastAsia"/>
        </w:rPr>
        <w:t>2.4 园区存在的主要环境问题与解决方案</w:t>
      </w:r>
      <w:bookmarkEnd w:id="108"/>
      <w:bookmarkEnd w:id="109"/>
      <w:bookmarkEnd w:id="110"/>
      <w:bookmarkEnd w:id="116"/>
    </w:p>
    <w:p>
      <w:pPr>
        <w:spacing w:line="360" w:lineRule="auto"/>
        <w:ind w:firstLine="480" w:firstLineChars="200"/>
        <w:rPr>
          <w:rFonts w:ascii="Times New Roman" w:hAnsi="Times New Roman" w:cs="Times New Roman"/>
        </w:rPr>
      </w:pPr>
      <w:r>
        <w:rPr>
          <w:rFonts w:ascii="Times New Roman" w:hAnsi="Times New Roman" w:cs="Times New Roman"/>
        </w:rPr>
        <w:t>根据对园区开发现状进行现场调查，并对照上轮规划环评审查意见的落实情况进行分析，梳理出园区现状存在的主要环境问题，据此本评价提出相应解决建议，具体见下表。</w:t>
      </w:r>
    </w:p>
    <w:p>
      <w:pPr>
        <w:pStyle w:val="6"/>
        <w:rPr>
          <w:rFonts w:ascii="Times New Roman" w:hAnsi="Times New Roman" w:cs="Times New Roman"/>
        </w:rPr>
      </w:pPr>
      <w:r>
        <w:rPr>
          <w:rFonts w:ascii="Times New Roman" w:hAnsi="Times New Roman" w:cs="Times New Roman"/>
        </w:rPr>
        <w:t>表2.4-1 存在问题及解决方案</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134"/>
        <w:gridCol w:w="3826"/>
        <w:gridCol w:w="32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454" w:type="pct"/>
            <w:vAlign w:val="center"/>
          </w:tcPr>
          <w:p>
            <w:pPr>
              <w:pStyle w:val="63"/>
              <w:rPr>
                <w:rFonts w:eastAsiaTheme="minorEastAsia"/>
              </w:rPr>
            </w:pPr>
            <w:r>
              <w:rPr>
                <w:rFonts w:eastAsiaTheme="minorEastAsia"/>
              </w:rPr>
              <w:t>序号</w:t>
            </w:r>
          </w:p>
        </w:tc>
        <w:tc>
          <w:tcPr>
            <w:tcW w:w="630" w:type="pct"/>
            <w:vAlign w:val="center"/>
          </w:tcPr>
          <w:p>
            <w:pPr>
              <w:pStyle w:val="63"/>
              <w:rPr>
                <w:rFonts w:eastAsiaTheme="minorEastAsia"/>
              </w:rPr>
            </w:pPr>
            <w:r>
              <w:rPr>
                <w:rFonts w:eastAsiaTheme="minorEastAsia"/>
              </w:rPr>
              <w:t>环境因素</w:t>
            </w:r>
          </w:p>
        </w:tc>
        <w:tc>
          <w:tcPr>
            <w:tcW w:w="2125" w:type="pct"/>
            <w:vAlign w:val="center"/>
          </w:tcPr>
          <w:p>
            <w:pPr>
              <w:pStyle w:val="63"/>
              <w:rPr>
                <w:rFonts w:eastAsiaTheme="minorEastAsia"/>
              </w:rPr>
            </w:pPr>
            <w:r>
              <w:rPr>
                <w:rFonts w:eastAsiaTheme="minorEastAsia"/>
              </w:rPr>
              <w:t>存在问题</w:t>
            </w:r>
          </w:p>
        </w:tc>
        <w:tc>
          <w:tcPr>
            <w:tcW w:w="1791" w:type="pct"/>
            <w:vAlign w:val="center"/>
          </w:tcPr>
          <w:p>
            <w:pPr>
              <w:pStyle w:val="63"/>
              <w:rPr>
                <w:rFonts w:eastAsiaTheme="minorEastAsia"/>
              </w:rPr>
            </w:pPr>
            <w:r>
              <w:rPr>
                <w:rFonts w:eastAsiaTheme="minorEastAsia"/>
              </w:rPr>
              <w:t>对策措施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454" w:type="pct"/>
            <w:vAlign w:val="center"/>
          </w:tcPr>
          <w:p>
            <w:pPr>
              <w:pStyle w:val="63"/>
              <w:rPr>
                <w:rFonts w:eastAsiaTheme="minorEastAsia"/>
              </w:rPr>
            </w:pPr>
            <w:r>
              <w:rPr>
                <w:rFonts w:eastAsiaTheme="minorEastAsia"/>
              </w:rPr>
              <w:t>1</w:t>
            </w:r>
          </w:p>
        </w:tc>
        <w:tc>
          <w:tcPr>
            <w:tcW w:w="630" w:type="pct"/>
            <w:vAlign w:val="center"/>
          </w:tcPr>
          <w:p>
            <w:pPr>
              <w:pStyle w:val="63"/>
              <w:rPr>
                <w:rFonts w:eastAsiaTheme="minorEastAsia"/>
              </w:rPr>
            </w:pPr>
            <w:r>
              <w:rPr>
                <w:rFonts w:eastAsiaTheme="minorEastAsia"/>
              </w:rPr>
              <w:t>规划范围</w:t>
            </w:r>
          </w:p>
        </w:tc>
        <w:tc>
          <w:tcPr>
            <w:tcW w:w="2125" w:type="pct"/>
            <w:vAlign w:val="center"/>
          </w:tcPr>
          <w:p>
            <w:pPr>
              <w:pStyle w:val="63"/>
              <w:rPr>
                <w:rFonts w:eastAsiaTheme="minorEastAsia"/>
              </w:rPr>
            </w:pPr>
            <w:r>
              <w:rPr>
                <w:rFonts w:eastAsiaTheme="minorEastAsia"/>
              </w:rPr>
              <w:t>三湾片区用地已基本开发完毕，实际按规划环评范围开发，目前存在超核准范围开发情况</w:t>
            </w:r>
          </w:p>
        </w:tc>
        <w:tc>
          <w:tcPr>
            <w:tcW w:w="1791" w:type="pct"/>
            <w:vAlign w:val="center"/>
          </w:tcPr>
          <w:p>
            <w:pPr>
              <w:pStyle w:val="63"/>
              <w:rPr>
                <w:rFonts w:eastAsiaTheme="minorEastAsia"/>
              </w:rPr>
            </w:pPr>
          </w:p>
        </w:tc>
      </w:tr>
    </w:tbl>
    <w:p>
      <w:pPr>
        <w:rPr>
          <w:rFonts w:ascii="Times New Roman" w:hAnsi="Times New Roman" w:cs="Times New Roman"/>
        </w:rPr>
      </w:pPr>
    </w:p>
    <w:bookmarkEnd w:id="111"/>
    <w:bookmarkEnd w:id="112"/>
    <w:bookmarkEnd w:id="113"/>
    <w:bookmarkEnd w:id="114"/>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pgSz w:w="11906" w:h="16838"/>
          <w:pgMar w:top="1418" w:right="1418" w:bottom="1418" w:left="1701" w:header="851" w:footer="992" w:gutter="0"/>
          <w:paperSrc w:first="7" w:other="7"/>
          <w:cols w:space="425" w:num="1"/>
          <w:docGrid w:linePitch="326" w:charSpace="915"/>
        </w:sectPr>
      </w:pPr>
    </w:p>
    <w:bookmarkEnd w:id="93"/>
    <w:bookmarkEnd w:id="94"/>
    <w:bookmarkEnd w:id="95"/>
    <w:bookmarkEnd w:id="96"/>
    <w:bookmarkEnd w:id="97"/>
    <w:p>
      <w:pPr>
        <w:pStyle w:val="2"/>
        <w:spacing w:before="120" w:after="120"/>
        <w:rPr>
          <w:rFonts w:ascii="Times New Roman" w:hAnsi="Times New Roman" w:cs="Times New Roman"/>
        </w:rPr>
      </w:pPr>
      <w:bookmarkStart w:id="117" w:name="_Toc146091894"/>
      <w:bookmarkStart w:id="118" w:name="_Toc82606970"/>
      <w:bookmarkStart w:id="119" w:name="_Toc134088456"/>
      <w:bookmarkStart w:id="120" w:name="_Toc11841868"/>
      <w:bookmarkStart w:id="121" w:name="_Toc50966769"/>
      <w:bookmarkStart w:id="122" w:name="_Toc1552396"/>
      <w:bookmarkStart w:id="123" w:name="_Toc1552352"/>
      <w:bookmarkStart w:id="124" w:name="_Toc40253219"/>
      <w:bookmarkStart w:id="125" w:name="_Toc74120806"/>
      <w:bookmarkStart w:id="126" w:name="_Toc43838021"/>
      <w:bookmarkStart w:id="127" w:name="_Toc54516688"/>
      <w:bookmarkStart w:id="128" w:name="_Toc56066074"/>
      <w:bookmarkStart w:id="129" w:name="_Toc43837935"/>
      <w:bookmarkStart w:id="130" w:name="_Toc74120845"/>
      <w:bookmarkStart w:id="131" w:name="_Toc520734371"/>
      <w:bookmarkStart w:id="132" w:name="_Toc38478450"/>
      <w:bookmarkStart w:id="133" w:name="_Toc50625439"/>
      <w:bookmarkStart w:id="134" w:name="_Toc72263595"/>
      <w:bookmarkStart w:id="135" w:name="_Toc1552416"/>
      <w:bookmarkStart w:id="136" w:name="_Toc82606993"/>
      <w:bookmarkStart w:id="137" w:name="_Toc49323890"/>
      <w:bookmarkStart w:id="138" w:name="_Toc38389615"/>
      <w:bookmarkStart w:id="139" w:name="_Toc49952153"/>
      <w:bookmarkStart w:id="140" w:name="_Toc47380204"/>
      <w:bookmarkStart w:id="141" w:name="_Toc43837593"/>
      <w:bookmarkStart w:id="142" w:name="_Toc514238061"/>
      <w:bookmarkStart w:id="143" w:name="_Toc47380246"/>
      <w:bookmarkStart w:id="144" w:name="_Toc521835742"/>
      <w:r>
        <w:rPr>
          <w:rFonts w:ascii="Times New Roman" w:hAnsi="Times New Roman" w:cs="Times New Roman"/>
        </w:rPr>
        <w:t>第3章 规划分析</w:t>
      </w:r>
      <w:bookmarkEnd w:id="117"/>
      <w:bookmarkEnd w:id="118"/>
      <w:bookmarkEnd w:id="119"/>
    </w:p>
    <w:p>
      <w:pPr>
        <w:pStyle w:val="3"/>
        <w:rPr>
          <w:rFonts w:ascii="Times New Roman" w:hAnsi="Times New Roman" w:cs="Times New Roman"/>
        </w:rPr>
      </w:pPr>
      <w:bookmarkStart w:id="145" w:name="_Toc146091895"/>
      <w:r>
        <w:rPr>
          <w:rFonts w:ascii="Times New Roman" w:hAnsi="Times New Roman" w:cs="Times New Roman"/>
        </w:rPr>
        <w:t>3.1 扩区的必要性分析</w:t>
      </w:r>
      <w:bookmarkEnd w:id="145"/>
    </w:p>
    <w:p>
      <w:pPr>
        <w:spacing w:line="360" w:lineRule="auto"/>
        <w:ind w:firstLine="480" w:firstLineChars="200"/>
        <w:rPr>
          <w:rFonts w:ascii="Times New Roman" w:hAnsi="Times New Roman" w:cs="Times New Roman"/>
        </w:rPr>
      </w:pPr>
      <w:r>
        <w:rPr>
          <w:rFonts w:ascii="Times New Roman" w:hAnsi="Times New Roman" w:cs="Times New Roman"/>
        </w:rPr>
        <w:t>湖南作为中部重要省份，在保障国家安全、推动中部崛起和长江经济带发展中具有重要地位。目前我国大型石化基地主要集中在沿海和东部地区，导致中部地区在石化基础原材料供给能力、产业链发展水平方面相对落后。支持岳阳打造中部地区大型石化产业基地，有利于优化产业布局，保障国家化工原材料供给安全，有利于促进中部地区整体产业技术开发和技术应用，有利于提升相关先进制造业的竞争力和效益贡献，提高中国石化在岳企业的竞争力，也是落实省“三高四新”战略的重要行动，将有助于岳阳乃至湖南在中部崛起战略中发挥带动示范作用。</w:t>
      </w:r>
    </w:p>
    <w:p>
      <w:pPr>
        <w:spacing w:line="360" w:lineRule="auto"/>
        <w:ind w:firstLine="480" w:firstLineChars="200"/>
        <w:rPr>
          <w:rFonts w:ascii="Times New Roman" w:hAnsi="Times New Roman" w:cs="Times New Roman"/>
        </w:rPr>
      </w:pPr>
      <w:r>
        <w:rPr>
          <w:rFonts w:ascii="Times New Roman" w:hAnsi="Times New Roman" w:cs="Times New Roman"/>
        </w:rPr>
        <w:t>由于缺乏下游产业发展所需要大宗化工原料，岳阳市石化产业技术优势没有转化为发展的强势。因此，大力发展石化产业，着力引进乙烯产业及上下游产业链，是落实习近平总书记“围绕创新链布局产业链”的具体行动，是实现创新成果就地转化的具体举措，是向化工新材料产业发展的重要支撑，将推动岳阳、湖南乃至整个中部地区石化产业集群优势发展。依托巴陵石化、长岭炼化两家企业炼油结构优化调整提供裂解原料，乙烯产业及上下游产业链考虑匹配区域特色化工产业链需要的化工原料，将形成乙烯工程有化工产业的高度契合，协同效益可观，其他乙烯项目难以具备的优势。</w:t>
      </w:r>
    </w:p>
    <w:p>
      <w:pPr>
        <w:spacing w:line="360" w:lineRule="auto"/>
        <w:ind w:firstLine="480" w:firstLineChars="200"/>
        <w:rPr>
          <w:rFonts w:ascii="Times New Roman" w:hAnsi="Times New Roman" w:cs="Times New Roman"/>
        </w:rPr>
      </w:pPr>
      <w:r>
        <w:rPr>
          <w:rFonts w:ascii="Times New Roman" w:hAnsi="Times New Roman" w:cs="Times New Roman"/>
        </w:rPr>
        <w:t>根据《湖南岳阳绿色化工产业园产业发展规划》和《关于认定湖南省第一批化工园区的通知》，未来园区将按产业集群发展特点进行绿色化工产业园的空间布局，为绿色化工产业园新项目引进，延伸和发展绿色石化产业链提供产业园载体。《岳阳市国民经济和社会发展第十四个五年规划和二〇三五年远景目标纲要》提出鼓励园区开展跨区域合作，发展“飞地经济”，共同建设项目孵化、人才培养、市场拓展等服务平台和飞地园区，为承接产业转移项目创造条件。</w:t>
      </w:r>
    </w:p>
    <w:p>
      <w:pPr>
        <w:spacing w:line="360" w:lineRule="auto"/>
        <w:ind w:firstLine="480" w:firstLineChars="200"/>
        <w:rPr>
          <w:rFonts w:ascii="Times New Roman" w:hAnsi="Times New Roman" w:cs="Times New Roman"/>
        </w:rPr>
      </w:pPr>
      <w:r>
        <w:rPr>
          <w:rFonts w:ascii="Times New Roman" w:hAnsi="Times New Roman" w:cs="Times New Roman"/>
        </w:rPr>
        <w:t>临湘高新区绿色化工园区源于国家“七五”、“八五”期间建成的氨基甲酸酯类系列农药生产基地，此后陆续有基础化工原料、精细化工、医药中间体多家企业入驻，曾是中南地区最大的农药生产基地之一。随着长江大保护工作的持续推进以及化工行业发展形势的变化，园区发展受到较大制约，园区选址已经不能满足长江大保护要求。作为湖南省定点化工园区，在满足长江大保护的相关要求基础上，结合湖南省及岳阳市化工产业整体布局，在省有关部门支持下，临湘市启动调区扩区工作，另行选址规划建设化工园区。一方面可以更好地承接现有企业的搬迁改造，另外也可以充分利用岳阳市石油化工加快发展的机遇，加快发展石化深加工和化工新材料产业，推进园区的高质量发展。</w:t>
      </w:r>
    </w:p>
    <w:p>
      <w:pPr>
        <w:pStyle w:val="3"/>
        <w:rPr>
          <w:rFonts w:ascii="Times New Roman" w:hAnsi="Times New Roman" w:cs="Times New Roman" w:eastAsiaTheme="minorEastAsia"/>
        </w:rPr>
      </w:pPr>
      <w:bookmarkStart w:id="146" w:name="_Toc40253169"/>
      <w:bookmarkStart w:id="147" w:name="_Toc38478400"/>
      <w:bookmarkStart w:id="148" w:name="_Toc38389572"/>
      <w:bookmarkStart w:id="149" w:name="_Toc50625264"/>
      <w:bookmarkStart w:id="150" w:name="_Toc56066049"/>
      <w:bookmarkStart w:id="151" w:name="_Toc50966744"/>
      <w:bookmarkStart w:id="152" w:name="_Toc49952128"/>
      <w:bookmarkStart w:id="153" w:name="_Toc72263587"/>
      <w:bookmarkStart w:id="154" w:name="_Toc43837996"/>
      <w:bookmarkStart w:id="155" w:name="_Toc54516685"/>
      <w:bookmarkStart w:id="156" w:name="_Toc43837568"/>
      <w:bookmarkStart w:id="157" w:name="_Toc134088462"/>
      <w:bookmarkStart w:id="158" w:name="_Toc49323761"/>
      <w:bookmarkStart w:id="159" w:name="_Toc82606971"/>
      <w:bookmarkStart w:id="160" w:name="_Toc43837831"/>
      <w:bookmarkStart w:id="161" w:name="_Toc146091896"/>
      <w:bookmarkStart w:id="162" w:name="_Toc521835550"/>
      <w:bookmarkStart w:id="163" w:name="_Toc520734281"/>
      <w:bookmarkStart w:id="164" w:name="_Toc1552334"/>
      <w:bookmarkStart w:id="165" w:name="_Toc521835548"/>
      <w:r>
        <w:rPr>
          <w:rFonts w:ascii="Times New Roman" w:hAnsi="Times New Roman" w:cs="Times New Roman" w:eastAsiaTheme="minorEastAsia"/>
        </w:rPr>
        <w:t>3.</w:t>
      </w:r>
      <w:bookmarkEnd w:id="146"/>
      <w:bookmarkEnd w:id="147"/>
      <w:bookmarkEnd w:id="148"/>
      <w:r>
        <w:rPr>
          <w:rFonts w:ascii="Times New Roman" w:hAnsi="Times New Roman" w:cs="Times New Roman" w:eastAsiaTheme="minorEastAsia"/>
        </w:rPr>
        <w:t>2 规划概述</w:t>
      </w:r>
      <w:bookmarkEnd w:id="149"/>
      <w:bookmarkEnd w:id="150"/>
      <w:bookmarkEnd w:id="151"/>
      <w:bookmarkEnd w:id="152"/>
      <w:bookmarkEnd w:id="153"/>
      <w:bookmarkEnd w:id="154"/>
      <w:bookmarkEnd w:id="155"/>
      <w:bookmarkEnd w:id="156"/>
      <w:bookmarkEnd w:id="157"/>
      <w:bookmarkEnd w:id="158"/>
      <w:bookmarkEnd w:id="159"/>
      <w:bookmarkEnd w:id="160"/>
      <w:bookmarkEnd w:id="161"/>
    </w:p>
    <w:p>
      <w:pPr>
        <w:pStyle w:val="4"/>
        <w:rPr>
          <w:rFonts w:ascii="Times New Roman" w:hAnsi="Times New Roman" w:cs="Times New Roman"/>
        </w:rPr>
      </w:pPr>
      <w:bookmarkStart w:id="166" w:name="_Toc146091897"/>
      <w:bookmarkStart w:id="167" w:name="_Toc50625265"/>
      <w:bookmarkStart w:id="168" w:name="_Toc38478401"/>
      <w:bookmarkStart w:id="169" w:name="_Toc82606972"/>
      <w:bookmarkStart w:id="170" w:name="_Toc38389573"/>
      <w:bookmarkStart w:id="171" w:name="_Toc40253170"/>
      <w:bookmarkStart w:id="172" w:name="_Toc43837832"/>
      <w:bookmarkStart w:id="173" w:name="_Toc49323762"/>
      <w:bookmarkStart w:id="174" w:name="_Toc134088463"/>
      <w:r>
        <w:rPr>
          <w:rFonts w:ascii="Times New Roman" w:hAnsi="Times New Roman" w:cs="Times New Roman"/>
        </w:rPr>
        <w:t>3.2.1 规划基本情况</w:t>
      </w:r>
      <w:bookmarkEnd w:id="166"/>
      <w:bookmarkEnd w:id="167"/>
      <w:bookmarkEnd w:id="168"/>
      <w:bookmarkEnd w:id="169"/>
      <w:bookmarkEnd w:id="170"/>
      <w:bookmarkEnd w:id="171"/>
      <w:bookmarkEnd w:id="172"/>
      <w:bookmarkEnd w:id="173"/>
      <w:bookmarkEnd w:id="174"/>
    </w:p>
    <w:p>
      <w:pPr>
        <w:spacing w:line="360" w:lineRule="auto"/>
        <w:ind w:firstLine="480" w:firstLineChars="200"/>
        <w:rPr>
          <w:rFonts w:ascii="Times New Roman" w:hAnsi="Times New Roman" w:cs="Times New Roman"/>
        </w:rPr>
      </w:pPr>
      <w:r>
        <w:rPr>
          <w:rFonts w:ascii="Times New Roman" w:hAnsi="Times New Roman" w:cs="Times New Roman"/>
        </w:rPr>
        <w:t>规划名称：临湘高新技术产业开发区控制性详细规划；</w:t>
      </w:r>
    </w:p>
    <w:p>
      <w:pPr>
        <w:spacing w:line="360" w:lineRule="auto"/>
        <w:ind w:firstLine="480" w:firstLineChars="200"/>
        <w:rPr>
          <w:rFonts w:ascii="Times New Roman" w:hAnsi="Times New Roman" w:cs="Times New Roman"/>
        </w:rPr>
      </w:pPr>
      <w:r>
        <w:rPr>
          <w:rFonts w:ascii="Times New Roman" w:hAnsi="Times New Roman" w:cs="Times New Roman"/>
        </w:rPr>
        <w:t>规划组织实施单位：临湘市高新技术产业开发区管委会；</w:t>
      </w:r>
    </w:p>
    <w:p>
      <w:pPr>
        <w:pStyle w:val="4"/>
        <w:rPr>
          <w:rFonts w:ascii="Times New Roman" w:hAnsi="Times New Roman" w:cs="Times New Roman"/>
        </w:rPr>
      </w:pPr>
      <w:bookmarkStart w:id="175" w:name="_Toc146091898"/>
      <w:r>
        <w:rPr>
          <w:rFonts w:ascii="Times New Roman" w:hAnsi="Times New Roman" w:cs="Times New Roman"/>
        </w:rPr>
        <w:t>3.2.2 规划时限</w:t>
      </w:r>
      <w:bookmarkEnd w:id="175"/>
    </w:p>
    <w:p>
      <w:pPr>
        <w:spacing w:line="360" w:lineRule="auto"/>
        <w:ind w:firstLine="480" w:firstLineChars="200"/>
        <w:rPr>
          <w:rFonts w:ascii="Times New Roman" w:hAnsi="Times New Roman" w:cs="Times New Roman"/>
        </w:rPr>
      </w:pPr>
      <w:r>
        <w:rPr>
          <w:rFonts w:ascii="Times New Roman" w:hAnsi="Times New Roman" w:cs="Times New Roman"/>
        </w:rPr>
        <w:t>规划期限为：2023-2035年；其中规划近期为2023-2025年，规划远期为2026-2035年。</w:t>
      </w:r>
    </w:p>
    <w:p>
      <w:pPr>
        <w:pStyle w:val="4"/>
        <w:rPr>
          <w:rFonts w:ascii="Times New Roman" w:hAnsi="Times New Roman" w:cs="Times New Roman"/>
        </w:rPr>
      </w:pPr>
      <w:bookmarkStart w:id="176" w:name="_Toc50625266"/>
      <w:bookmarkStart w:id="177" w:name="_Toc49323763"/>
      <w:bookmarkStart w:id="178" w:name="_Toc40253171"/>
      <w:bookmarkStart w:id="179" w:name="_Toc134088464"/>
      <w:bookmarkStart w:id="180" w:name="_Toc82606973"/>
      <w:bookmarkStart w:id="181" w:name="_Toc38389574"/>
      <w:bookmarkStart w:id="182" w:name="_Toc146091899"/>
      <w:bookmarkStart w:id="183" w:name="_Toc38478402"/>
      <w:bookmarkStart w:id="184" w:name="_Toc43837833"/>
      <w:r>
        <w:rPr>
          <w:rFonts w:ascii="Times New Roman" w:hAnsi="Times New Roman" w:cs="Times New Roman"/>
        </w:rPr>
        <w:t>3.2.3 规划范围</w:t>
      </w:r>
      <w:bookmarkEnd w:id="162"/>
      <w:bookmarkEnd w:id="176"/>
      <w:bookmarkEnd w:id="177"/>
      <w:bookmarkEnd w:id="178"/>
      <w:bookmarkEnd w:id="179"/>
      <w:bookmarkEnd w:id="180"/>
      <w:bookmarkEnd w:id="181"/>
      <w:bookmarkEnd w:id="182"/>
      <w:bookmarkEnd w:id="183"/>
      <w:bookmarkEnd w:id="184"/>
    </w:p>
    <w:p>
      <w:pPr>
        <w:spacing w:line="360" w:lineRule="auto"/>
        <w:ind w:firstLine="480" w:firstLineChars="200"/>
        <w:rPr>
          <w:rFonts w:ascii="Times New Roman" w:hAnsi="Times New Roman" w:cs="Times New Roman"/>
        </w:rPr>
      </w:pPr>
      <w:r>
        <w:rPr>
          <w:rFonts w:ascii="Times New Roman" w:hAnsi="Times New Roman" w:cs="Times New Roman"/>
        </w:rPr>
        <w:t>本轮规划范围以湘发改园区[2022]601号核定范围为基础进行调区扩区工作，调整后园区总面积为992.30公顷。分述如下：</w:t>
      </w:r>
    </w:p>
    <w:p>
      <w:pPr>
        <w:spacing w:line="360" w:lineRule="auto"/>
        <w:ind w:firstLine="480" w:firstLineChars="200"/>
        <w:rPr>
          <w:rFonts w:ascii="Times New Roman" w:hAnsi="Times New Roman" w:cs="Times New Roman"/>
        </w:rPr>
      </w:pPr>
      <w:r>
        <w:rPr>
          <w:rFonts w:ascii="Times New Roman" w:hAnsi="Times New Roman" w:cs="Times New Roman"/>
        </w:rPr>
        <w:t>（1）区块一（滨江片区</w:t>
      </w:r>
      <w:r>
        <w:rPr>
          <w:rFonts w:ascii="Times New Roman" w:hAnsi="Times New Roman" w:cs="Times New Roman"/>
          <w:szCs w:val="24"/>
        </w:rPr>
        <w:t>儒溪地块</w:t>
      </w:r>
      <w:r>
        <w:rPr>
          <w:rFonts w:ascii="Times New Roman" w:hAnsi="Times New Roman" w:cs="Times New Roman"/>
        </w:rPr>
        <w:t>）原核定面积为324.74公顷，调出不在城镇开发边界范围内的81.35公顷，调整后面积为243.39公顷；四至范围为：东至潇雨路，南 S208 省道支线，西至长江防洪堤，北至老季口北侧</w:t>
      </w:r>
      <w:r>
        <w:rPr>
          <w:rFonts w:hint="eastAsia" w:ascii="Times New Roman" w:hAnsi="Times New Roman" w:cs="Times New Roman"/>
        </w:rPr>
        <w:t>，后续重点开发。</w:t>
      </w:r>
    </w:p>
    <w:p>
      <w:pPr>
        <w:spacing w:line="360" w:lineRule="auto"/>
        <w:ind w:firstLine="480" w:firstLineChars="200"/>
        <w:rPr>
          <w:rFonts w:ascii="Times New Roman" w:hAnsi="Times New Roman" w:cs="Times New Roman"/>
        </w:rPr>
      </w:pPr>
      <w:r>
        <w:rPr>
          <w:rFonts w:ascii="Times New Roman" w:hAnsi="Times New Roman" w:cs="Times New Roman"/>
        </w:rPr>
        <w:t>（2）区块二（滨江片区</w:t>
      </w:r>
      <w:r>
        <w:rPr>
          <w:rFonts w:ascii="Times New Roman" w:hAnsi="Times New Roman" w:cs="Times New Roman"/>
          <w:szCs w:val="24"/>
        </w:rPr>
        <w:t>鸭栏地块</w:t>
      </w:r>
      <w:r>
        <w:rPr>
          <w:rFonts w:ascii="Times New Roman" w:hAnsi="Times New Roman" w:cs="Times New Roman"/>
        </w:rPr>
        <w:t>）原核定面积为35.32公顷，均不在城镇开发边界范围内，全部调出</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（3）区块三（滨江片区</w:t>
      </w:r>
      <w:r>
        <w:rPr>
          <w:rFonts w:ascii="Times New Roman" w:hAnsi="Times New Roman" w:cs="Times New Roman"/>
          <w:szCs w:val="24"/>
        </w:rPr>
        <w:t>旗杆地块</w:t>
      </w:r>
      <w:r>
        <w:rPr>
          <w:rFonts w:ascii="Times New Roman" w:hAnsi="Times New Roman" w:cs="Times New Roman"/>
        </w:rPr>
        <w:t>）原核定面积为27.12公顷，调入西侧6.78公顷用地，调整后面积为33.90公顷，四至范围为：东至长富路，南至横二路、建设路，西至洋溪湖，北至横一西路、临江大道</w:t>
      </w:r>
      <w:r>
        <w:rPr>
          <w:rFonts w:hint="eastAsia" w:ascii="Times New Roman" w:hAnsi="Times New Roman" w:cs="Times New Roman"/>
        </w:rPr>
        <w:t>，后续重点开发。</w:t>
      </w:r>
    </w:p>
    <w:p>
      <w:pPr>
        <w:spacing w:line="360" w:lineRule="auto"/>
        <w:ind w:firstLine="480" w:firstLineChars="200"/>
        <w:rPr>
          <w:rFonts w:ascii="Times New Roman" w:hAnsi="Times New Roman" w:cs="Times New Roman"/>
        </w:rPr>
      </w:pPr>
      <w:r>
        <w:rPr>
          <w:rFonts w:ascii="Times New Roman" w:hAnsi="Times New Roman" w:cs="Times New Roman"/>
        </w:rPr>
        <w:t>（4）区块四（滨江片区</w:t>
      </w:r>
      <w:r>
        <w:rPr>
          <w:rFonts w:ascii="Times New Roman" w:hAnsi="Times New Roman" w:cs="Times New Roman"/>
          <w:szCs w:val="24"/>
        </w:rPr>
        <w:t>杨桥地块</w:t>
      </w:r>
      <w:r>
        <w:rPr>
          <w:rFonts w:ascii="Times New Roman" w:hAnsi="Times New Roman" w:cs="Times New Roman"/>
        </w:rPr>
        <w:t>）原核定面积为159.99公顷，调出不在城镇开发边界的0.51公顷，调入周边城镇开发边界范围内363.46公项用地，扩区后面积522.94公顷，四至范围为：东至临江大道，南至洋溪村湾里，西至洋溪村荷叶坡，北至刘家大屋</w:t>
      </w:r>
      <w:r>
        <w:rPr>
          <w:rFonts w:hint="eastAsia" w:ascii="Times New Roman" w:hAnsi="Times New Roman" w:cs="Times New Roman"/>
        </w:rPr>
        <w:t>，后续重点开发。</w:t>
      </w:r>
    </w:p>
    <w:p>
      <w:pPr>
        <w:spacing w:line="360" w:lineRule="auto"/>
        <w:ind w:firstLine="480" w:firstLineChars="200"/>
        <w:rPr>
          <w:rFonts w:ascii="Times New Roman" w:hAnsi="Times New Roman" w:cs="Times New Roman"/>
        </w:rPr>
      </w:pPr>
      <w:r>
        <w:rPr>
          <w:rFonts w:ascii="Times New Roman" w:hAnsi="Times New Roman" w:cs="Times New Roman"/>
        </w:rPr>
        <w:t>（5）区块五（三湾片区）原核定面积为193.29公顷，调出不在城镇开发边界范围的34.96公顷，调整后面积为158.33公顷；四至范围为：东至京港澳高速公路以西40米，南至大岭村全京排，王禾村港下组,西至王禾村郭陈京水库，北至临桃线</w:t>
      </w:r>
      <w:r>
        <w:rPr>
          <w:rFonts w:hint="eastAsia" w:ascii="Times New Roman" w:hAnsi="Times New Roman" w:cs="Times New Roman"/>
        </w:rPr>
        <w:t>，已开发完成，后续不在开发。</w:t>
      </w:r>
    </w:p>
    <w:p>
      <w:pPr>
        <w:spacing w:line="360" w:lineRule="auto"/>
        <w:ind w:firstLine="480" w:firstLineChars="200"/>
        <w:rPr>
          <w:rFonts w:ascii="Times New Roman" w:hAnsi="Times New Roman" w:cs="Times New Roman"/>
        </w:rPr>
      </w:pPr>
      <w:r>
        <w:rPr>
          <w:rFonts w:ascii="Times New Roman" w:hAnsi="Times New Roman" w:cs="Times New Roman"/>
        </w:rPr>
        <w:t>（6）区块六（绿色建材产业园）原核定面积为面积为33.74公顷，维持不变</w:t>
      </w:r>
      <w:r>
        <w:rPr>
          <w:rFonts w:hint="eastAsia" w:ascii="Times New Roman" w:hAnsi="Times New Roman" w:cs="Times New Roman"/>
        </w:rPr>
        <w:t>，该片区已开发完成，后续不在开发</w:t>
      </w:r>
      <w:r>
        <w:rPr>
          <w:rFonts w:ascii="Times New Roman" w:hAnsi="Times New Roman" w:cs="Times New Roman"/>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由于三湾片区、绿色建材产业园现均已开发完成，后续维持现状，不在进一步开发建设，因此本次规划重点针对区块一（滨江片区儒溪地块）、区块三（滨江片区旗杆地块）、区块四（滨江片区杨桥地块）进行规划。</w:t>
      </w:r>
    </w:p>
    <w:p>
      <w:pPr>
        <w:pStyle w:val="4"/>
        <w:rPr>
          <w:rFonts w:ascii="Times New Roman" w:hAnsi="Times New Roman" w:cs="Times New Roman"/>
        </w:rPr>
      </w:pPr>
      <w:bookmarkStart w:id="185" w:name="_Toc521835553"/>
      <w:bookmarkStart w:id="186" w:name="_Toc38478405"/>
      <w:bookmarkStart w:id="187" w:name="_Toc40253174"/>
      <w:bookmarkStart w:id="188" w:name="_Toc43837836"/>
      <w:bookmarkStart w:id="189" w:name="_Toc38389577"/>
      <w:bookmarkStart w:id="190" w:name="_Toc49323766"/>
      <w:bookmarkStart w:id="191" w:name="_Toc134088466"/>
      <w:bookmarkStart w:id="192" w:name="_Toc50625269"/>
      <w:bookmarkStart w:id="193" w:name="_Toc82606977"/>
      <w:bookmarkStart w:id="194" w:name="_Toc146091900"/>
      <w:r>
        <w:rPr>
          <w:rFonts w:ascii="Times New Roman" w:hAnsi="Times New Roman" w:cs="Times New Roman"/>
        </w:rPr>
        <w:t>3.2.4 规划人口</w:t>
      </w:r>
      <w:bookmarkEnd w:id="185"/>
      <w:bookmarkEnd w:id="186"/>
      <w:bookmarkEnd w:id="187"/>
      <w:bookmarkEnd w:id="188"/>
      <w:bookmarkEnd w:id="189"/>
      <w:bookmarkEnd w:id="190"/>
      <w:bookmarkEnd w:id="191"/>
      <w:bookmarkEnd w:id="192"/>
      <w:bookmarkEnd w:id="193"/>
      <w:bookmarkEnd w:id="194"/>
    </w:p>
    <w:p>
      <w:pPr>
        <w:spacing w:line="360" w:lineRule="auto"/>
        <w:ind w:firstLine="480" w:firstLineChars="200"/>
        <w:rPr>
          <w:rFonts w:ascii="Times New Roman" w:hAnsi="Times New Roman" w:cs="Times New Roman"/>
        </w:rPr>
      </w:pPr>
      <w:r>
        <w:rPr>
          <w:rFonts w:ascii="Times New Roman" w:hAnsi="Times New Roman" w:cs="Times New Roman"/>
        </w:rPr>
        <w:t>规划区总人口为0.32万人。</w:t>
      </w:r>
    </w:p>
    <w:p>
      <w:pPr>
        <w:pStyle w:val="4"/>
        <w:rPr>
          <w:rFonts w:ascii="Times New Roman" w:hAnsi="Times New Roman" w:cs="Times New Roman"/>
        </w:rPr>
      </w:pPr>
      <w:bookmarkStart w:id="195" w:name="_Toc82606975"/>
      <w:bookmarkStart w:id="196" w:name="_Toc146091901"/>
      <w:bookmarkStart w:id="197" w:name="_Toc134088467"/>
      <w:r>
        <w:rPr>
          <w:rFonts w:ascii="Times New Roman" w:hAnsi="Times New Roman" w:cs="Times New Roman"/>
        </w:rPr>
        <w:t>3.2.5 规划</w:t>
      </w:r>
      <w:bookmarkEnd w:id="195"/>
      <w:r>
        <w:rPr>
          <w:rFonts w:ascii="Times New Roman" w:hAnsi="Times New Roman" w:cs="Times New Roman"/>
        </w:rPr>
        <w:t>布局</w:t>
      </w:r>
      <w:bookmarkEnd w:id="196"/>
      <w:bookmarkEnd w:id="197"/>
    </w:p>
    <w:p>
      <w:pPr>
        <w:spacing w:line="360" w:lineRule="auto"/>
        <w:ind w:firstLine="480" w:firstLineChars="200"/>
        <w:rPr>
          <w:rFonts w:ascii="Times New Roman" w:hAnsi="Times New Roman" w:cs="Times New Roman"/>
        </w:rPr>
      </w:pPr>
      <w:r>
        <w:rPr>
          <w:rFonts w:ascii="Times New Roman" w:hAnsi="Times New Roman" w:cs="Times New Roman"/>
        </w:rPr>
        <w:t>依据高新区所处的区位、现状条件和发展态势，结合临湘市城市总体规划的城市功能要求，确定规划目标为：以产业集群为主要发展模式，以构建循环产业链为主要发展特色，建设成环境友好、设施完备、产业繁荣、特色鲜明、生活舒适、产城一体化的滨江产业新城。按照“产城融合、产业集聚、功能集成、错位发展”的布局原则，合理优化城市功能及空间布局，规划“一区三片五园”的发展格局。</w:t>
      </w:r>
    </w:p>
    <w:p>
      <w:pPr>
        <w:spacing w:line="360" w:lineRule="auto"/>
        <w:ind w:firstLine="480" w:firstLineChars="200"/>
        <w:rPr>
          <w:rFonts w:ascii="Times New Roman" w:hAnsi="Times New Roman" w:cs="Times New Roman"/>
        </w:rPr>
      </w:pPr>
      <w:r>
        <w:rPr>
          <w:rFonts w:ascii="Times New Roman" w:hAnsi="Times New Roman" w:cs="Times New Roman"/>
        </w:rPr>
        <w:t>一区：临湘高新技术产业开发区</w:t>
      </w:r>
    </w:p>
    <w:p>
      <w:pPr>
        <w:spacing w:line="360" w:lineRule="auto"/>
        <w:ind w:firstLine="480" w:firstLineChars="200"/>
        <w:rPr>
          <w:rFonts w:ascii="Times New Roman" w:hAnsi="Times New Roman" w:cs="Times New Roman"/>
        </w:rPr>
      </w:pPr>
      <w:r>
        <w:rPr>
          <w:rFonts w:ascii="Times New Roman" w:hAnsi="Times New Roman" w:cs="Times New Roman"/>
        </w:rPr>
        <w:t>三片：三湾产业片区、滨江产业片区、白云产业片区。</w:t>
      </w:r>
    </w:p>
    <w:p>
      <w:pPr>
        <w:spacing w:line="360" w:lineRule="auto"/>
        <w:ind w:firstLine="480" w:firstLineChars="200"/>
        <w:rPr>
          <w:rFonts w:ascii="Times New Roman" w:hAnsi="Times New Roman" w:cs="Times New Roman"/>
        </w:rPr>
      </w:pPr>
      <w:r>
        <w:rPr>
          <w:rFonts w:ascii="Times New Roman" w:hAnsi="Times New Roman" w:cs="Times New Roman"/>
        </w:rPr>
        <w:t>五园：中非工贸产业园、三湾产业园、绿色建材产业园、绿色化工产业园、加工制造产业园。</w:t>
      </w:r>
    </w:p>
    <w:p>
      <w:pPr>
        <w:spacing w:line="360" w:lineRule="auto"/>
        <w:ind w:firstLine="480" w:firstLineChars="200"/>
        <w:rPr>
          <w:rFonts w:ascii="Times New Roman" w:hAnsi="Times New Roman" w:cs="Times New Roman"/>
        </w:rPr>
        <w:sectPr>
          <w:headerReference r:id="rId8" w:type="first"/>
          <w:footerReference r:id="rId10" w:type="first"/>
          <w:headerReference r:id="rId6" w:type="default"/>
          <w:headerReference r:id="rId7" w:type="even"/>
          <w:footerReference r:id="rId9" w:type="even"/>
          <w:pgSz w:w="11907" w:h="16840"/>
          <w:pgMar w:top="1418" w:right="1418" w:bottom="1418" w:left="1701" w:header="935" w:footer="1021" w:gutter="0"/>
          <w:paperSrc w:first="7" w:other="7"/>
          <w:cols w:space="720" w:num="1"/>
          <w:docGrid w:linePitch="326" w:charSpace="0"/>
        </w:sectPr>
      </w:pPr>
    </w:p>
    <w:p>
      <w:pPr>
        <w:pStyle w:val="6"/>
        <w:rPr>
          <w:rFonts w:ascii="Times New Roman" w:hAnsi="Times New Roman" w:cs="Times New Roman"/>
        </w:rPr>
      </w:pPr>
      <w:r>
        <w:rPr>
          <w:rFonts w:ascii="Times New Roman" w:hAnsi="Times New Roman" w:cs="Times New Roman"/>
        </w:rPr>
        <w:t>表3.2-1  规划范围前后对比情况一览表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1166"/>
        <w:gridCol w:w="2682"/>
        <w:gridCol w:w="1516"/>
        <w:gridCol w:w="1957"/>
        <w:gridCol w:w="2835"/>
        <w:gridCol w:w="1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名称</w:t>
            </w:r>
          </w:p>
        </w:tc>
        <w:tc>
          <w:tcPr>
            <w:tcW w:w="410" w:type="pct"/>
            <w:vAlign w:val="center"/>
          </w:tcPr>
          <w:p>
            <w:pPr>
              <w:pStyle w:val="63"/>
            </w:pPr>
            <w:r>
              <w:t>原</w:t>
            </w:r>
            <w:r>
              <w:rPr>
                <w:rFonts w:hint="eastAsia"/>
              </w:rPr>
              <w:t>核准</w:t>
            </w:r>
            <w:r>
              <w:t>面积</w:t>
            </w:r>
          </w:p>
        </w:tc>
        <w:tc>
          <w:tcPr>
            <w:tcW w:w="943" w:type="pct"/>
            <w:vAlign w:val="center"/>
          </w:tcPr>
          <w:p>
            <w:pPr>
              <w:pStyle w:val="63"/>
            </w:pPr>
            <w:r>
              <w:t>原</w:t>
            </w:r>
            <w:r>
              <w:rPr>
                <w:rFonts w:hint="eastAsia"/>
              </w:rPr>
              <w:t>核准</w:t>
            </w:r>
            <w:r>
              <w:t>范围</w:t>
            </w:r>
          </w:p>
        </w:tc>
        <w:tc>
          <w:tcPr>
            <w:tcW w:w="533" w:type="pct"/>
            <w:vAlign w:val="center"/>
          </w:tcPr>
          <w:p>
            <w:pPr>
              <w:pStyle w:val="63"/>
            </w:pPr>
            <w:r>
              <w:t>调整情况</w:t>
            </w:r>
          </w:p>
        </w:tc>
        <w:tc>
          <w:tcPr>
            <w:tcW w:w="688" w:type="pct"/>
            <w:vAlign w:val="center"/>
          </w:tcPr>
          <w:p>
            <w:pPr>
              <w:pStyle w:val="63"/>
            </w:pPr>
            <w:r>
              <w:t>调整后规划面积</w:t>
            </w:r>
          </w:p>
        </w:tc>
        <w:tc>
          <w:tcPr>
            <w:tcW w:w="997" w:type="pct"/>
            <w:vAlign w:val="center"/>
          </w:tcPr>
          <w:p>
            <w:pPr>
              <w:pStyle w:val="63"/>
            </w:pPr>
            <w:r>
              <w:t>调整后规划范围</w:t>
            </w:r>
          </w:p>
        </w:tc>
        <w:tc>
          <w:tcPr>
            <w:tcW w:w="576" w:type="pct"/>
            <w:vAlign w:val="center"/>
          </w:tcPr>
          <w:p>
            <w:pPr>
              <w:pStyle w:val="63"/>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区块一</w:t>
            </w:r>
          </w:p>
          <w:p>
            <w:pPr>
              <w:pStyle w:val="63"/>
              <w:rPr>
                <w:szCs w:val="24"/>
              </w:rPr>
            </w:pPr>
            <w:r>
              <w:t>滨江片区</w:t>
            </w:r>
            <w:r>
              <w:rPr>
                <w:szCs w:val="24"/>
              </w:rPr>
              <w:t>儒溪地块</w:t>
            </w:r>
          </w:p>
          <w:p>
            <w:pPr>
              <w:pStyle w:val="63"/>
            </w:pPr>
            <w:r>
              <w:rPr>
                <w:szCs w:val="24"/>
              </w:rPr>
              <w:t>（滨江片区中非工贸产业园）</w:t>
            </w:r>
          </w:p>
        </w:tc>
        <w:tc>
          <w:tcPr>
            <w:tcW w:w="410" w:type="pct"/>
            <w:vAlign w:val="center"/>
          </w:tcPr>
          <w:p>
            <w:pPr>
              <w:pStyle w:val="63"/>
            </w:pPr>
            <w:r>
              <w:t>324.74公顷</w:t>
            </w:r>
          </w:p>
        </w:tc>
        <w:tc>
          <w:tcPr>
            <w:tcW w:w="943" w:type="pct"/>
            <w:vAlign w:val="center"/>
          </w:tcPr>
          <w:p>
            <w:pPr>
              <w:pStyle w:val="63"/>
            </w:pPr>
            <w:r>
              <w:t>东至潇雨路，南至S208省道支线，西至长江防洪堤，北至洋西路</w:t>
            </w:r>
          </w:p>
        </w:tc>
        <w:tc>
          <w:tcPr>
            <w:tcW w:w="533" w:type="pct"/>
            <w:vAlign w:val="center"/>
          </w:tcPr>
          <w:p>
            <w:pPr>
              <w:pStyle w:val="63"/>
            </w:pPr>
            <w:r>
              <w:t>调出81.35公顷</w:t>
            </w:r>
          </w:p>
        </w:tc>
        <w:tc>
          <w:tcPr>
            <w:tcW w:w="688" w:type="pct"/>
            <w:vAlign w:val="center"/>
          </w:tcPr>
          <w:p>
            <w:pPr>
              <w:pStyle w:val="63"/>
            </w:pPr>
            <w:r>
              <w:t>243.39公顷</w:t>
            </w:r>
          </w:p>
        </w:tc>
        <w:tc>
          <w:tcPr>
            <w:tcW w:w="997" w:type="pct"/>
            <w:vAlign w:val="center"/>
          </w:tcPr>
          <w:p>
            <w:pPr>
              <w:pStyle w:val="63"/>
            </w:pPr>
            <w:r>
              <w:t>东至潇雨路，南 S208 省道支线，西至长江防洪堤，北至老季口北侧</w:t>
            </w:r>
          </w:p>
        </w:tc>
        <w:tc>
          <w:tcPr>
            <w:tcW w:w="576" w:type="pct"/>
            <w:vAlign w:val="center"/>
          </w:tcPr>
          <w:p>
            <w:pPr>
              <w:pStyle w:val="63"/>
            </w:pPr>
            <w:r>
              <w:rPr>
                <w:rFonts w:hint="eastAsia"/>
              </w:rPr>
              <w:t>重点开发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区块二</w:t>
            </w:r>
          </w:p>
          <w:p>
            <w:pPr>
              <w:pStyle w:val="63"/>
              <w:rPr>
                <w:szCs w:val="24"/>
              </w:rPr>
            </w:pPr>
            <w:r>
              <w:t>滨江片区</w:t>
            </w:r>
            <w:r>
              <w:rPr>
                <w:szCs w:val="24"/>
              </w:rPr>
              <w:t>鸭栏地块</w:t>
            </w:r>
          </w:p>
        </w:tc>
        <w:tc>
          <w:tcPr>
            <w:tcW w:w="410" w:type="pct"/>
            <w:vAlign w:val="center"/>
          </w:tcPr>
          <w:p>
            <w:pPr>
              <w:pStyle w:val="63"/>
            </w:pPr>
            <w:r>
              <w:t>35.32公顷</w:t>
            </w:r>
          </w:p>
        </w:tc>
        <w:tc>
          <w:tcPr>
            <w:tcW w:w="943" w:type="pct"/>
            <w:vAlign w:val="center"/>
          </w:tcPr>
          <w:p>
            <w:pPr>
              <w:pStyle w:val="63"/>
            </w:pPr>
            <w:r>
              <w:t>东至S208省道，南至儒溪大道，西至长江，北至鸭兰村</w:t>
            </w:r>
          </w:p>
        </w:tc>
        <w:tc>
          <w:tcPr>
            <w:tcW w:w="2218" w:type="pct"/>
            <w:gridSpan w:val="3"/>
            <w:vAlign w:val="center"/>
          </w:tcPr>
          <w:p>
            <w:pPr>
              <w:pStyle w:val="63"/>
            </w:pPr>
            <w:r>
              <w:t>均不在城镇开发边界范围内，全部调出</w:t>
            </w:r>
          </w:p>
        </w:tc>
        <w:tc>
          <w:tcPr>
            <w:tcW w:w="576" w:type="pct"/>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区块三</w:t>
            </w:r>
          </w:p>
          <w:p>
            <w:pPr>
              <w:pStyle w:val="63"/>
              <w:rPr>
                <w:szCs w:val="24"/>
              </w:rPr>
            </w:pPr>
            <w:r>
              <w:t>滨江片区</w:t>
            </w:r>
            <w:r>
              <w:rPr>
                <w:szCs w:val="24"/>
              </w:rPr>
              <w:t>旗杆地块</w:t>
            </w:r>
          </w:p>
          <w:p>
            <w:pPr>
              <w:pStyle w:val="63"/>
            </w:pPr>
            <w:r>
              <w:rPr>
                <w:szCs w:val="24"/>
              </w:rPr>
              <w:t>（滨江片区加工制造产业园）</w:t>
            </w:r>
          </w:p>
        </w:tc>
        <w:tc>
          <w:tcPr>
            <w:tcW w:w="410" w:type="pct"/>
            <w:vAlign w:val="center"/>
          </w:tcPr>
          <w:p>
            <w:pPr>
              <w:pStyle w:val="63"/>
            </w:pPr>
            <w:r>
              <w:t>27.12公顷</w:t>
            </w:r>
          </w:p>
        </w:tc>
        <w:tc>
          <w:tcPr>
            <w:tcW w:w="943" w:type="pct"/>
            <w:vAlign w:val="center"/>
          </w:tcPr>
          <w:p>
            <w:pPr>
              <w:pStyle w:val="63"/>
            </w:pPr>
            <w:r>
              <w:t>东至民富路，南至红南路，西至临鸭公路文家嘴，北至陆城镇</w:t>
            </w:r>
          </w:p>
        </w:tc>
        <w:tc>
          <w:tcPr>
            <w:tcW w:w="533" w:type="pct"/>
            <w:vAlign w:val="center"/>
          </w:tcPr>
          <w:p>
            <w:pPr>
              <w:pStyle w:val="63"/>
            </w:pPr>
            <w:r>
              <w:t>调入6.78公顷</w:t>
            </w:r>
          </w:p>
        </w:tc>
        <w:tc>
          <w:tcPr>
            <w:tcW w:w="688" w:type="pct"/>
            <w:vAlign w:val="center"/>
          </w:tcPr>
          <w:p>
            <w:pPr>
              <w:pStyle w:val="63"/>
            </w:pPr>
            <w:r>
              <w:t>33.90公顷</w:t>
            </w:r>
          </w:p>
        </w:tc>
        <w:tc>
          <w:tcPr>
            <w:tcW w:w="997" w:type="pct"/>
            <w:vAlign w:val="center"/>
          </w:tcPr>
          <w:p>
            <w:pPr>
              <w:pStyle w:val="63"/>
            </w:pPr>
            <w:r>
              <w:t>东至长富路，南至横二路、建设路，西至洋溪湖，北至横一西路、临江大道</w:t>
            </w:r>
          </w:p>
        </w:tc>
        <w:tc>
          <w:tcPr>
            <w:tcW w:w="576" w:type="pct"/>
            <w:vAlign w:val="center"/>
          </w:tcPr>
          <w:p>
            <w:pPr>
              <w:pStyle w:val="63"/>
            </w:pPr>
            <w:r>
              <w:rPr>
                <w:rFonts w:hint="eastAsia"/>
              </w:rPr>
              <w:t>重点开发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区块四</w:t>
            </w:r>
          </w:p>
          <w:p>
            <w:pPr>
              <w:pStyle w:val="63"/>
              <w:rPr>
                <w:szCs w:val="24"/>
              </w:rPr>
            </w:pPr>
            <w:r>
              <w:t>滨江片区</w:t>
            </w:r>
            <w:r>
              <w:rPr>
                <w:szCs w:val="24"/>
              </w:rPr>
              <w:t>杨桥地块</w:t>
            </w:r>
          </w:p>
          <w:p>
            <w:pPr>
              <w:pStyle w:val="63"/>
            </w:pPr>
            <w:r>
              <w:rPr>
                <w:szCs w:val="24"/>
              </w:rPr>
              <w:t>（滨江片区绿色化工产业园）</w:t>
            </w:r>
          </w:p>
        </w:tc>
        <w:tc>
          <w:tcPr>
            <w:tcW w:w="410" w:type="pct"/>
            <w:vAlign w:val="center"/>
          </w:tcPr>
          <w:p>
            <w:pPr>
              <w:pStyle w:val="63"/>
            </w:pPr>
            <w:r>
              <w:t>159.99公顷</w:t>
            </w:r>
          </w:p>
        </w:tc>
        <w:tc>
          <w:tcPr>
            <w:tcW w:w="943" w:type="pct"/>
            <w:vAlign w:val="center"/>
          </w:tcPr>
          <w:p>
            <w:pPr>
              <w:pStyle w:val="63"/>
            </w:pPr>
            <w:r>
              <w:t>东至杨桥村方家嘴组，南至杨桥村树野组，西至谢家坳，北至洋溪村燕窝组以南200米处</w:t>
            </w:r>
          </w:p>
        </w:tc>
        <w:tc>
          <w:tcPr>
            <w:tcW w:w="533" w:type="pct"/>
            <w:vAlign w:val="center"/>
          </w:tcPr>
          <w:p>
            <w:pPr>
              <w:pStyle w:val="63"/>
            </w:pPr>
            <w:r>
              <w:t>调出0.51公顷</w:t>
            </w:r>
          </w:p>
          <w:p>
            <w:pPr>
              <w:pStyle w:val="63"/>
            </w:pPr>
            <w:r>
              <w:t>调入363.46公项</w:t>
            </w:r>
          </w:p>
        </w:tc>
        <w:tc>
          <w:tcPr>
            <w:tcW w:w="688" w:type="pct"/>
            <w:vAlign w:val="center"/>
          </w:tcPr>
          <w:p>
            <w:pPr>
              <w:pStyle w:val="63"/>
            </w:pPr>
            <w:r>
              <w:t>522.94公顷</w:t>
            </w:r>
          </w:p>
        </w:tc>
        <w:tc>
          <w:tcPr>
            <w:tcW w:w="997" w:type="pct"/>
            <w:vAlign w:val="center"/>
          </w:tcPr>
          <w:p>
            <w:pPr>
              <w:pStyle w:val="63"/>
            </w:pPr>
            <w:r>
              <w:t>东至临江大道，南至洋溪村湾里，西至洋溪村荷叶坡，北至刘家大屋</w:t>
            </w:r>
          </w:p>
        </w:tc>
        <w:tc>
          <w:tcPr>
            <w:tcW w:w="576" w:type="pct"/>
            <w:vAlign w:val="center"/>
          </w:tcPr>
          <w:p>
            <w:pPr>
              <w:pStyle w:val="63"/>
            </w:pPr>
            <w:r>
              <w:rPr>
                <w:rFonts w:hint="eastAsia"/>
              </w:rPr>
              <w:t>重点开发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区块五</w:t>
            </w:r>
          </w:p>
          <w:p>
            <w:pPr>
              <w:pStyle w:val="63"/>
            </w:pPr>
            <w:r>
              <w:t>（三湾产业园）</w:t>
            </w:r>
          </w:p>
        </w:tc>
        <w:tc>
          <w:tcPr>
            <w:tcW w:w="410" w:type="pct"/>
            <w:vAlign w:val="center"/>
          </w:tcPr>
          <w:p>
            <w:pPr>
              <w:pStyle w:val="63"/>
            </w:pPr>
            <w:r>
              <w:t>193.29公顷</w:t>
            </w:r>
          </w:p>
        </w:tc>
        <w:tc>
          <w:tcPr>
            <w:tcW w:w="943" w:type="pct"/>
            <w:vAlign w:val="center"/>
          </w:tcPr>
          <w:p>
            <w:pPr>
              <w:pStyle w:val="63"/>
            </w:pPr>
            <w:r>
              <w:t>东至京港澳高速公路，南至大岭村赵坂组、王禾村港下组，西至王禾村郭陈家水库，北至白云湖公园</w:t>
            </w:r>
          </w:p>
        </w:tc>
        <w:tc>
          <w:tcPr>
            <w:tcW w:w="533" w:type="pct"/>
            <w:vAlign w:val="center"/>
          </w:tcPr>
          <w:p>
            <w:pPr>
              <w:pStyle w:val="63"/>
            </w:pPr>
            <w:r>
              <w:t>调出34.96公顷</w:t>
            </w:r>
          </w:p>
        </w:tc>
        <w:tc>
          <w:tcPr>
            <w:tcW w:w="688" w:type="pct"/>
            <w:vAlign w:val="center"/>
          </w:tcPr>
          <w:p>
            <w:pPr>
              <w:pStyle w:val="63"/>
            </w:pPr>
            <w:r>
              <w:t>158.33公顷</w:t>
            </w:r>
          </w:p>
        </w:tc>
        <w:tc>
          <w:tcPr>
            <w:tcW w:w="997" w:type="pct"/>
            <w:vAlign w:val="center"/>
          </w:tcPr>
          <w:p>
            <w:pPr>
              <w:pStyle w:val="63"/>
            </w:pPr>
            <w:r>
              <w:t>东至京港澳高速公路以西40米，南至大岭村全京排，王禾村港下组,西至王禾村郭陈京水库，北至临桃线</w:t>
            </w:r>
          </w:p>
        </w:tc>
        <w:tc>
          <w:tcPr>
            <w:tcW w:w="576" w:type="pct"/>
            <w:vAlign w:val="center"/>
          </w:tcPr>
          <w:p>
            <w:pPr>
              <w:pStyle w:val="63"/>
            </w:pPr>
            <w:r>
              <w:rPr>
                <w:rFonts w:hint="eastAsia"/>
              </w:rPr>
              <w:t>已开发完成，后续不在开发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3" w:type="pct"/>
            <w:vAlign w:val="center"/>
          </w:tcPr>
          <w:p>
            <w:pPr>
              <w:pStyle w:val="63"/>
            </w:pPr>
            <w:r>
              <w:t>区块六</w:t>
            </w:r>
          </w:p>
          <w:p>
            <w:pPr>
              <w:pStyle w:val="63"/>
            </w:pPr>
            <w:r>
              <w:t>（绿色建材产业园）</w:t>
            </w:r>
          </w:p>
        </w:tc>
        <w:tc>
          <w:tcPr>
            <w:tcW w:w="410" w:type="pct"/>
            <w:vAlign w:val="center"/>
          </w:tcPr>
          <w:p>
            <w:pPr>
              <w:pStyle w:val="63"/>
            </w:pPr>
            <w:r>
              <w:t>33.74公顷</w:t>
            </w:r>
          </w:p>
        </w:tc>
        <w:tc>
          <w:tcPr>
            <w:tcW w:w="943" w:type="pct"/>
            <w:vAlign w:val="center"/>
          </w:tcPr>
          <w:p>
            <w:pPr>
              <w:pStyle w:val="63"/>
            </w:pPr>
            <w:r>
              <w:t>东临金叶众望，南至京广铁路以北900米处，西至灰山村张家组，北至菖溪湾</w:t>
            </w:r>
          </w:p>
        </w:tc>
        <w:tc>
          <w:tcPr>
            <w:tcW w:w="533" w:type="pct"/>
            <w:vAlign w:val="center"/>
          </w:tcPr>
          <w:p>
            <w:pPr>
              <w:pStyle w:val="63"/>
            </w:pPr>
            <w:r>
              <w:t>维持不变</w:t>
            </w:r>
          </w:p>
        </w:tc>
        <w:tc>
          <w:tcPr>
            <w:tcW w:w="688" w:type="pct"/>
            <w:vAlign w:val="center"/>
          </w:tcPr>
          <w:p>
            <w:pPr>
              <w:pStyle w:val="63"/>
            </w:pPr>
            <w:r>
              <w:t>33.74公顷</w:t>
            </w:r>
          </w:p>
        </w:tc>
        <w:tc>
          <w:tcPr>
            <w:tcW w:w="997" w:type="pct"/>
            <w:vAlign w:val="center"/>
          </w:tcPr>
          <w:p>
            <w:pPr>
              <w:pStyle w:val="63"/>
            </w:pPr>
            <w:r>
              <w:t>东临金叶众望，南至京广铁路以北900米处，西至灰山村张家组，北至菖溪湾</w:t>
            </w:r>
          </w:p>
        </w:tc>
        <w:tc>
          <w:tcPr>
            <w:tcW w:w="576" w:type="pct"/>
            <w:vAlign w:val="center"/>
          </w:tcPr>
          <w:p>
            <w:pPr>
              <w:pStyle w:val="63"/>
            </w:pPr>
            <w:r>
              <w:rPr>
                <w:rFonts w:hint="eastAsia"/>
              </w:rPr>
              <w:t>已开发完成，后续不在开发</w:t>
            </w:r>
          </w:p>
        </w:tc>
      </w:tr>
    </w:tbl>
    <w:p>
      <w:pPr>
        <w:spacing w:line="360" w:lineRule="auto"/>
        <w:ind w:firstLine="480" w:firstLineChars="200"/>
        <w:rPr>
          <w:rFonts w:ascii="Times New Roman" w:hAnsi="Times New Roman" w:cs="Times New Roman"/>
        </w:rPr>
        <w:sectPr>
          <w:pgSz w:w="16840" w:h="11907" w:orient="landscape"/>
          <w:pgMar w:top="1418" w:right="1418" w:bottom="1701" w:left="1418" w:header="935" w:footer="1021" w:gutter="0"/>
          <w:paperSrc w:first="7" w:other="7"/>
          <w:cols w:space="720" w:num="1"/>
          <w:docGrid w:linePitch="326" w:charSpace="0"/>
        </w:sectPr>
      </w:pPr>
    </w:p>
    <w:p>
      <w:pPr>
        <w:pStyle w:val="4"/>
        <w:rPr>
          <w:rFonts w:ascii="Times New Roman" w:hAnsi="Times New Roman" w:cs="Times New Roman"/>
        </w:rPr>
      </w:pPr>
      <w:bookmarkStart w:id="198" w:name="_Toc38389576"/>
      <w:bookmarkStart w:id="199" w:name="_Toc43837835"/>
      <w:bookmarkStart w:id="200" w:name="_Toc40253173"/>
      <w:bookmarkStart w:id="201" w:name="_Toc38478404"/>
      <w:bookmarkStart w:id="202" w:name="_Toc49323765"/>
      <w:bookmarkStart w:id="203" w:name="_Toc50625268"/>
      <w:bookmarkStart w:id="204" w:name="_Toc521835552"/>
      <w:bookmarkStart w:id="205" w:name="_Toc82606974"/>
      <w:bookmarkStart w:id="206" w:name="_Toc134088468"/>
      <w:bookmarkStart w:id="207" w:name="_Toc146091902"/>
      <w:bookmarkStart w:id="208" w:name="_Toc40253175"/>
      <w:bookmarkStart w:id="209" w:name="_Toc49323767"/>
      <w:bookmarkStart w:id="210" w:name="_Toc50625270"/>
      <w:bookmarkStart w:id="211" w:name="_Toc38478406"/>
      <w:bookmarkStart w:id="212" w:name="_Toc38389578"/>
      <w:bookmarkStart w:id="213" w:name="_Toc43837837"/>
      <w:bookmarkStart w:id="214" w:name="_Toc521835554"/>
      <w:bookmarkStart w:id="215" w:name="_Toc82606978"/>
      <w:r>
        <w:rPr>
          <w:rFonts w:ascii="Times New Roman" w:hAnsi="Times New Roman" w:cs="Times New Roman"/>
        </w:rPr>
        <w:t>3.2.</w:t>
      </w:r>
      <w:bookmarkEnd w:id="198"/>
      <w:bookmarkEnd w:id="199"/>
      <w:bookmarkEnd w:id="200"/>
      <w:bookmarkEnd w:id="201"/>
      <w:bookmarkEnd w:id="202"/>
      <w:bookmarkEnd w:id="203"/>
      <w:bookmarkEnd w:id="204"/>
      <w:r>
        <w:rPr>
          <w:rFonts w:ascii="Times New Roman" w:hAnsi="Times New Roman" w:cs="Times New Roman"/>
        </w:rPr>
        <w:t>6 产业定位</w:t>
      </w:r>
      <w:bookmarkEnd w:id="205"/>
      <w:r>
        <w:rPr>
          <w:rFonts w:ascii="Times New Roman" w:hAnsi="Times New Roman" w:cs="Times New Roman"/>
        </w:rPr>
        <w:t>及产业布局</w:t>
      </w:r>
      <w:bookmarkEnd w:id="206"/>
      <w:bookmarkEnd w:id="207"/>
    </w:p>
    <w:p>
      <w:pPr>
        <w:pStyle w:val="5"/>
        <w:ind w:firstLine="482"/>
        <w:rPr>
          <w:rFonts w:ascii="Times New Roman" w:hAnsi="Times New Roman" w:cs="Times New Roman" w:eastAsiaTheme="minorEastAsia"/>
        </w:rPr>
      </w:pPr>
      <w:r>
        <w:rPr>
          <w:rFonts w:ascii="Times New Roman" w:hAnsi="Times New Roman" w:cs="Times New Roman" w:eastAsiaTheme="minorEastAsia"/>
        </w:rPr>
        <w:t>3.2.6.1 产业定位</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w:t>
      </w:r>
      <w:r>
        <w:rPr>
          <w:rFonts w:hint="eastAsia" w:ascii="Times New Roman" w:hAnsi="Times New Roman" w:cs="Times New Roman"/>
        </w:rPr>
        <w:t>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p>
      <w:pPr>
        <w:pStyle w:val="5"/>
        <w:ind w:firstLine="482"/>
        <w:rPr>
          <w:rFonts w:ascii="Times New Roman" w:hAnsi="Times New Roman" w:cs="Times New Roman" w:eastAsiaTheme="minorEastAsia"/>
        </w:rPr>
      </w:pPr>
      <w:r>
        <w:rPr>
          <w:rFonts w:ascii="Times New Roman" w:hAnsi="Times New Roman" w:cs="Times New Roman" w:eastAsiaTheme="minorEastAsia"/>
        </w:rPr>
        <w:t>3.1.6.2 产业布局</w:t>
      </w:r>
    </w:p>
    <w:p>
      <w:pPr>
        <w:spacing w:line="360" w:lineRule="auto"/>
        <w:ind w:firstLine="480" w:firstLineChars="200"/>
        <w:rPr>
          <w:rFonts w:ascii="Times New Roman" w:hAnsi="Times New Roman" w:cs="Times New Roman"/>
        </w:rPr>
      </w:pPr>
      <w:r>
        <w:rPr>
          <w:rFonts w:ascii="Times New Roman" w:hAnsi="Times New Roman" w:cs="Times New Roman"/>
        </w:rPr>
        <w:t>中非工贸产业园：该园位于滨江片区，规划用地总面积约243.39公顷。中非工贸产业园位于临湘高新区滨江片区儒溪S208公路南侧。项目一期规划用地面积600亩，重点发展加工制造和对非贸易，2020年6月底开工建设，由岳阳观盛投资公司作为投资主体，规划建设保税仓储物流中心、林木产品加工基地、食用油生产加工基地、牛羊肉（海鲜）加工基地、中非现货易货交易交割中心。目前正加快推进二期项目建设，在化工退出地块重点发展工业尾矿资源再利用。项目全面建成后，形成装配式预制构件和高端微晶石板材等新型材料加工制造基地。</w:t>
      </w:r>
    </w:p>
    <w:p>
      <w:pPr>
        <w:spacing w:line="360" w:lineRule="auto"/>
        <w:ind w:firstLine="480" w:firstLineChars="200"/>
        <w:rPr>
          <w:rFonts w:ascii="Times New Roman" w:hAnsi="Times New Roman" w:cs="Times New Roman"/>
        </w:rPr>
      </w:pPr>
      <w:r>
        <w:rPr>
          <w:rFonts w:ascii="Times New Roman" w:hAnsi="Times New Roman" w:cs="Times New Roman"/>
        </w:rPr>
        <w:t>绿色化工产业园：该园位于滨江片区，规划用地总面积约 522.94 公顷，北侧和东侧至南干渠和撇洪渠，南抵规划合园路，西至规划望舒路及规划货运铁路。依托紧邻长岭炼化、巴陵石化和城陵矶新港区的地理优势，抓住岳阳大乙烯项目建设契机，主动谋划融入岳阳石化深加工及化工新材料产业链，围绕绿色精细化工、先进化工新材料、生物医药等重点领域，以现有产业链补链强链延链、新兴产业培育壮大为思路，实现产品链的纵向延伸和横向耦合，将园区建设成为规模经济、技术先进、国内领先的绿色化工园区，为将岳阳打造成为引领区域创新的世界一流“高端合成材料生产基地”贡献一份力量。</w:t>
      </w:r>
    </w:p>
    <w:p>
      <w:pPr>
        <w:spacing w:line="360" w:lineRule="auto"/>
        <w:ind w:firstLine="480" w:firstLineChars="200"/>
        <w:rPr>
          <w:rFonts w:ascii="Times New Roman" w:hAnsi="Times New Roman" w:cs="Times New Roman"/>
        </w:rPr>
      </w:pPr>
      <w:r>
        <w:rPr>
          <w:rFonts w:ascii="Times New Roman" w:hAnsi="Times New Roman" w:cs="Times New Roman"/>
        </w:rPr>
        <w:t>加工制造产业园：该园位于滨江片区，规划用地总面积约 33.90 公顷。园区周边主要以生活配套用地及已建成电子信息化厂房为主，区内综合服务业依托小城镇建设，推动生活性服务业和生产性服务业的配套发展。未来将依托周边产业发展，根据实际产业需求，做配套加工服务。</w:t>
      </w:r>
    </w:p>
    <w:p>
      <w:pPr>
        <w:spacing w:line="360" w:lineRule="auto"/>
        <w:ind w:firstLine="480" w:firstLineChars="200"/>
        <w:rPr>
          <w:rFonts w:ascii="Times New Roman" w:hAnsi="Times New Roman" w:cs="Times New Roman"/>
        </w:rPr>
      </w:pPr>
      <w:r>
        <w:rPr>
          <w:rFonts w:ascii="Times New Roman" w:hAnsi="Times New Roman" w:cs="Times New Roman"/>
        </w:rPr>
        <w:t>三湾产业园：该园区位于三湾片区，园区规划面积158.33公顷，重点建设浮标特色产业园、绿色建材产业园项目。重点推动浮标产业向三湾集聚发展，实现专业化、全球化、规模化发展，推动浮标产业集聚发展。积极推进“中国浮标之乡”申报工作，打造“临湘浮标”地理标志证明商标品牌，利用“中国浮标之乡”和地理标志证明做优、做特临湘浮标，推动浮标产业品牌发展，逐步打造成为“世界浮标之乡”。建材产业按照“优化、提升、清洁”的总体发展思路，以推动园区建材产业结构调整实现转型升级为主攻方向，实施三湾工业园水泥、石材、陶瓷等建材生产线搬迁升级技术改造。</w:t>
      </w:r>
    </w:p>
    <w:p>
      <w:pPr>
        <w:spacing w:line="360" w:lineRule="auto"/>
        <w:ind w:firstLine="480" w:firstLineChars="200"/>
        <w:rPr>
          <w:rFonts w:ascii="Times New Roman" w:hAnsi="Times New Roman" w:cs="Times New Roman"/>
        </w:rPr>
      </w:pPr>
      <w:r>
        <w:rPr>
          <w:rFonts w:ascii="Times New Roman" w:hAnsi="Times New Roman" w:cs="Times New Roman"/>
        </w:rPr>
        <w:t>绿色建材产业园：该园区位于白云片区，园区规划面积33.74公顷。园区内先仅有海螺水泥一家企业，未来园区将以临湘海螺水泥有限责任公司为主导，对现有废弃资源的合理利用，谋划布局水泥窑综合利用一般固废技术改造项目。</w:t>
      </w:r>
    </w:p>
    <w:p>
      <w:pPr>
        <w:pStyle w:val="4"/>
        <w:rPr>
          <w:rFonts w:ascii="Times New Roman" w:hAnsi="Times New Roman" w:cs="Times New Roman"/>
        </w:rPr>
      </w:pPr>
      <w:bookmarkStart w:id="216" w:name="_Toc134088469"/>
      <w:bookmarkStart w:id="217" w:name="_Toc146091903"/>
      <w:r>
        <w:rPr>
          <w:rFonts w:ascii="Times New Roman" w:hAnsi="Times New Roman" w:cs="Times New Roman"/>
        </w:rPr>
        <w:t>3.2.7</w:t>
      </w:r>
      <w:bookmarkEnd w:id="208"/>
      <w:bookmarkEnd w:id="209"/>
      <w:bookmarkEnd w:id="210"/>
      <w:bookmarkEnd w:id="211"/>
      <w:bookmarkEnd w:id="212"/>
      <w:bookmarkEnd w:id="213"/>
      <w:bookmarkEnd w:id="214"/>
      <w:bookmarkStart w:id="218" w:name="_Toc43837839"/>
      <w:bookmarkStart w:id="219" w:name="_Toc521835557"/>
      <w:bookmarkStart w:id="220" w:name="_Toc50625272"/>
      <w:bookmarkStart w:id="221" w:name="_Toc49323769"/>
      <w:r>
        <w:rPr>
          <w:rFonts w:ascii="Times New Roman" w:hAnsi="Times New Roman" w:cs="Times New Roman"/>
        </w:rPr>
        <w:t xml:space="preserve"> 土地利用规划</w:t>
      </w:r>
      <w:bookmarkEnd w:id="215"/>
      <w:bookmarkEnd w:id="216"/>
      <w:bookmarkEnd w:id="217"/>
      <w:bookmarkEnd w:id="218"/>
      <w:bookmarkEnd w:id="219"/>
      <w:bookmarkEnd w:id="220"/>
      <w:bookmarkEnd w:id="221"/>
    </w:p>
    <w:p>
      <w:pPr>
        <w:spacing w:line="360" w:lineRule="auto"/>
        <w:ind w:firstLine="480" w:firstLineChars="200"/>
        <w:rPr>
          <w:rFonts w:ascii="Times New Roman" w:hAnsi="Times New Roman" w:cs="Times New Roman"/>
        </w:rPr>
      </w:pPr>
      <w:r>
        <w:rPr>
          <w:rFonts w:ascii="Times New Roman" w:hAnsi="Times New Roman" w:cs="Times New Roman"/>
        </w:rPr>
        <w:t>整个开发区总面积992.30公顷，均为建设用地，无非建设用地。</w:t>
      </w:r>
    </w:p>
    <w:p>
      <w:pPr>
        <w:pStyle w:val="6"/>
        <w:rPr>
          <w:rFonts w:ascii="Times New Roman" w:hAnsi="Times New Roman" w:cs="Times New Roman"/>
        </w:rPr>
      </w:pPr>
      <w:r>
        <w:rPr>
          <w:rFonts w:ascii="Times New Roman" w:hAnsi="Times New Roman" w:cs="Times New Roman"/>
        </w:rPr>
        <w:t>表3.2-2  园区建设用地统计表</w:t>
      </w:r>
    </w:p>
    <w:tbl>
      <w:tblPr>
        <w:tblStyle w:val="36"/>
        <w:tblW w:w="5000" w:type="pct"/>
        <w:tblInd w:w="0" w:type="dxa"/>
        <w:tblLayout w:type="autofit"/>
        <w:tblCellMar>
          <w:top w:w="0" w:type="dxa"/>
          <w:left w:w="108" w:type="dxa"/>
          <w:bottom w:w="0" w:type="dxa"/>
          <w:right w:w="108" w:type="dxa"/>
        </w:tblCellMar>
      </w:tblPr>
      <w:tblGrid>
        <w:gridCol w:w="563"/>
        <w:gridCol w:w="606"/>
        <w:gridCol w:w="754"/>
        <w:gridCol w:w="2810"/>
        <w:gridCol w:w="1688"/>
        <w:gridCol w:w="2583"/>
      </w:tblGrid>
      <w:tr>
        <w:tblPrEx>
          <w:tblCellMar>
            <w:top w:w="0" w:type="dxa"/>
            <w:left w:w="108" w:type="dxa"/>
            <w:bottom w:w="0" w:type="dxa"/>
            <w:right w:w="108" w:type="dxa"/>
          </w:tblCellMar>
        </w:tblPrEx>
        <w:trPr>
          <w:trHeight w:val="397" w:hRule="atLeast"/>
          <w:tblHeader/>
        </w:trPr>
        <w:tc>
          <w:tcPr>
            <w:tcW w:w="1177" w:type="pct"/>
            <w:gridSpan w:val="3"/>
            <w:tcBorders>
              <w:top w:val="single" w:color="auto" w:sz="12"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用地代码</w:t>
            </w:r>
          </w:p>
        </w:tc>
        <w:tc>
          <w:tcPr>
            <w:tcW w:w="1596" w:type="pct"/>
            <w:vMerge w:val="restart"/>
            <w:tcBorders>
              <w:top w:val="single" w:color="auto" w:sz="12" w:space="0"/>
              <w:left w:val="single" w:color="000000" w:sz="4" w:space="0"/>
              <w:bottom w:val="single" w:color="000000" w:sz="4" w:space="0"/>
              <w:right w:val="single" w:color="auto" w:sz="4" w:space="0"/>
            </w:tcBorders>
            <w:shd w:val="clear" w:color="auto" w:fill="auto"/>
            <w:vAlign w:val="center"/>
          </w:tcPr>
          <w:p>
            <w:pPr>
              <w:pStyle w:val="63"/>
              <w:rPr>
                <w:sz w:val="20"/>
                <w:szCs w:val="20"/>
              </w:rPr>
            </w:pPr>
            <w:r>
              <w:rPr>
                <w:sz w:val="20"/>
                <w:szCs w:val="20"/>
                <w:lang w:bidi="ar"/>
              </w:rPr>
              <w:t>用地名称</w:t>
            </w:r>
          </w:p>
        </w:tc>
        <w:tc>
          <w:tcPr>
            <w:tcW w:w="973" w:type="pct"/>
            <w:vMerge w:val="restart"/>
            <w:tcBorders>
              <w:top w:val="single" w:color="auto" w:sz="12" w:space="0"/>
              <w:left w:val="single" w:color="auto" w:sz="4" w:space="0"/>
              <w:bottom w:val="single" w:color="auto" w:sz="4" w:space="0"/>
              <w:right w:val="single" w:color="000000" w:sz="4" w:space="0"/>
            </w:tcBorders>
            <w:shd w:val="clear" w:color="auto" w:fill="auto"/>
            <w:vAlign w:val="center"/>
          </w:tcPr>
          <w:p>
            <w:pPr>
              <w:pStyle w:val="63"/>
              <w:rPr>
                <w:sz w:val="20"/>
                <w:szCs w:val="20"/>
              </w:rPr>
            </w:pPr>
            <w:r>
              <w:rPr>
                <w:sz w:val="20"/>
                <w:szCs w:val="20"/>
                <w:lang w:bidi="ar"/>
              </w:rPr>
              <w:t>用地面积（hm²）</w:t>
            </w:r>
          </w:p>
        </w:tc>
        <w:tc>
          <w:tcPr>
            <w:tcW w:w="1253" w:type="pct"/>
            <w:vMerge w:val="restart"/>
            <w:tcBorders>
              <w:top w:val="single" w:color="auto" w:sz="12" w:space="0"/>
              <w:left w:val="single" w:color="000000" w:sz="4" w:space="0"/>
              <w:bottom w:val="single" w:color="auto" w:sz="4" w:space="0"/>
              <w:right w:val="single" w:color="auto" w:sz="12" w:space="0"/>
            </w:tcBorders>
            <w:shd w:val="clear" w:color="auto" w:fill="auto"/>
            <w:noWrap/>
            <w:vAlign w:val="center"/>
          </w:tcPr>
          <w:p>
            <w:pPr>
              <w:pStyle w:val="63"/>
              <w:rPr>
                <w:sz w:val="20"/>
                <w:szCs w:val="20"/>
              </w:rPr>
            </w:pPr>
            <w:r>
              <w:rPr>
                <w:sz w:val="20"/>
                <w:szCs w:val="20"/>
                <w:lang w:bidi="ar"/>
              </w:rPr>
              <w:t>占城市建设用地比例（%）</w:t>
            </w:r>
          </w:p>
        </w:tc>
      </w:tr>
      <w:tr>
        <w:tblPrEx>
          <w:tblCellMar>
            <w:top w:w="0" w:type="dxa"/>
            <w:left w:w="108" w:type="dxa"/>
            <w:bottom w:w="0" w:type="dxa"/>
            <w:right w:w="108" w:type="dxa"/>
          </w:tblCellMar>
        </w:tblPrEx>
        <w:trPr>
          <w:trHeight w:val="397" w:hRule="atLeast"/>
          <w:tblHeader/>
        </w:trPr>
        <w:tc>
          <w:tcPr>
            <w:tcW w:w="349" w:type="pct"/>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大类</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中类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小类</w:t>
            </w:r>
          </w:p>
        </w:tc>
        <w:tc>
          <w:tcPr>
            <w:tcW w:w="1596"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pStyle w:val="63"/>
              <w:rPr>
                <w:sz w:val="20"/>
                <w:szCs w:val="20"/>
              </w:rPr>
            </w:pPr>
          </w:p>
        </w:tc>
        <w:tc>
          <w:tcPr>
            <w:tcW w:w="973"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pStyle w:val="63"/>
              <w:rPr>
                <w:sz w:val="20"/>
                <w:szCs w:val="20"/>
              </w:rPr>
            </w:pPr>
          </w:p>
        </w:tc>
        <w:tc>
          <w:tcPr>
            <w:tcW w:w="1253" w:type="pct"/>
            <w:vMerge w:val="continue"/>
            <w:tcBorders>
              <w:top w:val="single" w:color="auto" w:sz="4" w:space="0"/>
              <w:left w:val="single" w:color="000000" w:sz="4" w:space="0"/>
              <w:bottom w:val="single" w:color="000000" w:sz="4" w:space="0"/>
              <w:right w:val="single" w:color="auto" w:sz="12" w:space="0"/>
            </w:tcBorders>
            <w:shd w:val="clear" w:color="auto" w:fill="auto"/>
            <w:noWrap/>
            <w:vAlign w:val="center"/>
          </w:tcPr>
          <w:p>
            <w:pPr>
              <w:pStyle w:val="63"/>
              <w:rPr>
                <w:sz w:val="20"/>
                <w:szCs w:val="20"/>
              </w:rPr>
            </w:pP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R</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居住用地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9.66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0.97</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R2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二类居住用地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0.97</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A</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公共管理与公共服务设施用地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4.35</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0.44</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A1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行政办公用地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1.82</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0.18</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A2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文化设施用地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1.17</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0.12</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A5</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医疗卫生用地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1.14</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0.11</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A9</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宗教用地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0.22</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0.02</w:t>
            </w: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r>
              <w:rPr>
                <w:sz w:val="20"/>
                <w:szCs w:val="20"/>
                <w:lang w:bidi="ar"/>
              </w:rPr>
              <w:t>B</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商业服务业设施用地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20.26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2.04</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B1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商业用地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12.24</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1.23</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B2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商务用地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7.29</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0.73</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B4</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公用设施营业网点用地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0.73</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0.07</w:t>
            </w: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M</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工业用地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783.80</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78.99</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M1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一类工业用地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97.46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9.82</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M2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二类工业用地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296.52</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29.88</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M3</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三类工业用地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389.82</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39.28</w:t>
            </w: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r>
              <w:rPr>
                <w:sz w:val="20"/>
                <w:szCs w:val="20"/>
                <w:lang w:bidi="ar"/>
              </w:rPr>
              <w:t>S</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道路与交通设施用地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118.44</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11.94</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S1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城市道路用地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111.08</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11.19</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S4</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sz w:val="20"/>
                <w:szCs w:val="20"/>
              </w:rPr>
            </w:pPr>
            <w:r>
              <w:rPr>
                <w:sz w:val="20"/>
                <w:szCs w:val="20"/>
                <w:lang w:bidi="ar"/>
              </w:rPr>
              <w:t>交通场站用地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7.36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0.74</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nil"/>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S42</w:t>
            </w:r>
          </w:p>
        </w:tc>
        <w:tc>
          <w:tcPr>
            <w:tcW w:w="1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sz w:val="20"/>
                <w:szCs w:val="20"/>
              </w:rPr>
            </w:pPr>
            <w:r>
              <w:rPr>
                <w:sz w:val="20"/>
                <w:szCs w:val="20"/>
                <w:lang w:bidi="ar"/>
              </w:rPr>
              <w:t>社会停车场用地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7.36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0.74</w:t>
            </w: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公用设施用地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24.37</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2.46</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供应设施用地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6.96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0.70</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U11</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供水用地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1.75</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0.18</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U12</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供电用地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2.18</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0.22</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U13</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供燃气用地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0.53</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0.05</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U14</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供热用地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2.50</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0.25</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环境设施用地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15.26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1.54</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U21</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排水用地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14.10</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1.42</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U22</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环卫用地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1.16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0.12</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U3</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安全设施用地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2.14</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0.22</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U31</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消防用地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2.14</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0.22</w:t>
            </w:r>
          </w:p>
        </w:tc>
      </w:tr>
      <w:tr>
        <w:tblPrEx>
          <w:tblCellMar>
            <w:top w:w="0" w:type="dxa"/>
            <w:left w:w="108" w:type="dxa"/>
            <w:bottom w:w="0" w:type="dxa"/>
            <w:right w:w="108" w:type="dxa"/>
          </w:tblCellMar>
        </w:tblPrEx>
        <w:trPr>
          <w:trHeight w:val="397" w:hRule="atLeast"/>
        </w:trPr>
        <w:tc>
          <w:tcPr>
            <w:tcW w:w="349" w:type="pct"/>
            <w:vMerge w:val="restart"/>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G</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绿地与广场用地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31.43</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3.17</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000000"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G1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公园绿地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1.87</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0.19</w:t>
            </w:r>
          </w:p>
        </w:tc>
      </w:tr>
      <w:tr>
        <w:tblPrEx>
          <w:tblCellMar>
            <w:top w:w="0" w:type="dxa"/>
            <w:left w:w="108" w:type="dxa"/>
            <w:bottom w:w="0" w:type="dxa"/>
            <w:right w:w="108" w:type="dxa"/>
          </w:tblCellMar>
        </w:tblPrEx>
        <w:trPr>
          <w:trHeight w:val="397" w:hRule="atLeast"/>
        </w:trPr>
        <w:tc>
          <w:tcPr>
            <w:tcW w:w="349" w:type="pct"/>
            <w:vMerge w:val="continue"/>
            <w:tcBorders>
              <w:top w:val="single" w:color="000000" w:sz="4" w:space="0"/>
              <w:left w:val="single" w:color="auto" w:sz="12" w:space="0"/>
              <w:bottom w:val="single" w:color="auto" w:sz="4" w:space="0"/>
              <w:right w:val="single" w:color="000000" w:sz="4" w:space="0"/>
            </w:tcBorders>
            <w:shd w:val="clear" w:color="auto" w:fill="auto"/>
            <w:vAlign w:val="center"/>
          </w:tcPr>
          <w:p>
            <w:pPr>
              <w:pStyle w:val="63"/>
              <w:rPr>
                <w:sz w:val="20"/>
                <w:szCs w:val="20"/>
              </w:rPr>
            </w:pPr>
          </w:p>
        </w:tc>
        <w:tc>
          <w:tcPr>
            <w:tcW w:w="373" w:type="pct"/>
            <w:tcBorders>
              <w:top w:val="single" w:color="000000" w:sz="4" w:space="0"/>
              <w:left w:val="single" w:color="000000" w:sz="4" w:space="0"/>
              <w:bottom w:val="single" w:color="auto" w:sz="4" w:space="0"/>
              <w:right w:val="single" w:color="000000" w:sz="4" w:space="0"/>
            </w:tcBorders>
            <w:shd w:val="clear" w:color="auto" w:fill="auto"/>
            <w:vAlign w:val="center"/>
          </w:tcPr>
          <w:p>
            <w:pPr>
              <w:pStyle w:val="63"/>
              <w:rPr>
                <w:sz w:val="20"/>
                <w:szCs w:val="20"/>
              </w:rPr>
            </w:pPr>
            <w:r>
              <w:rPr>
                <w:sz w:val="20"/>
                <w:szCs w:val="20"/>
                <w:lang w:bidi="ar"/>
              </w:rPr>
              <w:t>G2</w:t>
            </w:r>
          </w:p>
        </w:tc>
        <w:tc>
          <w:tcPr>
            <w:tcW w:w="455" w:type="pct"/>
            <w:tcBorders>
              <w:top w:val="single" w:color="000000" w:sz="4" w:space="0"/>
              <w:left w:val="single" w:color="000000" w:sz="4" w:space="0"/>
              <w:bottom w:val="single" w:color="auto" w:sz="4" w:space="0"/>
              <w:right w:val="single" w:color="000000" w:sz="4" w:space="0"/>
            </w:tcBorders>
            <w:shd w:val="clear" w:color="auto" w:fill="auto"/>
            <w:vAlign w:val="center"/>
          </w:tcPr>
          <w:p>
            <w:pPr>
              <w:pStyle w:val="63"/>
              <w:rPr>
                <w:sz w:val="20"/>
                <w:szCs w:val="20"/>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防护绿地</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sz w:val="20"/>
                <w:szCs w:val="20"/>
              </w:rPr>
            </w:pPr>
            <w:r>
              <w:rPr>
                <w:sz w:val="20"/>
                <w:szCs w:val="20"/>
                <w:lang w:bidi="ar"/>
              </w:rPr>
              <w:t>29.56</w:t>
            </w:r>
          </w:p>
        </w:tc>
        <w:tc>
          <w:tcPr>
            <w:tcW w:w="1253" w:type="pct"/>
            <w:tcBorders>
              <w:top w:val="single" w:color="000000" w:sz="4" w:space="0"/>
              <w:left w:val="single" w:color="000000" w:sz="4" w:space="0"/>
              <w:bottom w:val="single" w:color="000000" w:sz="4" w:space="0"/>
              <w:right w:val="single" w:color="auto" w:sz="12" w:space="0"/>
            </w:tcBorders>
            <w:shd w:val="clear" w:color="auto" w:fill="auto"/>
            <w:vAlign w:val="center"/>
          </w:tcPr>
          <w:p>
            <w:pPr>
              <w:pStyle w:val="63"/>
              <w:rPr>
                <w:sz w:val="20"/>
                <w:szCs w:val="20"/>
              </w:rPr>
            </w:pPr>
            <w:r>
              <w:rPr>
                <w:sz w:val="20"/>
                <w:szCs w:val="20"/>
                <w:lang w:bidi="ar"/>
              </w:rPr>
              <w:t>2.98</w:t>
            </w:r>
          </w:p>
        </w:tc>
      </w:tr>
      <w:tr>
        <w:tblPrEx>
          <w:tblCellMar>
            <w:top w:w="0" w:type="dxa"/>
            <w:left w:w="108" w:type="dxa"/>
            <w:bottom w:w="0" w:type="dxa"/>
            <w:right w:w="108" w:type="dxa"/>
          </w:tblCellMar>
        </w:tblPrEx>
        <w:trPr>
          <w:trHeight w:val="397" w:hRule="atLeast"/>
        </w:trPr>
        <w:tc>
          <w:tcPr>
            <w:tcW w:w="1177" w:type="pct"/>
            <w:gridSpan w:val="3"/>
            <w:tcBorders>
              <w:top w:val="single" w:color="auto" w:sz="4" w:space="0"/>
              <w:left w:val="single" w:color="auto" w:sz="12" w:space="0"/>
              <w:bottom w:val="single" w:color="auto" w:sz="12" w:space="0"/>
              <w:right w:val="single" w:color="auto" w:sz="4" w:space="0"/>
            </w:tcBorders>
            <w:shd w:val="clear" w:color="auto" w:fill="auto"/>
            <w:noWrap/>
            <w:vAlign w:val="center"/>
          </w:tcPr>
          <w:p>
            <w:pPr>
              <w:pStyle w:val="63"/>
              <w:rPr>
                <w:sz w:val="20"/>
                <w:szCs w:val="20"/>
              </w:rPr>
            </w:pPr>
            <w:r>
              <w:rPr>
                <w:sz w:val="20"/>
                <w:szCs w:val="20"/>
                <w:lang w:bidi="ar"/>
              </w:rPr>
              <w:t>H11</w:t>
            </w:r>
          </w:p>
        </w:tc>
        <w:tc>
          <w:tcPr>
            <w:tcW w:w="1596" w:type="pct"/>
            <w:tcBorders>
              <w:top w:val="single" w:color="000000" w:sz="4" w:space="0"/>
              <w:left w:val="single" w:color="auto" w:sz="4" w:space="0"/>
              <w:bottom w:val="single" w:color="auto" w:sz="12" w:space="0"/>
              <w:right w:val="single" w:color="000000" w:sz="4" w:space="0"/>
            </w:tcBorders>
            <w:shd w:val="clear" w:color="auto" w:fill="auto"/>
            <w:vAlign w:val="center"/>
          </w:tcPr>
          <w:p>
            <w:pPr>
              <w:pStyle w:val="63"/>
              <w:rPr>
                <w:sz w:val="20"/>
                <w:szCs w:val="20"/>
              </w:rPr>
            </w:pPr>
            <w:r>
              <w:rPr>
                <w:sz w:val="20"/>
                <w:szCs w:val="20"/>
                <w:lang w:bidi="ar"/>
              </w:rPr>
              <w:t>城市建设用地</w:t>
            </w:r>
          </w:p>
        </w:tc>
        <w:tc>
          <w:tcPr>
            <w:tcW w:w="973" w:type="pct"/>
            <w:tcBorders>
              <w:top w:val="single" w:color="000000" w:sz="4" w:space="0"/>
              <w:left w:val="single" w:color="000000" w:sz="4" w:space="0"/>
              <w:bottom w:val="single" w:color="auto" w:sz="12" w:space="0"/>
              <w:right w:val="single" w:color="000000" w:sz="4" w:space="0"/>
            </w:tcBorders>
            <w:shd w:val="clear" w:color="auto" w:fill="auto"/>
            <w:noWrap/>
            <w:vAlign w:val="center"/>
          </w:tcPr>
          <w:p>
            <w:pPr>
              <w:pStyle w:val="63"/>
              <w:rPr>
                <w:sz w:val="20"/>
                <w:szCs w:val="20"/>
              </w:rPr>
            </w:pPr>
            <w:r>
              <w:rPr>
                <w:sz w:val="20"/>
                <w:szCs w:val="20"/>
                <w:lang w:bidi="ar"/>
              </w:rPr>
              <w:t>992.30</w:t>
            </w:r>
          </w:p>
        </w:tc>
        <w:tc>
          <w:tcPr>
            <w:tcW w:w="1253" w:type="pct"/>
            <w:tcBorders>
              <w:top w:val="single" w:color="000000" w:sz="4" w:space="0"/>
              <w:left w:val="single" w:color="000000" w:sz="4" w:space="0"/>
              <w:bottom w:val="single" w:color="auto" w:sz="12" w:space="0"/>
              <w:right w:val="single" w:color="auto" w:sz="12" w:space="0"/>
            </w:tcBorders>
            <w:shd w:val="clear" w:color="auto" w:fill="auto"/>
            <w:vAlign w:val="center"/>
          </w:tcPr>
          <w:p>
            <w:pPr>
              <w:pStyle w:val="63"/>
              <w:rPr>
                <w:sz w:val="20"/>
                <w:szCs w:val="20"/>
              </w:rPr>
            </w:pPr>
            <w:r>
              <w:rPr>
                <w:sz w:val="20"/>
                <w:szCs w:val="20"/>
                <w:lang w:bidi="ar"/>
              </w:rPr>
              <w:t>100.00</w:t>
            </w:r>
          </w:p>
        </w:tc>
      </w:tr>
    </w:tbl>
    <w:p>
      <w:pPr>
        <w:spacing w:line="360" w:lineRule="auto"/>
        <w:ind w:firstLine="480" w:firstLineChars="200"/>
        <w:rPr>
          <w:rFonts w:ascii="Times New Roman" w:hAnsi="Times New Roman" w:cs="Times New Roman"/>
        </w:rPr>
      </w:pPr>
      <w:r>
        <w:rPr>
          <w:rFonts w:ascii="Times New Roman" w:hAnsi="Times New Roman" w:cs="Times New Roman"/>
        </w:rPr>
        <w:t>（1）居住用地</w:t>
      </w:r>
    </w:p>
    <w:p>
      <w:pPr>
        <w:autoSpaceDE w:val="0"/>
        <w:autoSpaceDN w:val="0"/>
        <w:adjustRightInd w:val="0"/>
        <w:spacing w:line="360" w:lineRule="auto"/>
        <w:ind w:firstLine="480"/>
        <w:rPr>
          <w:rFonts w:ascii="Times New Roman" w:hAnsi="Times New Roman" w:eastAsia="宋体" w:cs="Times New Roman"/>
          <w:szCs w:val="24"/>
        </w:rPr>
      </w:pPr>
      <w:bookmarkStart w:id="222" w:name="OLE_LINK2"/>
      <w:bookmarkStart w:id="223" w:name="OLE_LINK1"/>
      <w:r>
        <w:rPr>
          <w:rFonts w:ascii="Times New Roman" w:hAnsi="Times New Roman" w:eastAsia="宋体" w:cs="Times New Roman"/>
          <w:szCs w:val="24"/>
          <w:lang w:val="zh-CN"/>
        </w:rPr>
        <w:t>居住用地面积</w:t>
      </w:r>
      <w:r>
        <w:rPr>
          <w:rFonts w:ascii="Times New Roman" w:hAnsi="Times New Roman" w:eastAsia="宋体" w:cs="Times New Roman"/>
          <w:szCs w:val="24"/>
        </w:rPr>
        <w:t>9.66</w:t>
      </w:r>
      <w:r>
        <w:rPr>
          <w:rFonts w:ascii="Times New Roman" w:hAnsi="Times New Roman" w:eastAsia="宋体" w:cs="Times New Roman"/>
          <w:szCs w:val="24"/>
          <w:lang w:val="zh-CN"/>
        </w:rPr>
        <w:t>公顷，占城市建设用地的</w:t>
      </w:r>
      <w:r>
        <w:rPr>
          <w:rFonts w:ascii="Times New Roman" w:hAnsi="Times New Roman" w:eastAsia="宋体" w:cs="Times New Roman"/>
          <w:szCs w:val="24"/>
        </w:rPr>
        <w:t>0.97</w:t>
      </w:r>
      <w:r>
        <w:rPr>
          <w:rFonts w:ascii="Times New Roman" w:hAnsi="Times New Roman" w:eastAsia="宋体" w:cs="Times New Roman"/>
          <w:szCs w:val="24"/>
          <w:lang w:val="zh-CN"/>
        </w:rPr>
        <w:t>%。主要</w:t>
      </w:r>
      <w:r>
        <w:rPr>
          <w:rFonts w:ascii="Times New Roman" w:hAnsi="Times New Roman" w:eastAsia="宋体" w:cs="Times New Roman"/>
          <w:szCs w:val="24"/>
        </w:rPr>
        <w:t>位于三湾片区北部。</w:t>
      </w:r>
    </w:p>
    <w:bookmarkEnd w:id="222"/>
    <w:bookmarkEnd w:id="223"/>
    <w:p>
      <w:pPr>
        <w:spacing w:line="360" w:lineRule="auto"/>
        <w:ind w:firstLine="480" w:firstLineChars="200"/>
        <w:rPr>
          <w:rFonts w:ascii="Times New Roman" w:hAnsi="Times New Roman" w:cs="Times New Roman"/>
        </w:rPr>
      </w:pPr>
      <w:r>
        <w:rPr>
          <w:rFonts w:ascii="Times New Roman" w:hAnsi="Times New Roman" w:cs="Times New Roman"/>
        </w:rPr>
        <w:t>（2）公共管理与公共服务设施用地。</w:t>
      </w:r>
    </w:p>
    <w:p>
      <w:pPr>
        <w:spacing w:line="360" w:lineRule="auto"/>
        <w:ind w:firstLine="480" w:firstLineChars="200"/>
        <w:rPr>
          <w:rFonts w:ascii="Times New Roman" w:hAnsi="Times New Roman" w:cs="Times New Roman"/>
        </w:rPr>
      </w:pPr>
      <w:r>
        <w:rPr>
          <w:rFonts w:ascii="Times New Roman" w:hAnsi="Times New Roman" w:cs="Times New Roman"/>
        </w:rPr>
        <w:t>公共管理与公共服务设施用地面积4.35公顷，占城市建设用地的0.44%。主要滨江片区化工园北部和三湾片区北部。</w:t>
      </w:r>
    </w:p>
    <w:p>
      <w:pPr>
        <w:spacing w:line="360" w:lineRule="auto"/>
        <w:ind w:firstLine="480" w:firstLineChars="200"/>
        <w:rPr>
          <w:rFonts w:ascii="Times New Roman" w:hAnsi="Times New Roman" w:cs="Times New Roman"/>
        </w:rPr>
      </w:pPr>
      <w:r>
        <w:rPr>
          <w:rFonts w:ascii="Times New Roman" w:hAnsi="Times New Roman" w:cs="Times New Roman"/>
        </w:rPr>
        <w:t>（3）商业服务设施用地</w:t>
      </w:r>
    </w:p>
    <w:p>
      <w:pPr>
        <w:spacing w:line="360" w:lineRule="auto"/>
        <w:ind w:firstLine="480" w:firstLineChars="200"/>
        <w:rPr>
          <w:rFonts w:ascii="Times New Roman" w:hAnsi="Times New Roman" w:cs="Times New Roman"/>
        </w:rPr>
      </w:pPr>
      <w:r>
        <w:rPr>
          <w:rFonts w:ascii="Times New Roman" w:hAnsi="Times New Roman" w:cs="Times New Roman"/>
        </w:rPr>
        <w:t>商业服务业设施用地面积20.26公顷，占城市建设用地的2.04%。规划结合居住用地适当布局商业服务业设施用地，以满足周边居民生活需求。</w:t>
      </w:r>
    </w:p>
    <w:p>
      <w:pPr>
        <w:spacing w:line="360" w:lineRule="auto"/>
        <w:ind w:firstLine="480" w:firstLineChars="200"/>
        <w:rPr>
          <w:rFonts w:ascii="Times New Roman" w:hAnsi="Times New Roman" w:cs="Times New Roman"/>
        </w:rPr>
      </w:pPr>
      <w:r>
        <w:rPr>
          <w:rFonts w:ascii="Times New Roman" w:hAnsi="Times New Roman" w:cs="Times New Roman"/>
        </w:rPr>
        <w:t>（4）工业用地</w:t>
      </w:r>
    </w:p>
    <w:p>
      <w:pPr>
        <w:spacing w:line="360" w:lineRule="auto"/>
        <w:ind w:firstLine="480" w:firstLineChars="200"/>
        <w:rPr>
          <w:rFonts w:ascii="Times New Roman" w:hAnsi="Times New Roman" w:cs="Times New Roman"/>
        </w:rPr>
      </w:pPr>
      <w:r>
        <w:rPr>
          <w:rFonts w:ascii="Times New Roman" w:hAnsi="Times New Roman" w:cs="Times New Roman"/>
        </w:rPr>
        <w:t>工业用地面积为783.80公顷，占城市建设用地的78.99%，为产业园内主要用地。</w:t>
      </w:r>
    </w:p>
    <w:p>
      <w:pPr>
        <w:spacing w:line="360" w:lineRule="auto"/>
        <w:ind w:firstLine="480" w:firstLineChars="200"/>
        <w:rPr>
          <w:rFonts w:ascii="Times New Roman" w:hAnsi="Times New Roman" w:cs="Times New Roman"/>
        </w:rPr>
      </w:pPr>
      <w:r>
        <w:rPr>
          <w:rFonts w:ascii="Times New Roman" w:hAnsi="Times New Roman" w:cs="Times New Roman"/>
        </w:rPr>
        <w:t>（5）道路与交通设施用地</w:t>
      </w:r>
    </w:p>
    <w:p>
      <w:pPr>
        <w:spacing w:line="360" w:lineRule="auto"/>
        <w:ind w:firstLine="480" w:firstLineChars="200"/>
        <w:rPr>
          <w:rFonts w:ascii="Times New Roman" w:hAnsi="Times New Roman" w:cs="Times New Roman"/>
        </w:rPr>
      </w:pPr>
      <w:r>
        <w:rPr>
          <w:rFonts w:ascii="Times New Roman" w:hAnsi="Times New Roman" w:cs="Times New Roman"/>
        </w:rPr>
        <w:t>道路与交通设施用地公用设施用地118.44公顷，占城市建设用地的11.94%。</w:t>
      </w:r>
    </w:p>
    <w:p>
      <w:pPr>
        <w:spacing w:line="360" w:lineRule="auto"/>
        <w:ind w:firstLine="480" w:firstLineChars="200"/>
        <w:rPr>
          <w:rFonts w:ascii="Times New Roman" w:hAnsi="Times New Roman" w:cs="Times New Roman"/>
        </w:rPr>
      </w:pPr>
      <w:r>
        <w:rPr>
          <w:rFonts w:ascii="Times New Roman" w:hAnsi="Times New Roman" w:cs="Times New Roman"/>
        </w:rPr>
        <w:t>（6）公用设施用地</w:t>
      </w:r>
    </w:p>
    <w:p>
      <w:pPr>
        <w:spacing w:line="360" w:lineRule="auto"/>
        <w:ind w:firstLine="480" w:firstLineChars="200"/>
        <w:rPr>
          <w:rFonts w:ascii="Times New Roman" w:hAnsi="Times New Roman" w:cs="Times New Roman"/>
        </w:rPr>
      </w:pPr>
      <w:r>
        <w:rPr>
          <w:rFonts w:ascii="Times New Roman" w:hAnsi="Times New Roman" w:cs="Times New Roman"/>
        </w:rPr>
        <w:t>公用设施用地面积为24.37公顷，占城市建设用地的2.46%。</w:t>
      </w:r>
    </w:p>
    <w:p>
      <w:pPr>
        <w:spacing w:line="360" w:lineRule="auto"/>
        <w:ind w:firstLine="480" w:firstLineChars="200"/>
        <w:rPr>
          <w:rFonts w:ascii="Times New Roman" w:hAnsi="Times New Roman" w:cs="Times New Roman"/>
        </w:rPr>
      </w:pPr>
      <w:r>
        <w:rPr>
          <w:rFonts w:ascii="Times New Roman" w:hAnsi="Times New Roman" w:cs="Times New Roman"/>
        </w:rPr>
        <w:t>（7）绿地与广场用地</w:t>
      </w:r>
    </w:p>
    <w:p>
      <w:pPr>
        <w:spacing w:line="360" w:lineRule="auto"/>
        <w:ind w:firstLine="480" w:firstLineChars="200"/>
        <w:rPr>
          <w:rFonts w:ascii="Times New Roman" w:hAnsi="Times New Roman" w:cs="Times New Roman"/>
        </w:rPr>
      </w:pPr>
      <w:r>
        <w:rPr>
          <w:rFonts w:ascii="Times New Roman" w:hAnsi="Times New Roman" w:cs="Times New Roman"/>
        </w:rPr>
        <w:t>1）公园绿地</w:t>
      </w:r>
    </w:p>
    <w:p>
      <w:pPr>
        <w:spacing w:line="360" w:lineRule="auto"/>
        <w:ind w:firstLine="480" w:firstLineChars="200"/>
        <w:rPr>
          <w:rFonts w:ascii="Times New Roman" w:hAnsi="Times New Roman" w:cs="Times New Roman"/>
        </w:rPr>
      </w:pPr>
      <w:r>
        <w:rPr>
          <w:rFonts w:ascii="Times New Roman" w:hAnsi="Times New Roman" w:cs="Times New Roman"/>
        </w:rPr>
        <w:t>公园绿地面积1.87公顷，占园区建设用地的0.19%。</w:t>
      </w:r>
    </w:p>
    <w:p>
      <w:pPr>
        <w:spacing w:line="360" w:lineRule="auto"/>
        <w:ind w:firstLine="480" w:firstLineChars="200"/>
        <w:rPr>
          <w:rFonts w:ascii="Times New Roman" w:hAnsi="Times New Roman" w:cs="Times New Roman"/>
        </w:rPr>
      </w:pPr>
      <w:r>
        <w:rPr>
          <w:rFonts w:ascii="Times New Roman" w:hAnsi="Times New Roman" w:cs="Times New Roman"/>
        </w:rPr>
        <w:t>2）防护绿地</w:t>
      </w:r>
    </w:p>
    <w:p>
      <w:pPr>
        <w:spacing w:line="360" w:lineRule="auto"/>
        <w:ind w:firstLine="480" w:firstLineChars="200"/>
        <w:rPr>
          <w:rFonts w:ascii="Times New Roman" w:hAnsi="Times New Roman" w:cs="Times New Roman"/>
        </w:rPr>
      </w:pPr>
      <w:r>
        <w:rPr>
          <w:rFonts w:ascii="Times New Roman" w:hAnsi="Times New Roman" w:cs="Times New Roman"/>
        </w:rPr>
        <w:t>在主干道、工业用地、公用设施用地和其他用地之间规划布置防护绿地。防护绿地面积29.56公顷，占园区建设用地的2.98%。</w:t>
      </w:r>
    </w:p>
    <w:p>
      <w:pPr>
        <w:spacing w:line="360" w:lineRule="auto"/>
        <w:ind w:firstLine="480" w:firstLineChars="200"/>
        <w:rPr>
          <w:rFonts w:ascii="Times New Roman" w:hAnsi="Times New Roman" w:cs="Times New Roman"/>
        </w:rPr>
        <w:sectPr>
          <w:pgSz w:w="11907" w:h="16840"/>
          <w:pgMar w:top="1418" w:right="1418" w:bottom="1418" w:left="1701" w:header="935" w:footer="1021" w:gutter="0"/>
          <w:paperSrc w:first="7" w:other="7"/>
          <w:cols w:space="720" w:num="1"/>
          <w:docGrid w:linePitch="326" w:charSpace="0"/>
        </w:sectPr>
      </w:pPr>
    </w:p>
    <w:p>
      <w:pPr>
        <w:pStyle w:val="6"/>
        <w:rPr>
          <w:rFonts w:ascii="Times New Roman" w:hAnsi="Times New Roman" w:cs="Times New Roman"/>
        </w:rPr>
      </w:pPr>
      <w:r>
        <w:rPr>
          <w:rFonts w:ascii="Times New Roman" w:hAnsi="Times New Roman" w:cs="Times New Roman"/>
        </w:rPr>
        <w:t>表3.2-3  各片区建设用地统计表</w:t>
      </w:r>
    </w:p>
    <w:tbl>
      <w:tblPr>
        <w:tblStyle w:val="36"/>
        <w:tblW w:w="5000" w:type="pct"/>
        <w:jc w:val="center"/>
        <w:tblLayout w:type="autofit"/>
        <w:tblCellMar>
          <w:top w:w="0" w:type="dxa"/>
          <w:left w:w="108" w:type="dxa"/>
          <w:bottom w:w="0" w:type="dxa"/>
          <w:right w:w="108" w:type="dxa"/>
        </w:tblCellMar>
      </w:tblPr>
      <w:tblGrid>
        <w:gridCol w:w="1274"/>
        <w:gridCol w:w="1277"/>
        <w:gridCol w:w="3225"/>
        <w:gridCol w:w="1570"/>
        <w:gridCol w:w="1379"/>
        <w:gridCol w:w="1379"/>
        <w:gridCol w:w="1379"/>
        <w:gridCol w:w="1379"/>
        <w:gridCol w:w="1358"/>
      </w:tblGrid>
      <w:tr>
        <w:tblPrEx>
          <w:tblCellMar>
            <w:top w:w="0" w:type="dxa"/>
            <w:left w:w="108" w:type="dxa"/>
            <w:bottom w:w="0" w:type="dxa"/>
            <w:right w:w="108" w:type="dxa"/>
          </w:tblCellMar>
        </w:tblPrEx>
        <w:trPr>
          <w:trHeight w:val="510" w:hRule="atLeast"/>
          <w:jc w:val="center"/>
        </w:trPr>
        <w:tc>
          <w:tcPr>
            <w:tcW w:w="897" w:type="pct"/>
            <w:gridSpan w:val="2"/>
            <w:tcBorders>
              <w:top w:val="single" w:color="auto" w:sz="12" w:space="0"/>
              <w:left w:val="single" w:color="auto" w:sz="12" w:space="0"/>
              <w:bottom w:val="single" w:color="auto" w:sz="4" w:space="0"/>
              <w:right w:val="single" w:color="auto" w:sz="4" w:space="0"/>
            </w:tcBorders>
            <w:shd w:val="clear" w:color="auto" w:fill="auto"/>
            <w:vAlign w:val="center"/>
          </w:tcPr>
          <w:p>
            <w:pPr>
              <w:pStyle w:val="63"/>
            </w:pPr>
            <w:r>
              <w:t>用地代码</w:t>
            </w:r>
          </w:p>
        </w:tc>
        <w:tc>
          <w:tcPr>
            <w:tcW w:w="1134"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用地名称</w:t>
            </w:r>
          </w:p>
        </w:tc>
        <w:tc>
          <w:tcPr>
            <w:tcW w:w="552"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63"/>
            </w:pPr>
            <w:r>
              <w:t>园区用地面积</w:t>
            </w:r>
          </w:p>
          <w:p>
            <w:pPr>
              <w:pStyle w:val="63"/>
            </w:pPr>
            <w:r>
              <w:t>（hm</w:t>
            </w:r>
            <w:r>
              <w:rPr>
                <w:vertAlign w:val="superscript"/>
              </w:rPr>
              <w:t>2</w:t>
            </w:r>
            <w:r>
              <w:t>）</w:t>
            </w:r>
          </w:p>
        </w:tc>
        <w:tc>
          <w:tcPr>
            <w:tcW w:w="485" w:type="pct"/>
            <w:vMerge w:val="restart"/>
            <w:tcBorders>
              <w:top w:val="single" w:color="auto" w:sz="12" w:space="0"/>
              <w:left w:val="nil"/>
              <w:right w:val="single" w:color="auto" w:sz="4" w:space="0"/>
            </w:tcBorders>
            <w:shd w:val="clear" w:color="auto" w:fill="auto"/>
            <w:vAlign w:val="center"/>
          </w:tcPr>
          <w:p>
            <w:pPr>
              <w:pStyle w:val="63"/>
            </w:pPr>
            <w:r>
              <w:t>滨江片区中非工贸产业园（hm</w:t>
            </w:r>
            <w:r>
              <w:rPr>
                <w:vertAlign w:val="superscript"/>
              </w:rPr>
              <w:t>2</w:t>
            </w:r>
            <w:r>
              <w:t>）</w:t>
            </w:r>
          </w:p>
        </w:tc>
        <w:tc>
          <w:tcPr>
            <w:tcW w:w="485" w:type="pct"/>
            <w:vMerge w:val="restart"/>
            <w:tcBorders>
              <w:top w:val="single" w:color="auto" w:sz="12" w:space="0"/>
              <w:left w:val="nil"/>
              <w:right w:val="single" w:color="auto" w:sz="4" w:space="0"/>
            </w:tcBorders>
            <w:shd w:val="clear" w:color="auto" w:fill="auto"/>
            <w:vAlign w:val="center"/>
          </w:tcPr>
          <w:p>
            <w:pPr>
              <w:pStyle w:val="63"/>
            </w:pPr>
            <w:r>
              <w:t>滨江片区加工制造产业园（hm</w:t>
            </w:r>
            <w:r>
              <w:rPr>
                <w:vertAlign w:val="superscript"/>
              </w:rPr>
              <w:t>2</w:t>
            </w:r>
            <w:r>
              <w:t>）</w:t>
            </w:r>
          </w:p>
        </w:tc>
        <w:tc>
          <w:tcPr>
            <w:tcW w:w="485" w:type="pct"/>
            <w:vMerge w:val="restart"/>
            <w:tcBorders>
              <w:top w:val="single" w:color="auto" w:sz="12" w:space="0"/>
              <w:left w:val="nil"/>
              <w:right w:val="single" w:color="auto" w:sz="4" w:space="0"/>
            </w:tcBorders>
            <w:shd w:val="clear" w:color="auto" w:fill="auto"/>
            <w:vAlign w:val="center"/>
          </w:tcPr>
          <w:p>
            <w:pPr>
              <w:pStyle w:val="63"/>
            </w:pPr>
            <w:r>
              <w:t>滨江片区绿色化工产业园（hm</w:t>
            </w:r>
            <w:r>
              <w:rPr>
                <w:vertAlign w:val="superscript"/>
              </w:rPr>
              <w:t>2</w:t>
            </w:r>
            <w:r>
              <w:t>）</w:t>
            </w:r>
          </w:p>
        </w:tc>
        <w:tc>
          <w:tcPr>
            <w:tcW w:w="485" w:type="pct"/>
            <w:vMerge w:val="restart"/>
            <w:tcBorders>
              <w:top w:val="single" w:color="auto" w:sz="12" w:space="0"/>
              <w:left w:val="nil"/>
              <w:right w:val="single" w:color="auto" w:sz="4" w:space="0"/>
            </w:tcBorders>
            <w:shd w:val="clear" w:color="auto" w:fill="auto"/>
            <w:vAlign w:val="center"/>
          </w:tcPr>
          <w:p>
            <w:pPr>
              <w:pStyle w:val="63"/>
            </w:pPr>
            <w:r>
              <w:t>三湾产业园</w:t>
            </w:r>
          </w:p>
          <w:p>
            <w:pPr>
              <w:pStyle w:val="63"/>
            </w:pPr>
            <w:r>
              <w:t>（hm</w:t>
            </w:r>
            <w:r>
              <w:rPr>
                <w:vertAlign w:val="superscript"/>
              </w:rPr>
              <w:t>2</w:t>
            </w:r>
            <w:r>
              <w:t>）</w:t>
            </w:r>
          </w:p>
        </w:tc>
        <w:tc>
          <w:tcPr>
            <w:tcW w:w="477" w:type="pct"/>
            <w:vMerge w:val="restart"/>
            <w:tcBorders>
              <w:top w:val="single" w:color="auto" w:sz="12" w:space="0"/>
              <w:left w:val="single" w:color="auto" w:sz="4" w:space="0"/>
              <w:bottom w:val="single" w:color="auto" w:sz="4" w:space="0"/>
              <w:right w:val="single" w:color="auto" w:sz="12" w:space="0"/>
            </w:tcBorders>
            <w:shd w:val="clear" w:color="auto" w:fill="auto"/>
            <w:vAlign w:val="center"/>
          </w:tcPr>
          <w:p>
            <w:pPr>
              <w:pStyle w:val="63"/>
            </w:pPr>
            <w:r>
              <w:t>绿色建材产业园（hm</w:t>
            </w:r>
            <w:r>
              <w:rPr>
                <w:vertAlign w:val="superscript"/>
              </w:rPr>
              <w:t>2</w:t>
            </w:r>
            <w:r>
              <w:t>）</w:t>
            </w:r>
          </w:p>
        </w:tc>
      </w:tr>
      <w:tr>
        <w:tblPrEx>
          <w:tblCellMar>
            <w:top w:w="0" w:type="dxa"/>
            <w:left w:w="108" w:type="dxa"/>
            <w:bottom w:w="0" w:type="dxa"/>
            <w:right w:w="108" w:type="dxa"/>
          </w:tblCellMar>
        </w:tblPrEx>
        <w:trPr>
          <w:trHeight w:val="510" w:hRule="atLeast"/>
          <w:jc w:val="center"/>
        </w:trPr>
        <w:tc>
          <w:tcPr>
            <w:tcW w:w="448" w:type="pct"/>
            <w:tcBorders>
              <w:top w:val="nil"/>
              <w:left w:val="single" w:color="auto" w:sz="12" w:space="0"/>
              <w:bottom w:val="single" w:color="auto" w:sz="4" w:space="0"/>
              <w:right w:val="single" w:color="auto" w:sz="4" w:space="0"/>
            </w:tcBorders>
            <w:shd w:val="clear" w:color="auto" w:fill="auto"/>
            <w:vAlign w:val="center"/>
          </w:tcPr>
          <w:p>
            <w:pPr>
              <w:pStyle w:val="63"/>
            </w:pPr>
            <w:r>
              <w:t>大类</w:t>
            </w:r>
          </w:p>
        </w:tc>
        <w:tc>
          <w:tcPr>
            <w:tcW w:w="449" w:type="pct"/>
            <w:tcBorders>
              <w:top w:val="nil"/>
              <w:left w:val="nil"/>
              <w:bottom w:val="single" w:color="auto" w:sz="4" w:space="0"/>
              <w:right w:val="single" w:color="auto" w:sz="4" w:space="0"/>
            </w:tcBorders>
            <w:shd w:val="clear" w:color="auto" w:fill="auto"/>
            <w:vAlign w:val="center"/>
          </w:tcPr>
          <w:p>
            <w:pPr>
              <w:pStyle w:val="63"/>
            </w:pPr>
            <w:r>
              <w:t>中类</w:t>
            </w:r>
          </w:p>
        </w:tc>
        <w:tc>
          <w:tcPr>
            <w:tcW w:w="11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3"/>
            </w:pPr>
          </w:p>
        </w:tc>
        <w:tc>
          <w:tcPr>
            <w:tcW w:w="5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3"/>
            </w:pPr>
          </w:p>
        </w:tc>
        <w:tc>
          <w:tcPr>
            <w:tcW w:w="485" w:type="pct"/>
            <w:vMerge w:val="continue"/>
            <w:tcBorders>
              <w:left w:val="nil"/>
              <w:bottom w:val="single" w:color="auto" w:sz="4" w:space="0"/>
              <w:right w:val="single" w:color="auto" w:sz="4" w:space="0"/>
            </w:tcBorders>
            <w:shd w:val="clear" w:color="auto" w:fill="auto"/>
            <w:vAlign w:val="center"/>
          </w:tcPr>
          <w:p>
            <w:pPr>
              <w:pStyle w:val="63"/>
            </w:pPr>
          </w:p>
        </w:tc>
        <w:tc>
          <w:tcPr>
            <w:tcW w:w="485" w:type="pct"/>
            <w:vMerge w:val="continue"/>
            <w:tcBorders>
              <w:left w:val="nil"/>
              <w:bottom w:val="single" w:color="auto" w:sz="4" w:space="0"/>
              <w:right w:val="single" w:color="auto" w:sz="4" w:space="0"/>
            </w:tcBorders>
            <w:shd w:val="clear" w:color="auto" w:fill="auto"/>
            <w:vAlign w:val="center"/>
          </w:tcPr>
          <w:p>
            <w:pPr>
              <w:pStyle w:val="63"/>
            </w:pPr>
          </w:p>
        </w:tc>
        <w:tc>
          <w:tcPr>
            <w:tcW w:w="485" w:type="pct"/>
            <w:vMerge w:val="continue"/>
            <w:tcBorders>
              <w:left w:val="nil"/>
              <w:bottom w:val="single" w:color="auto" w:sz="4" w:space="0"/>
              <w:right w:val="single" w:color="auto" w:sz="4" w:space="0"/>
            </w:tcBorders>
            <w:shd w:val="clear" w:color="auto" w:fill="auto"/>
            <w:vAlign w:val="center"/>
          </w:tcPr>
          <w:p>
            <w:pPr>
              <w:pStyle w:val="63"/>
            </w:pPr>
          </w:p>
        </w:tc>
        <w:tc>
          <w:tcPr>
            <w:tcW w:w="485" w:type="pct"/>
            <w:vMerge w:val="continue"/>
            <w:tcBorders>
              <w:left w:val="nil"/>
              <w:bottom w:val="single" w:color="auto" w:sz="4" w:space="0"/>
              <w:right w:val="single" w:color="auto" w:sz="4" w:space="0"/>
            </w:tcBorders>
            <w:shd w:val="clear" w:color="auto" w:fill="auto"/>
            <w:vAlign w:val="center"/>
          </w:tcPr>
          <w:p>
            <w:pPr>
              <w:pStyle w:val="63"/>
            </w:pPr>
          </w:p>
        </w:tc>
        <w:tc>
          <w:tcPr>
            <w:tcW w:w="477" w:type="pct"/>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pStyle w:val="63"/>
            </w:pPr>
          </w:p>
        </w:tc>
      </w:tr>
      <w:tr>
        <w:tblPrEx>
          <w:tblCellMar>
            <w:top w:w="0" w:type="dxa"/>
            <w:left w:w="108" w:type="dxa"/>
            <w:bottom w:w="0" w:type="dxa"/>
            <w:right w:w="108" w:type="dxa"/>
          </w:tblCellMar>
        </w:tblPrEx>
        <w:trPr>
          <w:trHeight w:val="510" w:hRule="atLeast"/>
          <w:jc w:val="center"/>
        </w:trPr>
        <w:tc>
          <w:tcPr>
            <w:tcW w:w="448" w:type="pct"/>
            <w:tcBorders>
              <w:top w:val="nil"/>
              <w:left w:val="single" w:color="auto" w:sz="12" w:space="0"/>
              <w:bottom w:val="nil"/>
              <w:right w:val="single" w:color="auto" w:sz="4" w:space="0"/>
            </w:tcBorders>
            <w:shd w:val="clear" w:color="auto" w:fill="auto"/>
            <w:vAlign w:val="center"/>
          </w:tcPr>
          <w:p>
            <w:pPr>
              <w:pStyle w:val="63"/>
            </w:pPr>
            <w:r>
              <w:t>R</w:t>
            </w:r>
          </w:p>
        </w:tc>
        <w:tc>
          <w:tcPr>
            <w:tcW w:w="449" w:type="pct"/>
            <w:tcBorders>
              <w:top w:val="nil"/>
              <w:left w:val="nil"/>
              <w:bottom w:val="single" w:color="auto" w:sz="4" w:space="0"/>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t>居住用地</w:t>
            </w:r>
          </w:p>
        </w:tc>
        <w:tc>
          <w:tcPr>
            <w:tcW w:w="552" w:type="pct"/>
            <w:tcBorders>
              <w:top w:val="nil"/>
              <w:left w:val="nil"/>
              <w:bottom w:val="single" w:color="auto" w:sz="4" w:space="0"/>
              <w:right w:val="single" w:color="auto" w:sz="4" w:space="0"/>
            </w:tcBorders>
            <w:shd w:val="clear" w:color="auto" w:fill="auto"/>
            <w:vAlign w:val="center"/>
          </w:tcPr>
          <w:p>
            <w:pPr>
              <w:pStyle w:val="63"/>
            </w:pPr>
            <w:r>
              <w:t>9.66</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9.66</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0</w:t>
            </w:r>
          </w:p>
        </w:tc>
      </w:tr>
      <w:tr>
        <w:tblPrEx>
          <w:tblCellMar>
            <w:top w:w="0" w:type="dxa"/>
            <w:left w:w="108" w:type="dxa"/>
            <w:bottom w:w="0" w:type="dxa"/>
            <w:right w:w="108" w:type="dxa"/>
          </w:tblCellMar>
        </w:tblPrEx>
        <w:trPr>
          <w:trHeight w:val="510" w:hRule="atLeast"/>
          <w:jc w:val="center"/>
        </w:trPr>
        <w:tc>
          <w:tcPr>
            <w:tcW w:w="448"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3"/>
            </w:pPr>
            <w:r>
              <w:t>A</w:t>
            </w:r>
          </w:p>
        </w:tc>
        <w:tc>
          <w:tcPr>
            <w:tcW w:w="449" w:type="pct"/>
            <w:tcBorders>
              <w:top w:val="nil"/>
              <w:left w:val="nil"/>
              <w:bottom w:val="single" w:color="auto" w:sz="4" w:space="0"/>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t>公共管理与公共服务设施用地</w:t>
            </w:r>
          </w:p>
        </w:tc>
        <w:tc>
          <w:tcPr>
            <w:tcW w:w="552" w:type="pct"/>
            <w:tcBorders>
              <w:top w:val="nil"/>
              <w:left w:val="nil"/>
              <w:bottom w:val="single" w:color="auto" w:sz="4" w:space="0"/>
              <w:right w:val="single" w:color="auto" w:sz="4" w:space="0"/>
            </w:tcBorders>
            <w:shd w:val="clear" w:color="auto" w:fill="auto"/>
            <w:vAlign w:val="center"/>
          </w:tcPr>
          <w:p>
            <w:pPr>
              <w:pStyle w:val="63"/>
            </w:pPr>
            <w:r>
              <w:t>4.35</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1.82</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2.53</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0</w:t>
            </w:r>
          </w:p>
        </w:tc>
      </w:tr>
      <w:tr>
        <w:tblPrEx>
          <w:tblCellMar>
            <w:top w:w="0" w:type="dxa"/>
            <w:left w:w="108" w:type="dxa"/>
            <w:bottom w:w="0" w:type="dxa"/>
            <w:right w:w="108" w:type="dxa"/>
          </w:tblCellMar>
        </w:tblPrEx>
        <w:trPr>
          <w:trHeight w:val="510" w:hRule="atLeast"/>
          <w:jc w:val="center"/>
        </w:trPr>
        <w:tc>
          <w:tcPr>
            <w:tcW w:w="448" w:type="pct"/>
            <w:tcBorders>
              <w:top w:val="nil"/>
              <w:left w:val="single" w:color="auto" w:sz="12" w:space="0"/>
              <w:bottom w:val="single" w:color="auto" w:sz="4" w:space="0"/>
              <w:right w:val="single" w:color="auto" w:sz="4" w:space="0"/>
            </w:tcBorders>
            <w:shd w:val="clear" w:color="auto" w:fill="auto"/>
            <w:vAlign w:val="center"/>
          </w:tcPr>
          <w:p>
            <w:pPr>
              <w:pStyle w:val="63"/>
            </w:pPr>
            <w:r>
              <w:t>B</w:t>
            </w:r>
          </w:p>
        </w:tc>
        <w:tc>
          <w:tcPr>
            <w:tcW w:w="449" w:type="pct"/>
            <w:tcBorders>
              <w:top w:val="nil"/>
              <w:left w:val="nil"/>
              <w:bottom w:val="single" w:color="auto" w:sz="4" w:space="0"/>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t>商业服务业设施用地</w:t>
            </w:r>
          </w:p>
        </w:tc>
        <w:tc>
          <w:tcPr>
            <w:tcW w:w="552" w:type="pct"/>
            <w:tcBorders>
              <w:top w:val="nil"/>
              <w:left w:val="nil"/>
              <w:bottom w:val="single" w:color="auto" w:sz="4" w:space="0"/>
              <w:right w:val="single" w:color="auto" w:sz="4" w:space="0"/>
            </w:tcBorders>
            <w:shd w:val="clear" w:color="auto" w:fill="auto"/>
            <w:vAlign w:val="center"/>
          </w:tcPr>
          <w:p>
            <w:pPr>
              <w:pStyle w:val="63"/>
            </w:pPr>
            <w:r>
              <w:t>20.26</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0.73</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19.53</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0</w:t>
            </w:r>
          </w:p>
        </w:tc>
      </w:tr>
      <w:tr>
        <w:tblPrEx>
          <w:tblCellMar>
            <w:top w:w="0" w:type="dxa"/>
            <w:left w:w="108" w:type="dxa"/>
            <w:bottom w:w="0" w:type="dxa"/>
            <w:right w:w="108" w:type="dxa"/>
          </w:tblCellMar>
        </w:tblPrEx>
        <w:trPr>
          <w:trHeight w:val="510" w:hRule="atLeast"/>
          <w:jc w:val="center"/>
        </w:trPr>
        <w:tc>
          <w:tcPr>
            <w:tcW w:w="448" w:type="pct"/>
            <w:vMerge w:val="restart"/>
            <w:tcBorders>
              <w:top w:val="nil"/>
              <w:left w:val="single" w:color="auto" w:sz="12" w:space="0"/>
              <w:bottom w:val="single" w:color="auto" w:sz="4" w:space="0"/>
              <w:right w:val="single" w:color="auto" w:sz="4" w:space="0"/>
            </w:tcBorders>
            <w:shd w:val="clear" w:color="auto" w:fill="auto"/>
            <w:vAlign w:val="center"/>
          </w:tcPr>
          <w:p>
            <w:pPr>
              <w:pStyle w:val="63"/>
            </w:pPr>
            <w:r>
              <w:t>M</w:t>
            </w:r>
          </w:p>
        </w:tc>
        <w:tc>
          <w:tcPr>
            <w:tcW w:w="449" w:type="pct"/>
            <w:tcBorders>
              <w:top w:val="nil"/>
              <w:left w:val="nil"/>
              <w:bottom w:val="single" w:color="auto" w:sz="4" w:space="0"/>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t>工业用地</w:t>
            </w:r>
          </w:p>
        </w:tc>
        <w:tc>
          <w:tcPr>
            <w:tcW w:w="552" w:type="pct"/>
            <w:tcBorders>
              <w:top w:val="nil"/>
              <w:left w:val="nil"/>
              <w:bottom w:val="single" w:color="auto" w:sz="4" w:space="0"/>
              <w:right w:val="single" w:color="auto" w:sz="4" w:space="0"/>
            </w:tcBorders>
            <w:shd w:val="clear" w:color="auto" w:fill="auto"/>
            <w:vAlign w:val="center"/>
          </w:tcPr>
          <w:p>
            <w:pPr>
              <w:pStyle w:val="63"/>
            </w:pPr>
            <w:r>
              <w:t>783.8</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194.97</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32.56</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425.32</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97.46</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33.49</w:t>
            </w:r>
          </w:p>
        </w:tc>
      </w:tr>
      <w:tr>
        <w:tblPrEx>
          <w:tblCellMar>
            <w:top w:w="0" w:type="dxa"/>
            <w:left w:w="108" w:type="dxa"/>
            <w:bottom w:w="0" w:type="dxa"/>
            <w:right w:w="108" w:type="dxa"/>
          </w:tblCellMar>
        </w:tblPrEx>
        <w:trPr>
          <w:trHeight w:val="510" w:hRule="atLeast"/>
          <w:jc w:val="center"/>
        </w:trPr>
        <w:tc>
          <w:tcPr>
            <w:tcW w:w="448" w:type="pct"/>
            <w:vMerge w:val="continue"/>
            <w:tcBorders>
              <w:top w:val="nil"/>
              <w:left w:val="single" w:color="auto" w:sz="12" w:space="0"/>
              <w:bottom w:val="single" w:color="auto" w:sz="4" w:space="0"/>
              <w:right w:val="single" w:color="auto" w:sz="4" w:space="0"/>
            </w:tcBorders>
            <w:shd w:val="clear" w:color="auto" w:fill="auto"/>
            <w:vAlign w:val="center"/>
          </w:tcPr>
          <w:p>
            <w:pPr>
              <w:pStyle w:val="63"/>
            </w:pPr>
          </w:p>
        </w:tc>
        <w:tc>
          <w:tcPr>
            <w:tcW w:w="449" w:type="pct"/>
            <w:tcBorders>
              <w:top w:val="nil"/>
              <w:left w:val="nil"/>
              <w:bottom w:val="single" w:color="auto" w:sz="4" w:space="0"/>
              <w:right w:val="single" w:color="auto" w:sz="4" w:space="0"/>
            </w:tcBorders>
            <w:shd w:val="clear" w:color="auto" w:fill="auto"/>
            <w:vAlign w:val="center"/>
          </w:tcPr>
          <w:p>
            <w:pPr>
              <w:pStyle w:val="63"/>
            </w:pPr>
            <w:r>
              <w:t>M1</w:t>
            </w:r>
          </w:p>
        </w:tc>
        <w:tc>
          <w:tcPr>
            <w:tcW w:w="1134" w:type="pct"/>
            <w:tcBorders>
              <w:top w:val="nil"/>
              <w:left w:val="nil"/>
              <w:bottom w:val="single" w:color="auto" w:sz="4" w:space="0"/>
              <w:right w:val="single" w:color="auto" w:sz="4" w:space="0"/>
            </w:tcBorders>
            <w:shd w:val="clear" w:color="auto" w:fill="auto"/>
            <w:vAlign w:val="center"/>
          </w:tcPr>
          <w:p>
            <w:pPr>
              <w:pStyle w:val="63"/>
            </w:pPr>
            <w:r>
              <w:t>一类工业用地</w:t>
            </w:r>
          </w:p>
        </w:tc>
        <w:tc>
          <w:tcPr>
            <w:tcW w:w="552"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97.46</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97.46</w:t>
            </w:r>
          </w:p>
        </w:tc>
        <w:tc>
          <w:tcPr>
            <w:tcW w:w="477" w:type="pct"/>
            <w:tcBorders>
              <w:top w:val="nil"/>
              <w:left w:val="nil"/>
              <w:bottom w:val="single" w:color="auto" w:sz="4" w:space="0"/>
              <w:right w:val="single" w:color="auto" w:sz="12" w:space="0"/>
            </w:tcBorders>
            <w:shd w:val="clear" w:color="auto" w:fill="auto"/>
            <w:vAlign w:val="center"/>
          </w:tcPr>
          <w:p>
            <w:pPr>
              <w:pStyle w:val="63"/>
            </w:pPr>
            <w:r>
              <w:rPr>
                <w:color w:val="000000"/>
                <w:sz w:val="22"/>
              </w:rPr>
              <w:t>0</w:t>
            </w:r>
          </w:p>
        </w:tc>
      </w:tr>
      <w:tr>
        <w:tblPrEx>
          <w:tblCellMar>
            <w:top w:w="0" w:type="dxa"/>
            <w:left w:w="108" w:type="dxa"/>
            <w:bottom w:w="0" w:type="dxa"/>
            <w:right w:w="108" w:type="dxa"/>
          </w:tblCellMar>
        </w:tblPrEx>
        <w:trPr>
          <w:trHeight w:val="510" w:hRule="atLeast"/>
          <w:jc w:val="center"/>
        </w:trPr>
        <w:tc>
          <w:tcPr>
            <w:tcW w:w="448" w:type="pct"/>
            <w:vMerge w:val="continue"/>
            <w:tcBorders>
              <w:top w:val="nil"/>
              <w:left w:val="single" w:color="auto" w:sz="12" w:space="0"/>
              <w:bottom w:val="single" w:color="auto" w:sz="4" w:space="0"/>
              <w:right w:val="single" w:color="auto" w:sz="4" w:space="0"/>
            </w:tcBorders>
            <w:shd w:val="clear" w:color="auto" w:fill="auto"/>
            <w:vAlign w:val="center"/>
          </w:tcPr>
          <w:p>
            <w:pPr>
              <w:pStyle w:val="63"/>
            </w:pPr>
          </w:p>
        </w:tc>
        <w:tc>
          <w:tcPr>
            <w:tcW w:w="449" w:type="pct"/>
            <w:tcBorders>
              <w:top w:val="nil"/>
              <w:left w:val="nil"/>
              <w:bottom w:val="single" w:color="auto" w:sz="4" w:space="0"/>
              <w:right w:val="single" w:color="auto" w:sz="4" w:space="0"/>
            </w:tcBorders>
            <w:shd w:val="clear" w:color="auto" w:fill="auto"/>
            <w:vAlign w:val="center"/>
          </w:tcPr>
          <w:p>
            <w:pPr>
              <w:pStyle w:val="63"/>
            </w:pPr>
            <w:r>
              <w:t>M2</w:t>
            </w:r>
          </w:p>
        </w:tc>
        <w:tc>
          <w:tcPr>
            <w:tcW w:w="1134" w:type="pct"/>
            <w:tcBorders>
              <w:top w:val="nil"/>
              <w:left w:val="nil"/>
              <w:bottom w:val="single" w:color="auto" w:sz="4" w:space="0"/>
              <w:right w:val="single" w:color="auto" w:sz="4" w:space="0"/>
            </w:tcBorders>
            <w:shd w:val="clear" w:color="auto" w:fill="auto"/>
            <w:vAlign w:val="center"/>
          </w:tcPr>
          <w:p>
            <w:pPr>
              <w:pStyle w:val="63"/>
            </w:pPr>
            <w:r>
              <w:t>二类工业用地</w:t>
            </w:r>
          </w:p>
        </w:tc>
        <w:tc>
          <w:tcPr>
            <w:tcW w:w="552"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296.52</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194.97</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32.56</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35.5</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0</w:t>
            </w:r>
          </w:p>
        </w:tc>
        <w:tc>
          <w:tcPr>
            <w:tcW w:w="477" w:type="pct"/>
            <w:tcBorders>
              <w:top w:val="nil"/>
              <w:left w:val="nil"/>
              <w:bottom w:val="single" w:color="auto" w:sz="4" w:space="0"/>
              <w:right w:val="single" w:color="auto" w:sz="12" w:space="0"/>
            </w:tcBorders>
            <w:shd w:val="clear" w:color="auto" w:fill="auto"/>
            <w:vAlign w:val="center"/>
          </w:tcPr>
          <w:p>
            <w:pPr>
              <w:pStyle w:val="63"/>
            </w:pPr>
            <w:r>
              <w:rPr>
                <w:color w:val="000000"/>
                <w:sz w:val="20"/>
                <w:szCs w:val="20"/>
              </w:rPr>
              <w:t>33.49</w:t>
            </w:r>
          </w:p>
        </w:tc>
      </w:tr>
      <w:tr>
        <w:tblPrEx>
          <w:tblCellMar>
            <w:top w:w="0" w:type="dxa"/>
            <w:left w:w="108" w:type="dxa"/>
            <w:bottom w:w="0" w:type="dxa"/>
            <w:right w:w="108" w:type="dxa"/>
          </w:tblCellMar>
        </w:tblPrEx>
        <w:trPr>
          <w:trHeight w:val="510" w:hRule="atLeast"/>
          <w:jc w:val="center"/>
        </w:trPr>
        <w:tc>
          <w:tcPr>
            <w:tcW w:w="448" w:type="pct"/>
            <w:vMerge w:val="continue"/>
            <w:tcBorders>
              <w:top w:val="nil"/>
              <w:left w:val="single" w:color="auto" w:sz="12" w:space="0"/>
              <w:bottom w:val="single" w:color="auto" w:sz="4" w:space="0"/>
              <w:right w:val="single" w:color="auto" w:sz="4" w:space="0"/>
            </w:tcBorders>
            <w:shd w:val="clear" w:color="auto" w:fill="auto"/>
            <w:vAlign w:val="center"/>
          </w:tcPr>
          <w:p>
            <w:pPr>
              <w:pStyle w:val="63"/>
            </w:pPr>
          </w:p>
        </w:tc>
        <w:tc>
          <w:tcPr>
            <w:tcW w:w="449" w:type="pct"/>
            <w:tcBorders>
              <w:top w:val="nil"/>
              <w:left w:val="nil"/>
              <w:bottom w:val="single" w:color="auto" w:sz="4" w:space="0"/>
              <w:right w:val="single" w:color="auto" w:sz="4" w:space="0"/>
            </w:tcBorders>
            <w:shd w:val="clear" w:color="auto" w:fill="auto"/>
            <w:vAlign w:val="center"/>
          </w:tcPr>
          <w:p>
            <w:pPr>
              <w:pStyle w:val="63"/>
            </w:pPr>
            <w:r>
              <w:t>M3</w:t>
            </w:r>
          </w:p>
        </w:tc>
        <w:tc>
          <w:tcPr>
            <w:tcW w:w="1134" w:type="pct"/>
            <w:tcBorders>
              <w:top w:val="nil"/>
              <w:left w:val="nil"/>
              <w:bottom w:val="single" w:color="auto" w:sz="4" w:space="0"/>
              <w:right w:val="single" w:color="auto" w:sz="4" w:space="0"/>
            </w:tcBorders>
            <w:shd w:val="clear" w:color="auto" w:fill="auto"/>
            <w:vAlign w:val="center"/>
          </w:tcPr>
          <w:p>
            <w:pPr>
              <w:pStyle w:val="63"/>
            </w:pPr>
            <w:r>
              <w:t>三类工业用地</w:t>
            </w:r>
          </w:p>
        </w:tc>
        <w:tc>
          <w:tcPr>
            <w:tcW w:w="552"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389.82</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389.82</w:t>
            </w:r>
          </w:p>
        </w:tc>
        <w:tc>
          <w:tcPr>
            <w:tcW w:w="485" w:type="pct"/>
            <w:tcBorders>
              <w:top w:val="nil"/>
              <w:left w:val="nil"/>
              <w:bottom w:val="single" w:color="auto" w:sz="4" w:space="0"/>
              <w:right w:val="single" w:color="auto" w:sz="4" w:space="0"/>
            </w:tcBorders>
            <w:shd w:val="clear" w:color="auto" w:fill="auto"/>
            <w:vAlign w:val="center"/>
          </w:tcPr>
          <w:p>
            <w:pPr>
              <w:pStyle w:val="63"/>
            </w:pPr>
            <w:r>
              <w:rPr>
                <w:color w:val="000000"/>
                <w:sz w:val="20"/>
                <w:szCs w:val="20"/>
              </w:rPr>
              <w:t>0</w:t>
            </w:r>
          </w:p>
        </w:tc>
        <w:tc>
          <w:tcPr>
            <w:tcW w:w="477" w:type="pct"/>
            <w:tcBorders>
              <w:top w:val="nil"/>
              <w:left w:val="nil"/>
              <w:bottom w:val="single" w:color="auto" w:sz="4" w:space="0"/>
              <w:right w:val="single" w:color="auto" w:sz="12" w:space="0"/>
            </w:tcBorders>
            <w:shd w:val="clear" w:color="auto" w:fill="auto"/>
            <w:vAlign w:val="center"/>
          </w:tcPr>
          <w:p>
            <w:pPr>
              <w:pStyle w:val="63"/>
            </w:pPr>
            <w:r>
              <w:rPr>
                <w:color w:val="000000"/>
                <w:sz w:val="20"/>
                <w:szCs w:val="20"/>
              </w:rPr>
              <w:t>0</w:t>
            </w:r>
          </w:p>
        </w:tc>
      </w:tr>
      <w:tr>
        <w:tblPrEx>
          <w:tblCellMar>
            <w:top w:w="0" w:type="dxa"/>
            <w:left w:w="108" w:type="dxa"/>
            <w:bottom w:w="0" w:type="dxa"/>
            <w:right w:w="108" w:type="dxa"/>
          </w:tblCellMar>
        </w:tblPrEx>
        <w:trPr>
          <w:trHeight w:val="510" w:hRule="atLeast"/>
          <w:jc w:val="center"/>
        </w:trPr>
        <w:tc>
          <w:tcPr>
            <w:tcW w:w="448" w:type="pct"/>
            <w:tcBorders>
              <w:top w:val="nil"/>
              <w:left w:val="single" w:color="auto" w:sz="12" w:space="0"/>
              <w:bottom w:val="single" w:color="auto" w:sz="4" w:space="0"/>
              <w:right w:val="single" w:color="auto" w:sz="4" w:space="0"/>
            </w:tcBorders>
            <w:shd w:val="clear" w:color="auto" w:fill="auto"/>
            <w:vAlign w:val="center"/>
          </w:tcPr>
          <w:p>
            <w:pPr>
              <w:pStyle w:val="63"/>
            </w:pPr>
            <w:r>
              <w:t>S</w:t>
            </w:r>
          </w:p>
        </w:tc>
        <w:tc>
          <w:tcPr>
            <w:tcW w:w="449" w:type="pct"/>
            <w:tcBorders>
              <w:top w:val="nil"/>
              <w:left w:val="nil"/>
              <w:bottom w:val="single" w:color="auto" w:sz="4" w:space="0"/>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t>道路与交通设施用地</w:t>
            </w:r>
          </w:p>
        </w:tc>
        <w:tc>
          <w:tcPr>
            <w:tcW w:w="552" w:type="pct"/>
            <w:tcBorders>
              <w:top w:val="nil"/>
              <w:left w:val="nil"/>
              <w:bottom w:val="single" w:color="auto" w:sz="4" w:space="0"/>
              <w:right w:val="single" w:color="auto" w:sz="4" w:space="0"/>
            </w:tcBorders>
            <w:shd w:val="clear" w:color="auto" w:fill="auto"/>
            <w:vAlign w:val="center"/>
          </w:tcPr>
          <w:p>
            <w:pPr>
              <w:pStyle w:val="63"/>
            </w:pPr>
            <w:r>
              <w:t>118.44</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26.57</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1.34</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67.64</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22.64</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0.25</w:t>
            </w:r>
          </w:p>
        </w:tc>
      </w:tr>
      <w:tr>
        <w:tblPrEx>
          <w:tblCellMar>
            <w:top w:w="0" w:type="dxa"/>
            <w:left w:w="108" w:type="dxa"/>
            <w:bottom w:w="0" w:type="dxa"/>
            <w:right w:w="108" w:type="dxa"/>
          </w:tblCellMar>
        </w:tblPrEx>
        <w:trPr>
          <w:trHeight w:val="510" w:hRule="atLeast"/>
          <w:jc w:val="center"/>
        </w:trPr>
        <w:tc>
          <w:tcPr>
            <w:tcW w:w="448" w:type="pct"/>
            <w:tcBorders>
              <w:top w:val="nil"/>
              <w:left w:val="single" w:color="auto" w:sz="12" w:space="0"/>
              <w:bottom w:val="single" w:color="auto" w:sz="4" w:space="0"/>
              <w:right w:val="single" w:color="auto" w:sz="4" w:space="0"/>
            </w:tcBorders>
            <w:shd w:val="clear" w:color="auto" w:fill="auto"/>
            <w:vAlign w:val="center"/>
          </w:tcPr>
          <w:p>
            <w:pPr>
              <w:pStyle w:val="63"/>
            </w:pPr>
            <w:r>
              <w:t>U</w:t>
            </w:r>
          </w:p>
        </w:tc>
        <w:tc>
          <w:tcPr>
            <w:tcW w:w="449" w:type="pct"/>
            <w:tcBorders>
              <w:top w:val="nil"/>
              <w:left w:val="nil"/>
              <w:bottom w:val="nil"/>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t>公用设施用地</w:t>
            </w:r>
          </w:p>
        </w:tc>
        <w:tc>
          <w:tcPr>
            <w:tcW w:w="552" w:type="pct"/>
            <w:tcBorders>
              <w:top w:val="nil"/>
              <w:left w:val="nil"/>
              <w:bottom w:val="single" w:color="auto" w:sz="4" w:space="0"/>
              <w:right w:val="single" w:color="auto" w:sz="4" w:space="0"/>
            </w:tcBorders>
            <w:shd w:val="clear" w:color="auto" w:fill="auto"/>
            <w:vAlign w:val="center"/>
          </w:tcPr>
          <w:p>
            <w:pPr>
              <w:pStyle w:val="63"/>
            </w:pPr>
            <w:r>
              <w:rPr>
                <w:sz w:val="22"/>
              </w:rPr>
              <w:t>24.36</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14.45</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8.24</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1.67</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0</w:t>
            </w:r>
          </w:p>
        </w:tc>
      </w:tr>
      <w:tr>
        <w:tblPrEx>
          <w:tblCellMar>
            <w:top w:w="0" w:type="dxa"/>
            <w:left w:w="108" w:type="dxa"/>
            <w:bottom w:w="0" w:type="dxa"/>
            <w:right w:w="108" w:type="dxa"/>
          </w:tblCellMar>
        </w:tblPrEx>
        <w:trPr>
          <w:trHeight w:val="510" w:hRule="atLeast"/>
          <w:jc w:val="center"/>
        </w:trPr>
        <w:tc>
          <w:tcPr>
            <w:tcW w:w="448" w:type="pct"/>
            <w:tcBorders>
              <w:top w:val="single" w:color="auto" w:sz="4" w:space="0"/>
              <w:left w:val="single" w:color="auto" w:sz="12" w:space="0"/>
              <w:bottom w:val="single" w:color="auto" w:sz="4" w:space="0"/>
              <w:right w:val="single" w:color="auto" w:sz="4" w:space="0"/>
            </w:tcBorders>
            <w:shd w:val="clear" w:color="auto" w:fill="auto"/>
            <w:noWrap/>
            <w:vAlign w:val="center"/>
          </w:tcPr>
          <w:p>
            <w:pPr>
              <w:pStyle w:val="63"/>
            </w:pPr>
            <w:r>
              <w:t>G</w:t>
            </w: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p>
        </w:tc>
        <w:tc>
          <w:tcPr>
            <w:tcW w:w="1134" w:type="pct"/>
            <w:tcBorders>
              <w:top w:val="nil"/>
              <w:left w:val="nil"/>
              <w:bottom w:val="single" w:color="auto" w:sz="4" w:space="0"/>
              <w:right w:val="single" w:color="auto" w:sz="4" w:space="0"/>
            </w:tcBorders>
            <w:shd w:val="clear" w:color="auto" w:fill="auto"/>
            <w:vAlign w:val="center"/>
          </w:tcPr>
          <w:p>
            <w:pPr>
              <w:pStyle w:val="63"/>
            </w:pPr>
            <w:r>
              <w:rPr>
                <w:sz w:val="22"/>
              </w:rPr>
              <w:t>绿地与广场用地</w:t>
            </w:r>
          </w:p>
        </w:tc>
        <w:tc>
          <w:tcPr>
            <w:tcW w:w="552" w:type="pct"/>
            <w:tcBorders>
              <w:top w:val="nil"/>
              <w:left w:val="nil"/>
              <w:bottom w:val="single" w:color="auto" w:sz="4" w:space="0"/>
              <w:right w:val="single" w:color="auto" w:sz="4" w:space="0"/>
            </w:tcBorders>
            <w:shd w:val="clear" w:color="auto" w:fill="auto"/>
            <w:vAlign w:val="center"/>
          </w:tcPr>
          <w:p>
            <w:pPr>
              <w:pStyle w:val="63"/>
            </w:pPr>
            <w:r>
              <w:rPr>
                <w:sz w:val="22"/>
              </w:rPr>
              <w:t>31.43</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6.67</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0</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19.92</w:t>
            </w:r>
          </w:p>
        </w:tc>
        <w:tc>
          <w:tcPr>
            <w:tcW w:w="485" w:type="pct"/>
            <w:tcBorders>
              <w:top w:val="nil"/>
              <w:left w:val="nil"/>
              <w:bottom w:val="single" w:color="auto" w:sz="4" w:space="0"/>
              <w:right w:val="single" w:color="auto" w:sz="4" w:space="0"/>
            </w:tcBorders>
            <w:shd w:val="clear" w:color="auto" w:fill="auto"/>
            <w:vAlign w:val="center"/>
          </w:tcPr>
          <w:p>
            <w:pPr>
              <w:pStyle w:val="63"/>
            </w:pPr>
            <w:r>
              <w:rPr>
                <w:sz w:val="22"/>
              </w:rPr>
              <w:t>4.84</w:t>
            </w:r>
          </w:p>
        </w:tc>
        <w:tc>
          <w:tcPr>
            <w:tcW w:w="477" w:type="pct"/>
            <w:tcBorders>
              <w:top w:val="nil"/>
              <w:left w:val="nil"/>
              <w:bottom w:val="single" w:color="auto" w:sz="4" w:space="0"/>
              <w:right w:val="single" w:color="auto" w:sz="12" w:space="0"/>
            </w:tcBorders>
            <w:shd w:val="clear" w:color="auto" w:fill="auto"/>
            <w:vAlign w:val="center"/>
          </w:tcPr>
          <w:p>
            <w:pPr>
              <w:pStyle w:val="63"/>
            </w:pPr>
            <w:r>
              <w:rPr>
                <w:sz w:val="22"/>
              </w:rPr>
              <w:t>0</w:t>
            </w:r>
          </w:p>
        </w:tc>
      </w:tr>
      <w:tr>
        <w:tblPrEx>
          <w:tblCellMar>
            <w:top w:w="0" w:type="dxa"/>
            <w:left w:w="108" w:type="dxa"/>
            <w:bottom w:w="0" w:type="dxa"/>
            <w:right w:w="108" w:type="dxa"/>
          </w:tblCellMar>
        </w:tblPrEx>
        <w:trPr>
          <w:trHeight w:val="510" w:hRule="atLeast"/>
          <w:jc w:val="center"/>
        </w:trPr>
        <w:tc>
          <w:tcPr>
            <w:tcW w:w="897" w:type="pct"/>
            <w:gridSpan w:val="2"/>
            <w:tcBorders>
              <w:top w:val="single" w:color="auto" w:sz="4" w:space="0"/>
              <w:left w:val="single" w:color="auto" w:sz="12" w:space="0"/>
              <w:bottom w:val="single" w:color="auto" w:sz="12" w:space="0"/>
              <w:right w:val="single" w:color="auto" w:sz="4" w:space="0"/>
            </w:tcBorders>
            <w:shd w:val="clear" w:color="auto" w:fill="auto"/>
            <w:noWrap/>
            <w:vAlign w:val="center"/>
          </w:tcPr>
          <w:p>
            <w:pPr>
              <w:pStyle w:val="63"/>
            </w:pPr>
            <w:r>
              <w:t>H11</w:t>
            </w:r>
          </w:p>
        </w:tc>
        <w:tc>
          <w:tcPr>
            <w:tcW w:w="1134" w:type="pct"/>
            <w:tcBorders>
              <w:top w:val="nil"/>
              <w:left w:val="nil"/>
              <w:bottom w:val="single" w:color="auto" w:sz="12" w:space="0"/>
              <w:right w:val="single" w:color="auto" w:sz="4" w:space="0"/>
            </w:tcBorders>
            <w:shd w:val="clear" w:color="auto" w:fill="auto"/>
            <w:vAlign w:val="center"/>
          </w:tcPr>
          <w:p>
            <w:pPr>
              <w:pStyle w:val="63"/>
            </w:pPr>
            <w:r>
              <w:t>城市建设用地</w:t>
            </w:r>
          </w:p>
        </w:tc>
        <w:tc>
          <w:tcPr>
            <w:tcW w:w="552" w:type="pct"/>
            <w:tcBorders>
              <w:top w:val="nil"/>
              <w:left w:val="nil"/>
              <w:bottom w:val="single" w:color="auto" w:sz="12" w:space="0"/>
              <w:right w:val="single" w:color="auto" w:sz="4" w:space="0"/>
            </w:tcBorders>
            <w:shd w:val="clear" w:color="auto" w:fill="auto"/>
            <w:vAlign w:val="center"/>
          </w:tcPr>
          <w:p>
            <w:pPr>
              <w:pStyle w:val="63"/>
            </w:pPr>
            <w:r>
              <w:rPr>
                <w:sz w:val="22"/>
              </w:rPr>
              <w:t>992.3</w:t>
            </w:r>
          </w:p>
        </w:tc>
        <w:tc>
          <w:tcPr>
            <w:tcW w:w="485" w:type="pct"/>
            <w:tcBorders>
              <w:top w:val="nil"/>
              <w:left w:val="nil"/>
              <w:bottom w:val="single" w:color="auto" w:sz="12" w:space="0"/>
              <w:right w:val="single" w:color="auto" w:sz="4" w:space="0"/>
            </w:tcBorders>
            <w:shd w:val="clear" w:color="auto" w:fill="auto"/>
            <w:vAlign w:val="center"/>
          </w:tcPr>
          <w:p>
            <w:pPr>
              <w:pStyle w:val="63"/>
            </w:pPr>
            <w:r>
              <w:rPr>
                <w:sz w:val="22"/>
              </w:rPr>
              <w:t>243.39</w:t>
            </w:r>
          </w:p>
        </w:tc>
        <w:tc>
          <w:tcPr>
            <w:tcW w:w="485" w:type="pct"/>
            <w:tcBorders>
              <w:top w:val="nil"/>
              <w:left w:val="nil"/>
              <w:bottom w:val="single" w:color="auto" w:sz="12" w:space="0"/>
              <w:right w:val="single" w:color="auto" w:sz="4" w:space="0"/>
            </w:tcBorders>
            <w:shd w:val="clear" w:color="auto" w:fill="auto"/>
            <w:vAlign w:val="center"/>
          </w:tcPr>
          <w:p>
            <w:pPr>
              <w:pStyle w:val="63"/>
            </w:pPr>
            <w:r>
              <w:rPr>
                <w:sz w:val="22"/>
              </w:rPr>
              <w:t>33.90</w:t>
            </w:r>
          </w:p>
        </w:tc>
        <w:tc>
          <w:tcPr>
            <w:tcW w:w="485" w:type="pct"/>
            <w:tcBorders>
              <w:top w:val="nil"/>
              <w:left w:val="nil"/>
              <w:bottom w:val="single" w:color="auto" w:sz="12" w:space="0"/>
              <w:right w:val="single" w:color="auto" w:sz="4" w:space="0"/>
            </w:tcBorders>
            <w:shd w:val="clear" w:color="auto" w:fill="auto"/>
            <w:vAlign w:val="center"/>
          </w:tcPr>
          <w:p>
            <w:pPr>
              <w:pStyle w:val="63"/>
            </w:pPr>
            <w:r>
              <w:rPr>
                <w:sz w:val="22"/>
              </w:rPr>
              <w:t>522.94</w:t>
            </w:r>
          </w:p>
        </w:tc>
        <w:tc>
          <w:tcPr>
            <w:tcW w:w="485" w:type="pct"/>
            <w:tcBorders>
              <w:top w:val="nil"/>
              <w:left w:val="nil"/>
              <w:bottom w:val="single" w:color="auto" w:sz="12" w:space="0"/>
              <w:right w:val="single" w:color="auto" w:sz="4" w:space="0"/>
            </w:tcBorders>
            <w:shd w:val="clear" w:color="auto" w:fill="auto"/>
            <w:vAlign w:val="center"/>
          </w:tcPr>
          <w:p>
            <w:pPr>
              <w:pStyle w:val="63"/>
            </w:pPr>
            <w:r>
              <w:rPr>
                <w:sz w:val="22"/>
              </w:rPr>
              <w:t>158.33</w:t>
            </w:r>
          </w:p>
        </w:tc>
        <w:tc>
          <w:tcPr>
            <w:tcW w:w="477" w:type="pct"/>
            <w:tcBorders>
              <w:top w:val="nil"/>
              <w:left w:val="nil"/>
              <w:bottom w:val="single" w:color="auto" w:sz="12" w:space="0"/>
              <w:right w:val="single" w:color="auto" w:sz="12" w:space="0"/>
            </w:tcBorders>
            <w:shd w:val="clear" w:color="auto" w:fill="auto"/>
            <w:vAlign w:val="center"/>
          </w:tcPr>
          <w:p>
            <w:pPr>
              <w:pStyle w:val="63"/>
            </w:pPr>
            <w:r>
              <w:rPr>
                <w:sz w:val="22"/>
              </w:rPr>
              <w:t>33.74</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pgSz w:w="16840" w:h="11907" w:orient="landscape"/>
          <w:pgMar w:top="1418" w:right="1418" w:bottom="1701" w:left="1418" w:header="935" w:footer="1021" w:gutter="0"/>
          <w:paperSrc w:first="7" w:other="7"/>
          <w:cols w:space="720" w:num="1"/>
          <w:docGrid w:linePitch="326" w:charSpace="0"/>
        </w:sectPr>
      </w:pPr>
      <w:bookmarkStart w:id="224" w:name="_Toc50625276"/>
      <w:bookmarkStart w:id="225" w:name="_Toc82606980"/>
      <w:bookmarkStart w:id="226" w:name="_Toc521835559"/>
      <w:bookmarkStart w:id="227" w:name="_Toc38478410"/>
      <w:bookmarkStart w:id="228" w:name="_Toc38389582"/>
      <w:bookmarkStart w:id="229" w:name="_Toc40253179"/>
      <w:bookmarkStart w:id="230" w:name="_Toc43837841"/>
      <w:bookmarkStart w:id="231" w:name="_Toc49323773"/>
      <w:bookmarkStart w:id="232" w:name="_Toc134088471"/>
      <w:bookmarkStart w:id="233" w:name="_Toc43837840"/>
      <w:bookmarkStart w:id="234" w:name="_Toc40253178"/>
      <w:bookmarkStart w:id="235" w:name="_Toc82606979"/>
      <w:bookmarkStart w:id="236" w:name="_Toc134088470"/>
      <w:bookmarkStart w:id="237" w:name="_Toc38389581"/>
      <w:bookmarkStart w:id="238" w:name="_Toc50625275"/>
      <w:bookmarkStart w:id="239" w:name="_Toc49323772"/>
      <w:bookmarkStart w:id="240" w:name="_Toc38478409"/>
      <w:bookmarkStart w:id="241" w:name="_Toc521835558"/>
    </w:p>
    <w:p>
      <w:pPr>
        <w:pStyle w:val="4"/>
        <w:rPr>
          <w:rFonts w:ascii="Times New Roman" w:hAnsi="Times New Roman" w:cs="Times New Roman"/>
        </w:rPr>
      </w:pPr>
      <w:bookmarkStart w:id="242" w:name="_Toc146091904"/>
      <w:r>
        <w:rPr>
          <w:rFonts w:ascii="Times New Roman" w:hAnsi="Times New Roman" w:cs="Times New Roman"/>
        </w:rPr>
        <w:t>3.2.9 道路交通规划</w:t>
      </w:r>
      <w:bookmarkEnd w:id="224"/>
      <w:bookmarkEnd w:id="225"/>
      <w:bookmarkEnd w:id="226"/>
      <w:bookmarkEnd w:id="227"/>
      <w:bookmarkEnd w:id="228"/>
      <w:bookmarkEnd w:id="229"/>
      <w:bookmarkEnd w:id="230"/>
      <w:bookmarkEnd w:id="231"/>
      <w:bookmarkEnd w:id="232"/>
      <w:bookmarkEnd w:id="242"/>
    </w:p>
    <w:p>
      <w:pPr>
        <w:pStyle w:val="5"/>
        <w:ind w:firstLine="482"/>
        <w:rPr>
          <w:rFonts w:ascii="Times New Roman" w:hAnsi="Times New Roman" w:cs="Times New Roman" w:eastAsiaTheme="minorEastAsia"/>
        </w:rPr>
      </w:pPr>
      <w:bookmarkStart w:id="243" w:name="_Toc49323774"/>
      <w:bookmarkStart w:id="244" w:name="_Toc50625277"/>
      <w:r>
        <w:rPr>
          <w:rFonts w:ascii="Times New Roman" w:hAnsi="Times New Roman" w:cs="Times New Roman" w:eastAsiaTheme="minorEastAsia"/>
        </w:rPr>
        <w:t>3.2.9.1 对外交通规划</w:t>
      </w:r>
      <w:bookmarkEnd w:id="243"/>
      <w:bookmarkEnd w:id="244"/>
    </w:p>
    <w:p>
      <w:pPr>
        <w:spacing w:line="360" w:lineRule="auto"/>
        <w:ind w:firstLine="480" w:firstLineChars="200"/>
        <w:rPr>
          <w:rFonts w:ascii="Times New Roman" w:hAnsi="Times New Roman" w:cs="Times New Roman"/>
        </w:rPr>
      </w:pPr>
      <w:r>
        <w:rPr>
          <w:rFonts w:ascii="Times New Roman" w:hAnsi="Times New Roman" w:cs="Times New Roman"/>
        </w:rPr>
        <w:t>规划滨江片区主要通过工业大道、临鸭公路与周边进行联系，三湾片区主要通过石塘路与周边进行联系，绿色建材产业园主要通过临江大道和临湘大道与周边进行联系。</w:t>
      </w:r>
    </w:p>
    <w:p>
      <w:pPr>
        <w:pStyle w:val="5"/>
        <w:ind w:firstLine="482"/>
        <w:rPr>
          <w:rFonts w:ascii="Times New Roman" w:hAnsi="Times New Roman" w:cs="Times New Roman" w:eastAsiaTheme="minorEastAsia"/>
        </w:rPr>
      </w:pPr>
      <w:bookmarkStart w:id="245" w:name="_Toc49323775"/>
      <w:bookmarkStart w:id="246" w:name="_Toc50625278"/>
      <w:r>
        <w:rPr>
          <w:rFonts w:ascii="Times New Roman" w:hAnsi="Times New Roman" w:cs="Times New Roman" w:eastAsiaTheme="minorEastAsia"/>
        </w:rPr>
        <w:t>3.2.9.2 对内交通规划</w:t>
      </w:r>
      <w:bookmarkEnd w:id="245"/>
      <w:bookmarkEnd w:id="246"/>
    </w:p>
    <w:p>
      <w:pPr>
        <w:spacing w:line="360" w:lineRule="auto"/>
        <w:ind w:firstLine="480" w:firstLineChars="200"/>
        <w:rPr>
          <w:rFonts w:ascii="Times New Roman" w:hAnsi="Times New Roman" w:cs="Times New Roman"/>
        </w:rPr>
      </w:pPr>
      <w:bookmarkStart w:id="247" w:name="_Toc521835560"/>
      <w:bookmarkStart w:id="248" w:name="_Toc38478411"/>
      <w:bookmarkStart w:id="249" w:name="_Toc40253180"/>
      <w:bookmarkStart w:id="250" w:name="_Toc43837842"/>
      <w:r>
        <w:rPr>
          <w:rFonts w:ascii="Times New Roman" w:hAnsi="Times New Roman" w:cs="Times New Roman"/>
        </w:rPr>
        <w:t>（1）道路系统</w:t>
      </w:r>
    </w:p>
    <w:p>
      <w:pPr>
        <w:spacing w:line="360" w:lineRule="auto"/>
        <w:ind w:firstLine="480" w:firstLineChars="200"/>
        <w:rPr>
          <w:rFonts w:ascii="Times New Roman" w:hAnsi="Times New Roman" w:cs="Times New Roman"/>
        </w:rPr>
      </w:pPr>
      <w:r>
        <w:rPr>
          <w:rFonts w:ascii="Times New Roman" w:hAnsi="Times New Roman" w:cs="Times New Roman"/>
        </w:rPr>
        <w:t>规划滨江片区形成以工业大道、临鸭公路、斑竹大道为主环形主干道系统；规划三湾片区形成以三湾大道、石塘路为主的“一横一纵”的主干道系统。</w:t>
      </w:r>
    </w:p>
    <w:p>
      <w:pPr>
        <w:spacing w:line="360" w:lineRule="auto"/>
        <w:ind w:firstLine="480" w:firstLineChars="200"/>
        <w:rPr>
          <w:rFonts w:ascii="Times New Roman" w:hAnsi="Times New Roman" w:cs="Times New Roman"/>
        </w:rPr>
      </w:pPr>
      <w:r>
        <w:rPr>
          <w:rFonts w:ascii="Times New Roman" w:hAnsi="Times New Roman" w:cs="Times New Roman"/>
        </w:rPr>
        <w:t>（2）道路控制</w:t>
      </w:r>
    </w:p>
    <w:p>
      <w:pPr>
        <w:spacing w:line="360" w:lineRule="auto"/>
        <w:ind w:firstLine="480" w:firstLineChars="200"/>
        <w:rPr>
          <w:rFonts w:ascii="Times New Roman" w:hAnsi="Times New Roman" w:cs="Times New Roman"/>
        </w:rPr>
      </w:pPr>
      <w:r>
        <w:rPr>
          <w:rFonts w:ascii="Times New Roman" w:hAnsi="Times New Roman" w:cs="Times New Roman"/>
        </w:rPr>
        <w:t>主干道：园区路网的主骨架，承担园区各组团之间和内部的主要交通联系，间距1000-1200米，道路红线宽度控制为30—40米，设计行车速度为40—60公里/小时，分为区域性主干道和一般性主干道。</w:t>
      </w:r>
    </w:p>
    <w:p>
      <w:pPr>
        <w:spacing w:line="360" w:lineRule="auto"/>
        <w:ind w:firstLine="480" w:firstLineChars="200"/>
        <w:rPr>
          <w:rFonts w:ascii="Times New Roman" w:hAnsi="Times New Roman" w:cs="Times New Roman"/>
        </w:rPr>
      </w:pPr>
      <w:r>
        <w:rPr>
          <w:rFonts w:ascii="Times New Roman" w:hAnsi="Times New Roman" w:cs="Times New Roman"/>
        </w:rPr>
        <w:t>区域性主干道包括南北向的临鸭公路、业大道和东西向的斑竹大道。</w:t>
      </w:r>
    </w:p>
    <w:p>
      <w:pPr>
        <w:spacing w:line="360" w:lineRule="auto"/>
        <w:ind w:firstLine="480" w:firstLineChars="200"/>
        <w:rPr>
          <w:rFonts w:ascii="Times New Roman" w:hAnsi="Times New Roman" w:cs="Times New Roman"/>
        </w:rPr>
      </w:pPr>
      <w:r>
        <w:rPr>
          <w:rFonts w:ascii="Times New Roman" w:hAnsi="Times New Roman" w:cs="Times New Roman"/>
        </w:rPr>
        <w:t>一般性主干道包括东西向的三湾大道和南北向的石塘路。</w:t>
      </w:r>
    </w:p>
    <w:p>
      <w:pPr>
        <w:spacing w:line="360" w:lineRule="auto"/>
        <w:ind w:firstLine="480" w:firstLineChars="200"/>
        <w:rPr>
          <w:rFonts w:ascii="Times New Roman" w:hAnsi="Times New Roman" w:cs="Times New Roman"/>
        </w:rPr>
      </w:pPr>
      <w:r>
        <w:rPr>
          <w:rFonts w:ascii="Times New Roman" w:hAnsi="Times New Roman" w:cs="Times New Roman"/>
        </w:rPr>
        <w:t>次干道：道路红线宽度为20-24米，设计行车速度为40km/h。</w:t>
      </w:r>
    </w:p>
    <w:p>
      <w:pPr>
        <w:spacing w:line="360" w:lineRule="auto"/>
        <w:ind w:firstLine="480" w:firstLineChars="200"/>
        <w:rPr>
          <w:rFonts w:ascii="Times New Roman" w:hAnsi="Times New Roman" w:cs="Times New Roman"/>
        </w:rPr>
      </w:pPr>
      <w:r>
        <w:rPr>
          <w:rFonts w:ascii="Times New Roman" w:hAnsi="Times New Roman" w:cs="Times New Roman"/>
        </w:rPr>
        <w:t>支路：承担集散交通流的作用，道路红线控制为12—18m，设计行车速度为30-40km/h。</w:t>
      </w:r>
    </w:p>
    <w:bookmarkEnd w:id="233"/>
    <w:bookmarkEnd w:id="234"/>
    <w:bookmarkEnd w:id="235"/>
    <w:bookmarkEnd w:id="236"/>
    <w:bookmarkEnd w:id="237"/>
    <w:bookmarkEnd w:id="238"/>
    <w:bookmarkEnd w:id="239"/>
    <w:bookmarkEnd w:id="240"/>
    <w:bookmarkEnd w:id="241"/>
    <w:bookmarkEnd w:id="247"/>
    <w:bookmarkEnd w:id="248"/>
    <w:bookmarkEnd w:id="249"/>
    <w:bookmarkEnd w:id="250"/>
    <w:p>
      <w:pPr>
        <w:pStyle w:val="4"/>
        <w:rPr>
          <w:rFonts w:ascii="Times New Roman" w:hAnsi="Times New Roman" w:cs="Times New Roman"/>
        </w:rPr>
      </w:pPr>
      <w:bookmarkStart w:id="251" w:name="_Toc49323777"/>
      <w:bookmarkStart w:id="252" w:name="_Toc134088472"/>
      <w:bookmarkStart w:id="253" w:name="_Toc146091905"/>
      <w:bookmarkStart w:id="254" w:name="_Toc50625280"/>
      <w:r>
        <w:rPr>
          <w:rFonts w:ascii="Times New Roman" w:hAnsi="Times New Roman" w:cs="Times New Roman"/>
        </w:rPr>
        <w:t>3.2.10 给水工程规划</w:t>
      </w:r>
      <w:bookmarkEnd w:id="251"/>
      <w:bookmarkEnd w:id="252"/>
      <w:bookmarkEnd w:id="253"/>
      <w:bookmarkEnd w:id="254"/>
    </w:p>
    <w:p>
      <w:pPr>
        <w:spacing w:line="360" w:lineRule="auto"/>
        <w:ind w:firstLine="480" w:firstLineChars="200"/>
        <w:rPr>
          <w:rFonts w:ascii="Times New Roman" w:hAnsi="Times New Roman" w:cs="Times New Roman"/>
        </w:rPr>
      </w:pPr>
      <w:bookmarkStart w:id="255" w:name="_Toc38389583"/>
      <w:r>
        <w:rPr>
          <w:rFonts w:ascii="Times New Roman" w:hAnsi="Times New Roman" w:cs="Times New Roman"/>
        </w:rPr>
        <w:t>（1）用水量预测</w:t>
      </w:r>
    </w:p>
    <w:p>
      <w:pPr>
        <w:spacing w:line="360" w:lineRule="auto"/>
        <w:ind w:firstLine="480" w:firstLineChars="200"/>
        <w:rPr>
          <w:rFonts w:ascii="Times New Roman" w:hAnsi="Times New Roman" w:cs="Times New Roman"/>
        </w:rPr>
      </w:pPr>
      <w:r>
        <w:rPr>
          <w:rFonts w:ascii="Times New Roman" w:hAnsi="Times New Roman" w:cs="Times New Roman"/>
        </w:rPr>
        <w:t>规划区平均日用水量为5.54万吨/天，最高日用水量为7.20万吨/天。</w:t>
      </w:r>
    </w:p>
    <w:p>
      <w:pPr>
        <w:spacing w:line="360" w:lineRule="auto"/>
        <w:ind w:firstLine="480" w:firstLineChars="200"/>
        <w:rPr>
          <w:rFonts w:ascii="Times New Roman" w:hAnsi="Times New Roman" w:cs="Times New Roman"/>
        </w:rPr>
      </w:pPr>
      <w:r>
        <w:rPr>
          <w:rFonts w:ascii="Times New Roman" w:hAnsi="Times New Roman" w:cs="Times New Roman"/>
        </w:rPr>
        <w:t>（2）供水水源规划</w:t>
      </w:r>
    </w:p>
    <w:p>
      <w:pPr>
        <w:spacing w:line="360" w:lineRule="auto"/>
        <w:ind w:firstLine="480" w:firstLineChars="200"/>
        <w:rPr>
          <w:rFonts w:ascii="Times New Roman" w:hAnsi="Times New Roman" w:cs="Times New Roman"/>
        </w:rPr>
      </w:pPr>
      <w:r>
        <w:rPr>
          <w:rFonts w:ascii="Times New Roman" w:hAnsi="Times New Roman" w:cs="Times New Roman"/>
        </w:rPr>
        <w:t>滨江片区：由滨江给水厂供水；</w:t>
      </w:r>
    </w:p>
    <w:p>
      <w:pPr>
        <w:spacing w:line="360" w:lineRule="auto"/>
        <w:ind w:firstLine="480" w:firstLineChars="200"/>
        <w:rPr>
          <w:rFonts w:ascii="Times New Roman" w:hAnsi="Times New Roman" w:cs="Times New Roman"/>
        </w:rPr>
      </w:pPr>
      <w:r>
        <w:rPr>
          <w:rFonts w:ascii="Times New Roman" w:hAnsi="Times New Roman" w:cs="Times New Roman"/>
        </w:rPr>
        <w:t>三湾片区和绿色建材产业园：由临湘中心城区供水干管供水。</w:t>
      </w:r>
    </w:p>
    <w:p>
      <w:pPr>
        <w:spacing w:line="360" w:lineRule="auto"/>
        <w:ind w:firstLine="480" w:firstLineChars="200"/>
        <w:rPr>
          <w:rFonts w:ascii="Times New Roman" w:hAnsi="Times New Roman" w:cs="Times New Roman"/>
        </w:rPr>
      </w:pPr>
      <w:r>
        <w:rPr>
          <w:rFonts w:ascii="Times New Roman" w:hAnsi="Times New Roman" w:cs="Times New Roman"/>
        </w:rPr>
        <w:t>（3）给水管网规划</w:t>
      </w:r>
    </w:p>
    <w:p>
      <w:pPr>
        <w:spacing w:line="360" w:lineRule="auto"/>
        <w:ind w:firstLine="480" w:firstLineChars="200"/>
        <w:rPr>
          <w:rFonts w:ascii="Times New Roman" w:hAnsi="Times New Roman" w:cs="Times New Roman"/>
        </w:rPr>
      </w:pPr>
      <w:bookmarkStart w:id="256" w:name="_Toc49323778"/>
      <w:bookmarkStart w:id="257" w:name="_Toc50625281"/>
      <w:r>
        <w:rPr>
          <w:rFonts w:ascii="Times New Roman" w:hAnsi="Times New Roman" w:cs="Times New Roman"/>
        </w:rPr>
        <w:t>滨江片区：规划区沿工业大道、临鸭公路、儒溪大道、斑竹大道、布设布置给水主干管，管径为DN400；其中临鸭公路上单侧布置给水管，其他道路布设DN200~DN300的供水支管为片区供水，采用环状供水，确保片区供水安全。</w:t>
      </w:r>
    </w:p>
    <w:p>
      <w:pPr>
        <w:spacing w:line="360" w:lineRule="auto"/>
        <w:ind w:firstLine="480" w:firstLineChars="200"/>
        <w:rPr>
          <w:rFonts w:ascii="Times New Roman" w:hAnsi="Times New Roman" w:cs="Times New Roman"/>
        </w:rPr>
      </w:pPr>
      <w:r>
        <w:rPr>
          <w:rFonts w:ascii="Times New Roman" w:hAnsi="Times New Roman" w:cs="Times New Roman"/>
        </w:rPr>
        <w:t xml:space="preserve">三湾片区：沿石塘路布设DN600的供水主干管，接市区供水主干管；其他道路敷设DN200~DN300供水支管为片区供水支，采用环状供水，确保片区供水安全。 </w:t>
      </w:r>
    </w:p>
    <w:p>
      <w:pPr>
        <w:spacing w:line="360" w:lineRule="auto"/>
        <w:ind w:firstLine="480" w:firstLineChars="200"/>
        <w:rPr>
          <w:rFonts w:ascii="Times New Roman" w:hAnsi="Times New Roman" w:cs="Times New Roman"/>
        </w:rPr>
      </w:pPr>
      <w:r>
        <w:rPr>
          <w:rFonts w:ascii="Times New Roman" w:hAnsi="Times New Roman" w:cs="Times New Roman"/>
        </w:rPr>
        <w:t>绿色建材产业园：片区接临鸭公路上供水干管为片区供水。</w:t>
      </w:r>
    </w:p>
    <w:p>
      <w:pPr>
        <w:pStyle w:val="4"/>
        <w:rPr>
          <w:rFonts w:ascii="Times New Roman" w:hAnsi="Times New Roman" w:cs="Times New Roman"/>
        </w:rPr>
      </w:pPr>
      <w:bookmarkStart w:id="258" w:name="_Toc146091906"/>
      <w:bookmarkStart w:id="259" w:name="_Toc134088473"/>
      <w:r>
        <w:rPr>
          <w:rFonts w:ascii="Times New Roman" w:hAnsi="Times New Roman" w:cs="Times New Roman"/>
        </w:rPr>
        <w:t>3.2.11 雨水工程规划</w:t>
      </w:r>
      <w:bookmarkEnd w:id="255"/>
      <w:bookmarkEnd w:id="256"/>
      <w:bookmarkEnd w:id="257"/>
      <w:bookmarkEnd w:id="258"/>
      <w:bookmarkEnd w:id="259"/>
    </w:p>
    <w:p>
      <w:pPr>
        <w:spacing w:line="360" w:lineRule="auto"/>
        <w:ind w:firstLine="480" w:firstLineChars="200"/>
        <w:rPr>
          <w:rFonts w:ascii="Times New Roman" w:hAnsi="Times New Roman" w:cs="Times New Roman"/>
        </w:rPr>
      </w:pPr>
      <w:bookmarkStart w:id="260" w:name="_Hlk45639596"/>
      <w:r>
        <w:rPr>
          <w:rFonts w:ascii="Times New Roman" w:hAnsi="Times New Roman" w:cs="Times New Roman"/>
        </w:rPr>
        <w:t>（1）化工片区初期雨水收集池</w:t>
      </w:r>
    </w:p>
    <w:p>
      <w:pPr>
        <w:spacing w:line="360" w:lineRule="auto"/>
        <w:ind w:firstLine="480" w:firstLineChars="200"/>
        <w:rPr>
          <w:rFonts w:ascii="Times New Roman" w:hAnsi="Times New Roman" w:cs="Times New Roman"/>
        </w:rPr>
      </w:pPr>
      <w:r>
        <w:rPr>
          <w:rFonts w:ascii="Times New Roman" w:hAnsi="Times New Roman" w:cs="Times New Roman"/>
        </w:rPr>
        <w:t>根据雨水系统划分方案，化工片区初期雨水收集池主要收集道路交通设施、市政公用设施等园区公共区域初期雨水。参照《石油化工给水排水系统设计规范》（SH/T 3015-2019）及《城镇雨水调蓄工程技术规范》（GB 51174-2017）等规范要求对园区区域初期雨水收集池的规模进行计算，化工片区初期雨水收集池有效容积为 12000 立方米，设置在化工片区污水处理厂西侧，与园区公共事故废水应急池合建，占地面积1.4公顷。</w:t>
      </w:r>
    </w:p>
    <w:p>
      <w:pPr>
        <w:spacing w:line="360" w:lineRule="auto"/>
        <w:ind w:firstLine="480" w:firstLineChars="200"/>
        <w:rPr>
          <w:rFonts w:ascii="Times New Roman" w:hAnsi="Times New Roman" w:cs="Times New Roman"/>
        </w:rPr>
      </w:pPr>
      <w:r>
        <w:rPr>
          <w:rFonts w:ascii="Times New Roman" w:hAnsi="Times New Roman" w:cs="Times New Roman"/>
        </w:rPr>
        <w:t>（2）管网布置</w:t>
      </w:r>
    </w:p>
    <w:p>
      <w:pPr>
        <w:spacing w:line="360" w:lineRule="auto"/>
        <w:ind w:firstLine="480" w:firstLineChars="200"/>
        <w:rPr>
          <w:rFonts w:ascii="Times New Roman" w:hAnsi="Times New Roman" w:cs="Times New Roman"/>
        </w:rPr>
      </w:pPr>
      <w:r>
        <w:rPr>
          <w:rFonts w:ascii="Times New Roman" w:hAnsi="Times New Roman" w:cs="Times New Roman"/>
        </w:rPr>
        <w:t>化工片区：雨水工程规划与防洪系统紧密结合，根据片区周边接纳雨水沟渠分布，对片区雨水排放进行排水分区划分，雨水管道根据规划道路竖向标高，实现沿坡度重力流排放。片区雨水排放以斑竹大道为界分为南北两个排水分区，雨水管道管径为 800~2000 毫米，超过2000毫米以上部分采用箱涵的形式敷设。</w:t>
      </w:r>
    </w:p>
    <w:p>
      <w:pPr>
        <w:spacing w:line="360" w:lineRule="auto"/>
        <w:ind w:firstLine="480" w:firstLineChars="200"/>
        <w:rPr>
          <w:rFonts w:ascii="Times New Roman" w:hAnsi="Times New Roman" w:cs="Times New Roman"/>
        </w:rPr>
      </w:pPr>
      <w:r>
        <w:rPr>
          <w:rFonts w:ascii="Times New Roman" w:hAnsi="Times New Roman" w:cs="Times New Roman"/>
        </w:rPr>
        <w:t xml:space="preserve">其他地区：雨水管按重力自流管建设，管道走向与道路坡度基本方向一致。雨水经雨水管或排水干渠分区收集，就近排入受纳水体 </w:t>
      </w:r>
    </w:p>
    <w:p>
      <w:pPr>
        <w:spacing w:line="360" w:lineRule="auto"/>
        <w:ind w:firstLine="480" w:firstLineChars="200"/>
        <w:rPr>
          <w:rFonts w:ascii="Times New Roman" w:hAnsi="Times New Roman" w:cs="Times New Roman"/>
        </w:rPr>
      </w:pPr>
      <w:r>
        <w:rPr>
          <w:rFonts w:ascii="Times New Roman" w:hAnsi="Times New Roman" w:cs="Times New Roman"/>
        </w:rPr>
        <w:t>（3）排涝规划</w:t>
      </w:r>
    </w:p>
    <w:p>
      <w:pPr>
        <w:spacing w:line="360" w:lineRule="auto"/>
        <w:ind w:firstLine="480" w:firstLineChars="200"/>
        <w:rPr>
          <w:rFonts w:ascii="Times New Roman" w:hAnsi="Times New Roman" w:cs="Times New Roman"/>
        </w:rPr>
      </w:pPr>
      <w:r>
        <w:rPr>
          <w:rFonts w:ascii="Times New Roman" w:hAnsi="Times New Roman" w:cs="Times New Roman"/>
        </w:rPr>
        <w:t>雨水实行高水高排，低水低排，等高收集，分片排水,内湖调蓄的排涝模式，以加强工程管理、科学调度为宗旨，以自排为主，结合抽排方案。规划区排涝标准为有效应对20年一遇24小时设计暴雨，保证发生城市内涝防治标准（20年一遇24小时）以内的暴雨时，城市不发生内涝灾害，居民住宅和工商业建筑物的底层不进水，保证道路中单向至少一条车道的积水深度不超过15厘米。</w:t>
      </w:r>
    </w:p>
    <w:bookmarkEnd w:id="260"/>
    <w:p>
      <w:pPr>
        <w:pStyle w:val="4"/>
        <w:rPr>
          <w:rFonts w:ascii="Times New Roman" w:hAnsi="Times New Roman" w:cs="Times New Roman"/>
        </w:rPr>
      </w:pPr>
      <w:bookmarkStart w:id="261" w:name="_Toc134088474"/>
      <w:bookmarkStart w:id="262" w:name="_Toc146091907"/>
      <w:r>
        <w:rPr>
          <w:rFonts w:ascii="Times New Roman" w:hAnsi="Times New Roman" w:cs="Times New Roman"/>
        </w:rPr>
        <w:t>3.2.12 污水工程规划</w:t>
      </w:r>
      <w:bookmarkEnd w:id="261"/>
      <w:bookmarkEnd w:id="262"/>
    </w:p>
    <w:p>
      <w:pPr>
        <w:spacing w:line="360" w:lineRule="auto"/>
        <w:ind w:firstLine="480" w:firstLineChars="200"/>
        <w:rPr>
          <w:rFonts w:ascii="Times New Roman" w:hAnsi="Times New Roman" w:cs="Times New Roman"/>
        </w:rPr>
      </w:pPr>
      <w:bookmarkStart w:id="263" w:name="_Hlk45639553"/>
      <w:r>
        <w:rPr>
          <w:rFonts w:ascii="Times New Roman" w:hAnsi="Times New Roman" w:cs="Times New Roman"/>
        </w:rPr>
        <w:t>（1）污水量预测</w:t>
      </w:r>
    </w:p>
    <w:p>
      <w:pPr>
        <w:spacing w:line="360" w:lineRule="auto"/>
        <w:ind w:firstLine="480" w:firstLineChars="200"/>
        <w:rPr>
          <w:rFonts w:ascii="Times New Roman" w:hAnsi="Times New Roman" w:cs="Times New Roman"/>
        </w:rPr>
      </w:pPr>
      <w:r>
        <w:rPr>
          <w:rFonts w:ascii="Times New Roman" w:hAnsi="Times New Roman" w:cs="Times New Roman"/>
        </w:rPr>
        <w:t>规划平均日污水量约为4.71万吨/天，最高日污水量约为5.65万吨/天。</w:t>
      </w:r>
      <w:bookmarkEnd w:id="263"/>
    </w:p>
    <w:p>
      <w:pPr>
        <w:spacing w:line="360" w:lineRule="auto"/>
        <w:ind w:firstLine="480" w:firstLineChars="200"/>
        <w:rPr>
          <w:rFonts w:ascii="Times New Roman" w:hAnsi="Times New Roman" w:cs="Times New Roman"/>
        </w:rPr>
      </w:pPr>
      <w:r>
        <w:rPr>
          <w:rFonts w:ascii="Times New Roman" w:hAnsi="Times New Roman" w:cs="Times New Roman"/>
        </w:rPr>
        <w:t>（2）污水处理厂规划</w:t>
      </w:r>
      <w:bookmarkStart w:id="264" w:name="_Hlk45639566"/>
    </w:p>
    <w:p>
      <w:pPr>
        <w:spacing w:line="360" w:lineRule="auto"/>
        <w:ind w:firstLine="480" w:firstLineChars="200"/>
        <w:rPr>
          <w:rFonts w:ascii="Times New Roman" w:hAnsi="Times New Roman" w:cs="Times New Roman"/>
        </w:rPr>
      </w:pPr>
      <w:r>
        <w:rPr>
          <w:rFonts w:ascii="Times New Roman" w:hAnsi="Times New Roman" w:cs="Times New Roman"/>
        </w:rPr>
        <w:t>滨江片区：依托现有工业污水处理厂进行处置，规划在临鸭公路与富强路交叉口西南角，新建污水加压泵站，加压后转输到滨江污水处理厂处理。</w:t>
      </w:r>
    </w:p>
    <w:p>
      <w:pPr>
        <w:spacing w:line="360" w:lineRule="auto"/>
        <w:ind w:firstLine="480" w:firstLineChars="200"/>
        <w:rPr>
          <w:rFonts w:ascii="Times New Roman" w:hAnsi="Times New Roman" w:cs="Times New Roman"/>
        </w:rPr>
      </w:pPr>
      <w:r>
        <w:rPr>
          <w:rFonts w:ascii="Times New Roman" w:hAnsi="Times New Roman" w:cs="Times New Roman"/>
        </w:rPr>
        <w:t>三湾片区：由规划区外污水转输泵站转输到城区污水处理厂处理。</w:t>
      </w:r>
    </w:p>
    <w:bookmarkEnd w:id="264"/>
    <w:p>
      <w:pPr>
        <w:spacing w:line="360" w:lineRule="auto"/>
        <w:ind w:firstLine="480" w:firstLineChars="200"/>
        <w:rPr>
          <w:rFonts w:ascii="Times New Roman" w:hAnsi="Times New Roman" w:cs="Times New Roman"/>
        </w:rPr>
      </w:pPr>
      <w:r>
        <w:rPr>
          <w:rFonts w:ascii="Times New Roman" w:hAnsi="Times New Roman" w:cs="Times New Roman"/>
        </w:rPr>
        <w:t>（3）污水管网规划</w:t>
      </w:r>
    </w:p>
    <w:p>
      <w:pPr>
        <w:spacing w:line="360" w:lineRule="auto"/>
        <w:ind w:firstLine="480" w:firstLineChars="200"/>
        <w:rPr>
          <w:rFonts w:ascii="Times New Roman" w:hAnsi="Times New Roman" w:cs="Times New Roman"/>
        </w:rPr>
      </w:pPr>
      <w:r>
        <w:rPr>
          <w:rFonts w:ascii="Times New Roman" w:hAnsi="Times New Roman" w:cs="Times New Roman"/>
        </w:rPr>
        <w:t>滨江片区：其中化工片区工业污水管，应遵循“一企一管”原则，专管压力流输送，沿管廊（架）输送至</w:t>
      </w:r>
      <w:r>
        <w:rPr>
          <w:rFonts w:hint="eastAsia" w:ascii="Times New Roman" w:hAnsi="Times New Roman" w:cs="Times New Roman"/>
        </w:rPr>
        <w:t>提升泵站，并在出口设置在线监测设备，后通过提升泵站输送至污水处理厂</w:t>
      </w:r>
      <w:r>
        <w:rPr>
          <w:rFonts w:ascii="Times New Roman" w:hAnsi="Times New Roman" w:cs="Times New Roman"/>
        </w:rPr>
        <w:t>。其他片区主要沿工业大道布设DN800污水主干管，其他片区由污水转输站转输至污水处理厂</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三湾片区：片区污水汇集到石塘路上污水干管，由石塘路上污水管输送至片区外污水转输泵站，由泵站转输至城区临湘污水处理厂。</w:t>
      </w:r>
    </w:p>
    <w:p>
      <w:pPr>
        <w:spacing w:line="360" w:lineRule="auto"/>
        <w:ind w:firstLine="480" w:firstLineChars="200"/>
        <w:rPr>
          <w:rFonts w:ascii="Times New Roman" w:hAnsi="Times New Roman" w:cs="Times New Roman"/>
        </w:rPr>
      </w:pPr>
      <w:r>
        <w:rPr>
          <w:rFonts w:ascii="Times New Roman" w:hAnsi="Times New Roman" w:cs="Times New Roman"/>
        </w:rPr>
        <w:t>绿色建材产业园：</w:t>
      </w:r>
      <w:r>
        <w:rPr>
          <w:rFonts w:hint="eastAsia" w:ascii="Times New Roman" w:hAnsi="Times New Roman" w:cs="Times New Roman"/>
        </w:rPr>
        <w:t>经厂区污水处理站处理后全部回用</w:t>
      </w:r>
      <w:r>
        <w:rPr>
          <w:rFonts w:ascii="Times New Roman" w:hAnsi="Times New Roman" w:cs="Times New Roman"/>
        </w:rPr>
        <w:t>。</w:t>
      </w:r>
    </w:p>
    <w:p>
      <w:pPr>
        <w:pStyle w:val="4"/>
        <w:rPr>
          <w:rFonts w:ascii="Times New Roman" w:hAnsi="Times New Roman" w:cs="Times New Roman"/>
        </w:rPr>
      </w:pPr>
      <w:bookmarkStart w:id="265" w:name="_Toc50625282"/>
      <w:bookmarkStart w:id="266" w:name="_Toc134088475"/>
      <w:bookmarkStart w:id="267" w:name="_Toc49323779"/>
      <w:bookmarkStart w:id="268" w:name="_Toc146091908"/>
      <w:r>
        <w:rPr>
          <w:rFonts w:ascii="Times New Roman" w:hAnsi="Times New Roman" w:cs="Times New Roman"/>
        </w:rPr>
        <w:t>3.2.13 供电工程</w:t>
      </w:r>
      <w:bookmarkEnd w:id="265"/>
      <w:bookmarkEnd w:id="266"/>
      <w:bookmarkEnd w:id="267"/>
      <w:bookmarkEnd w:id="268"/>
    </w:p>
    <w:p>
      <w:pPr>
        <w:spacing w:line="360" w:lineRule="auto"/>
        <w:ind w:firstLine="480" w:firstLineChars="200"/>
        <w:rPr>
          <w:rFonts w:ascii="Times New Roman" w:hAnsi="Times New Roman" w:cs="Times New Roman"/>
        </w:rPr>
      </w:pPr>
      <w:r>
        <w:rPr>
          <w:rFonts w:ascii="Times New Roman" w:hAnsi="Times New Roman" w:cs="Times New Roman"/>
        </w:rPr>
        <w:t>（1）用电负荷</w:t>
      </w:r>
    </w:p>
    <w:p>
      <w:pPr>
        <w:spacing w:line="360" w:lineRule="auto"/>
        <w:ind w:firstLine="480" w:firstLineChars="200"/>
        <w:rPr>
          <w:rFonts w:ascii="Times New Roman" w:hAnsi="Times New Roman" w:cs="Times New Roman"/>
        </w:rPr>
      </w:pPr>
      <w:r>
        <w:rPr>
          <w:rFonts w:ascii="Times New Roman" w:hAnsi="Times New Roman" w:cs="Times New Roman"/>
        </w:rPr>
        <w:t>规划区总负荷41.57万千瓦，考虑0.7的同时系数，实载负荷为29.10万千瓦。</w:t>
      </w:r>
    </w:p>
    <w:p>
      <w:pPr>
        <w:spacing w:line="360" w:lineRule="auto"/>
        <w:ind w:firstLine="480" w:firstLineChars="200"/>
        <w:rPr>
          <w:rFonts w:ascii="Times New Roman" w:hAnsi="Times New Roman" w:cs="Times New Roman"/>
        </w:rPr>
      </w:pPr>
      <w:r>
        <w:rPr>
          <w:rFonts w:ascii="Times New Roman" w:hAnsi="Times New Roman" w:cs="Times New Roman"/>
        </w:rPr>
        <w:t>（2）电源</w:t>
      </w:r>
    </w:p>
    <w:p>
      <w:pPr>
        <w:spacing w:line="360" w:lineRule="auto"/>
        <w:ind w:firstLine="480" w:firstLineChars="200"/>
        <w:rPr>
          <w:rFonts w:ascii="Times New Roman" w:hAnsi="Times New Roman" w:cs="Times New Roman"/>
        </w:rPr>
      </w:pPr>
      <w:r>
        <w:rPr>
          <w:rFonts w:ascii="Times New Roman" w:hAnsi="Times New Roman" w:cs="Times New Roman"/>
        </w:rPr>
        <w:t xml:space="preserve">滨江片区：在化工片区北规划一座座 110kV 杨桥变电站，近远期建设 2-4 台 50MVA 主变压器，与现状 110KV 儒溪变（3X63MVA）形成双电源供电。110kV 变电站双回路进线电压等级为 110kV，出线电压等级为10KV。110kV 杨桥变电站位于富强路与杨帆路交叉口。 </w:t>
      </w:r>
    </w:p>
    <w:p>
      <w:pPr>
        <w:spacing w:line="360" w:lineRule="auto"/>
        <w:ind w:firstLine="480" w:firstLineChars="200"/>
        <w:rPr>
          <w:rFonts w:ascii="Times New Roman" w:hAnsi="Times New Roman" w:cs="Times New Roman"/>
        </w:rPr>
      </w:pPr>
      <w:r>
        <w:rPr>
          <w:rFonts w:ascii="Times New Roman" w:hAnsi="Times New Roman" w:cs="Times New Roman"/>
        </w:rPr>
        <w:t xml:space="preserve">三湾片区：片区由110KV兆邦变供电。 </w:t>
      </w:r>
    </w:p>
    <w:p>
      <w:pPr>
        <w:spacing w:line="360" w:lineRule="auto"/>
        <w:ind w:firstLine="480" w:firstLineChars="200"/>
        <w:rPr>
          <w:rFonts w:ascii="Times New Roman" w:hAnsi="Times New Roman" w:cs="Times New Roman"/>
        </w:rPr>
      </w:pPr>
      <w:r>
        <w:rPr>
          <w:rFonts w:ascii="Times New Roman" w:hAnsi="Times New Roman" w:cs="Times New Roman"/>
        </w:rPr>
        <w:t>绿色建材产业园：片区接城区电源。</w:t>
      </w:r>
    </w:p>
    <w:p>
      <w:pPr>
        <w:pStyle w:val="4"/>
        <w:rPr>
          <w:rFonts w:ascii="Times New Roman" w:hAnsi="Times New Roman" w:cs="Times New Roman"/>
        </w:rPr>
      </w:pPr>
      <w:bookmarkStart w:id="269" w:name="_Toc134088476"/>
      <w:bookmarkStart w:id="270" w:name="_Toc49323780"/>
      <w:bookmarkStart w:id="271" w:name="_Toc146091909"/>
      <w:bookmarkStart w:id="272" w:name="_Toc50625283"/>
      <w:r>
        <w:rPr>
          <w:rFonts w:ascii="Times New Roman" w:hAnsi="Times New Roman" w:cs="Times New Roman"/>
        </w:rPr>
        <w:t>3.2.14 燃气工程规划</w:t>
      </w:r>
      <w:bookmarkEnd w:id="269"/>
      <w:bookmarkEnd w:id="270"/>
      <w:bookmarkEnd w:id="271"/>
      <w:bookmarkEnd w:id="272"/>
    </w:p>
    <w:p>
      <w:pPr>
        <w:spacing w:line="360" w:lineRule="auto"/>
        <w:ind w:firstLine="480" w:firstLineChars="200"/>
        <w:rPr>
          <w:rFonts w:ascii="Times New Roman" w:hAnsi="Times New Roman" w:cs="Times New Roman"/>
        </w:rPr>
      </w:pPr>
      <w:bookmarkStart w:id="273" w:name="_Toc50625285"/>
      <w:bookmarkStart w:id="274" w:name="_Toc47094831"/>
      <w:bookmarkStart w:id="275" w:name="_Toc49323782"/>
      <w:bookmarkStart w:id="276" w:name="_Toc43837843"/>
      <w:bookmarkStart w:id="277" w:name="_Toc40253181"/>
      <w:bookmarkStart w:id="278" w:name="_Toc38478412"/>
      <w:bookmarkStart w:id="279" w:name="_Toc521835561"/>
      <w:r>
        <w:rPr>
          <w:rFonts w:ascii="Times New Roman" w:hAnsi="Times New Roman" w:cs="Times New Roman"/>
        </w:rPr>
        <w:t>（1）气源</w:t>
      </w:r>
    </w:p>
    <w:p>
      <w:pPr>
        <w:spacing w:line="360" w:lineRule="auto"/>
        <w:ind w:firstLine="480" w:firstLineChars="200"/>
        <w:rPr>
          <w:rFonts w:ascii="Times New Roman" w:hAnsi="Times New Roman" w:cs="Times New Roman"/>
        </w:rPr>
      </w:pPr>
      <w:r>
        <w:rPr>
          <w:rFonts w:ascii="Times New Roman" w:hAnsi="Times New Roman" w:cs="Times New Roman"/>
        </w:rPr>
        <w:t>规划区的燃气气源以天然气为主，液化石油气为辅。天然气气源来自长安城区配气网通过调压站后，向园区供气，三湾片区和绿色建材产业园接城区供气管。</w:t>
      </w:r>
    </w:p>
    <w:p>
      <w:pPr>
        <w:spacing w:line="360" w:lineRule="auto"/>
        <w:ind w:firstLine="480" w:firstLineChars="200"/>
        <w:rPr>
          <w:rFonts w:ascii="Times New Roman" w:hAnsi="Times New Roman" w:cs="Times New Roman"/>
        </w:rPr>
      </w:pPr>
      <w:r>
        <w:rPr>
          <w:rFonts w:ascii="Times New Roman" w:hAnsi="Times New Roman" w:cs="Times New Roman"/>
        </w:rPr>
        <w:t>（2）用气量预测</w:t>
      </w:r>
    </w:p>
    <w:p>
      <w:pPr>
        <w:spacing w:line="360" w:lineRule="auto"/>
        <w:ind w:firstLine="480" w:firstLineChars="200"/>
        <w:rPr>
          <w:rFonts w:ascii="Times New Roman" w:hAnsi="Times New Roman" w:cs="Times New Roman"/>
        </w:rPr>
      </w:pPr>
      <w:bookmarkStart w:id="280" w:name="_Hlk45639667"/>
      <w:r>
        <w:rPr>
          <w:rFonts w:ascii="Times New Roman" w:hAnsi="Times New Roman" w:cs="Times New Roman"/>
        </w:rPr>
        <w:t>按照用户分类指标预测，年平均日用气量为33.59万Nm</w:t>
      </w:r>
      <w:r>
        <w:rPr>
          <w:rFonts w:ascii="Times New Roman" w:hAnsi="Times New Roman" w:cs="Times New Roman"/>
          <w:vertAlign w:val="superscript"/>
        </w:rPr>
        <w:t>3</w:t>
      </w:r>
      <w:r>
        <w:rPr>
          <w:rFonts w:ascii="Times New Roman" w:hAnsi="Times New Roman" w:cs="Times New Roman"/>
        </w:rPr>
        <w:t>/d。</w:t>
      </w:r>
    </w:p>
    <w:bookmarkEnd w:id="280"/>
    <w:p>
      <w:pPr>
        <w:spacing w:line="360" w:lineRule="auto"/>
        <w:ind w:firstLine="480" w:firstLineChars="200"/>
        <w:rPr>
          <w:rFonts w:ascii="Times New Roman" w:hAnsi="Times New Roman" w:cs="Times New Roman"/>
        </w:rPr>
      </w:pPr>
      <w:r>
        <w:rPr>
          <w:rFonts w:ascii="Times New Roman" w:hAnsi="Times New Roman" w:cs="Times New Roman"/>
        </w:rPr>
        <w:t>（3）燃气管网规划</w:t>
      </w:r>
    </w:p>
    <w:p>
      <w:pPr>
        <w:spacing w:line="360" w:lineRule="auto"/>
        <w:ind w:firstLine="480" w:firstLineChars="200"/>
        <w:rPr>
          <w:rFonts w:ascii="Times New Roman" w:hAnsi="Times New Roman" w:cs="Times New Roman"/>
        </w:rPr>
      </w:pPr>
      <w:r>
        <w:rPr>
          <w:rFonts w:ascii="Times New Roman" w:hAnsi="Times New Roman" w:cs="Times New Roman"/>
        </w:rPr>
        <w:t>滨江片区：沿工业大道和临鸭公路敷设中压燃气管（de315）和次高压燃气管，沿其他道路敷设de160~de250的中压供气管。</w:t>
      </w:r>
    </w:p>
    <w:p>
      <w:pPr>
        <w:spacing w:line="360" w:lineRule="auto"/>
        <w:ind w:firstLine="480" w:firstLineChars="200"/>
        <w:rPr>
          <w:rFonts w:ascii="Times New Roman" w:hAnsi="Times New Roman" w:cs="Times New Roman"/>
        </w:rPr>
      </w:pPr>
      <w:r>
        <w:rPr>
          <w:rFonts w:ascii="Times New Roman" w:hAnsi="Times New Roman" w:cs="Times New Roman"/>
        </w:rPr>
        <w:t xml:space="preserve">三湾片区：沿石塘路敷设de250的中压供气管，其他到敷设de110~de250的供气管。接城区供气干管。 </w:t>
      </w:r>
    </w:p>
    <w:p>
      <w:pPr>
        <w:spacing w:line="360" w:lineRule="auto"/>
        <w:ind w:firstLine="480" w:firstLineChars="200"/>
        <w:rPr>
          <w:rFonts w:ascii="Times New Roman" w:hAnsi="Times New Roman" w:cs="Times New Roman"/>
        </w:rPr>
      </w:pPr>
      <w:r>
        <w:rPr>
          <w:rFonts w:ascii="Times New Roman" w:hAnsi="Times New Roman" w:cs="Times New Roman"/>
        </w:rPr>
        <w:t>绿色建材产业园：接城区供气干管对片区供气。规划区主次干管网均采用环状供气的方式，以确保规划区供气安全管网布置及管径具体</w:t>
      </w:r>
      <w:r>
        <w:rPr>
          <w:rFonts w:hint="eastAsia" w:ascii="Times New Roman" w:hAnsi="Times New Roman" w:cs="Times New Roman"/>
        </w:rPr>
        <w:t>。</w:t>
      </w:r>
    </w:p>
    <w:p>
      <w:pPr>
        <w:pStyle w:val="4"/>
        <w:rPr>
          <w:rFonts w:ascii="Times New Roman" w:hAnsi="Times New Roman" w:cs="Times New Roman"/>
        </w:rPr>
      </w:pPr>
      <w:bookmarkStart w:id="281" w:name="_Toc146091910"/>
      <w:bookmarkStart w:id="282" w:name="_Toc134088477"/>
      <w:r>
        <w:rPr>
          <w:rFonts w:ascii="Times New Roman" w:hAnsi="Times New Roman" w:cs="Times New Roman"/>
        </w:rPr>
        <w:t>3.2.15 环卫设施规划</w:t>
      </w:r>
      <w:bookmarkEnd w:id="281"/>
      <w:bookmarkEnd w:id="282"/>
    </w:p>
    <w:p>
      <w:pPr>
        <w:spacing w:line="360" w:lineRule="auto"/>
        <w:ind w:firstLine="480" w:firstLineChars="200"/>
        <w:rPr>
          <w:rFonts w:ascii="Times New Roman" w:hAnsi="Times New Roman" w:cs="Times New Roman"/>
        </w:rPr>
      </w:pPr>
      <w:r>
        <w:rPr>
          <w:rFonts w:ascii="Times New Roman" w:hAnsi="Times New Roman" w:cs="Times New Roman"/>
        </w:rPr>
        <w:t>（1）公共厕所</w:t>
      </w:r>
    </w:p>
    <w:p>
      <w:pPr>
        <w:spacing w:line="360" w:lineRule="auto"/>
        <w:ind w:firstLine="480" w:firstLineChars="200"/>
        <w:rPr>
          <w:rFonts w:ascii="Times New Roman" w:hAnsi="Times New Roman" w:cs="Times New Roman"/>
        </w:rPr>
      </w:pPr>
      <w:r>
        <w:rPr>
          <w:rFonts w:ascii="Times New Roman" w:hAnsi="Times New Roman" w:cs="Times New Roman"/>
        </w:rPr>
        <w:t>考虑到规划区的建设情况，公厕按生活区400米、工业区800米的服务半径布局。在商业闹市区道路按每300米至500米设置一座公共厕所，一般路段间距取800m。</w:t>
      </w:r>
    </w:p>
    <w:p>
      <w:pPr>
        <w:spacing w:line="360" w:lineRule="auto"/>
        <w:ind w:firstLine="480" w:firstLineChars="200"/>
        <w:rPr>
          <w:rFonts w:ascii="Times New Roman" w:hAnsi="Times New Roman" w:cs="Times New Roman"/>
        </w:rPr>
      </w:pPr>
      <w:r>
        <w:rPr>
          <w:rFonts w:ascii="Times New Roman" w:hAnsi="Times New Roman" w:cs="Times New Roman"/>
        </w:rPr>
        <w:t xml:space="preserve">规划范围内共布置公共厕所6处，公厕每处建筑面积为30~150平方米。 </w:t>
      </w:r>
    </w:p>
    <w:p>
      <w:pPr>
        <w:spacing w:line="360" w:lineRule="auto"/>
        <w:ind w:firstLine="48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）废物箱</w:t>
      </w:r>
    </w:p>
    <w:p>
      <w:pPr>
        <w:spacing w:line="360" w:lineRule="auto"/>
        <w:ind w:firstLine="480" w:firstLineChars="200"/>
        <w:rPr>
          <w:rFonts w:ascii="Times New Roman" w:hAnsi="Times New Roman" w:cs="Times New Roman"/>
        </w:rPr>
      </w:pPr>
      <w:r>
        <w:rPr>
          <w:rFonts w:ascii="Times New Roman" w:hAnsi="Times New Roman" w:cs="Times New Roman"/>
        </w:rPr>
        <w:t>道路上废物箱的设置间隔符合规范规定。</w:t>
      </w:r>
    </w:p>
    <w:p>
      <w:pPr>
        <w:spacing w:line="360" w:lineRule="auto"/>
        <w:ind w:firstLine="48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）垃圾转运站</w:t>
      </w:r>
    </w:p>
    <w:p>
      <w:pPr>
        <w:spacing w:line="360" w:lineRule="auto"/>
        <w:ind w:firstLine="480" w:firstLineChars="200"/>
        <w:rPr>
          <w:rFonts w:ascii="Times New Roman" w:hAnsi="Times New Roman" w:cs="Times New Roman"/>
        </w:rPr>
      </w:pPr>
      <w:r>
        <w:rPr>
          <w:rFonts w:ascii="Times New Roman" w:hAnsi="Times New Roman" w:cs="Times New Roman"/>
        </w:rPr>
        <w:t>规划范围内规划新建垃圾转运站4处，可以满足使用要求。</w:t>
      </w:r>
    </w:p>
    <w:bookmarkEnd w:id="273"/>
    <w:bookmarkEnd w:id="274"/>
    <w:bookmarkEnd w:id="275"/>
    <w:p>
      <w:pPr>
        <w:pStyle w:val="4"/>
        <w:rPr>
          <w:rFonts w:ascii="Times New Roman" w:hAnsi="Times New Roman" w:cs="Times New Roman"/>
        </w:rPr>
      </w:pPr>
      <w:bookmarkStart w:id="283" w:name="_Toc82606983"/>
      <w:bookmarkStart w:id="284" w:name="_Toc49323783"/>
      <w:bookmarkStart w:id="285" w:name="_Toc50625286"/>
      <w:bookmarkStart w:id="286" w:name="_Toc134088478"/>
      <w:bookmarkStart w:id="287" w:name="_Toc146091911"/>
      <w:r>
        <w:rPr>
          <w:rFonts w:ascii="Times New Roman" w:hAnsi="Times New Roman" w:cs="Times New Roman"/>
        </w:rPr>
        <w:t>3.2.16 环境保护规划</w:t>
      </w:r>
      <w:bookmarkEnd w:id="276"/>
      <w:bookmarkEnd w:id="277"/>
      <w:bookmarkEnd w:id="278"/>
      <w:bookmarkEnd w:id="279"/>
      <w:bookmarkEnd w:id="283"/>
      <w:bookmarkEnd w:id="284"/>
      <w:bookmarkEnd w:id="285"/>
      <w:bookmarkEnd w:id="286"/>
      <w:bookmarkEnd w:id="287"/>
    </w:p>
    <w:p>
      <w:pPr>
        <w:spacing w:line="360" w:lineRule="auto"/>
        <w:ind w:firstLine="480" w:firstLineChars="200"/>
        <w:rPr>
          <w:rFonts w:ascii="Times New Roman" w:hAnsi="Times New Roman" w:cs="Times New Roman"/>
        </w:rPr>
      </w:pPr>
      <w:r>
        <w:rPr>
          <w:rFonts w:ascii="Times New Roman" w:hAnsi="Times New Roman" w:cs="Times New Roman"/>
        </w:rPr>
        <w:t>（1）环境保护目标</w:t>
      </w:r>
    </w:p>
    <w:p>
      <w:pPr>
        <w:spacing w:line="360" w:lineRule="auto"/>
        <w:ind w:firstLine="480" w:firstLineChars="200"/>
        <w:rPr>
          <w:rFonts w:ascii="Times New Roman" w:hAnsi="Times New Roman" w:cs="Times New Roman"/>
        </w:rPr>
      </w:pPr>
      <w:r>
        <w:rPr>
          <w:rFonts w:ascii="Times New Roman" w:hAnsi="Times New Roman" w:cs="Times New Roman"/>
        </w:rPr>
        <w:t>在发展经济建设的同时，保护良好的开发区生态环境，使之成为布局合理、基础设施完善、宁静舒适、绿树成荫、环境优美的现代化产业开发区。</w:t>
      </w:r>
    </w:p>
    <w:p>
      <w:pPr>
        <w:spacing w:line="360" w:lineRule="auto"/>
        <w:ind w:firstLine="480" w:firstLineChars="200"/>
        <w:rPr>
          <w:rFonts w:ascii="Times New Roman" w:hAnsi="Times New Roman" w:cs="Times New Roman"/>
        </w:rPr>
      </w:pPr>
      <w:r>
        <w:rPr>
          <w:rFonts w:ascii="Times New Roman" w:hAnsi="Times New Roman" w:cs="Times New Roman"/>
        </w:rPr>
        <w:t>（2）环境指标体系</w:t>
      </w:r>
    </w:p>
    <w:p>
      <w:pPr>
        <w:spacing w:line="360" w:lineRule="auto"/>
        <w:ind w:firstLine="480" w:firstLineChars="200"/>
        <w:rPr>
          <w:rFonts w:ascii="Times New Roman" w:hAnsi="Times New Roman" w:cs="Times New Roman"/>
        </w:rPr>
      </w:pPr>
      <w:r>
        <w:rPr>
          <w:rFonts w:ascii="Times New Roman" w:hAnsi="Times New Roman" w:cs="Times New Roman"/>
        </w:rPr>
        <w:t>开发区大气环境质量达到国家《大气环境质量标准》（GB3095-2012）二级标准，工业废气达标排放率100%。</w:t>
      </w:r>
    </w:p>
    <w:p>
      <w:pPr>
        <w:spacing w:line="360" w:lineRule="auto"/>
        <w:ind w:firstLine="480" w:firstLineChars="200"/>
        <w:rPr>
          <w:rFonts w:ascii="Times New Roman" w:hAnsi="Times New Roman" w:cs="Times New Roman"/>
        </w:rPr>
      </w:pPr>
      <w:r>
        <w:rPr>
          <w:rFonts w:ascii="Times New Roman" w:hAnsi="Times New Roman" w:cs="Times New Roman"/>
        </w:rPr>
        <w:t>排水体制采用雨污分流制，生活污水、生产废水经污水管道送至开发区污水处理厂处理，处理率为100%。</w:t>
      </w:r>
    </w:p>
    <w:p>
      <w:pPr>
        <w:spacing w:line="360" w:lineRule="auto"/>
        <w:ind w:firstLine="480" w:firstLineChars="200"/>
        <w:rPr>
          <w:rFonts w:ascii="Times New Roman" w:hAnsi="Times New Roman" w:cs="Times New Roman"/>
        </w:rPr>
      </w:pPr>
      <w:r>
        <w:rPr>
          <w:rFonts w:ascii="Times New Roman" w:hAnsi="Times New Roman" w:cs="Times New Roman"/>
        </w:rPr>
        <w:t>区域环境噪声达到国家《声环境质量标准》（GB3096-2008）。</w:t>
      </w:r>
    </w:p>
    <w:p>
      <w:pPr>
        <w:spacing w:line="360" w:lineRule="auto"/>
        <w:ind w:firstLine="480" w:firstLineChars="200"/>
        <w:rPr>
          <w:rFonts w:ascii="Times New Roman" w:hAnsi="Times New Roman" w:cs="Times New Roman"/>
        </w:rPr>
      </w:pPr>
      <w:r>
        <w:rPr>
          <w:rFonts w:ascii="Times New Roman" w:hAnsi="Times New Roman" w:cs="Times New Roman"/>
        </w:rPr>
        <w:t>工业固体废弃物综合利用处置率100%，生活垃圾分类资源化、无害化处理率100%。</w:t>
      </w:r>
    </w:p>
    <w:p>
      <w:pPr>
        <w:spacing w:line="360" w:lineRule="auto"/>
        <w:ind w:firstLine="480" w:firstLineChars="200"/>
        <w:rPr>
          <w:rFonts w:ascii="Times New Roman" w:hAnsi="Times New Roman" w:cs="Times New Roman"/>
        </w:rPr>
      </w:pPr>
      <w:r>
        <w:rPr>
          <w:rFonts w:ascii="Times New Roman" w:hAnsi="Times New Roman" w:cs="Times New Roman"/>
        </w:rPr>
        <w:t>（3）环境保护对策及措施</w:t>
      </w:r>
    </w:p>
    <w:p>
      <w:pPr>
        <w:spacing w:line="360" w:lineRule="auto"/>
        <w:ind w:firstLine="480" w:firstLineChars="200"/>
        <w:rPr>
          <w:rFonts w:ascii="Times New Roman" w:hAnsi="Times New Roman" w:cs="Times New Roman"/>
        </w:rPr>
      </w:pPr>
      <w:r>
        <w:rPr>
          <w:rFonts w:ascii="Times New Roman" w:hAnsi="Times New Roman" w:cs="Times New Roman"/>
        </w:rPr>
        <w:t>1）水环境保护对策</w:t>
      </w:r>
    </w:p>
    <w:p>
      <w:pPr>
        <w:spacing w:line="360" w:lineRule="auto"/>
        <w:ind w:firstLine="480" w:firstLineChars="200"/>
        <w:rPr>
          <w:rFonts w:ascii="Times New Roman" w:hAnsi="Times New Roman" w:cs="Times New Roman"/>
        </w:rPr>
      </w:pPr>
      <w:r>
        <w:rPr>
          <w:rFonts w:ascii="Times New Roman" w:hAnsi="Times New Roman" w:cs="Times New Roman"/>
        </w:rPr>
        <w:t>a.提高水资源利用率，优先选择低耗水企业，倡导节水的生产、生活模式，试点中水回用。</w:t>
      </w:r>
    </w:p>
    <w:p>
      <w:pPr>
        <w:spacing w:line="360" w:lineRule="auto"/>
        <w:ind w:firstLine="480" w:firstLineChars="200"/>
        <w:rPr>
          <w:rFonts w:ascii="Times New Roman" w:hAnsi="Times New Roman" w:cs="Times New Roman"/>
        </w:rPr>
      </w:pPr>
      <w:r>
        <w:rPr>
          <w:rFonts w:ascii="Times New Roman" w:hAnsi="Times New Roman" w:cs="Times New Roman"/>
        </w:rPr>
        <w:t>b.加强水质检测。尤其是对武水河水面水质的定期监测，确保水质安全。对水体污染现象及时发现，严格查处。</w:t>
      </w:r>
    </w:p>
    <w:p>
      <w:pPr>
        <w:spacing w:line="360" w:lineRule="auto"/>
        <w:ind w:firstLine="480" w:firstLineChars="200"/>
        <w:rPr>
          <w:rFonts w:ascii="Times New Roman" w:hAnsi="Times New Roman" w:cs="Times New Roman"/>
        </w:rPr>
      </w:pPr>
      <w:r>
        <w:rPr>
          <w:rFonts w:ascii="Times New Roman" w:hAnsi="Times New Roman" w:cs="Times New Roman"/>
        </w:rPr>
        <w:t>2）大气环境保护对策</w:t>
      </w:r>
    </w:p>
    <w:p>
      <w:pPr>
        <w:spacing w:line="360" w:lineRule="auto"/>
        <w:ind w:firstLine="480" w:firstLineChars="200"/>
        <w:rPr>
          <w:rFonts w:ascii="Times New Roman" w:hAnsi="Times New Roman" w:cs="Times New Roman"/>
        </w:rPr>
      </w:pPr>
      <w:r>
        <w:rPr>
          <w:rFonts w:ascii="Times New Roman" w:hAnsi="Times New Roman" w:cs="Times New Roman"/>
        </w:rPr>
        <w:t>a.产业引入政策上，杜绝有重大污染的企业进驻规划区。对重点排污企业严格执行环保标准，控制其排气达标率。</w:t>
      </w:r>
    </w:p>
    <w:p>
      <w:pPr>
        <w:spacing w:line="360" w:lineRule="auto"/>
        <w:ind w:firstLine="480" w:firstLineChars="200"/>
        <w:rPr>
          <w:rFonts w:ascii="Times New Roman" w:hAnsi="Times New Roman" w:cs="Times New Roman"/>
        </w:rPr>
      </w:pPr>
      <w:r>
        <w:rPr>
          <w:rFonts w:ascii="Times New Roman" w:hAnsi="Times New Roman" w:cs="Times New Roman"/>
        </w:rPr>
        <w:t>b.推广使用天然气等清洁能源，燃煤锅炉必须安装消烟、除尘、脱硫设施或改用清洁能源，控制氮氧化物排放量。</w:t>
      </w:r>
    </w:p>
    <w:p>
      <w:pPr>
        <w:spacing w:line="360" w:lineRule="auto"/>
        <w:ind w:firstLine="480" w:firstLineChars="200"/>
        <w:rPr>
          <w:rFonts w:ascii="Times New Roman" w:hAnsi="Times New Roman" w:cs="Times New Roman"/>
        </w:rPr>
      </w:pPr>
      <w:r>
        <w:rPr>
          <w:rFonts w:ascii="Times New Roman" w:hAnsi="Times New Roman" w:cs="Times New Roman"/>
        </w:rPr>
        <w:t>c.加强机动车尾气排放管理，实施机动车尾气排放等级制度，执行《国家第四阶段机动车污染物排放标准》，推广实施机动车尾气排放的技术性改造措施。</w:t>
      </w:r>
    </w:p>
    <w:p>
      <w:pPr>
        <w:spacing w:line="360" w:lineRule="auto"/>
        <w:ind w:firstLine="480" w:firstLineChars="200"/>
        <w:rPr>
          <w:rFonts w:ascii="Times New Roman" w:hAnsi="Times New Roman" w:cs="Times New Roman"/>
        </w:rPr>
      </w:pPr>
      <w:r>
        <w:rPr>
          <w:rFonts w:ascii="Times New Roman" w:hAnsi="Times New Roman" w:cs="Times New Roman"/>
        </w:rPr>
        <w:t>d.限时施工，减少建筑施工的扬尘污染。</w:t>
      </w:r>
    </w:p>
    <w:p>
      <w:pPr>
        <w:spacing w:line="360" w:lineRule="auto"/>
        <w:ind w:firstLine="480" w:firstLineChars="200"/>
        <w:rPr>
          <w:rFonts w:ascii="Times New Roman" w:hAnsi="Times New Roman" w:cs="Times New Roman"/>
        </w:rPr>
      </w:pPr>
      <w:r>
        <w:rPr>
          <w:rFonts w:ascii="Times New Roman" w:hAnsi="Times New Roman" w:cs="Times New Roman"/>
        </w:rPr>
        <w:t>e.建设好城市绿地，减少大气污染影响。</w:t>
      </w:r>
    </w:p>
    <w:p>
      <w:pPr>
        <w:spacing w:line="360" w:lineRule="auto"/>
        <w:ind w:firstLine="480" w:firstLineChars="200"/>
        <w:rPr>
          <w:rFonts w:ascii="Times New Roman" w:hAnsi="Times New Roman" w:cs="Times New Roman"/>
        </w:rPr>
      </w:pPr>
      <w:r>
        <w:rPr>
          <w:rFonts w:ascii="Times New Roman" w:hAnsi="Times New Roman" w:cs="Times New Roman"/>
        </w:rPr>
        <w:t>3）噪声控制措施</w:t>
      </w:r>
    </w:p>
    <w:p>
      <w:pPr>
        <w:spacing w:line="360" w:lineRule="auto"/>
        <w:ind w:firstLine="480" w:firstLineChars="200"/>
        <w:rPr>
          <w:rFonts w:ascii="Times New Roman" w:hAnsi="Times New Roman" w:cs="Times New Roman"/>
        </w:rPr>
      </w:pPr>
      <w:r>
        <w:rPr>
          <w:rFonts w:ascii="Times New Roman" w:hAnsi="Times New Roman" w:cs="Times New Roman"/>
        </w:rPr>
        <w:t>a.分区控制噪声</w:t>
      </w:r>
    </w:p>
    <w:p>
      <w:pPr>
        <w:spacing w:line="360" w:lineRule="auto"/>
        <w:ind w:firstLine="480" w:firstLineChars="200"/>
        <w:rPr>
          <w:rFonts w:ascii="Times New Roman" w:hAnsi="Times New Roman" w:cs="Times New Roman"/>
        </w:rPr>
      </w:pPr>
      <w:r>
        <w:rPr>
          <w:rFonts w:ascii="Times New Roman" w:hAnsi="Times New Roman" w:cs="Times New Roman"/>
        </w:rPr>
        <w:t>工业企业内尽量减少高噪声设施使用，在工业组团和居住区之间设置隔离带；产业服务组团及公共服务核心严格控制经营性声源。</w:t>
      </w:r>
    </w:p>
    <w:p>
      <w:pPr>
        <w:spacing w:line="360" w:lineRule="auto"/>
        <w:ind w:firstLine="480" w:firstLineChars="200"/>
        <w:rPr>
          <w:rFonts w:ascii="Times New Roman" w:hAnsi="Times New Roman" w:cs="Times New Roman"/>
        </w:rPr>
      </w:pPr>
      <w:r>
        <w:rPr>
          <w:rFonts w:ascii="Times New Roman" w:hAnsi="Times New Roman" w:cs="Times New Roman"/>
        </w:rPr>
        <w:t>b.加强交通噪声管制</w:t>
      </w:r>
    </w:p>
    <w:p>
      <w:pPr>
        <w:spacing w:line="360" w:lineRule="auto"/>
        <w:ind w:firstLine="480" w:firstLineChars="200"/>
        <w:rPr>
          <w:rFonts w:ascii="Times New Roman" w:hAnsi="Times New Roman" w:cs="Times New Roman"/>
        </w:rPr>
      </w:pPr>
      <w:r>
        <w:rPr>
          <w:rFonts w:ascii="Times New Roman" w:hAnsi="Times New Roman" w:cs="Times New Roman"/>
        </w:rPr>
        <w:t>实行过境、境内车流分离，实行人车分流，改善交通；</w:t>
      </w:r>
    </w:p>
    <w:p>
      <w:pPr>
        <w:spacing w:line="360" w:lineRule="auto"/>
        <w:ind w:firstLine="480" w:firstLineChars="200"/>
        <w:rPr>
          <w:rFonts w:ascii="Times New Roman" w:hAnsi="Times New Roman" w:cs="Times New Roman"/>
        </w:rPr>
      </w:pPr>
      <w:r>
        <w:rPr>
          <w:rFonts w:ascii="Times New Roman" w:hAnsi="Times New Roman" w:cs="Times New Roman"/>
        </w:rPr>
        <w:t>加强交通管理，合理分配车流量；</w:t>
      </w:r>
    </w:p>
    <w:p>
      <w:pPr>
        <w:spacing w:line="360" w:lineRule="auto"/>
        <w:ind w:firstLine="480" w:firstLineChars="200"/>
        <w:rPr>
          <w:rFonts w:ascii="Times New Roman" w:hAnsi="Times New Roman" w:cs="Times New Roman"/>
        </w:rPr>
      </w:pPr>
      <w:r>
        <w:rPr>
          <w:rFonts w:ascii="Times New Roman" w:hAnsi="Times New Roman" w:cs="Times New Roman"/>
        </w:rPr>
        <w:t>c.控制施工噪声</w:t>
      </w:r>
    </w:p>
    <w:p>
      <w:pPr>
        <w:spacing w:line="360" w:lineRule="auto"/>
        <w:ind w:firstLine="480" w:firstLineChars="200"/>
        <w:rPr>
          <w:rFonts w:ascii="Times New Roman" w:hAnsi="Times New Roman" w:cs="Times New Roman"/>
        </w:rPr>
      </w:pPr>
      <w:r>
        <w:rPr>
          <w:rFonts w:ascii="Times New Roman" w:hAnsi="Times New Roman" w:cs="Times New Roman"/>
        </w:rPr>
        <w:t>减少施工噪声，应定时施工，避免在居民正常休息时间施工，并采取有效减噪防噪措施。</w:t>
      </w:r>
    </w:p>
    <w:p>
      <w:pPr>
        <w:spacing w:line="360" w:lineRule="auto"/>
        <w:ind w:firstLine="480" w:firstLineChars="200"/>
        <w:rPr>
          <w:rFonts w:ascii="Times New Roman" w:hAnsi="Times New Roman" w:cs="Times New Roman"/>
        </w:rPr>
      </w:pPr>
      <w:r>
        <w:rPr>
          <w:rFonts w:ascii="Times New Roman" w:hAnsi="Times New Roman" w:cs="Times New Roman"/>
        </w:rPr>
        <w:t>4）固体废弃物控制措施</w:t>
      </w:r>
    </w:p>
    <w:p>
      <w:pPr>
        <w:spacing w:line="360" w:lineRule="auto"/>
        <w:ind w:firstLine="480" w:firstLineChars="200"/>
        <w:rPr>
          <w:rFonts w:ascii="Times New Roman" w:hAnsi="Times New Roman" w:cs="Times New Roman"/>
        </w:rPr>
      </w:pPr>
      <w:r>
        <w:rPr>
          <w:rFonts w:ascii="Times New Roman" w:hAnsi="Times New Roman" w:cs="Times New Roman"/>
        </w:rPr>
        <w:t>a.提高工业固体废料的回收使用率，发展循环经济。</w:t>
      </w:r>
    </w:p>
    <w:p>
      <w:pPr>
        <w:spacing w:line="360" w:lineRule="auto"/>
        <w:ind w:firstLine="480" w:firstLineChars="200"/>
        <w:rPr>
          <w:rFonts w:ascii="Times New Roman" w:hAnsi="Times New Roman" w:cs="Times New Roman"/>
        </w:rPr>
      </w:pPr>
      <w:r>
        <w:rPr>
          <w:rFonts w:ascii="Times New Roman" w:hAnsi="Times New Roman" w:cs="Times New Roman"/>
        </w:rPr>
        <w:t>b.倡导环保生活方式，减少白色污染。</w:t>
      </w:r>
    </w:p>
    <w:p>
      <w:pPr>
        <w:spacing w:line="360" w:lineRule="auto"/>
        <w:ind w:firstLine="480" w:firstLineChars="200"/>
        <w:rPr>
          <w:rFonts w:ascii="Times New Roman" w:hAnsi="Times New Roman" w:cs="Times New Roman"/>
        </w:rPr>
      </w:pPr>
      <w:r>
        <w:rPr>
          <w:rFonts w:ascii="Times New Roman" w:hAnsi="Times New Roman" w:cs="Times New Roman"/>
        </w:rPr>
        <w:t>c.实行废弃物分类制度，提高综合利用率，体现"减量化、资源化、无害化"的原则。</w:t>
      </w:r>
    </w:p>
    <w:p>
      <w:pPr>
        <w:spacing w:line="360" w:lineRule="auto"/>
        <w:ind w:firstLine="480" w:firstLineChars="200"/>
        <w:rPr>
          <w:rFonts w:ascii="Times New Roman" w:hAnsi="Times New Roman" w:cs="Times New Roman"/>
        </w:rPr>
      </w:pPr>
      <w:r>
        <w:rPr>
          <w:rFonts w:ascii="Times New Roman" w:hAnsi="Times New Roman" w:cs="Times New Roman"/>
        </w:rPr>
        <w:t>d.医疗废弃物集中专门处理，一般废弃物统筹集中处理，危险废弃物集中处理堆存，废弃物处理率100％。</w:t>
      </w:r>
    </w:p>
    <w:p>
      <w:pPr>
        <w:pStyle w:val="4"/>
        <w:rPr>
          <w:rFonts w:ascii="Times New Roman" w:hAnsi="Times New Roman" w:cs="Times New Roman"/>
        </w:rPr>
      </w:pPr>
      <w:bookmarkStart w:id="288" w:name="_Toc82606984"/>
      <w:bookmarkStart w:id="289" w:name="_Toc134088479"/>
      <w:bookmarkStart w:id="290" w:name="_Toc146091912"/>
      <w:r>
        <w:rPr>
          <w:rFonts w:ascii="Times New Roman" w:hAnsi="Times New Roman" w:cs="Times New Roman"/>
        </w:rPr>
        <w:t>3.2.17 “三线”控制</w:t>
      </w:r>
      <w:bookmarkEnd w:id="288"/>
      <w:bookmarkEnd w:id="289"/>
      <w:bookmarkEnd w:id="290"/>
    </w:p>
    <w:p>
      <w:pPr>
        <w:pStyle w:val="5"/>
        <w:ind w:firstLine="482"/>
        <w:rPr>
          <w:rFonts w:ascii="Times New Roman" w:hAnsi="Times New Roman" w:cs="Times New Roman" w:eastAsiaTheme="minorEastAsia"/>
        </w:rPr>
      </w:pPr>
      <w:r>
        <w:rPr>
          <w:rFonts w:ascii="Times New Roman" w:hAnsi="Times New Roman" w:cs="Times New Roman" w:eastAsiaTheme="minorEastAsia"/>
        </w:rPr>
        <w:t>3.2.17.1 城市“绿线”控制</w:t>
      </w:r>
    </w:p>
    <w:p>
      <w:pPr>
        <w:spacing w:line="360" w:lineRule="auto"/>
        <w:ind w:firstLine="480" w:firstLineChars="200"/>
        <w:rPr>
          <w:rFonts w:ascii="Times New Roman" w:hAnsi="Times New Roman" w:cs="Times New Roman"/>
        </w:rPr>
      </w:pPr>
      <w:r>
        <w:rPr>
          <w:rFonts w:ascii="Times New Roman" w:hAnsi="Times New Roman" w:cs="Times New Roman"/>
        </w:rPr>
        <w:t>绿线是城市中各类绿地范围的控制线，主要包括城市生态绿地、公园、街头绿地、滨水绿地、防护绿地等，在绿线控制规划图中标明控制点坐标与控制要素。绿线范围内根据规划可安排少量的公共娱乐、休闲设施和体育设施，但不得破坏整体的绿化环境。其它控制要求遵循《城市绿线管理办法》。沿道路及重要设施的防护绿地均采取实线控制，具体位置情况详见《绿线控制规划图》。</w:t>
      </w:r>
    </w:p>
    <w:p>
      <w:pPr>
        <w:spacing w:line="360" w:lineRule="auto"/>
        <w:ind w:firstLine="480" w:firstLineChars="200"/>
        <w:rPr>
          <w:rFonts w:ascii="Times New Roman" w:hAnsi="Times New Roman" w:cs="Times New Roman"/>
        </w:rPr>
      </w:pPr>
      <w:r>
        <w:rPr>
          <w:rFonts w:ascii="Times New Roman" w:hAnsi="Times New Roman" w:cs="Times New Roman"/>
        </w:rPr>
        <w:t>本片区绿线包括防护绿地和公共绿地。</w:t>
      </w:r>
    </w:p>
    <w:p>
      <w:pPr>
        <w:spacing w:line="360" w:lineRule="auto"/>
        <w:ind w:firstLine="480" w:firstLineChars="200"/>
        <w:rPr>
          <w:rFonts w:ascii="Times New Roman" w:hAnsi="Times New Roman" w:cs="Times New Roman"/>
        </w:rPr>
      </w:pPr>
      <w:r>
        <w:rPr>
          <w:rFonts w:ascii="Times New Roman" w:hAnsi="Times New Roman" w:cs="Times New Roman"/>
        </w:rPr>
        <w:t>1、用地不得改作他用，不得违反法律法规、强制性标准以及批准的规划进行开发建设，不符合规划要求的建、构筑物及其他设施应限期迁出；</w:t>
      </w:r>
    </w:p>
    <w:p>
      <w:pPr>
        <w:spacing w:line="360" w:lineRule="auto"/>
        <w:ind w:firstLine="480" w:firstLineChars="200"/>
        <w:rPr>
          <w:rFonts w:ascii="Times New Roman" w:hAnsi="Times New Roman" w:cs="Times New Roman"/>
        </w:rPr>
      </w:pPr>
      <w:r>
        <w:rPr>
          <w:rFonts w:ascii="Times New Roman" w:hAnsi="Times New Roman" w:cs="Times New Roman"/>
        </w:rPr>
        <w:t>2、任何单位和个人不得在城市绿地范围内进行拦河截溪、取土采石、设置垃圾堆场、排放污水以及其他对生态环境构成破坏的活动；</w:t>
      </w:r>
    </w:p>
    <w:p>
      <w:pPr>
        <w:spacing w:line="360" w:lineRule="auto"/>
        <w:ind w:firstLine="480" w:firstLineChars="200"/>
        <w:rPr>
          <w:rFonts w:ascii="Times New Roman" w:hAnsi="Times New Roman" w:cs="Times New Roman"/>
        </w:rPr>
      </w:pPr>
      <w:r>
        <w:rPr>
          <w:rFonts w:ascii="Times New Roman" w:hAnsi="Times New Roman" w:cs="Times New Roman"/>
        </w:rPr>
        <w:t>3、近期不进行绿化建设的规划绿地范围内的建设活动，应当进行生态环境影响分析，并按照《城乡规划法》的规定，予以严格控制；</w:t>
      </w:r>
    </w:p>
    <w:p>
      <w:pPr>
        <w:spacing w:line="360" w:lineRule="auto"/>
        <w:ind w:firstLine="480" w:firstLineChars="200"/>
        <w:rPr>
          <w:rFonts w:ascii="Times New Roman" w:hAnsi="Times New Roman" w:cs="Times New Roman"/>
        </w:rPr>
      </w:pPr>
      <w:r>
        <w:rPr>
          <w:rFonts w:ascii="Times New Roman" w:hAnsi="Times New Roman" w:cs="Times New Roman"/>
        </w:rPr>
        <w:t>4、各级绿地不得任意侵占和建设建、构筑物。绿地应有三分之一以上面积在日照阴影范围之外。提倡屋顶绿化、立体绿化、草坪砖停车场。</w:t>
      </w:r>
    </w:p>
    <w:p>
      <w:pPr>
        <w:pStyle w:val="5"/>
        <w:ind w:firstLine="482"/>
        <w:rPr>
          <w:rFonts w:ascii="Times New Roman" w:hAnsi="Times New Roman" w:cs="Times New Roman" w:eastAsiaTheme="minorEastAsia"/>
        </w:rPr>
      </w:pPr>
      <w:r>
        <w:rPr>
          <w:rFonts w:ascii="Times New Roman" w:hAnsi="Times New Roman" w:cs="Times New Roman" w:eastAsiaTheme="minorEastAsia"/>
        </w:rPr>
        <w:t>3.2.17.2 城市“蓝线”控制</w:t>
      </w:r>
    </w:p>
    <w:p>
      <w:pPr>
        <w:spacing w:line="360" w:lineRule="auto"/>
        <w:ind w:firstLine="480" w:firstLineChars="200"/>
        <w:rPr>
          <w:rFonts w:ascii="Times New Roman" w:hAnsi="Times New Roman" w:cs="Times New Roman"/>
        </w:rPr>
      </w:pPr>
      <w:r>
        <w:rPr>
          <w:rFonts w:ascii="Times New Roman" w:hAnsi="Times New Roman" w:cs="Times New Roman"/>
        </w:rPr>
        <w:t>划定河湖水面水体规划位置、保护范围界线，确定断面形式、河底和水位（内河）控制标高，提出护坡（驳岸）设置及控制要求。河道蓝线中不得进行各类开发活动，但可以根据规划安排小型的游乐设施以及平台、步道等必要的内容，小型游乐设施可以采用建筑小品或临时建筑的方式，不能违反行洪排涝的工程要求。其它控制要求遵循《城市蓝线管理办法》，本规划范围内蓝线均采取实线控制。</w:t>
      </w:r>
    </w:p>
    <w:p>
      <w:pPr>
        <w:spacing w:line="360" w:lineRule="auto"/>
        <w:ind w:firstLine="480" w:firstLineChars="200"/>
        <w:rPr>
          <w:rFonts w:ascii="Times New Roman" w:hAnsi="Times New Roman" w:cs="Times New Roman"/>
        </w:rPr>
      </w:pPr>
      <w:r>
        <w:rPr>
          <w:rFonts w:ascii="Times New Roman" w:hAnsi="Times New Roman" w:cs="Times New Roman"/>
        </w:rPr>
        <w:t>1、不得违反城市蓝线保护和控制要求的建设活动。</w:t>
      </w:r>
    </w:p>
    <w:p>
      <w:pPr>
        <w:spacing w:line="360" w:lineRule="auto"/>
        <w:ind w:firstLine="480" w:firstLineChars="200"/>
        <w:rPr>
          <w:rFonts w:ascii="Times New Roman" w:hAnsi="Times New Roman" w:cs="Times New Roman"/>
        </w:rPr>
      </w:pPr>
      <w:r>
        <w:rPr>
          <w:rFonts w:ascii="Times New Roman" w:hAnsi="Times New Roman" w:cs="Times New Roman"/>
        </w:rPr>
        <w:t>2、不得擅自填埋、占用城市蓝线内水域。</w:t>
      </w:r>
    </w:p>
    <w:p>
      <w:pPr>
        <w:spacing w:line="360" w:lineRule="auto"/>
        <w:ind w:firstLine="480" w:firstLineChars="200"/>
        <w:rPr>
          <w:rFonts w:ascii="Times New Roman" w:hAnsi="Times New Roman" w:cs="Times New Roman"/>
        </w:rPr>
      </w:pPr>
      <w:r>
        <w:rPr>
          <w:rFonts w:ascii="Times New Roman" w:hAnsi="Times New Roman" w:cs="Times New Roman"/>
        </w:rPr>
        <w:t>3、不得影响水系安全的爆破、采土、取土。</w:t>
      </w:r>
    </w:p>
    <w:p>
      <w:pPr>
        <w:spacing w:line="360" w:lineRule="auto"/>
        <w:ind w:firstLine="480" w:firstLineChars="200"/>
        <w:rPr>
          <w:rFonts w:ascii="Times New Roman" w:hAnsi="Times New Roman" w:cs="Times New Roman"/>
        </w:rPr>
      </w:pPr>
      <w:r>
        <w:rPr>
          <w:rFonts w:ascii="Times New Roman" w:hAnsi="Times New Roman" w:cs="Times New Roman"/>
        </w:rPr>
        <w:t>4、不得擅自建设各类排污设施。</w:t>
      </w:r>
    </w:p>
    <w:p>
      <w:pPr>
        <w:spacing w:line="360" w:lineRule="auto"/>
        <w:ind w:firstLine="480" w:firstLineChars="200"/>
        <w:rPr>
          <w:rFonts w:ascii="Times New Roman" w:hAnsi="Times New Roman" w:cs="Times New Roman"/>
        </w:rPr>
      </w:pPr>
      <w:r>
        <w:rPr>
          <w:rFonts w:ascii="Times New Roman" w:hAnsi="Times New Roman" w:cs="Times New Roman"/>
        </w:rPr>
        <w:t>5、不得进行其他对城市水系保护构成破坏的活动。</w:t>
      </w:r>
    </w:p>
    <w:p>
      <w:pPr>
        <w:pStyle w:val="5"/>
        <w:ind w:firstLine="482"/>
        <w:rPr>
          <w:rFonts w:ascii="Times New Roman" w:hAnsi="Times New Roman" w:cs="Times New Roman" w:eastAsiaTheme="minorEastAsia"/>
        </w:rPr>
      </w:pPr>
      <w:r>
        <w:rPr>
          <w:rFonts w:ascii="Times New Roman" w:hAnsi="Times New Roman" w:cs="Times New Roman" w:eastAsiaTheme="minorEastAsia"/>
        </w:rPr>
        <w:t>3.2.17.3 城市“黄线”控制</w:t>
      </w:r>
    </w:p>
    <w:p>
      <w:pPr>
        <w:spacing w:line="360" w:lineRule="auto"/>
        <w:ind w:firstLine="480" w:firstLineChars="200"/>
        <w:rPr>
          <w:rFonts w:ascii="Times New Roman" w:hAnsi="Times New Roman" w:cs="Times New Roman"/>
        </w:rPr>
      </w:pPr>
      <w:r>
        <w:rPr>
          <w:rFonts w:ascii="Times New Roman" w:hAnsi="Times New Roman" w:cs="Times New Roman"/>
        </w:rPr>
        <w:t>本规划需要控制的城市基础设施包括规划范围内的危化品车辆停车场以及城市供电工程设施、供热设施、供燃气设施、供水设施、排水设施、城市消防设施、环卫设施等城市基础设施。具体控制要求应遵循《城市黄线管理办法》，具体坐标位置情况详见《黄线控制规划图》。</w:t>
      </w:r>
    </w:p>
    <w:p>
      <w:pPr>
        <w:spacing w:line="360" w:lineRule="auto"/>
        <w:ind w:firstLine="480" w:firstLineChars="200"/>
        <w:rPr>
          <w:rFonts w:ascii="Times New Roman" w:hAnsi="Times New Roman" w:cs="Times New Roman"/>
        </w:rPr>
      </w:pPr>
      <w:r>
        <w:rPr>
          <w:rFonts w:ascii="Times New Roman" w:hAnsi="Times New Roman" w:cs="Times New Roman"/>
        </w:rPr>
        <w:t>1、不得违反城市规划要求，进行建筑物、构筑物及其他设施的建设；</w:t>
      </w:r>
    </w:p>
    <w:p>
      <w:pPr>
        <w:spacing w:line="360" w:lineRule="auto"/>
        <w:ind w:firstLine="480" w:firstLineChars="200"/>
        <w:rPr>
          <w:rFonts w:ascii="Times New Roman" w:hAnsi="Times New Roman" w:cs="Times New Roman"/>
        </w:rPr>
      </w:pPr>
      <w:r>
        <w:rPr>
          <w:rFonts w:ascii="Times New Roman" w:hAnsi="Times New Roman" w:cs="Times New Roman"/>
        </w:rPr>
        <w:t>2、不得违反国家有关技术标准和规范进行建设；</w:t>
      </w:r>
    </w:p>
    <w:p>
      <w:pPr>
        <w:spacing w:line="360" w:lineRule="auto"/>
        <w:ind w:firstLine="480" w:firstLineChars="200"/>
        <w:rPr>
          <w:rFonts w:ascii="Times New Roman" w:hAnsi="Times New Roman" w:cs="Times New Roman"/>
        </w:rPr>
      </w:pPr>
      <w:r>
        <w:rPr>
          <w:rFonts w:ascii="Times New Roman" w:hAnsi="Times New Roman" w:cs="Times New Roman"/>
        </w:rPr>
        <w:t>3、未经批准，不得改装、迁移或拆毁原有城市基础设施；</w:t>
      </w:r>
    </w:p>
    <w:p>
      <w:pPr>
        <w:spacing w:line="360" w:lineRule="auto"/>
        <w:ind w:firstLine="480" w:firstLineChars="200"/>
        <w:rPr>
          <w:rFonts w:ascii="Times New Roman" w:hAnsi="Times New Roman" w:cs="Times New Roman"/>
        </w:rPr>
      </w:pPr>
      <w:r>
        <w:rPr>
          <w:rFonts w:ascii="Times New Roman" w:hAnsi="Times New Roman" w:cs="Times New Roman"/>
        </w:rPr>
        <w:t>4、不得损坏城市基础设施或影响城市基础设施安全和正常运转。</w:t>
      </w:r>
      <w:bookmarkStart w:id="291" w:name="_Toc38478415"/>
      <w:bookmarkStart w:id="292" w:name="_Toc38389586"/>
      <w:bookmarkStart w:id="293" w:name="_Toc40253184"/>
      <w:bookmarkStart w:id="294" w:name="_Toc43837844"/>
      <w:bookmarkStart w:id="295" w:name="_Toc49952129"/>
      <w:bookmarkStart w:id="296" w:name="_Toc43837997"/>
      <w:bookmarkStart w:id="297" w:name="_Toc82606985"/>
      <w:bookmarkStart w:id="298" w:name="_Toc43837569"/>
      <w:bookmarkStart w:id="299" w:name="_Toc50966745"/>
      <w:bookmarkStart w:id="300" w:name="_Toc49323787"/>
      <w:bookmarkStart w:id="301" w:name="_Toc134088481"/>
      <w:bookmarkStart w:id="302" w:name="_Toc50625290"/>
    </w:p>
    <w:p>
      <w:pPr>
        <w:pStyle w:val="3"/>
        <w:rPr>
          <w:rFonts w:ascii="Times New Roman" w:hAnsi="Times New Roman" w:cs="Times New Roman"/>
        </w:rPr>
      </w:pPr>
      <w:bookmarkStart w:id="303" w:name="_Toc146091913"/>
      <w:r>
        <w:rPr>
          <w:rFonts w:ascii="Times New Roman" w:hAnsi="Times New Roman" w:cs="Times New Roman"/>
        </w:rPr>
        <w:t>3.3 规划协调性分析</w:t>
      </w:r>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4"/>
        <w:rPr>
          <w:rFonts w:ascii="Times New Roman" w:hAnsi="Times New Roman" w:cs="Times New Roman"/>
        </w:rPr>
      </w:pPr>
      <w:bookmarkStart w:id="304" w:name="_Toc40253185"/>
      <w:bookmarkStart w:id="305" w:name="_Toc49323788"/>
      <w:bookmarkStart w:id="306" w:name="_Toc50625291"/>
      <w:bookmarkStart w:id="307" w:name="_Toc82606986"/>
      <w:bookmarkStart w:id="308" w:name="_Toc146091914"/>
      <w:bookmarkStart w:id="309" w:name="_Toc38478416"/>
      <w:bookmarkStart w:id="310" w:name="_Toc38389587"/>
      <w:bookmarkStart w:id="311" w:name="_Toc43837845"/>
      <w:bookmarkStart w:id="312" w:name="_Toc1552340"/>
      <w:bookmarkStart w:id="313" w:name="_Toc134088482"/>
      <w:r>
        <w:rPr>
          <w:rFonts w:ascii="Times New Roman" w:hAnsi="Times New Roman" w:cs="Times New Roman"/>
        </w:rPr>
        <w:t>3.3.1 概述</w:t>
      </w:r>
      <w:bookmarkEnd w:id="304"/>
      <w:bookmarkEnd w:id="305"/>
      <w:bookmarkEnd w:id="306"/>
      <w:bookmarkEnd w:id="307"/>
      <w:bookmarkEnd w:id="308"/>
      <w:bookmarkEnd w:id="309"/>
      <w:bookmarkEnd w:id="310"/>
      <w:bookmarkEnd w:id="311"/>
      <w:bookmarkEnd w:id="312"/>
      <w:bookmarkEnd w:id="313"/>
    </w:p>
    <w:p>
      <w:pPr>
        <w:spacing w:line="360" w:lineRule="auto"/>
        <w:ind w:firstLine="480" w:firstLineChars="200"/>
        <w:rPr>
          <w:rFonts w:ascii="Times New Roman" w:hAnsi="Times New Roman" w:cs="Times New Roman"/>
        </w:rPr>
      </w:pPr>
      <w:r>
        <w:rPr>
          <w:rFonts w:ascii="Times New Roman" w:hAnsi="Times New Roman" w:cs="Times New Roman"/>
        </w:rPr>
        <w:t>协调性分析主要分析临湘高新技术产业开发区规划与相关法律法规、产业政策、资源利用和上位规划及其相关要求的符合性。规划区建设涉及的内容较为复杂，因此相关的法律法规等也较多，不能一一论述。本次评价将生态环境部、省政府、发改、自然资源等出台的相关上位规划、功能区划、国民经济发展规划、产业发展规划、城市总体规划、土地利用规划、环境保护相关规划等几个方面来分析临湘高新技术产业开发区规划与相关文件要求的符合性。具体分析对象见表3.</w:t>
      </w:r>
      <w:r>
        <w:rPr>
          <w:rFonts w:hint="eastAsia" w:ascii="Times New Roman" w:hAnsi="Times New Roman" w:cs="Times New Roman"/>
        </w:rPr>
        <w:t>3</w:t>
      </w:r>
      <w:r>
        <w:rPr>
          <w:rFonts w:ascii="Times New Roman" w:hAnsi="Times New Roman" w:cs="Times New Roman"/>
        </w:rPr>
        <w:t>-1。</w:t>
      </w:r>
    </w:p>
    <w:p>
      <w:pPr>
        <w:pStyle w:val="6"/>
        <w:rPr>
          <w:rFonts w:ascii="Times New Roman" w:hAnsi="Times New Roman" w:cs="Times New Roman"/>
        </w:rPr>
      </w:pPr>
      <w:r>
        <w:rPr>
          <w:rFonts w:ascii="Times New Roman" w:hAnsi="Times New Roman" w:cs="Times New Roman"/>
        </w:rPr>
        <w:t>表3.3-1  规划协调性分析对象一览表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7"/>
        <w:gridCol w:w="7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类别</w:t>
            </w: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w:t>
            </w:r>
          </w:p>
          <w:p>
            <w:pPr>
              <w:jc w:val="center"/>
              <w:rPr>
                <w:rFonts w:ascii="Times New Roman" w:hAnsi="Times New Roman" w:cs="Times New Roman"/>
                <w:sz w:val="21"/>
              </w:rPr>
            </w:pPr>
            <w:r>
              <w:rPr>
                <w:rFonts w:ascii="Times New Roman" w:hAnsi="Times New Roman" w:cs="Times New Roman"/>
                <w:sz w:val="21"/>
              </w:rPr>
              <w:t>园区政策</w:t>
            </w: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《湖南省关于加快推进产业园区改革和创新发展的实施意见》（湘政办发〔2018〕15号）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《关于进一步规范和加强产业园区生态环境管理的通知》（湘环发[2020]27号）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《湖南省开发区调区扩区和退出管理办法》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功能区划</w:t>
            </w: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《湖南省主体功能区规划》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国家发展改革委贯彻落实主体功能区战略推进主体功能区建设若干政策的意见发改规划[2013]1154号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《关于贯彻实施国家主体功能区环境政策的若干意见》环发〔2015〕92号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《水污染防治行动计划》实施区域差别化环境准入的指导意见（环环评[2016]190号）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w:t>
            </w:r>
            <w:r>
              <w:rPr>
                <w:rFonts w:hint="eastAsia" w:ascii="Times New Roman" w:hAnsi="Times New Roman" w:cs="Times New Roman"/>
                <w:sz w:val="21"/>
              </w:rPr>
              <w:t>岳阳市人民政府关于实施岳阳市“三线一单”生态环境分区管控的意见</w:t>
            </w:r>
            <w:r>
              <w:rPr>
                <w:rFonts w:ascii="Times New Roman" w:hAnsi="Times New Roman" w:cs="Times New Roman"/>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eastAsia="宋体" w:cs="Times New Roman"/>
                <w:sz w:val="21"/>
                <w:szCs w:val="21"/>
              </w:rPr>
              <w:t>《岳阳市城市规划区山体水体保护规划（2017-2030）》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国民经济发展规划</w:t>
            </w: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eastAsia="宋体" w:cs="Times New Roman"/>
                <w:sz w:val="21"/>
                <w:szCs w:val="21"/>
              </w:rPr>
              <w:t>《岳阳市国民经济和社会发展第十四个五年规划和二〇三五年远景目标纲要》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eastAsia="宋体" w:cs="Times New Roman"/>
                <w:sz w:val="21"/>
                <w:szCs w:val="24"/>
              </w:rPr>
              <w:t>《</w:t>
            </w:r>
            <w:r>
              <w:rPr>
                <w:rFonts w:hint="eastAsia" w:ascii="Times New Roman" w:hAnsi="Times New Roman" w:eastAsia="宋体" w:cs="Times New Roman"/>
                <w:sz w:val="21"/>
                <w:szCs w:val="24"/>
              </w:rPr>
              <w:t>临湘市国民经济和社会发展第十四个五年规划纲要</w:t>
            </w:r>
            <w:r>
              <w:rPr>
                <w:rFonts w:ascii="Times New Roman" w:hAnsi="Times New Roman" w:eastAsia="宋体" w:cs="Times New Roman"/>
                <w:sz w:val="21"/>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sz w:val="21"/>
                <w:szCs w:val="24"/>
              </w:rPr>
              <w:t>国土空间规划</w:t>
            </w: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sz w:val="21"/>
                <w:szCs w:val="24"/>
              </w:rPr>
              <w:t>《</w:t>
            </w:r>
            <w:r>
              <w:rPr>
                <w:rFonts w:ascii="Times New Roman" w:hAnsi="Times New Roman" w:eastAsia="宋体" w:cs="Times New Roman"/>
                <w:sz w:val="21"/>
                <w:szCs w:val="21"/>
              </w:rPr>
              <w:t>临湘市</w:t>
            </w:r>
            <w:r>
              <w:rPr>
                <w:rFonts w:hint="eastAsia" w:ascii="Times New Roman" w:hAnsi="Times New Roman" w:eastAsia="宋体" w:cs="Times New Roman"/>
                <w:sz w:val="21"/>
                <w:szCs w:val="24"/>
              </w:rPr>
              <w:t>国土空间总体规划》（2021-2035年）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相关环保法规、规划</w:t>
            </w: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《大气污染防治行动计划》（国发〔2013〕37号）、《贯彻落实&lt;大气污染防治行动计划&gt;实施细则》（湘政办发[2013]77号）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《水污染防治行动计划》（国发〔2015〕17号）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土壤污染防治行动计划及其配套文件的符合性分析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《湖南省“十四五”生态环境保护规划》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《长江经济带发展负面清单指南（试行）》、《湖南省长江经济带发展负面清单实施细则（试行）》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《关于加强高耗能、高排放建设项目生态环境源头防控的指导意见》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水产种质资源保护区管理暂行办法（2016年修正本）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restar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sz w:val="21"/>
                <w:szCs w:val="24"/>
              </w:rPr>
              <w:t>化工园区相关文件</w:t>
            </w: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bCs/>
                <w:sz w:val="21"/>
                <w:szCs w:val="24"/>
              </w:rPr>
              <w:t>《化工园区建设标准和认定管理办法（试行）》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bCs/>
                <w:sz w:val="21"/>
                <w:szCs w:val="24"/>
              </w:rPr>
              <w:t>《湖南省化工园区认定评估导则》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vMerge w:val="continue"/>
            <w:shd w:val="clear" w:color="auto" w:fill="auto"/>
            <w:vAlign w:val="center"/>
          </w:tcPr>
          <w:p>
            <w:pPr>
              <w:jc w:val="center"/>
              <w:rPr>
                <w:rFonts w:ascii="Times New Roman" w:hAnsi="Times New Roman" w:cs="Times New Roman"/>
                <w:sz w:val="21"/>
              </w:rPr>
            </w:pPr>
          </w:p>
        </w:tc>
        <w:tc>
          <w:tcPr>
            <w:tcW w:w="4424"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bCs/>
                <w:sz w:val="21"/>
                <w:szCs w:val="24"/>
              </w:rPr>
              <w:t>《湖南省化工园区污水收集处理规范化建设暂行规定》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76"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区域相关规划</w:t>
            </w:r>
          </w:p>
        </w:tc>
        <w:tc>
          <w:tcPr>
            <w:tcW w:w="4424" w:type="pct"/>
            <w:shd w:val="clear" w:color="auto" w:fill="auto"/>
            <w:vAlign w:val="center"/>
          </w:tcPr>
          <w:p>
            <w:pPr>
              <w:jc w:val="center"/>
              <w:rPr>
                <w:rFonts w:ascii="Times New Roman" w:hAnsi="Times New Roman" w:eastAsia="宋体" w:cs="Times New Roman"/>
                <w:bCs/>
                <w:sz w:val="21"/>
                <w:szCs w:val="24"/>
              </w:rPr>
            </w:pPr>
            <w:r>
              <w:rPr>
                <w:rFonts w:hint="eastAsia" w:ascii="Times New Roman" w:hAnsi="Times New Roman" w:eastAsia="宋体" w:cs="Times New Roman"/>
                <w:bCs/>
                <w:sz w:val="21"/>
                <w:szCs w:val="24"/>
              </w:rPr>
              <w:t>《洞庭湖生态经济区规划》</w:t>
            </w:r>
          </w:p>
        </w:tc>
      </w:tr>
    </w:tbl>
    <w:p/>
    <w:p>
      <w:pPr>
        <w:pStyle w:val="4"/>
        <w:rPr>
          <w:rFonts w:ascii="Times New Roman" w:hAnsi="Times New Roman" w:cs="Times New Roman"/>
        </w:rPr>
      </w:pPr>
      <w:bookmarkStart w:id="314" w:name="_Toc484434123"/>
      <w:bookmarkStart w:id="315" w:name="_Toc1552341"/>
      <w:bookmarkStart w:id="316" w:name="_Toc38389588"/>
      <w:bookmarkStart w:id="317" w:name="_Toc38478417"/>
      <w:bookmarkStart w:id="318" w:name="_Toc40253186"/>
      <w:bookmarkStart w:id="319" w:name="_Toc49323789"/>
      <w:bookmarkStart w:id="320" w:name="_Toc43837846"/>
      <w:bookmarkStart w:id="321" w:name="_Toc50625292"/>
      <w:bookmarkStart w:id="322" w:name="_Toc134088483"/>
      <w:bookmarkStart w:id="323" w:name="_Toc82606987"/>
      <w:bookmarkStart w:id="324" w:name="_Toc146091915"/>
      <w:r>
        <w:rPr>
          <w:rFonts w:ascii="Times New Roman" w:hAnsi="Times New Roman" w:cs="Times New Roman"/>
        </w:rPr>
        <w:t>3.3.2 与湖南省相关政策的符合性分析</w:t>
      </w:r>
      <w:bookmarkEnd w:id="314"/>
      <w:bookmarkEnd w:id="315"/>
      <w:bookmarkEnd w:id="316"/>
      <w:bookmarkEnd w:id="317"/>
      <w:bookmarkEnd w:id="318"/>
      <w:bookmarkEnd w:id="319"/>
      <w:bookmarkEnd w:id="320"/>
      <w:bookmarkEnd w:id="321"/>
      <w:bookmarkEnd w:id="322"/>
      <w:bookmarkEnd w:id="323"/>
      <w:bookmarkEnd w:id="324"/>
    </w:p>
    <w:p>
      <w:pPr>
        <w:pStyle w:val="5"/>
        <w:ind w:firstLine="482"/>
        <w:rPr>
          <w:rFonts w:ascii="Times New Roman" w:hAnsi="Times New Roman" w:cs="Times New Roman" w:eastAsiaTheme="minorEastAsia"/>
        </w:rPr>
      </w:pPr>
      <w:bookmarkStart w:id="325" w:name="_Toc49323791"/>
      <w:bookmarkStart w:id="326" w:name="_Toc50625293"/>
      <w:r>
        <w:rPr>
          <w:rFonts w:ascii="Times New Roman" w:hAnsi="Times New Roman" w:cs="Times New Roman" w:eastAsiaTheme="minorEastAsia"/>
        </w:rPr>
        <w:t>3.3.2.1 与《关于加快推进产业园区改革和创新发展的实施意见》的相符性分析</w:t>
      </w:r>
      <w:bookmarkEnd w:id="325"/>
      <w:bookmarkEnd w:id="326"/>
    </w:p>
    <w:p>
      <w:pPr>
        <w:spacing w:line="360" w:lineRule="auto"/>
        <w:ind w:firstLine="480" w:firstLineChars="200"/>
        <w:rPr>
          <w:rFonts w:ascii="Times New Roman" w:hAnsi="Times New Roman" w:cs="Times New Roman"/>
        </w:rPr>
      </w:pPr>
      <w:r>
        <w:rPr>
          <w:rFonts w:ascii="Times New Roman" w:hAnsi="Times New Roman" w:cs="Times New Roman"/>
        </w:rPr>
        <w:t>为贯彻党的十九大精神，湖南省人民政府办公厅发布《关于加快推进产业园区改革和创新发展的实施意见》（湘政办发〔2018〕15号），为推动产业园区转型升级和创新发展，制定一系列实施意见，现对比分析如下。</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临湘高新技术产业开发区是</w:t>
      </w:r>
      <w:r>
        <w:rPr>
          <w:rFonts w:hint="eastAsia" w:ascii="Times New Roman" w:hAnsi="Times New Roman" w:cs="Times New Roman"/>
        </w:rPr>
        <w:t>临湘</w:t>
      </w:r>
      <w:r>
        <w:rPr>
          <w:rFonts w:ascii="Times New Roman" w:hAnsi="Times New Roman" w:cs="Times New Roman"/>
        </w:rPr>
        <w:t>市重点建设的产业园区，符合《关于加快推进产业园区改革和创新发展的实施意见》的总体要求。</w:t>
      </w:r>
    </w:p>
    <w:p>
      <w:pPr>
        <w:pStyle w:val="6"/>
        <w:rPr>
          <w:rFonts w:ascii="Times New Roman" w:hAnsi="Times New Roman" w:cs="Times New Roman"/>
        </w:rPr>
      </w:pPr>
      <w:r>
        <w:rPr>
          <w:rFonts w:ascii="Times New Roman" w:hAnsi="Times New Roman" w:cs="Times New Roman"/>
        </w:rPr>
        <w:t>表3.3-2  临湘高新技术产业开发区规划与湘政办发〔2018〕15号符合性分析</w:t>
      </w:r>
    </w:p>
    <w:tbl>
      <w:tblPr>
        <w:tblStyle w:val="36"/>
        <w:tblW w:w="509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4253"/>
        <w:gridCol w:w="3320"/>
        <w:gridCol w:w="9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8" w:type="pct"/>
            <w:gridSpan w:val="2"/>
            <w:vAlign w:val="center"/>
          </w:tcPr>
          <w:p>
            <w:pPr>
              <w:pStyle w:val="63"/>
              <w:rPr>
                <w:rFonts w:eastAsiaTheme="minorEastAsia"/>
              </w:rPr>
            </w:pPr>
            <w:r>
              <w:rPr>
                <w:rFonts w:eastAsiaTheme="minorEastAsia"/>
              </w:rPr>
              <w:t>《关于加快推进产业园区改革和创新发展的实施意见》（湘政办发〔2018〕15号）</w:t>
            </w:r>
          </w:p>
        </w:tc>
        <w:tc>
          <w:tcPr>
            <w:tcW w:w="1811" w:type="pct"/>
            <w:vAlign w:val="center"/>
          </w:tcPr>
          <w:p>
            <w:pPr>
              <w:pStyle w:val="63"/>
              <w:rPr>
                <w:rFonts w:eastAsiaTheme="minorEastAsia"/>
              </w:rPr>
            </w:pPr>
            <w:r>
              <w:rPr>
                <w:rFonts w:eastAsiaTheme="minorEastAsia"/>
              </w:rPr>
              <w:t>临湘高新技术产业开发区规划</w:t>
            </w:r>
          </w:p>
        </w:tc>
        <w:tc>
          <w:tcPr>
            <w:tcW w:w="501" w:type="pct"/>
            <w:vAlign w:val="center"/>
          </w:tcPr>
          <w:p>
            <w:pPr>
              <w:pStyle w:val="63"/>
              <w:rPr>
                <w:rFonts w:eastAsiaTheme="minorEastAsia"/>
              </w:rPr>
            </w:pPr>
            <w:r>
              <w:rPr>
                <w:rFonts w:eastAsiaTheme="minorEastAsia"/>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63"/>
              <w:rPr>
                <w:rFonts w:eastAsiaTheme="minorEastAsia"/>
              </w:rPr>
            </w:pPr>
            <w:r>
              <w:rPr>
                <w:rFonts w:eastAsiaTheme="minorEastAsia"/>
              </w:rPr>
              <w:t>优化园区功能布局</w:t>
            </w:r>
          </w:p>
        </w:tc>
        <w:tc>
          <w:tcPr>
            <w:tcW w:w="2320" w:type="pct"/>
            <w:vAlign w:val="center"/>
          </w:tcPr>
          <w:p>
            <w:pPr>
              <w:pStyle w:val="63"/>
              <w:rPr>
                <w:rFonts w:eastAsiaTheme="minorEastAsia"/>
              </w:rPr>
            </w:pPr>
            <w:r>
              <w:rPr>
                <w:rFonts w:eastAsiaTheme="minorEastAsia"/>
              </w:rPr>
              <w:t>准确把握功能定位。园区坚持以产业发展为核心，注重提升质量效益，优化营商服务环境，走差异化、特色化、品牌化发展道路。国家级园区突出发展先进制造业、战略性新兴产业、高附加值加工贸易、保税物流等产业，建设具有国际竞争力的特色品牌园区、高端产业聚集区、大众创业万众创新的示范区、开放型经济和体制创新的先行区，率先实现转型升级。省级园区要充分发挥产业基础优势，大力开展精准产业招商，整合产业链，建设专业化、特色化产业聚集区。</w:t>
            </w:r>
          </w:p>
        </w:tc>
        <w:tc>
          <w:tcPr>
            <w:tcW w:w="1811" w:type="pct"/>
            <w:vAlign w:val="center"/>
          </w:tcPr>
          <w:p>
            <w:pPr>
              <w:pStyle w:val="63"/>
              <w:rPr>
                <w:rFonts w:eastAsiaTheme="minorEastAsia"/>
              </w:rPr>
            </w:pPr>
            <w:r>
              <w:rPr>
                <w:rFonts w:hint="eastAsia" w:eastAsiaTheme="minorEastAsia"/>
              </w:rPr>
              <w:t>临湘高新技术产业开发区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tc>
        <w:tc>
          <w:tcPr>
            <w:tcW w:w="50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63"/>
              <w:rPr>
                <w:rFonts w:eastAsiaTheme="minorEastAsia"/>
              </w:rPr>
            </w:pPr>
            <w:r>
              <w:rPr>
                <w:rFonts w:eastAsiaTheme="minorEastAsia"/>
              </w:rPr>
              <w:t>实施园区优化整合</w:t>
            </w:r>
          </w:p>
        </w:tc>
        <w:tc>
          <w:tcPr>
            <w:tcW w:w="2320" w:type="pct"/>
            <w:vAlign w:val="center"/>
          </w:tcPr>
          <w:p>
            <w:pPr>
              <w:pStyle w:val="63"/>
              <w:rPr>
                <w:rFonts w:eastAsiaTheme="minorEastAsia"/>
              </w:rPr>
            </w:pPr>
            <w:r>
              <w:rPr>
                <w:rFonts w:eastAsiaTheme="minorEastAsia"/>
              </w:rPr>
              <w:t>坚持“一县一园区”，鼓励以国家级或发展水平较高的省级园区为主体，整合区位相邻、相近的园区，对小而散的各类园区进行清理、整合、撤销，建立统一的管理机构、实行统一管理。</w:t>
            </w:r>
          </w:p>
        </w:tc>
        <w:tc>
          <w:tcPr>
            <w:tcW w:w="1811" w:type="pct"/>
            <w:vAlign w:val="center"/>
          </w:tcPr>
          <w:p>
            <w:pPr>
              <w:pStyle w:val="63"/>
              <w:rPr>
                <w:rFonts w:eastAsiaTheme="minorEastAsia"/>
              </w:rPr>
            </w:pPr>
            <w:r>
              <w:rPr>
                <w:rFonts w:eastAsiaTheme="minorEastAsia"/>
              </w:rPr>
              <w:t>临湘高新技术产业开发区是</w:t>
            </w:r>
            <w:r>
              <w:rPr>
                <w:rFonts w:hint="eastAsia" w:eastAsiaTheme="minorEastAsia"/>
              </w:rPr>
              <w:t>临湘市</w:t>
            </w:r>
            <w:r>
              <w:rPr>
                <w:rFonts w:eastAsiaTheme="minorEastAsia"/>
              </w:rPr>
              <w:t>目前唯一的省级</w:t>
            </w:r>
            <w:r>
              <w:rPr>
                <w:rFonts w:hint="eastAsia" w:eastAsiaTheme="minorEastAsia"/>
              </w:rPr>
              <w:t>园区</w:t>
            </w:r>
            <w:r>
              <w:rPr>
                <w:rFonts w:eastAsiaTheme="minorEastAsia"/>
              </w:rPr>
              <w:t>，同时也是开发程度较高的省级工业园区，园区建立统一的管理机构、实行统一管理。</w:t>
            </w:r>
          </w:p>
        </w:tc>
        <w:tc>
          <w:tcPr>
            <w:tcW w:w="50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63"/>
              <w:rPr>
                <w:rFonts w:eastAsiaTheme="minorEastAsia"/>
              </w:rPr>
            </w:pPr>
            <w:r>
              <w:rPr>
                <w:rFonts w:eastAsiaTheme="minorEastAsia"/>
              </w:rPr>
              <w:t>合理控制园区规模</w:t>
            </w:r>
          </w:p>
        </w:tc>
        <w:tc>
          <w:tcPr>
            <w:tcW w:w="2320" w:type="pct"/>
            <w:vAlign w:val="center"/>
          </w:tcPr>
          <w:p>
            <w:pPr>
              <w:pStyle w:val="63"/>
              <w:rPr>
                <w:rFonts w:eastAsiaTheme="minorEastAsia"/>
              </w:rPr>
            </w:pPr>
            <w:r>
              <w:rPr>
                <w:rFonts w:eastAsiaTheme="minorEastAsia"/>
              </w:rPr>
              <w:t>根据区域主体功能定位，合理控制园区开发面积和开发强度，园区建设用地不得突破城镇总体规划建设用地范围和土地利用总体规划允许建设区范围。禁止开发区域不得设立园区；限制开发区域原则上不得新设园区，现有园区要严格控制开发面积。科学划定园区功能分区和拓展空间，合理确定园区产业发展、公共服务、居住和生态用地比例。鼓励园区建设用地的多功能立体开发和复合利用，按照规划建设时序进行一体化整体开发。</w:t>
            </w:r>
          </w:p>
        </w:tc>
        <w:tc>
          <w:tcPr>
            <w:tcW w:w="1811" w:type="pct"/>
            <w:vAlign w:val="center"/>
          </w:tcPr>
          <w:p>
            <w:pPr>
              <w:pStyle w:val="63"/>
              <w:rPr>
                <w:rFonts w:eastAsiaTheme="minorEastAsia"/>
              </w:rPr>
            </w:pPr>
            <w:r>
              <w:rPr>
                <w:rFonts w:eastAsiaTheme="minorEastAsia"/>
              </w:rPr>
              <w:t>临湘高新技术产业开发区</w:t>
            </w:r>
            <w:r>
              <w:rPr>
                <w:rFonts w:hint="eastAsia" w:eastAsiaTheme="minorEastAsia"/>
              </w:rPr>
              <w:t>属于湖南省主体功能区划中重点开发区域</w:t>
            </w:r>
            <w:r>
              <w:rPr>
                <w:rFonts w:eastAsiaTheme="minorEastAsia"/>
              </w:rPr>
              <w:t>，符合主体功能区划的要求。园区规划基本符合城镇总体规划和土地利用规划的相关要求，同时园区制定了控制性详细规划，进行一体化整体开发。</w:t>
            </w:r>
          </w:p>
        </w:tc>
        <w:tc>
          <w:tcPr>
            <w:tcW w:w="501" w:type="pct"/>
            <w:vAlign w:val="center"/>
          </w:tcPr>
          <w:p>
            <w:pPr>
              <w:pStyle w:val="63"/>
              <w:rPr>
                <w:rFonts w:eastAsiaTheme="minorEastAsia"/>
              </w:rPr>
            </w:pPr>
            <w:r>
              <w:rPr>
                <w:rFonts w:eastAsiaTheme="minorEastAsia"/>
              </w:rPr>
              <w:t>符合</w:t>
            </w:r>
          </w:p>
        </w:tc>
      </w:tr>
    </w:tbl>
    <w:p>
      <w:pPr>
        <w:pStyle w:val="5"/>
        <w:ind w:firstLine="482"/>
        <w:rPr>
          <w:rFonts w:ascii="Times New Roman" w:hAnsi="Times New Roman" w:cs="Times New Roman" w:eastAsiaTheme="minorEastAsia"/>
        </w:rPr>
      </w:pPr>
      <w:bookmarkStart w:id="327" w:name="_Toc38389589"/>
      <w:bookmarkStart w:id="328" w:name="_Toc38478418"/>
      <w:bookmarkStart w:id="329" w:name="_Toc1552342"/>
      <w:bookmarkStart w:id="330" w:name="_Toc484434124"/>
      <w:bookmarkStart w:id="331" w:name="_Toc49323793"/>
      <w:bookmarkStart w:id="332" w:name="_Toc43837847"/>
      <w:bookmarkStart w:id="333" w:name="_Toc40253187"/>
      <w:bookmarkStart w:id="334" w:name="_Toc50625295"/>
      <w:bookmarkStart w:id="335" w:name="_Toc82606988"/>
      <w:r>
        <w:rPr>
          <w:rFonts w:ascii="Times New Roman" w:hAnsi="Times New Roman" w:cs="Times New Roman" w:eastAsiaTheme="minorEastAsia"/>
        </w:rPr>
        <w:t>3.3.2.2 与《关于进一步规范和加强产业园区生态环境管理的通知》相符性分析</w:t>
      </w:r>
    </w:p>
    <w:p>
      <w:pPr>
        <w:spacing w:line="360" w:lineRule="auto"/>
        <w:ind w:firstLine="480" w:firstLineChars="200"/>
        <w:rPr>
          <w:rFonts w:ascii="Times New Roman" w:hAnsi="Times New Roman" w:cs="Times New Roman"/>
        </w:rPr>
      </w:pPr>
      <w:r>
        <w:rPr>
          <w:rFonts w:ascii="Times New Roman" w:hAnsi="Times New Roman" w:cs="Times New Roman"/>
        </w:rPr>
        <w:t>2020年8月3日，湖南省生态环境厅、湖南省发展和改革委员会、湖南省工业和信息化厅、湖南省自然资源厅、湖南省科学技术厅联合发布了《关于进一步规范和加强产业园区生态环境管理的通知》（湘环发[2020]27号），园区规划与关于进一步规范和加强产业园区生态环境管理的通知相符性分析见下表。</w:t>
      </w:r>
    </w:p>
    <w:p>
      <w:pPr>
        <w:pStyle w:val="6"/>
        <w:rPr>
          <w:rFonts w:ascii="Times New Roman" w:hAnsi="Times New Roman" w:cs="Times New Roman"/>
        </w:rPr>
      </w:pPr>
      <w:r>
        <w:rPr>
          <w:rFonts w:ascii="Times New Roman" w:hAnsi="Times New Roman" w:cs="Times New Roman"/>
        </w:rPr>
        <w:t>表3.3-3  园区规划与湘环发[2020]27号符合性分析</w:t>
      </w:r>
    </w:p>
    <w:tbl>
      <w:tblPr>
        <w:tblStyle w:val="36"/>
        <w:tblW w:w="509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4"/>
        <w:gridCol w:w="4557"/>
        <w:gridCol w:w="3017"/>
        <w:gridCol w:w="9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3" w:type="pct"/>
            <w:gridSpan w:val="2"/>
            <w:vAlign w:val="center"/>
          </w:tcPr>
          <w:p>
            <w:pPr>
              <w:pStyle w:val="63"/>
              <w:rPr>
                <w:rFonts w:eastAsiaTheme="minorEastAsia"/>
              </w:rPr>
            </w:pPr>
            <w:r>
              <w:rPr>
                <w:rFonts w:eastAsiaTheme="minorEastAsia"/>
              </w:rPr>
              <w:t>关于进一步规范和加强产业园区生态环境管理的通知</w:t>
            </w:r>
          </w:p>
        </w:tc>
        <w:tc>
          <w:tcPr>
            <w:tcW w:w="1646" w:type="pct"/>
            <w:vAlign w:val="center"/>
          </w:tcPr>
          <w:p>
            <w:pPr>
              <w:pStyle w:val="63"/>
              <w:rPr>
                <w:rFonts w:eastAsiaTheme="minorEastAsia"/>
              </w:rPr>
            </w:pPr>
            <w:r>
              <w:rPr>
                <w:rFonts w:eastAsiaTheme="minorEastAsia"/>
              </w:rPr>
              <w:t>园区规划</w:t>
            </w:r>
          </w:p>
        </w:tc>
        <w:tc>
          <w:tcPr>
            <w:tcW w:w="511" w:type="pct"/>
            <w:vAlign w:val="center"/>
          </w:tcPr>
          <w:p>
            <w:pPr>
              <w:pStyle w:val="63"/>
              <w:rPr>
                <w:rFonts w:eastAsiaTheme="minorEastAsia"/>
              </w:rPr>
            </w:pPr>
            <w:r>
              <w:rPr>
                <w:rFonts w:eastAsiaTheme="minorEastAsia"/>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restart"/>
            <w:vAlign w:val="center"/>
          </w:tcPr>
          <w:p>
            <w:pPr>
              <w:pStyle w:val="63"/>
              <w:rPr>
                <w:rFonts w:eastAsiaTheme="minorEastAsia"/>
              </w:rPr>
            </w:pPr>
            <w:r>
              <w:rPr>
                <w:rFonts w:eastAsiaTheme="minorEastAsia"/>
              </w:rPr>
              <w:t>规范园区环境准入管理</w:t>
            </w:r>
          </w:p>
        </w:tc>
        <w:tc>
          <w:tcPr>
            <w:tcW w:w="2486" w:type="pct"/>
            <w:vAlign w:val="center"/>
          </w:tcPr>
          <w:p>
            <w:pPr>
              <w:pStyle w:val="63"/>
              <w:rPr>
                <w:rFonts w:eastAsiaTheme="minorEastAsia"/>
              </w:rPr>
            </w:pPr>
            <w:r>
              <w:rPr>
                <w:rFonts w:eastAsiaTheme="minorEastAsia"/>
              </w:rPr>
              <w:t>1、科学制定园区规划。园区总体发展规划、专项规划应符合当地国土空间规划、生态环境保护规划和“三线一单”管控等要求。园区主管部门按规定加快推进园区优化整合，各园区区块应集中连片，原则上不得超过3个区块。各园区要依据城镇国土空间规划编制详细规划，合理优化布局。</w:t>
            </w:r>
          </w:p>
        </w:tc>
        <w:tc>
          <w:tcPr>
            <w:tcW w:w="1646" w:type="pct"/>
            <w:vAlign w:val="center"/>
          </w:tcPr>
          <w:p>
            <w:pPr>
              <w:pStyle w:val="63"/>
              <w:rPr>
                <w:rFonts w:eastAsiaTheme="minorEastAsia"/>
              </w:rPr>
            </w:pPr>
            <w:r>
              <w:rPr>
                <w:rFonts w:eastAsiaTheme="minorEastAsia"/>
              </w:rPr>
              <w:t>园区范围依据2022年湖南省发展和改革委员会、湖南省自然资源厅</w:t>
            </w:r>
            <w:r>
              <w:rPr>
                <w:rFonts w:hint="eastAsia" w:eastAsiaTheme="minorEastAsia"/>
              </w:rPr>
              <w:t>《关于发布临湘高新技术产业开发区边界面积及四至范围的通知》</w:t>
            </w:r>
            <w:r>
              <w:rPr>
                <w:rFonts w:eastAsiaTheme="minorEastAsia"/>
              </w:rPr>
              <w:t>（湘发改园区[2022] 601号）</w:t>
            </w:r>
            <w:r>
              <w:rPr>
                <w:rFonts w:hint="eastAsia" w:eastAsiaTheme="minorEastAsia"/>
              </w:rPr>
              <w:t>文为基础进行调区扩区工作</w:t>
            </w:r>
            <w:r>
              <w:rPr>
                <w:rFonts w:eastAsiaTheme="minorEastAsia"/>
              </w:rPr>
              <w:t>，符合相关文件要求</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continue"/>
            <w:vAlign w:val="center"/>
          </w:tcPr>
          <w:p>
            <w:pPr>
              <w:pStyle w:val="63"/>
              <w:rPr>
                <w:rFonts w:eastAsiaTheme="minorEastAsia"/>
              </w:rPr>
            </w:pPr>
          </w:p>
        </w:tc>
        <w:tc>
          <w:tcPr>
            <w:tcW w:w="2486" w:type="pct"/>
            <w:vAlign w:val="center"/>
          </w:tcPr>
          <w:p>
            <w:pPr>
              <w:pStyle w:val="63"/>
              <w:rPr>
                <w:rFonts w:eastAsiaTheme="minorEastAsia"/>
              </w:rPr>
            </w:pPr>
            <w:r>
              <w:rPr>
                <w:rFonts w:eastAsiaTheme="minorEastAsia"/>
              </w:rPr>
              <w:t>2、依法开展园区规划环境影响评价。各园区必须依法开展规划环评，已通过规划环评审查的园区，在规划定位等方面发生重大调整或修订的，应重新或补充开展规划环评。规划实施五年以上的园区，规划编制部门原则上应组织开展环境影响跟踪评价。对环境有重大影响的规划实施后，规划编制部门应及时组织跟踪评价。</w:t>
            </w:r>
          </w:p>
        </w:tc>
        <w:tc>
          <w:tcPr>
            <w:tcW w:w="1646" w:type="pct"/>
            <w:vAlign w:val="center"/>
          </w:tcPr>
          <w:p>
            <w:pPr>
              <w:pStyle w:val="63"/>
              <w:rPr>
                <w:rFonts w:eastAsiaTheme="minorEastAsia"/>
              </w:rPr>
            </w:pPr>
            <w:r>
              <w:rPr>
                <w:rFonts w:eastAsiaTheme="minorEastAsia"/>
              </w:rPr>
              <w:t>目前，园区依据（湘发改园区[2022] 601号）</w:t>
            </w:r>
            <w:r>
              <w:rPr>
                <w:rFonts w:hint="eastAsia" w:eastAsiaTheme="minorEastAsia"/>
              </w:rPr>
              <w:t>进行调区扩区工作，</w:t>
            </w:r>
            <w:r>
              <w:rPr>
                <w:rFonts w:eastAsiaTheme="minorEastAsia"/>
              </w:rPr>
              <w:t>编制相关规划，编制相关规划环评</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continue"/>
            <w:vAlign w:val="center"/>
          </w:tcPr>
          <w:p>
            <w:pPr>
              <w:pStyle w:val="63"/>
              <w:rPr>
                <w:rFonts w:eastAsiaTheme="minorEastAsia"/>
              </w:rPr>
            </w:pPr>
          </w:p>
        </w:tc>
        <w:tc>
          <w:tcPr>
            <w:tcW w:w="2486" w:type="pct"/>
            <w:vAlign w:val="center"/>
          </w:tcPr>
          <w:p>
            <w:pPr>
              <w:pStyle w:val="63"/>
              <w:rPr>
                <w:rFonts w:eastAsiaTheme="minorEastAsia"/>
              </w:rPr>
            </w:pPr>
            <w:r>
              <w:rPr>
                <w:rFonts w:eastAsiaTheme="minorEastAsia"/>
              </w:rPr>
              <w:t>3、分类实行建设项目环评审批。加强规划环评与项目环评联动，对符合要求的园区试点开展项目环评审批告知承诺制改革，分类制定项目环评豁免、简化审批、严格项目环评、不予审批等管理要求，具体由生态环境部门制定清单目录。积极引导园区外工业项目向园区集聚发展，除矿产资源、能源开发等对选址有特殊要求的项目外，新上工业项目应当安排在省级及以上工业园区。</w:t>
            </w:r>
          </w:p>
        </w:tc>
        <w:tc>
          <w:tcPr>
            <w:tcW w:w="1646" w:type="pct"/>
            <w:vAlign w:val="center"/>
          </w:tcPr>
          <w:p>
            <w:pPr>
              <w:pStyle w:val="63"/>
              <w:rPr>
                <w:rFonts w:eastAsiaTheme="minorEastAsia"/>
              </w:rPr>
            </w:pPr>
            <w:r>
              <w:rPr>
                <w:rFonts w:eastAsiaTheme="minorEastAsia"/>
              </w:rPr>
              <w:t>园区规划环评通过审查后，加强与入园项目的环评联动性，园区后续入园企业须符合本评价提出的环境准入清单。</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restart"/>
            <w:vAlign w:val="center"/>
          </w:tcPr>
          <w:p>
            <w:pPr>
              <w:pStyle w:val="63"/>
              <w:rPr>
                <w:rFonts w:eastAsiaTheme="minorEastAsia"/>
              </w:rPr>
            </w:pPr>
            <w:r>
              <w:rPr>
                <w:rFonts w:eastAsiaTheme="minorEastAsia"/>
              </w:rPr>
              <w:t>加强园区环境基础设施建设</w:t>
            </w:r>
          </w:p>
        </w:tc>
        <w:tc>
          <w:tcPr>
            <w:tcW w:w="2486" w:type="pct"/>
            <w:vAlign w:val="center"/>
          </w:tcPr>
          <w:p>
            <w:pPr>
              <w:pStyle w:val="63"/>
              <w:rPr>
                <w:rFonts w:eastAsiaTheme="minorEastAsia"/>
              </w:rPr>
            </w:pPr>
            <w:r>
              <w:rPr>
                <w:rFonts w:eastAsiaTheme="minorEastAsia"/>
              </w:rPr>
              <w:t>1、加强园区废水收集处理。园区要按规定配套建设污水集中处理设施，安装进、出水自动在线监控系统，并与生态环境部门污染源在线监控管理平台联网。园区新建和调区扩区过程中应同步规划污水收集管网，按照“适度超前”原则建设污水管网，确保污水全收集。化工、有色等专业园区应加快改造现有管网，采用专用密闭管道输送废水，逐步实现“一企一管”和可视可监测要求。园区管理机构应建立排水系统监管制度和管理档案，全面排查整治管网错接混接、老旧破损、设施不能稳定达标运行等问题。规范设置园区集中污水处理设施排污口，原则上一个园区只设置一个排污口。</w:t>
            </w:r>
          </w:p>
        </w:tc>
        <w:tc>
          <w:tcPr>
            <w:tcW w:w="1646" w:type="pct"/>
            <w:vAlign w:val="center"/>
          </w:tcPr>
          <w:p>
            <w:pPr>
              <w:pStyle w:val="63"/>
              <w:rPr>
                <w:rFonts w:eastAsiaTheme="minorEastAsia"/>
              </w:rPr>
            </w:pPr>
            <w:r>
              <w:rPr>
                <w:rFonts w:eastAsiaTheme="minorEastAsia"/>
              </w:rPr>
              <w:t>园区</w:t>
            </w:r>
            <w:r>
              <w:rPr>
                <w:rFonts w:hint="eastAsia" w:eastAsiaTheme="minorEastAsia"/>
              </w:rPr>
              <w:t>三湾片区</w:t>
            </w:r>
            <w:r>
              <w:rPr>
                <w:rFonts w:eastAsiaTheme="minorEastAsia"/>
              </w:rPr>
              <w:t>企业废水</w:t>
            </w:r>
            <w:r>
              <w:rPr>
                <w:rFonts w:hint="eastAsia" w:eastAsiaTheme="minorEastAsia"/>
              </w:rPr>
              <w:t>依托临湘市城区污水处理厂处理，目前该片区已开发完全，后续不在继续开发；建材产业园废水全部回用，不外排，目前该片区已开发完全，后续不在继续开发；滨江片区企业废水依托现有工业污水处理厂进行处理，</w:t>
            </w:r>
            <w:r>
              <w:rPr>
                <w:rFonts w:eastAsiaTheme="minorEastAsia"/>
              </w:rPr>
              <w:t>污水处理厂已与生态环境主管部门联网。</w:t>
            </w:r>
            <w:r>
              <w:rPr>
                <w:rFonts w:hint="eastAsia" w:eastAsiaTheme="minorEastAsia"/>
              </w:rPr>
              <w:t>后续企业实施</w:t>
            </w:r>
            <w:r>
              <w:rPr>
                <w:rFonts w:eastAsiaTheme="minorEastAsia"/>
              </w:rPr>
              <w:t>“一企一管”和可视可监测要求，企业不设置废水外排口。</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continue"/>
            <w:vAlign w:val="center"/>
          </w:tcPr>
          <w:p>
            <w:pPr>
              <w:pStyle w:val="63"/>
              <w:rPr>
                <w:rFonts w:eastAsiaTheme="minorEastAsia"/>
              </w:rPr>
            </w:pPr>
          </w:p>
        </w:tc>
        <w:tc>
          <w:tcPr>
            <w:tcW w:w="2486" w:type="pct"/>
            <w:vAlign w:val="center"/>
          </w:tcPr>
          <w:p>
            <w:pPr>
              <w:pStyle w:val="63"/>
              <w:rPr>
                <w:rFonts w:eastAsiaTheme="minorEastAsia"/>
              </w:rPr>
            </w:pPr>
            <w:r>
              <w:rPr>
                <w:rFonts w:eastAsiaTheme="minorEastAsia"/>
              </w:rPr>
              <w:t>3、优化园区废气、固废处置。园区管理机构应督促涉VOCs（挥发性有机物）排放企业尽快实施VOCs污染治理，涉及有毒及恶臭气体的企业尽快建设有毒及恶臭气体收集、处理和应急处置设施。涉VOCs排放工业园区应加强资源共享，实施集中治理。推动建设固体废物集中处置设施，园区管理机构应督促企业强化固体废弃物源头减量措施，实现固废处置全流程管控，对不能自行利用或处置的危险废物，必须交有资质的经营单位进行处置。</w:t>
            </w:r>
          </w:p>
        </w:tc>
        <w:tc>
          <w:tcPr>
            <w:tcW w:w="1646" w:type="pct"/>
            <w:vAlign w:val="center"/>
          </w:tcPr>
          <w:p>
            <w:pPr>
              <w:pStyle w:val="63"/>
              <w:rPr>
                <w:rFonts w:eastAsiaTheme="minorEastAsia"/>
              </w:rPr>
            </w:pPr>
            <w:r>
              <w:rPr>
                <w:rFonts w:eastAsiaTheme="minorEastAsia"/>
              </w:rPr>
              <w:t>园区企业加强与完善生产废气收集处置措施。园区管理机构督促企业强化固体废弃物源头减量措施，实现固废处置全流程管控，对不能自行利用或处置的危险废物，交有资质的单位进行处置。</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restart"/>
            <w:vAlign w:val="center"/>
          </w:tcPr>
          <w:p>
            <w:pPr>
              <w:pStyle w:val="63"/>
              <w:rPr>
                <w:rFonts w:eastAsiaTheme="minorEastAsia"/>
              </w:rPr>
            </w:pPr>
            <w:r>
              <w:rPr>
                <w:rFonts w:eastAsiaTheme="minorEastAsia"/>
              </w:rPr>
              <w:t>加强园区环境监测、监管能力建设</w:t>
            </w:r>
          </w:p>
          <w:p>
            <w:pPr>
              <w:pStyle w:val="63"/>
              <w:rPr>
                <w:rFonts w:eastAsiaTheme="minorEastAsia"/>
              </w:rPr>
            </w:pPr>
          </w:p>
        </w:tc>
        <w:tc>
          <w:tcPr>
            <w:tcW w:w="2486" w:type="pct"/>
            <w:vAlign w:val="center"/>
          </w:tcPr>
          <w:p>
            <w:pPr>
              <w:pStyle w:val="63"/>
              <w:rPr>
                <w:rFonts w:eastAsiaTheme="minorEastAsia"/>
              </w:rPr>
            </w:pPr>
            <w:r>
              <w:rPr>
                <w:rFonts w:eastAsiaTheme="minorEastAsia"/>
              </w:rPr>
              <w:t>1、强化园区监测监控。强化园区管理机构的监管监测主体责任。各园区要明确环境管理机构和专业人员，加强监测监控能力建设，按规范要求设置环境监测点位，及时全面掌握园区环境质量状况和对周边环境影响情况。园区企业（包含园区污水处理厂）要制定并落实自行监测方案，依法依规公开相关监测信息。园区要逐步建立集污染源在线监控、企业生产工况、电能监控、视频监控及环保设施运行监控、环境质量监控于一体的园区数字化在线监控平台</w:t>
            </w:r>
          </w:p>
        </w:tc>
        <w:tc>
          <w:tcPr>
            <w:tcW w:w="1646" w:type="pct"/>
            <w:vAlign w:val="center"/>
          </w:tcPr>
          <w:p>
            <w:pPr>
              <w:pStyle w:val="63"/>
              <w:rPr>
                <w:rFonts w:eastAsiaTheme="minorEastAsia"/>
              </w:rPr>
            </w:pPr>
            <w:r>
              <w:rPr>
                <w:rFonts w:eastAsiaTheme="minorEastAsia"/>
              </w:rPr>
              <w:t>园区已设置环境管理部门，配备专业人员。园区已落实小微监测站的建设。园区企业落实企业环评和排污许可中的环境监测计划要求。园区加快实施园区数字化在线监控平台的建设。</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continue"/>
            <w:vAlign w:val="center"/>
          </w:tcPr>
          <w:p>
            <w:pPr>
              <w:pStyle w:val="63"/>
              <w:rPr>
                <w:rFonts w:eastAsiaTheme="minorEastAsia"/>
              </w:rPr>
            </w:pPr>
          </w:p>
        </w:tc>
        <w:tc>
          <w:tcPr>
            <w:tcW w:w="2486" w:type="pct"/>
            <w:vAlign w:val="center"/>
          </w:tcPr>
          <w:p>
            <w:pPr>
              <w:pStyle w:val="63"/>
              <w:rPr>
                <w:rFonts w:eastAsiaTheme="minorEastAsia"/>
              </w:rPr>
            </w:pPr>
            <w:r>
              <w:rPr>
                <w:rFonts w:eastAsiaTheme="minorEastAsia"/>
              </w:rPr>
              <w:t>2、强化园区监督执法。生态环境部门要加强对工业园区和园区重点企业的监管，创新监管方式，充分运用大数据，实行互联网+监管执法，对企业排污和污水处理设施运行情况进行预警、监督与查处。强化园区日常环境监管“双随机”抽查，建立环境管理台账，严厉打击环境违法行为，将环境违法信息记入社会诚信档案，及时向社会公布违法者名单。加快实现排污许可制全覆盖，对固定污染源实现“一证式”管理。2020年9月底前完成园区所有行业企业排污许可证核发工作。加大排污许可监管执法力度，强化证后管理和监管执法，督促排污单位持证排污、按证排污、落实环境保护主体责任。</w:t>
            </w:r>
          </w:p>
        </w:tc>
        <w:tc>
          <w:tcPr>
            <w:tcW w:w="1646" w:type="pct"/>
            <w:vAlign w:val="center"/>
          </w:tcPr>
          <w:p>
            <w:pPr>
              <w:pStyle w:val="63"/>
              <w:rPr>
                <w:rFonts w:eastAsiaTheme="minorEastAsia"/>
              </w:rPr>
            </w:pPr>
            <w:r>
              <w:rPr>
                <w:rFonts w:eastAsiaTheme="minorEastAsia"/>
              </w:rPr>
              <w:t>生态环境主管部门加强园区和入园企业的环境监管力度，督促园区和入园企业落实污染防治措施，落实和建立园区环境管理台账。入园企业根据固定污染源排污许可分类管理名录的管理要求落实排污许可，按证排污。</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continue"/>
            <w:vAlign w:val="center"/>
          </w:tcPr>
          <w:p>
            <w:pPr>
              <w:pStyle w:val="63"/>
              <w:rPr>
                <w:rFonts w:eastAsiaTheme="minorEastAsia"/>
              </w:rPr>
            </w:pPr>
          </w:p>
        </w:tc>
        <w:tc>
          <w:tcPr>
            <w:tcW w:w="2486" w:type="pct"/>
            <w:vAlign w:val="center"/>
          </w:tcPr>
          <w:p>
            <w:pPr>
              <w:pStyle w:val="63"/>
              <w:rPr>
                <w:rFonts w:eastAsiaTheme="minorEastAsia"/>
              </w:rPr>
            </w:pPr>
            <w:r>
              <w:rPr>
                <w:rFonts w:eastAsiaTheme="minorEastAsia"/>
              </w:rPr>
              <w:t>3、加强园区环境信息化建设和信息公开。园区管理机构应按要求组织建立“一园一档”，涵盖园区基本情况、企业基础档案、重点企业排污台账、管网建设和运行情况、污水处理设施建设和运行情况等内容，并实施动态管理，相关信息及时导入工业园区环境信息平台。园区管理机构应畅通公众沟通渠道，建立定期发布园区环境状况的机制，公布园区污染物排放状况、企业达标排放情况、环境基础设施建设和运行情况、环境风险防控措施落实情况等。</w:t>
            </w:r>
          </w:p>
        </w:tc>
        <w:tc>
          <w:tcPr>
            <w:tcW w:w="1646" w:type="pct"/>
            <w:vAlign w:val="center"/>
          </w:tcPr>
          <w:p>
            <w:pPr>
              <w:pStyle w:val="63"/>
              <w:rPr>
                <w:rFonts w:eastAsiaTheme="minorEastAsia"/>
              </w:rPr>
            </w:pPr>
            <w:r>
              <w:rPr>
                <w:rFonts w:eastAsiaTheme="minorEastAsia"/>
              </w:rPr>
              <w:t>园区已完成“一园一档”的管理要求，加快建立园区区环境信息平台。</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restart"/>
            <w:vAlign w:val="center"/>
          </w:tcPr>
          <w:p>
            <w:pPr>
              <w:pStyle w:val="63"/>
              <w:rPr>
                <w:rFonts w:eastAsiaTheme="minorEastAsia"/>
              </w:rPr>
            </w:pPr>
            <w:r>
              <w:rPr>
                <w:rFonts w:eastAsiaTheme="minorEastAsia"/>
              </w:rPr>
              <w:t>完善环境风险防控措施</w:t>
            </w:r>
          </w:p>
        </w:tc>
        <w:tc>
          <w:tcPr>
            <w:tcW w:w="2486" w:type="pct"/>
            <w:vAlign w:val="center"/>
          </w:tcPr>
          <w:p>
            <w:pPr>
              <w:pStyle w:val="63"/>
              <w:rPr>
                <w:rFonts w:eastAsiaTheme="minorEastAsia"/>
              </w:rPr>
            </w:pPr>
            <w:r>
              <w:rPr>
                <w:rFonts w:eastAsiaTheme="minorEastAsia"/>
              </w:rPr>
              <w:t>1、定期开展园区环境风险隐患大排查。园区管理机构要会同生态环境、应急等部门，定期对园区及有关企业进行环境保护、安全排查。相关职能部门对存在环境风险隐患的园区和企业依法下达整改通知，明确整改内容、时限和要求，园区管理机构负责督促落实到位。</w:t>
            </w:r>
          </w:p>
        </w:tc>
        <w:tc>
          <w:tcPr>
            <w:tcW w:w="1646" w:type="pct"/>
            <w:vAlign w:val="center"/>
          </w:tcPr>
          <w:p>
            <w:pPr>
              <w:pStyle w:val="63"/>
              <w:rPr>
                <w:rFonts w:eastAsiaTheme="minorEastAsia"/>
              </w:rPr>
            </w:pPr>
            <w:r>
              <w:rPr>
                <w:rFonts w:eastAsiaTheme="minorEastAsia"/>
              </w:rPr>
              <w:t>园区管委会定期开展园区环境风险隐患大排查，对存在环境风险隐患的园区和企业依法下达整改通知，明确整改内容、时限和要求，督促落实到位</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Merge w:val="continue"/>
            <w:vAlign w:val="center"/>
          </w:tcPr>
          <w:p>
            <w:pPr>
              <w:pStyle w:val="63"/>
              <w:rPr>
                <w:rFonts w:eastAsiaTheme="minorEastAsia"/>
              </w:rPr>
            </w:pPr>
          </w:p>
        </w:tc>
        <w:tc>
          <w:tcPr>
            <w:tcW w:w="2486" w:type="pct"/>
            <w:vAlign w:val="center"/>
          </w:tcPr>
          <w:p>
            <w:pPr>
              <w:pStyle w:val="63"/>
              <w:rPr>
                <w:rFonts w:eastAsiaTheme="minorEastAsia"/>
              </w:rPr>
            </w:pPr>
            <w:r>
              <w:rPr>
                <w:rFonts w:eastAsiaTheme="minorEastAsia"/>
              </w:rPr>
              <w:t>2、加强环境应急保障能力建设。园区内企业应按照相关规定制定突发环境事件应急预案，落实环境风险防范措施。园区管理机构应编制综合环境应急预案并报相关职能部门备案，整合应急资源，储备环境应急物资及装备，每年组织开展应急演练，全面提升园区突发环境事件应急处理能力。</w:t>
            </w:r>
          </w:p>
          <w:p>
            <w:pPr>
              <w:pStyle w:val="63"/>
              <w:rPr>
                <w:rFonts w:eastAsiaTheme="minorEastAsia"/>
              </w:rPr>
            </w:pPr>
            <w:r>
              <w:rPr>
                <w:rFonts w:eastAsiaTheme="minorEastAsia"/>
              </w:rPr>
              <w:t>3、完善环境风险防控体系。推进化工园区有毒有害气体环境风险预警体系建设，健全环境风险源数据库。构建企业、园区和政府职能部门三级风险防控联动体系，按突发环境事件应急预案的要求落实各项风险防范措施，增强园区风险防控能力。</w:t>
            </w:r>
          </w:p>
        </w:tc>
        <w:tc>
          <w:tcPr>
            <w:tcW w:w="1646" w:type="pct"/>
            <w:vAlign w:val="center"/>
          </w:tcPr>
          <w:p>
            <w:pPr>
              <w:pStyle w:val="63"/>
              <w:rPr>
                <w:rFonts w:eastAsiaTheme="minorEastAsia"/>
              </w:rPr>
            </w:pPr>
            <w:r>
              <w:rPr>
                <w:rFonts w:eastAsiaTheme="minorEastAsia"/>
              </w:rPr>
              <w:t>园区企业按照管理规定制定突发环境事件应急预案，落实环境风险防范措施。园区</w:t>
            </w:r>
            <w:r>
              <w:rPr>
                <w:rFonts w:hint="eastAsia" w:eastAsiaTheme="minorEastAsia"/>
              </w:rPr>
              <w:t>已完成</w:t>
            </w:r>
            <w:r>
              <w:rPr>
                <w:rFonts w:eastAsiaTheme="minorEastAsia"/>
              </w:rPr>
              <w:t>突发环境应急预案修编和备案工作，</w:t>
            </w:r>
            <w:r>
              <w:rPr>
                <w:rFonts w:hint="eastAsia" w:eastAsiaTheme="minorEastAsia"/>
              </w:rPr>
              <w:t>并</w:t>
            </w:r>
            <w:r>
              <w:rPr>
                <w:rFonts w:eastAsiaTheme="minorEastAsia"/>
              </w:rPr>
              <w:t>组织开展应急演练，全面提升园区突发环境事件应急处理能力。园区管委会整合区域应急资源，园区储备环境应急物资及装备，建立企业、园区和政府职能部门三级风险防控联动体系。</w:t>
            </w:r>
          </w:p>
        </w:tc>
        <w:tc>
          <w:tcPr>
            <w:tcW w:w="511"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pPr>
              <w:pStyle w:val="63"/>
              <w:rPr>
                <w:rFonts w:eastAsiaTheme="minorEastAsia"/>
              </w:rPr>
            </w:pPr>
            <w:r>
              <w:rPr>
                <w:rFonts w:eastAsiaTheme="minorEastAsia"/>
              </w:rPr>
              <w:t>加强园区环境综合整治</w:t>
            </w:r>
          </w:p>
          <w:p>
            <w:pPr>
              <w:pStyle w:val="63"/>
              <w:rPr>
                <w:rFonts w:eastAsiaTheme="minorEastAsia"/>
              </w:rPr>
            </w:pPr>
          </w:p>
        </w:tc>
        <w:tc>
          <w:tcPr>
            <w:tcW w:w="2486" w:type="pct"/>
            <w:vAlign w:val="center"/>
          </w:tcPr>
          <w:p>
            <w:pPr>
              <w:pStyle w:val="63"/>
              <w:rPr>
                <w:rFonts w:eastAsiaTheme="minorEastAsia"/>
              </w:rPr>
            </w:pPr>
            <w:r>
              <w:rPr>
                <w:rFonts w:eastAsiaTheme="minorEastAsia"/>
              </w:rPr>
              <w:t>1、开展环境问题排查整治。园区管理机构应按照生态环境部门制定的排查文件等要求，每年至少组织开展两次以上园区环境问题的全面排查，针对排查出的问题制定并实施“一园一策”限期整治方案。涉及饮用水水源、生态保护红线等环境敏感区域的，应依法强化管理，及时清理整治违规项目和违法行为。园区应积极开展循环化改造，推动园区土地集约利用、能量梯级利用、废物交换利用、水的分类利用和循环使用。</w:t>
            </w:r>
          </w:p>
          <w:p>
            <w:pPr>
              <w:pStyle w:val="63"/>
              <w:rPr>
                <w:rFonts w:eastAsiaTheme="minorEastAsia"/>
              </w:rPr>
            </w:pPr>
            <w:r>
              <w:rPr>
                <w:rFonts w:eastAsiaTheme="minorEastAsia"/>
              </w:rPr>
              <w:t>2、推行园区环境第三方治理。加快推进统一规划、统一监测、统一监管、统一运营的一体化园区环境第三方治理服务模式，通过三年时间基本实现全覆盖。2020年，对国家级产业园区、涉及化工产业定位的园区推行园区第三方治理。</w:t>
            </w:r>
          </w:p>
          <w:p>
            <w:pPr>
              <w:pStyle w:val="63"/>
              <w:rPr>
                <w:rFonts w:eastAsiaTheme="minorEastAsia"/>
              </w:rPr>
            </w:pPr>
            <w:r>
              <w:rPr>
                <w:rFonts w:eastAsiaTheme="minorEastAsia"/>
              </w:rPr>
              <w:t>3、加强联合惩戒。对不符合环保要求、污染治理设施不正常运行、环境安全隐患突出的园区，依法采取挂牌督办、约谈、公开曝光等措施限期整改。对未完成规划环评、逾期未按要求完成水污染治理设施和自动监控设施建设的园区，依法暂停审批和核准其增加水污染物排放的建设项目。对严重污染环境、破坏生态，或整改无效的园区，依法予以撤销、摘牌、降级。</w:t>
            </w:r>
          </w:p>
        </w:tc>
        <w:tc>
          <w:tcPr>
            <w:tcW w:w="1646" w:type="pct"/>
            <w:vAlign w:val="center"/>
          </w:tcPr>
          <w:p>
            <w:pPr>
              <w:pStyle w:val="63"/>
              <w:rPr>
                <w:rFonts w:eastAsiaTheme="minorEastAsia"/>
              </w:rPr>
            </w:pPr>
            <w:r>
              <w:rPr>
                <w:rFonts w:eastAsiaTheme="minorEastAsia"/>
              </w:rPr>
              <w:t>园区管委会每年组织开展园区环境问题的全面排查，针对排查出的问题制定并实施“一园一策”限期整治方案。开展园区循环化改造，推动园区土地集约利用、能量梯级利用、废物交换利用、水的分类利用和循环使用。</w:t>
            </w:r>
          </w:p>
          <w:p>
            <w:pPr>
              <w:pStyle w:val="63"/>
              <w:rPr>
                <w:rFonts w:eastAsiaTheme="minorEastAsia"/>
              </w:rPr>
            </w:pPr>
            <w:r>
              <w:rPr>
                <w:rFonts w:eastAsiaTheme="minorEastAsia"/>
              </w:rPr>
              <w:t>2、加快推进园区统一规划、统一监测、统一监管、统一运营的一体化园区环境第三方治理服务模式。</w:t>
            </w:r>
          </w:p>
          <w:p>
            <w:pPr>
              <w:pStyle w:val="63"/>
              <w:rPr>
                <w:rFonts w:eastAsiaTheme="minorEastAsia"/>
              </w:rPr>
            </w:pPr>
            <w:r>
              <w:rPr>
                <w:rFonts w:eastAsiaTheme="minorEastAsia"/>
              </w:rPr>
              <w:t>3、目前园区企业符合环保要求，污染治理设施正常运行，符合相关的文件要求</w:t>
            </w:r>
          </w:p>
        </w:tc>
        <w:tc>
          <w:tcPr>
            <w:tcW w:w="511" w:type="pct"/>
            <w:vAlign w:val="center"/>
          </w:tcPr>
          <w:p>
            <w:pPr>
              <w:pStyle w:val="63"/>
              <w:rPr>
                <w:rFonts w:eastAsiaTheme="minorEastAsia"/>
              </w:rPr>
            </w:pPr>
            <w:r>
              <w:rPr>
                <w:rFonts w:eastAsiaTheme="minorEastAsia"/>
              </w:rPr>
              <w:t>符合</w:t>
            </w:r>
          </w:p>
        </w:tc>
      </w:tr>
    </w:tbl>
    <w:p>
      <w:pPr>
        <w:pStyle w:val="5"/>
        <w:ind w:firstLine="482"/>
      </w:pPr>
      <w:bookmarkStart w:id="336" w:name="_Toc134088484"/>
      <w:r>
        <w:t>3.2.2.3 与《湖南省开发区调区扩区和退出管理办法》的相符性分析</w:t>
      </w:r>
    </w:p>
    <w:p>
      <w:pPr>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szCs w:val="24"/>
        </w:rPr>
        <w:t>为促进开发区规范健康有序发展，积极稳妥地开展我省开发区调区扩区和退出工作，建立开发区动态管理机制，湖南省人民政府办公厅发布《湖南省开发区调区扩区和退出管理办法》（湘政办发〔2018〕19号）。主要文件精神摘录如下：</w:t>
      </w:r>
    </w:p>
    <w:p>
      <w:pPr>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szCs w:val="24"/>
        </w:rPr>
        <w:t>总体要求：按照国民经济和社会发展规划、主体功能区规划、城市（镇）总体规划、土地利用总体规划和环境保护规划，遵循</w:t>
      </w:r>
      <w:r>
        <w:rPr>
          <w:rFonts w:ascii="Times New Roman" w:hAnsi="Times New Roman" w:eastAsia="宋体" w:cs="Times New Roman"/>
          <w:szCs w:val="24"/>
          <w:lang w:val="zh-CN"/>
        </w:rPr>
        <w:t>“</w:t>
      </w:r>
      <w:r>
        <w:rPr>
          <w:rFonts w:ascii="Times New Roman" w:hAnsi="Times New Roman" w:eastAsia="宋体" w:cs="Times New Roman"/>
          <w:szCs w:val="24"/>
        </w:rPr>
        <w:t>布局集中、用地集约、产业集聚”的总体要求和</w:t>
      </w:r>
      <w:r>
        <w:rPr>
          <w:rFonts w:ascii="Times New Roman" w:hAnsi="Times New Roman" w:eastAsia="宋体" w:cs="Times New Roman"/>
          <w:szCs w:val="24"/>
          <w:lang w:val="zh-CN"/>
        </w:rPr>
        <w:t>“</w:t>
      </w:r>
      <w:r>
        <w:rPr>
          <w:rFonts w:ascii="Times New Roman" w:hAnsi="Times New Roman" w:eastAsia="宋体" w:cs="Times New Roman"/>
          <w:szCs w:val="24"/>
        </w:rPr>
        <w:t>科学规划、注重实效、有序推进”的原则，在深入调查、充分论证、严格评审的基础上，实施开发区调区扩区和退出审查工作，促进开发区科学发展。</w:t>
      </w:r>
    </w:p>
    <w:p>
      <w:pPr>
        <w:spacing w:line="360" w:lineRule="auto"/>
        <w:ind w:firstLine="480" w:firstLineChars="200"/>
        <w:rPr>
          <w:rFonts w:ascii="Times New Roman" w:hAnsi="Times New Roman" w:eastAsia="宋体" w:cs="Times New Roman"/>
          <w:szCs w:val="21"/>
        </w:rPr>
      </w:pPr>
      <w:r>
        <w:rPr>
          <w:rFonts w:hint="eastAsia" w:ascii="Times New Roman" w:hAnsi="Times New Roman" w:eastAsia="宋体" w:cs="Times New Roman"/>
          <w:szCs w:val="24"/>
        </w:rPr>
        <w:t>临湘高新技术产业开发区</w:t>
      </w:r>
      <w:r>
        <w:rPr>
          <w:rFonts w:ascii="Times New Roman" w:hAnsi="Times New Roman" w:eastAsia="宋体" w:cs="Times New Roman"/>
          <w:szCs w:val="24"/>
        </w:rPr>
        <w:t>在2022年湘发改园区[2022]601号核定面积</w:t>
      </w:r>
      <w:r>
        <w:rPr>
          <w:rFonts w:hint="eastAsia" w:ascii="Times New Roman" w:hAnsi="Times New Roman" w:eastAsia="宋体" w:cs="Times New Roman"/>
          <w:szCs w:val="24"/>
        </w:rPr>
        <w:t>的</w:t>
      </w:r>
      <w:r>
        <w:rPr>
          <w:rFonts w:ascii="Times New Roman" w:hAnsi="Times New Roman" w:eastAsia="宋体" w:cs="Times New Roman"/>
          <w:szCs w:val="24"/>
        </w:rPr>
        <w:t>基础上，进行</w:t>
      </w:r>
      <w:r>
        <w:rPr>
          <w:rFonts w:hint="eastAsia" w:ascii="Times New Roman" w:hAnsi="Times New Roman" w:eastAsia="宋体" w:cs="Times New Roman"/>
          <w:szCs w:val="24"/>
        </w:rPr>
        <w:t>调区</w:t>
      </w:r>
      <w:r>
        <w:rPr>
          <w:rFonts w:ascii="Times New Roman" w:hAnsi="Times New Roman" w:eastAsia="宋体" w:cs="Times New Roman"/>
          <w:szCs w:val="21"/>
        </w:rPr>
        <w:t>扩区工作，在后续的发展过程中，重点发展</w:t>
      </w:r>
      <w:r>
        <w:rPr>
          <w:rFonts w:hint="eastAsia" w:ascii="Times New Roman" w:hAnsi="Times New Roman" w:eastAsia="宋体" w:cs="Times New Roman"/>
          <w:szCs w:val="21"/>
        </w:rPr>
        <w:t>区块一（滨江片区儒溪地块，即滨江片区中非工贸产业园）、区块三（滨江片区旗杆地块，即滨江片区加工制造产业园）、区块四（滨江片区杨桥地块，即滨江片区绿色化工产业园）</w:t>
      </w:r>
      <w:r>
        <w:rPr>
          <w:rFonts w:ascii="Times New Roman" w:hAnsi="Times New Roman" w:eastAsia="宋体" w:cs="Times New Roman"/>
          <w:szCs w:val="21"/>
        </w:rPr>
        <w:t>区块</w:t>
      </w:r>
      <w:r>
        <w:rPr>
          <w:rFonts w:hint="eastAsia" w:ascii="Times New Roman" w:hAnsi="Times New Roman" w:eastAsia="宋体" w:cs="Times New Roman"/>
          <w:szCs w:val="21"/>
        </w:rPr>
        <w:t>5、6</w:t>
      </w:r>
      <w:r>
        <w:rPr>
          <w:rFonts w:ascii="Times New Roman" w:hAnsi="Times New Roman" w:eastAsia="宋体" w:cs="Times New Roman"/>
          <w:szCs w:val="21"/>
        </w:rPr>
        <w:t>后续基本维持现状。</w:t>
      </w:r>
    </w:p>
    <w:p>
      <w:pPr>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szCs w:val="24"/>
        </w:rPr>
        <w:t>总体规划着重与《湖南省开发区调区扩区和退出管理办法》中的环境保护相关内容进行分析，具体分析如下表。</w:t>
      </w:r>
    </w:p>
    <w:p>
      <w:pPr>
        <w:pStyle w:val="6"/>
      </w:pPr>
      <w:r>
        <w:t>表3.2-4  娄底高新区总体规划与湘政办发〔2018〕19号符合性分析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472"/>
        <w:gridCol w:w="3910"/>
        <w:gridCol w:w="3002"/>
        <w:gridCol w:w="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217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《湖南省开发区调区扩区和退出管理办法》湘政办发〔2018〕19号</w:t>
            </w:r>
          </w:p>
        </w:tc>
        <w:tc>
          <w:tcPr>
            <w:tcW w:w="1667"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临湘高新技术产业开发区</w:t>
            </w:r>
            <w:r>
              <w:rPr>
                <w:rFonts w:ascii="Times New Roman" w:hAnsi="Times New Roman" w:eastAsia="宋体" w:cs="Times New Roman"/>
                <w:sz w:val="21"/>
                <w:szCs w:val="24"/>
              </w:rPr>
              <w:t>总体规划</w:t>
            </w:r>
          </w:p>
        </w:tc>
        <w:tc>
          <w:tcPr>
            <w:tcW w:w="51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符合性</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gridSpan w:val="2"/>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一、调区扩区和退出对象</w:t>
            </w:r>
          </w:p>
        </w:tc>
        <w:tc>
          <w:tcPr>
            <w:tcW w:w="2171" w:type="pct"/>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经国务院或省人民政府批准设立或批准筹建的有明确地域界限和建设主体的各类开发区（以下统称</w:t>
            </w:r>
            <w:r>
              <w:rPr>
                <w:rFonts w:ascii="Times New Roman" w:hAnsi="Times New Roman" w:eastAsia="宋体" w:cs="Times New Roman"/>
                <w:sz w:val="21"/>
                <w:szCs w:val="24"/>
                <w:lang w:val="zh-CN"/>
              </w:rPr>
              <w:t>“</w:t>
            </w:r>
            <w:r>
              <w:rPr>
                <w:rFonts w:ascii="Times New Roman" w:hAnsi="Times New Roman" w:eastAsia="宋体" w:cs="Times New Roman"/>
                <w:sz w:val="21"/>
                <w:szCs w:val="24"/>
              </w:rPr>
              <w:t>开发区”），包括国家级（经济）技术开发区、省级经济（技术）开发区、国家级高新技术产业开发区、省级高新技术产业开发区、海关特殊监管区以及省级工业集中区。</w:t>
            </w:r>
          </w:p>
        </w:tc>
        <w:tc>
          <w:tcPr>
            <w:tcW w:w="1667" w:type="pct"/>
            <w:vAlign w:val="center"/>
          </w:tcPr>
          <w:p>
            <w:pPr>
              <w:jc w:val="left"/>
              <w:rPr>
                <w:rFonts w:ascii="Times New Roman" w:hAnsi="Times New Roman" w:eastAsia="宋体" w:cs="Times New Roman"/>
                <w:sz w:val="21"/>
                <w:szCs w:val="24"/>
              </w:rPr>
            </w:pPr>
            <w:r>
              <w:rPr>
                <w:rFonts w:hint="eastAsia" w:ascii="Times New Roman" w:hAnsi="Times New Roman" w:eastAsia="宋体" w:cs="Times New Roman"/>
                <w:sz w:val="21"/>
                <w:szCs w:val="24"/>
              </w:rPr>
              <w:t>临湘</w:t>
            </w:r>
            <w:r>
              <w:rPr>
                <w:rFonts w:ascii="Times New Roman" w:hAnsi="Times New Roman" w:eastAsia="宋体" w:cs="Times New Roman"/>
                <w:sz w:val="21"/>
                <w:szCs w:val="24"/>
              </w:rPr>
              <w:t>高新区于</w:t>
            </w:r>
            <w:r>
              <w:rPr>
                <w:rFonts w:hint="eastAsia" w:ascii="Times New Roman" w:hAnsi="Times New Roman" w:eastAsia="宋体" w:cs="Times New Roman"/>
                <w:sz w:val="21"/>
                <w:szCs w:val="24"/>
              </w:rPr>
              <w:t>2003</w:t>
            </w:r>
            <w:r>
              <w:rPr>
                <w:rFonts w:ascii="Times New Roman" w:hAnsi="Times New Roman" w:eastAsia="宋体" w:cs="Times New Roman"/>
                <w:sz w:val="21"/>
                <w:szCs w:val="24"/>
              </w:rPr>
              <w:t>年正式成立，20</w:t>
            </w:r>
            <w:r>
              <w:rPr>
                <w:rFonts w:hint="eastAsia" w:ascii="Times New Roman" w:hAnsi="Times New Roman" w:eastAsia="宋体" w:cs="Times New Roman"/>
                <w:sz w:val="21"/>
                <w:szCs w:val="24"/>
              </w:rPr>
              <w:t>06</w:t>
            </w:r>
            <w:r>
              <w:rPr>
                <w:rFonts w:ascii="Times New Roman" w:hAnsi="Times New Roman" w:eastAsia="宋体" w:cs="Times New Roman"/>
                <w:sz w:val="21"/>
                <w:szCs w:val="24"/>
              </w:rPr>
              <w:t>年</w:t>
            </w:r>
            <w:r>
              <w:rPr>
                <w:rFonts w:hint="eastAsia" w:ascii="Times New Roman" w:hAnsi="Times New Roman" w:eastAsia="宋体" w:cs="Times New Roman"/>
                <w:sz w:val="21"/>
                <w:szCs w:val="24"/>
              </w:rPr>
              <w:t>湖南省人民政府（湘改函[2006]79号）设立为省级工业园，2020年更名为临湘高新技术产业开发区（湘政函[2020]5号）。</w:t>
            </w:r>
          </w:p>
        </w:tc>
        <w:tc>
          <w:tcPr>
            <w:tcW w:w="51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4"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三、扩区的条件和要求</w:t>
            </w:r>
          </w:p>
        </w:tc>
        <w:tc>
          <w:tcPr>
            <w:tcW w:w="26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2171" w:type="pct"/>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申请扩区的用地应符合国家和省有关法律法规及相关政策要求，有明确的产业发展方向和建设项目，符合主体功能区规划，符合国民经济和社会发展规划、土地利用总体规划、城市（镇）总体规划，扩区后用地布局要落实到图斑，四至范围要用界址点坐标标示。开发区规划建设必须纳入当地城乡规划统一管理。</w:t>
            </w:r>
          </w:p>
        </w:tc>
        <w:tc>
          <w:tcPr>
            <w:tcW w:w="1667" w:type="pct"/>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拟规划用地符合国家和省有关法律法规及相关政策要求，有明确的产业发展方向和建设项目，符合主体功能区规划，符合国民经济和社会发展规划以及新编的国土空间规划，扩区后用地布局将落实到图斑，四至范围将用界址点坐标标示。开发区规划建设后续纳入</w:t>
            </w:r>
            <w:r>
              <w:rPr>
                <w:rFonts w:hint="eastAsia" w:ascii="Times New Roman" w:hAnsi="Times New Roman" w:eastAsia="宋体" w:cs="Times New Roman"/>
                <w:sz w:val="21"/>
                <w:szCs w:val="24"/>
              </w:rPr>
              <w:t>临湘</w:t>
            </w:r>
            <w:r>
              <w:rPr>
                <w:rFonts w:ascii="Times New Roman" w:hAnsi="Times New Roman" w:eastAsia="宋体" w:cs="Times New Roman"/>
                <w:sz w:val="21"/>
                <w:szCs w:val="24"/>
              </w:rPr>
              <w:t>市国土空间统一管理。</w:t>
            </w:r>
          </w:p>
        </w:tc>
        <w:tc>
          <w:tcPr>
            <w:tcW w:w="51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4" w:type="pct"/>
            <w:vMerge w:val="continue"/>
            <w:vAlign w:val="center"/>
          </w:tcPr>
          <w:p>
            <w:pPr>
              <w:jc w:val="center"/>
              <w:rPr>
                <w:rFonts w:ascii="Times New Roman" w:hAnsi="Times New Roman" w:eastAsia="宋体" w:cs="Times New Roman"/>
                <w:sz w:val="21"/>
                <w:szCs w:val="24"/>
              </w:rPr>
            </w:pPr>
          </w:p>
        </w:tc>
        <w:tc>
          <w:tcPr>
            <w:tcW w:w="262"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2171" w:type="pct"/>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开发区扩区要符合环境保护、安全生产等要求。近3年发生重大安全环保事故和环保违法违规事件的，未通过规划环评审查的，污染治理设施不完善的，不得申请扩区。</w:t>
            </w:r>
          </w:p>
        </w:tc>
        <w:tc>
          <w:tcPr>
            <w:tcW w:w="1667" w:type="pct"/>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扩区范围符合环境保护、安全生产等要求。近3年未发生重大安全环保事故和环保违法违规事件，</w:t>
            </w:r>
            <w:r>
              <w:rPr>
                <w:rFonts w:hint="eastAsia" w:ascii="Times New Roman" w:hAnsi="Times New Roman" w:eastAsia="宋体" w:cs="Times New Roman"/>
                <w:sz w:val="21"/>
                <w:szCs w:val="24"/>
              </w:rPr>
              <w:t>临湘</w:t>
            </w:r>
            <w:r>
              <w:rPr>
                <w:rFonts w:ascii="Times New Roman" w:hAnsi="Times New Roman" w:eastAsia="宋体" w:cs="Times New Roman"/>
                <w:sz w:val="21"/>
                <w:szCs w:val="24"/>
              </w:rPr>
              <w:t>高新区规划已通过规划环评。</w:t>
            </w:r>
          </w:p>
        </w:tc>
        <w:tc>
          <w:tcPr>
            <w:tcW w:w="51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bl>
    <w:p>
      <w:pPr>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szCs w:val="24"/>
        </w:rPr>
        <w:t>符合性分析：总体来说，</w:t>
      </w:r>
      <w:r>
        <w:rPr>
          <w:rFonts w:hint="eastAsia" w:ascii="Times New Roman" w:hAnsi="Times New Roman" w:eastAsia="宋体" w:cs="Times New Roman"/>
          <w:szCs w:val="24"/>
        </w:rPr>
        <w:t>临湘</w:t>
      </w:r>
      <w:r>
        <w:rPr>
          <w:rFonts w:ascii="Times New Roman" w:hAnsi="Times New Roman" w:eastAsia="宋体" w:cs="Times New Roman"/>
          <w:szCs w:val="24"/>
        </w:rPr>
        <w:t>高新区有较完整的总体规划和发展规划，各片区产业特色较鲜明。本次规划在充分论证的基础上进行调扩区，经对比分析，总体符合《湖南省开发区调区扩区和退出管理办法》的相关要求。</w:t>
      </w:r>
    </w:p>
    <w:p>
      <w:pPr>
        <w:pStyle w:val="4"/>
        <w:rPr>
          <w:rFonts w:ascii="Times New Roman" w:hAnsi="Times New Roman" w:cs="Times New Roman"/>
        </w:rPr>
      </w:pPr>
      <w:bookmarkStart w:id="337" w:name="_Toc146091916"/>
      <w:r>
        <w:rPr>
          <w:rFonts w:ascii="Times New Roman" w:hAnsi="Times New Roman" w:cs="Times New Roman"/>
        </w:rPr>
        <w:t>3.3.3 与主体功能区规划的相符性分析</w:t>
      </w:r>
      <w:bookmarkEnd w:id="327"/>
      <w:bookmarkEnd w:id="328"/>
      <w:bookmarkEnd w:id="329"/>
      <w:bookmarkEnd w:id="330"/>
      <w:bookmarkEnd w:id="331"/>
      <w:bookmarkEnd w:id="332"/>
      <w:bookmarkEnd w:id="333"/>
      <w:bookmarkEnd w:id="334"/>
      <w:bookmarkEnd w:id="335"/>
      <w:bookmarkEnd w:id="336"/>
      <w:bookmarkEnd w:id="337"/>
    </w:p>
    <w:p>
      <w:pPr>
        <w:pStyle w:val="5"/>
        <w:ind w:firstLine="482"/>
        <w:rPr>
          <w:rFonts w:ascii="Times New Roman" w:hAnsi="Times New Roman" w:cs="Times New Roman" w:eastAsiaTheme="minorEastAsia"/>
        </w:rPr>
      </w:pPr>
      <w:bookmarkStart w:id="338" w:name="_Toc49323794"/>
      <w:bookmarkStart w:id="339" w:name="_Toc50625296"/>
      <w:r>
        <w:rPr>
          <w:rFonts w:ascii="Times New Roman" w:hAnsi="Times New Roman" w:cs="Times New Roman" w:eastAsiaTheme="minorEastAsia"/>
        </w:rPr>
        <w:t>3.3.3.1 与《湖南省主体功能区规划》的相符性分析</w:t>
      </w:r>
      <w:bookmarkEnd w:id="338"/>
      <w:bookmarkEnd w:id="339"/>
    </w:p>
    <w:p>
      <w:pPr>
        <w:spacing w:line="360" w:lineRule="auto"/>
        <w:ind w:firstLine="480" w:firstLineChars="200"/>
        <w:rPr>
          <w:rFonts w:ascii="Times New Roman" w:hAnsi="Times New Roman" w:cs="Times New Roman"/>
        </w:rPr>
      </w:pPr>
      <w:r>
        <w:rPr>
          <w:rFonts w:hint="eastAsia" w:ascii="Times New Roman" w:hAnsi="Times New Roman" w:cs="Times New Roman"/>
        </w:rPr>
        <w:t>根据《湖南省主体功能区规划》（湘政发〔2012〕39号），岳阳市功能定位为国家级重点开发区域。重点开发区域是指资源环境承载能力较强，集聚经济和人口条件较好，发展潜力较大，具有一定城镇化和工业化基础，能够支撑全省总体发展战略，辐射带动周边地区，促进区域协调发展的重要城市化地区。</w:t>
      </w:r>
    </w:p>
    <w:p>
      <w:pPr>
        <w:spacing w:line="360" w:lineRule="auto"/>
        <w:ind w:firstLine="480" w:firstLineChars="200"/>
        <w:rPr>
          <w:rFonts w:ascii="Times New Roman" w:hAnsi="Times New Roman" w:cs="Times New Roman"/>
        </w:rPr>
      </w:pPr>
      <w:r>
        <w:rPr>
          <w:rFonts w:ascii="Times New Roman" w:hAnsi="Times New Roman" w:cs="Times New Roman"/>
        </w:rPr>
        <w:t>根据《湖南省主体功能区规划》，临湘高新技术产业开发区规划范围归纳省级重点开发区域。临湘高新技术产业开发区规划与《湖南省主体功能区规划》的符合性分析如下。</w:t>
      </w:r>
    </w:p>
    <w:p>
      <w:pPr>
        <w:pStyle w:val="6"/>
        <w:rPr>
          <w:rFonts w:ascii="Times New Roman" w:hAnsi="Times New Roman" w:cs="Times New Roman"/>
        </w:rPr>
      </w:pPr>
      <w:r>
        <w:rPr>
          <w:rFonts w:ascii="Times New Roman" w:hAnsi="Times New Roman" w:cs="Times New Roman"/>
        </w:rPr>
        <w:t>表3.3-</w:t>
      </w:r>
      <w:r>
        <w:rPr>
          <w:rFonts w:hint="eastAsia" w:ascii="Times New Roman" w:hAnsi="Times New Roman" w:cs="Times New Roman"/>
        </w:rPr>
        <w:t>5</w:t>
      </w:r>
      <w:r>
        <w:rPr>
          <w:rFonts w:ascii="Times New Roman" w:hAnsi="Times New Roman" w:cs="Times New Roman"/>
        </w:rPr>
        <w:t xml:space="preserve">  临湘高新技术产业开发区规划与《湖南省主体功能区规划》的符合性分析</w:t>
      </w:r>
    </w:p>
    <w:tbl>
      <w:tblPr>
        <w:tblStyle w:val="36"/>
        <w:tblW w:w="509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4"/>
        <w:gridCol w:w="3710"/>
        <w:gridCol w:w="3685"/>
        <w:gridCol w:w="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44" w:type="pct"/>
            <w:vAlign w:val="center"/>
          </w:tcPr>
          <w:p>
            <w:pPr>
              <w:pStyle w:val="63"/>
              <w:rPr>
                <w:rFonts w:eastAsiaTheme="minorEastAsia"/>
              </w:rPr>
            </w:pPr>
            <w:r>
              <w:rPr>
                <w:rFonts w:eastAsiaTheme="minorEastAsia"/>
              </w:rPr>
              <w:t>项目</w:t>
            </w:r>
          </w:p>
        </w:tc>
        <w:tc>
          <w:tcPr>
            <w:tcW w:w="2024" w:type="pct"/>
            <w:vAlign w:val="center"/>
          </w:tcPr>
          <w:p>
            <w:pPr>
              <w:pStyle w:val="63"/>
              <w:rPr>
                <w:rFonts w:eastAsiaTheme="minorEastAsia"/>
              </w:rPr>
            </w:pPr>
            <w:r>
              <w:rPr>
                <w:rFonts w:eastAsiaTheme="minorEastAsia"/>
              </w:rPr>
              <w:t>《湖南省主体功能区规划》</w:t>
            </w:r>
          </w:p>
        </w:tc>
        <w:tc>
          <w:tcPr>
            <w:tcW w:w="2010" w:type="pct"/>
            <w:vAlign w:val="center"/>
          </w:tcPr>
          <w:p>
            <w:pPr>
              <w:pStyle w:val="63"/>
              <w:rPr>
                <w:rFonts w:eastAsiaTheme="minorEastAsia"/>
              </w:rPr>
            </w:pPr>
            <w:r>
              <w:rPr>
                <w:rFonts w:eastAsiaTheme="minorEastAsia"/>
              </w:rPr>
              <w:t>临湘高新技术产业开发区规划</w:t>
            </w:r>
          </w:p>
        </w:tc>
        <w:tc>
          <w:tcPr>
            <w:tcW w:w="523" w:type="pct"/>
            <w:vAlign w:val="center"/>
          </w:tcPr>
          <w:p>
            <w:pPr>
              <w:pStyle w:val="63"/>
              <w:rPr>
                <w:rFonts w:eastAsiaTheme="minorEastAsia"/>
              </w:rPr>
            </w:pPr>
            <w:r>
              <w:rPr>
                <w:rFonts w:eastAsiaTheme="minorEastAsia"/>
              </w:rPr>
              <w:t>符合性</w:t>
            </w:r>
          </w:p>
          <w:p>
            <w:pPr>
              <w:pStyle w:val="63"/>
              <w:rPr>
                <w:rFonts w:eastAsiaTheme="minorEastAsia"/>
              </w:rPr>
            </w:pPr>
            <w:r>
              <w:rPr>
                <w:rFonts w:eastAsiaTheme="minorEastAsia"/>
              </w:rPr>
              <w:t>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44" w:type="pct"/>
            <w:vMerge w:val="restart"/>
            <w:vAlign w:val="center"/>
          </w:tcPr>
          <w:p>
            <w:pPr>
              <w:pStyle w:val="63"/>
              <w:rPr>
                <w:rFonts w:eastAsiaTheme="minorEastAsia"/>
              </w:rPr>
            </w:pPr>
            <w:r>
              <w:rPr>
                <w:rFonts w:eastAsiaTheme="minorEastAsia"/>
              </w:rPr>
              <w:t>重点开发区域环境政策</w:t>
            </w:r>
          </w:p>
        </w:tc>
        <w:tc>
          <w:tcPr>
            <w:tcW w:w="2024" w:type="pct"/>
            <w:vAlign w:val="center"/>
          </w:tcPr>
          <w:p>
            <w:pPr>
              <w:pStyle w:val="63"/>
              <w:rPr>
                <w:rFonts w:eastAsiaTheme="minorEastAsia"/>
              </w:rPr>
            </w:pPr>
            <w:r>
              <w:rPr>
                <w:rFonts w:eastAsiaTheme="minorEastAsia"/>
              </w:rPr>
              <w:t>1、加强生态建设和环境保护，建立和完善环境准入、环境淘汰制度，根据环境容量逐步提高产业准入环境标准。坚持“预防为主，综合防治”原则，加强工业污染和城镇生活污染治理，逐步缓解现有结构性污染，严格控制开发过程新增的环境污染和生态破坏。</w:t>
            </w:r>
          </w:p>
        </w:tc>
        <w:tc>
          <w:tcPr>
            <w:tcW w:w="2010" w:type="pct"/>
            <w:vAlign w:val="center"/>
          </w:tcPr>
          <w:p>
            <w:pPr>
              <w:pStyle w:val="63"/>
              <w:rPr>
                <w:rFonts w:eastAsiaTheme="minorEastAsia"/>
              </w:rPr>
            </w:pPr>
            <w:r>
              <w:rPr>
                <w:rFonts w:eastAsiaTheme="minorEastAsia"/>
              </w:rPr>
              <w:t>1、园区加强生态建设和环境保护，加强工业污染和城镇生活污染治理，在后续发展过程中严格控制开发过程新增的环境污染和生态破坏。</w:t>
            </w:r>
          </w:p>
        </w:tc>
        <w:tc>
          <w:tcPr>
            <w:tcW w:w="52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44" w:type="pct"/>
            <w:vMerge w:val="continue"/>
            <w:vAlign w:val="center"/>
          </w:tcPr>
          <w:p>
            <w:pPr>
              <w:pStyle w:val="63"/>
              <w:rPr>
                <w:rFonts w:eastAsiaTheme="minorEastAsia"/>
              </w:rPr>
            </w:pPr>
          </w:p>
        </w:tc>
        <w:tc>
          <w:tcPr>
            <w:tcW w:w="2024" w:type="pct"/>
            <w:vAlign w:val="center"/>
          </w:tcPr>
          <w:p>
            <w:pPr>
              <w:pStyle w:val="63"/>
              <w:rPr>
                <w:rFonts w:eastAsiaTheme="minorEastAsia"/>
              </w:rPr>
            </w:pPr>
            <w:r>
              <w:rPr>
                <w:rFonts w:eastAsiaTheme="minorEastAsia"/>
              </w:rPr>
              <w:t>2、结合环境容量，实行严格的污染物排放总量控制指标，较大幅度减少污染物排放量。</w:t>
            </w:r>
          </w:p>
        </w:tc>
        <w:tc>
          <w:tcPr>
            <w:tcW w:w="2010" w:type="pct"/>
            <w:vAlign w:val="center"/>
          </w:tcPr>
          <w:p>
            <w:pPr>
              <w:pStyle w:val="63"/>
              <w:rPr>
                <w:rFonts w:eastAsiaTheme="minorEastAsia"/>
              </w:rPr>
            </w:pPr>
            <w:r>
              <w:rPr>
                <w:rFonts w:eastAsiaTheme="minorEastAsia"/>
              </w:rPr>
              <w:t>2、园区后续污染物排放严格执行本评价提出的污染物总量控制要求。</w:t>
            </w:r>
          </w:p>
        </w:tc>
        <w:tc>
          <w:tcPr>
            <w:tcW w:w="52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44" w:type="pct"/>
            <w:vMerge w:val="continue"/>
            <w:vAlign w:val="center"/>
          </w:tcPr>
          <w:p>
            <w:pPr>
              <w:pStyle w:val="63"/>
              <w:rPr>
                <w:rFonts w:eastAsiaTheme="minorEastAsia"/>
              </w:rPr>
            </w:pPr>
          </w:p>
        </w:tc>
        <w:tc>
          <w:tcPr>
            <w:tcW w:w="2024" w:type="pct"/>
            <w:vAlign w:val="center"/>
          </w:tcPr>
          <w:p>
            <w:pPr>
              <w:pStyle w:val="63"/>
              <w:rPr>
                <w:rFonts w:eastAsiaTheme="minorEastAsia"/>
              </w:rPr>
            </w:pPr>
            <w:r>
              <w:rPr>
                <w:rFonts w:eastAsiaTheme="minorEastAsia"/>
              </w:rPr>
              <w:t>3、加大重金属污染综合防治力度。推进危险废物规范化管理。</w:t>
            </w:r>
          </w:p>
        </w:tc>
        <w:tc>
          <w:tcPr>
            <w:tcW w:w="2010" w:type="pct"/>
            <w:vAlign w:val="center"/>
          </w:tcPr>
          <w:p>
            <w:pPr>
              <w:pStyle w:val="63"/>
              <w:rPr>
                <w:rFonts w:eastAsiaTheme="minorEastAsia"/>
              </w:rPr>
            </w:pPr>
            <w:r>
              <w:rPr>
                <w:rFonts w:eastAsiaTheme="minorEastAsia"/>
              </w:rPr>
              <w:t>3、园区建设了污水处理厂，根据污水处理厂的监测数据可知废水达标排放；园区企业生产过程产生的危险废物交由专业资质的处置单位进行处置。</w:t>
            </w:r>
          </w:p>
        </w:tc>
        <w:tc>
          <w:tcPr>
            <w:tcW w:w="52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44" w:type="pct"/>
            <w:vMerge w:val="continue"/>
            <w:vAlign w:val="center"/>
          </w:tcPr>
          <w:p>
            <w:pPr>
              <w:pStyle w:val="63"/>
              <w:rPr>
                <w:rFonts w:eastAsiaTheme="minorEastAsia"/>
              </w:rPr>
            </w:pPr>
          </w:p>
        </w:tc>
        <w:tc>
          <w:tcPr>
            <w:tcW w:w="2024" w:type="pct"/>
            <w:vAlign w:val="center"/>
          </w:tcPr>
          <w:p>
            <w:pPr>
              <w:pStyle w:val="63"/>
              <w:rPr>
                <w:rFonts w:eastAsiaTheme="minorEastAsia"/>
              </w:rPr>
            </w:pPr>
            <w:r>
              <w:rPr>
                <w:rFonts w:eastAsiaTheme="minorEastAsia"/>
              </w:rPr>
              <w:t>4、探索建立跨流域水污染经济补偿机制和重点生态敏感地区生态补偿机制，鼓励发展循环经济。适当提高工业废水、工业废气中主要污染物排污费征收标准，加大对超标排放的惩处力度，实行主要污染物排污权交易试点。合理开发和科学配置水资源，强化开发项目水土保持工作，综合防治水土流失，控制水资源开发利用程度，在加强节水的同时，限制入河排污总量，保护好水资源和水环境。</w:t>
            </w:r>
          </w:p>
        </w:tc>
        <w:tc>
          <w:tcPr>
            <w:tcW w:w="2010" w:type="pct"/>
            <w:vAlign w:val="center"/>
          </w:tcPr>
          <w:p>
            <w:pPr>
              <w:pStyle w:val="63"/>
              <w:rPr>
                <w:rFonts w:eastAsiaTheme="minorEastAsia"/>
              </w:rPr>
            </w:pPr>
            <w:r>
              <w:rPr>
                <w:rFonts w:eastAsiaTheme="minorEastAsia"/>
              </w:rPr>
              <w:t>4、园区企业按《固定污染源排污许可分类管理名录（2019 年版）》的时序和《行业排污许可证申请与核发技术规范》进行排污许可申请。园区实施污染物总量控制，园区后续发展不突破本评价提出的总量控制要求。</w:t>
            </w:r>
          </w:p>
        </w:tc>
        <w:tc>
          <w:tcPr>
            <w:tcW w:w="523" w:type="pct"/>
            <w:vAlign w:val="center"/>
          </w:tcPr>
          <w:p>
            <w:pPr>
              <w:pStyle w:val="63"/>
              <w:rPr>
                <w:rFonts w:eastAsiaTheme="minorEastAsia"/>
              </w:rPr>
            </w:pPr>
            <w:r>
              <w:rPr>
                <w:rFonts w:eastAsiaTheme="minorEastAsia"/>
              </w:rPr>
              <w:t>符合</w:t>
            </w:r>
          </w:p>
        </w:tc>
      </w:tr>
    </w:tbl>
    <w:p>
      <w:pPr>
        <w:ind w:firstLine="480" w:firstLineChars="20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3322320</wp:posOffset>
                </wp:positionH>
                <wp:positionV relativeFrom="paragraph">
                  <wp:posOffset>1046480</wp:posOffset>
                </wp:positionV>
                <wp:extent cx="1047750" cy="337820"/>
                <wp:effectExtent l="0" t="0" r="19050" b="24130"/>
                <wp:wrapNone/>
                <wp:docPr id="186" name="任意多边形 13"/>
                <wp:cNvGraphicFramePr/>
                <a:graphic xmlns:a="http://schemas.openxmlformats.org/drawingml/2006/main">
                  <a:graphicData uri="http://schemas.microsoft.com/office/word/2010/wordprocessingShape">
                    <wps:wsp>
                      <wps:cNvSpPr/>
                      <wps:spPr>
                        <a:xfrm flipH="1">
                          <a:off x="0" y="0"/>
                          <a:ext cx="1047750" cy="337820"/>
                        </a:xfrm>
                        <a:custGeom>
                          <a:avLst/>
                          <a:gdLst>
                            <a:gd name="connsiteX0" fmla="*/ 0 w 781707"/>
                            <a:gd name="connsiteY0" fmla="*/ 133368 h 133368"/>
                            <a:gd name="connsiteX1" fmla="*/ 46532 w 781707"/>
                            <a:gd name="connsiteY1" fmla="*/ 0 h 133368"/>
                            <a:gd name="connsiteX2" fmla="*/ 781707 w 781707"/>
                            <a:gd name="connsiteY2" fmla="*/ 0 h 133368"/>
                          </a:gdLst>
                          <a:ahLst/>
                          <a:cxnLst>
                            <a:cxn ang="0">
                              <a:pos x="connsiteX0" y="connsiteY0"/>
                            </a:cxn>
                            <a:cxn ang="0">
                              <a:pos x="connsiteX1" y="connsiteY1"/>
                            </a:cxn>
                            <a:cxn ang="0">
                              <a:pos x="connsiteX2" y="connsiteY2"/>
                            </a:cxn>
                          </a:cxnLst>
                          <a:rect l="l" t="t" r="r" b="b"/>
                          <a:pathLst>
                            <a:path w="781707" h="133368">
                              <a:moveTo>
                                <a:pt x="0" y="133368"/>
                              </a:moveTo>
                              <a:lnTo>
                                <a:pt x="46532" y="0"/>
                              </a:lnTo>
                              <a:lnTo>
                                <a:pt x="781707" y="0"/>
                              </a:lnTo>
                            </a:path>
                          </a:pathLst>
                        </a:custGeom>
                        <a:noFill/>
                        <a:ln w="19050" cap="flat" cmpd="sng" algn="ctr">
                          <a:solidFill>
                            <a:srgbClr val="0000FF"/>
                          </a:solidFill>
                          <a:prstDash val="solid"/>
                          <a:miter lim="800000"/>
                        </a:ln>
                        <a:effectLst/>
                      </wps:spPr>
                      <wps:txbx>
                        <w:txbxContent>
                          <w:p>
                            <w:r>
                              <w:rPr>
                                <w:rFonts w:hint="eastAsia"/>
                              </w:rPr>
                              <w:t>临湘高新区</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13" o:spid="_x0000_s1026" o:spt="100" style="position:absolute;left:0pt;flip:x;margin-left:261.6pt;margin-top:82.4pt;height:26.6pt;width:82.5pt;z-index:251661312;v-text-anchor:middle;mso-width-relative:page;mso-height-relative:page;" filled="f" stroked="t" coordsize="781707,133368" o:gfxdata="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DTn2mg2AAAAAsBAAAP&#10;AAAAAAAAAAEAIAAAACIAAABkcnMvZG93bnJldi54bWxQSwECFAAUAAAACACHTuJA5MFE4m4DAADW&#10;BwAADgAAAAAAAAABACAAAAAnAQAAZHJzL2Uyb0RvYy54bWxQSwUGAAAAAAYABgBZAQAABwcAAAAA&#10;" path="m0,133368l46532,0,781707,0e">
                <v:path textboxrect="0,0,781707,133368" o:connectlocs="0,337820;62368,0;1047750,0" o:connectangles="0,0,0"/>
                <v:fill on="f" focussize="0,0"/>
                <v:stroke weight="1.5pt" color="#0000FF" miterlimit="8" joinstyle="miter"/>
                <v:imagedata o:title=""/>
                <o:lock v:ext="edit" aspectratio="f"/>
                <v:textbox>
                  <w:txbxContent>
                    <w:p>
                      <w:r>
                        <w:rPr>
                          <w:rFonts w:hint="eastAsia"/>
                        </w:rPr>
                        <w:t>临湘高新区</w:t>
                      </w:r>
                    </w:p>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4317365</wp:posOffset>
                </wp:positionH>
                <wp:positionV relativeFrom="paragraph">
                  <wp:posOffset>1398270</wp:posOffset>
                </wp:positionV>
                <wp:extent cx="95250" cy="95250"/>
                <wp:effectExtent l="0" t="0" r="19050" b="19050"/>
                <wp:wrapNone/>
                <wp:docPr id="185" name="椭圆 11"/>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1" o:spid="_x0000_s1026" o:spt="3" type="#_x0000_t3" style="position:absolute;left:0pt;margin-left:339.95pt;margin-top:110.1pt;height:7.5pt;width:7.5pt;z-index:251660288;v-text-anchor:middle;mso-width-relative:page;mso-height-relative:page;" fillcolor="#FF0000" filled="t" stroked="t" coordsize="21600,21600" o:gfxdata="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62oJvWAAAACwEAAA8AAAAAAAAAAQAgAAAAIgAAAGRycy9kb3ducmV2&#10;LnhtbFBLAQIUABQAAAAIAIdO4kDv4+iEcAIAAAUFAAAOAAAAAAAAAAEAIAAAACUBAABkcnMvZTJv&#10;RG9jLnhtbFBLBQYAAAAABgAGAFkBAAAHBgAAAAA=&#10;">
                <v:fill on="t" focussize="0,0"/>
                <v:stroke weight="1pt" color="#FF0000" miterlimit="8" joinstyle="miter"/>
                <v:imagedata o:title=""/>
                <o:lock v:ext="edit" aspectratio="f"/>
              </v:shape>
            </w:pict>
          </mc:Fallback>
        </mc:AlternateContent>
      </w:r>
      <w:r>
        <w:rPr>
          <w:rFonts w:ascii="Times New Roman" w:hAnsi="Times New Roman" w:cs="Times New Roman"/>
        </w:rPr>
        <w:t>综上所述，临湘高新技术产业开发区的建设与《湖南省主体功能区规划》不冲突。</w:t>
      </w:r>
      <w:r>
        <w:rPr>
          <w:rFonts w:ascii="Times New Roman" w:hAnsi="Times New Roman" w:cs="Times New Roman"/>
        </w:rPr>
        <w:drawing>
          <wp:inline distT="0" distB="0" distL="0" distR="0">
            <wp:extent cx="5533390" cy="6986905"/>
            <wp:effectExtent l="0" t="0" r="0" b="4445"/>
            <wp:docPr id="4" name="图片 8" descr="C:\Users\Administrator\Desktop\湖南省主体功能区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Administrator\Desktop\湖南省主体功能区规划.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540773" cy="6996521"/>
                    </a:xfrm>
                    <a:prstGeom prst="rect">
                      <a:avLst/>
                    </a:prstGeom>
                    <a:noFill/>
                    <a:ln>
                      <a:noFill/>
                    </a:ln>
                  </pic:spPr>
                </pic:pic>
              </a:graphicData>
            </a:graphic>
          </wp:inline>
        </w:drawing>
      </w:r>
    </w:p>
    <w:p>
      <w:pPr>
        <w:pStyle w:val="6"/>
        <w:rPr>
          <w:rFonts w:ascii="Times New Roman" w:hAnsi="Times New Roman" w:cs="Times New Roman"/>
        </w:rPr>
      </w:pPr>
      <w:r>
        <w:rPr>
          <w:rFonts w:ascii="Times New Roman" w:hAnsi="Times New Roman" w:cs="Times New Roman"/>
        </w:rPr>
        <w:t>图3.3-1  临湘高新技术产业开发区在湖南省主体功能区规划中的位置</w:t>
      </w:r>
    </w:p>
    <w:p>
      <w:pPr>
        <w:pStyle w:val="5"/>
        <w:ind w:firstLine="482"/>
        <w:rPr>
          <w:rFonts w:ascii="Times New Roman" w:hAnsi="Times New Roman" w:cs="Times New Roman" w:eastAsiaTheme="minorEastAsia"/>
        </w:rPr>
      </w:pPr>
      <w:r>
        <w:rPr>
          <w:rFonts w:ascii="Times New Roman" w:hAnsi="Times New Roman" w:cs="Times New Roman" w:eastAsiaTheme="minorEastAsia"/>
        </w:rPr>
        <w:t>3.3.2.</w:t>
      </w:r>
      <w:r>
        <w:rPr>
          <w:rFonts w:hint="eastAsia" w:ascii="Times New Roman" w:hAnsi="Times New Roman" w:cs="Times New Roman" w:eastAsiaTheme="minorEastAsia"/>
        </w:rPr>
        <w:t>2</w:t>
      </w:r>
      <w:r>
        <w:rPr>
          <w:rFonts w:ascii="Times New Roman" w:hAnsi="Times New Roman" w:cs="Times New Roman" w:eastAsiaTheme="minorEastAsia"/>
        </w:rPr>
        <w:t xml:space="preserve"> 与《国家发展改革委贯彻落实主体功能区战略推进主体功能区建设若干政策的意见》（发改规划[2013]1154号）的相符性分析</w:t>
      </w:r>
    </w:p>
    <w:p>
      <w:pPr>
        <w:spacing w:line="360" w:lineRule="auto"/>
        <w:ind w:firstLine="480" w:firstLineChars="200"/>
        <w:rPr>
          <w:rFonts w:ascii="Times New Roman" w:hAnsi="Times New Roman" w:cs="Times New Roman"/>
        </w:rPr>
      </w:pPr>
      <w:r>
        <w:rPr>
          <w:rFonts w:ascii="Times New Roman" w:hAnsi="Times New Roman" w:cs="Times New Roman"/>
        </w:rPr>
        <w:t>（1）规划内容</w:t>
      </w:r>
    </w:p>
    <w:p>
      <w:pPr>
        <w:spacing w:line="360" w:lineRule="auto"/>
        <w:ind w:firstLine="480" w:firstLineChars="200"/>
        <w:rPr>
          <w:rFonts w:ascii="Times New Roman" w:hAnsi="Times New Roman" w:cs="Times New Roman"/>
        </w:rPr>
      </w:pPr>
      <w:r>
        <w:rPr>
          <w:rFonts w:ascii="Times New Roman" w:hAnsi="Times New Roman" w:cs="Times New Roman"/>
        </w:rPr>
        <w:t>1）要从各类主体功能区的功能定位和发展方向出发，把握不同区域的资源禀赋与发展特点，明确不同的政策方向和政策重点。对优化开发区域，要着力引导提升国际竞争力；对重点开发区域，要促进新型工业化城镇化进程；对农产品主产区，要大力提高农产品供给能力；对重点生态功能区，要增强生态服务功能；对禁止开发区域，要加强监管</w:t>
      </w:r>
    </w:p>
    <w:p>
      <w:pPr>
        <w:spacing w:line="360" w:lineRule="auto"/>
        <w:ind w:firstLine="480" w:firstLineChars="200"/>
        <w:rPr>
          <w:rFonts w:ascii="Times New Roman" w:hAnsi="Times New Roman" w:cs="Times New Roman"/>
        </w:rPr>
      </w:pPr>
      <w:r>
        <w:rPr>
          <w:rFonts w:ascii="Times New Roman" w:hAnsi="Times New Roman" w:cs="Times New Roman"/>
        </w:rPr>
        <w:t>2）实行更加严格的产业准入环境标准和碳排放标准，在不损害生态系统功能的前提下，鼓励因地制宜地发展旅游、农林牧产品生产和加工、观光休闲农业等产业。对不符合主体功能定位的现有产业，通过设备折旧补贴、设备贷款担保、迁移补贴、土地置换、关停补偿等手段，进行跨区域转移或实施关闭。</w:t>
      </w:r>
    </w:p>
    <w:p>
      <w:pPr>
        <w:spacing w:line="360" w:lineRule="auto"/>
        <w:ind w:firstLine="480" w:firstLineChars="200"/>
        <w:rPr>
          <w:rFonts w:ascii="Times New Roman" w:hAnsi="Times New Roman" w:cs="Times New Roman"/>
        </w:rPr>
      </w:pPr>
      <w:r>
        <w:rPr>
          <w:rFonts w:ascii="Times New Roman" w:hAnsi="Times New Roman" w:cs="Times New Roman"/>
        </w:rPr>
        <w:t>3）严格控制开发强度，城镇建设和工业开发要集中布局、点状开发，控制各类开发区数量和规模扩张，支持已有工业开发区改造成“零污染”的生态型工业区。</w:t>
      </w:r>
    </w:p>
    <w:p>
      <w:pPr>
        <w:spacing w:line="360" w:lineRule="auto"/>
        <w:ind w:firstLine="480" w:firstLineChars="200"/>
        <w:rPr>
          <w:rFonts w:ascii="Times New Roman" w:hAnsi="Times New Roman" w:cs="Times New Roman"/>
        </w:rPr>
      </w:pPr>
      <w:r>
        <w:rPr>
          <w:rFonts w:ascii="Times New Roman" w:hAnsi="Times New Roman" w:cs="Times New Roman"/>
        </w:rPr>
        <w:t>4）选择培育若干县城和重点镇，作为引导人口集中、产业集聚的载体和提供公共服务的重要平台，以及生态移民点集中布局所在地。</w:t>
      </w:r>
    </w:p>
    <w:p>
      <w:pPr>
        <w:spacing w:line="360" w:lineRule="auto"/>
        <w:ind w:firstLine="480" w:firstLineChars="200"/>
        <w:rPr>
          <w:rFonts w:ascii="Times New Roman" w:hAnsi="Times New Roman" w:cs="Times New Roman"/>
        </w:rPr>
      </w:pPr>
      <w:r>
        <w:rPr>
          <w:rFonts w:ascii="Times New Roman" w:hAnsi="Times New Roman" w:cs="Times New Roman"/>
        </w:rPr>
        <w:t>5）严禁开展不符合主体功能定位的各类开发活动，引导人口逐步有序转移，实现污染物“零排放”，提高环境质量。</w:t>
      </w:r>
    </w:p>
    <w:p>
      <w:pPr>
        <w:spacing w:line="360" w:lineRule="auto"/>
        <w:ind w:firstLine="480" w:firstLineChars="200"/>
        <w:rPr>
          <w:rFonts w:ascii="Times New Roman" w:hAnsi="Times New Roman" w:cs="Times New Roman"/>
        </w:rPr>
      </w:pPr>
      <w:r>
        <w:rPr>
          <w:rFonts w:ascii="Times New Roman" w:hAnsi="Times New Roman" w:cs="Times New Roman"/>
        </w:rPr>
        <w:t>（2）相符性分析</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临湘高新技术产业开发区属于《湖南省主体功能区规划》中的重点开发区域，其规划范围</w:t>
      </w:r>
      <w:r>
        <w:rPr>
          <w:rFonts w:hint="eastAsia" w:ascii="Times New Roman" w:hAnsi="Times New Roman" w:cs="Times New Roman"/>
        </w:rPr>
        <w:t>在“</w:t>
      </w:r>
      <w:r>
        <w:rPr>
          <w:rFonts w:ascii="Times New Roman" w:hAnsi="Times New Roman" w:cs="Times New Roman"/>
        </w:rPr>
        <w:t>2022年湖南省发展和改革委员会、湖南省自然资源厅关于发布《关于发布临湘高新技术产业开发区边界面积及四至范围的通知》（湘发改园区[2022]601号）</w:t>
      </w:r>
      <w:r>
        <w:rPr>
          <w:rFonts w:hint="eastAsia" w:ascii="Times New Roman" w:hAnsi="Times New Roman" w:cs="Times New Roman"/>
        </w:rPr>
        <w:t>”的基础上进行调区扩区</w:t>
      </w:r>
      <w:r>
        <w:rPr>
          <w:rFonts w:ascii="Times New Roman" w:hAnsi="Times New Roman" w:cs="Times New Roman"/>
        </w:rPr>
        <w:t>，其产业定位为</w:t>
      </w:r>
      <w:r>
        <w:rPr>
          <w:rFonts w:hint="eastAsia" w:ascii="Times New Roman" w:hAnsi="Times New Roman" w:cs="Times New Roman"/>
        </w:rPr>
        <w:t>以建设“长江经济带转型升级引领区、中非经贸产业合作先行区、国家级高新技术产业创建区、湘北承接产业转移示范区”为依托，形成以绿色化工为主导产业、以浮标（钓具）及加工制造为特色产业的“一主一特”的产业生态圈。</w:t>
      </w:r>
      <w:r>
        <w:rPr>
          <w:rFonts w:ascii="Times New Roman" w:hAnsi="Times New Roman" w:cs="Times New Roman"/>
        </w:rPr>
        <w:t>园区后续发展要求入园企业污染物达标排放，其污水经污水处理厂处理后达标排放，其开发强度在区域资源能源承受范围内。</w:t>
      </w:r>
    </w:p>
    <w:p>
      <w:pPr>
        <w:spacing w:line="360" w:lineRule="auto"/>
        <w:ind w:firstLine="480" w:firstLineChars="200"/>
        <w:rPr>
          <w:rFonts w:ascii="Times New Roman" w:hAnsi="Times New Roman" w:cs="Times New Roman"/>
        </w:rPr>
      </w:pPr>
      <w:r>
        <w:rPr>
          <w:rFonts w:ascii="Times New Roman" w:hAnsi="Times New Roman" w:cs="Times New Roman"/>
        </w:rPr>
        <w:t>综上所述，临湘高新技术产业开发区的建设与《国家发展改革委贯彻落实主体功能区战略推进主体功能区建设若干政策的意见》（发改规划[2013]1154号）不冲突。</w:t>
      </w:r>
    </w:p>
    <w:p>
      <w:pPr>
        <w:pStyle w:val="5"/>
        <w:ind w:firstLine="482"/>
        <w:rPr>
          <w:rFonts w:ascii="Times New Roman" w:hAnsi="Times New Roman" w:cs="Times New Roman" w:eastAsiaTheme="minorEastAsia"/>
        </w:rPr>
      </w:pPr>
      <w:bookmarkStart w:id="340" w:name="_Toc50625297"/>
      <w:bookmarkStart w:id="341" w:name="_Toc49323795"/>
      <w:r>
        <w:rPr>
          <w:rFonts w:ascii="Times New Roman" w:hAnsi="Times New Roman" w:cs="Times New Roman" w:eastAsiaTheme="minorEastAsia"/>
        </w:rPr>
        <w:t>3.3.2.</w:t>
      </w:r>
      <w:r>
        <w:rPr>
          <w:rFonts w:hint="eastAsia" w:ascii="Times New Roman" w:hAnsi="Times New Roman" w:cs="Times New Roman" w:eastAsiaTheme="minorEastAsia"/>
        </w:rPr>
        <w:t>3</w:t>
      </w:r>
      <w:r>
        <w:rPr>
          <w:rFonts w:ascii="Times New Roman" w:hAnsi="Times New Roman" w:cs="Times New Roman" w:eastAsiaTheme="minorEastAsia"/>
        </w:rPr>
        <w:t xml:space="preserve"> 与《关于贯彻实施国家主体功能区环境政策的若干意见》的相符性分析</w:t>
      </w:r>
      <w:bookmarkEnd w:id="340"/>
      <w:bookmarkEnd w:id="341"/>
    </w:p>
    <w:p>
      <w:pPr>
        <w:spacing w:line="360" w:lineRule="auto"/>
        <w:ind w:firstLine="480" w:firstLineChars="200"/>
        <w:rPr>
          <w:rFonts w:ascii="Times New Roman" w:hAnsi="Times New Roman" w:cs="Times New Roman"/>
        </w:rPr>
      </w:pPr>
      <w:r>
        <w:rPr>
          <w:rFonts w:ascii="Times New Roman" w:hAnsi="Times New Roman" w:cs="Times New Roman"/>
        </w:rPr>
        <w:t>2015年7月23日，发展改革委与环境保护部印发了《关于贯彻实施国家主体功能区环境政策的若干意见》环发〔2015〕92号。</w:t>
      </w:r>
    </w:p>
    <w:p>
      <w:pPr>
        <w:spacing w:line="360" w:lineRule="auto"/>
        <w:ind w:firstLine="480" w:firstLineChars="200"/>
        <w:rPr>
          <w:rFonts w:ascii="Times New Roman" w:hAnsi="Times New Roman" w:cs="Times New Roman"/>
        </w:rPr>
      </w:pPr>
      <w:r>
        <w:rPr>
          <w:rFonts w:ascii="Times New Roman" w:hAnsi="Times New Roman" w:cs="Times New Roman"/>
        </w:rPr>
        <w:t>园区范围不涉及生态红线，临湘高新技术产业开发区为中国开发区审核公告目录2018版批准批复的省级工业园区，本次</w:t>
      </w:r>
      <w:r>
        <w:rPr>
          <w:rFonts w:hint="eastAsia" w:ascii="Times New Roman" w:hAnsi="Times New Roman" w:cs="Times New Roman"/>
        </w:rPr>
        <w:t>规划在</w:t>
      </w:r>
      <w:r>
        <w:rPr>
          <w:rFonts w:ascii="Times New Roman" w:hAnsi="Times New Roman" w:cs="Times New Roman"/>
        </w:rPr>
        <w:t>湘发改园区[2022] 601号</w:t>
      </w:r>
      <w:r>
        <w:rPr>
          <w:rFonts w:hint="eastAsia" w:ascii="Times New Roman" w:hAnsi="Times New Roman" w:cs="Times New Roman"/>
        </w:rPr>
        <w:t>基础上进行调区扩区，</w:t>
      </w:r>
      <w:r>
        <w:rPr>
          <w:rFonts w:ascii="Times New Roman" w:hAnsi="Times New Roman" w:cs="Times New Roman"/>
        </w:rPr>
        <w:t>进行规划环评</w:t>
      </w:r>
      <w:r>
        <w:rPr>
          <w:rFonts w:hint="eastAsia" w:ascii="Times New Roman" w:hAnsi="Times New Roman" w:cs="Times New Roman"/>
        </w:rPr>
        <w:t>。</w:t>
      </w:r>
      <w:r>
        <w:rPr>
          <w:rFonts w:ascii="Times New Roman" w:hAnsi="Times New Roman" w:cs="Times New Roman"/>
        </w:rPr>
        <w:t>园区企业按固定污染源排污许可分类管理名录（2019 年版）管理要求办理排污许可。园区实施污染物总量控制，园区后续发展不突破本评价提出的总量控制要求。</w:t>
      </w:r>
    </w:p>
    <w:p>
      <w:pPr>
        <w:spacing w:line="360" w:lineRule="auto"/>
        <w:ind w:firstLine="480" w:firstLineChars="200"/>
        <w:rPr>
          <w:rFonts w:ascii="Times New Roman" w:hAnsi="Times New Roman" w:cs="Times New Roman"/>
        </w:rPr>
      </w:pPr>
      <w:r>
        <w:rPr>
          <w:rFonts w:ascii="Times New Roman" w:hAnsi="Times New Roman" w:cs="Times New Roman"/>
        </w:rPr>
        <w:t>综上所述，临湘高新技术产业开发区规划落实上述措施后，符合关于贯彻实施国家主体功能区环境政策的若干意见环发〔2015〕92号相关要求。</w:t>
      </w:r>
    </w:p>
    <w:p>
      <w:pPr>
        <w:pStyle w:val="6"/>
        <w:rPr>
          <w:rFonts w:ascii="Times New Roman" w:hAnsi="Times New Roman" w:cs="Times New Roman"/>
        </w:rPr>
      </w:pPr>
      <w:r>
        <w:rPr>
          <w:rFonts w:ascii="Times New Roman" w:hAnsi="Times New Roman" w:cs="Times New Roman"/>
        </w:rPr>
        <w:t>表3.3-</w:t>
      </w:r>
      <w:r>
        <w:rPr>
          <w:rFonts w:hint="eastAsia" w:ascii="Times New Roman" w:hAnsi="Times New Roman" w:cs="Times New Roman"/>
        </w:rPr>
        <w:t>6</w:t>
      </w:r>
      <w:r>
        <w:rPr>
          <w:rFonts w:ascii="Times New Roman" w:hAnsi="Times New Roman" w:cs="Times New Roman"/>
        </w:rPr>
        <w:t xml:space="preserve">  临湘高新技术产业开发区规划与环发〔2015〕92号相符性分析</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69"/>
        <w:gridCol w:w="2977"/>
        <w:gridCol w:w="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815" w:type="pct"/>
            <w:vAlign w:val="center"/>
          </w:tcPr>
          <w:p>
            <w:pPr>
              <w:jc w:val="center"/>
              <w:rPr>
                <w:rFonts w:ascii="Times New Roman" w:hAnsi="Times New Roman" w:eastAsia="宋体" w:cs="Times New Roman"/>
                <w:sz w:val="21"/>
                <w:szCs w:val="24"/>
              </w:rPr>
            </w:pPr>
            <w:bookmarkStart w:id="342" w:name="_Toc49323797"/>
            <w:bookmarkStart w:id="343" w:name="_Toc50625299"/>
            <w:r>
              <w:rPr>
                <w:rFonts w:ascii="Times New Roman" w:hAnsi="Times New Roman" w:eastAsia="宋体" w:cs="Times New Roman"/>
                <w:sz w:val="21"/>
                <w:szCs w:val="24"/>
              </w:rPr>
              <w:t>《关于贯彻实施国家主体功能区环境政策的若干意见》环发〔2015〕92号</w:t>
            </w:r>
          </w:p>
        </w:tc>
        <w:tc>
          <w:tcPr>
            <w:tcW w:w="1653" w:type="pct"/>
            <w:shd w:val="clear" w:color="auto" w:fill="auto"/>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临湘</w:t>
            </w:r>
            <w:r>
              <w:rPr>
                <w:rFonts w:ascii="Times New Roman" w:hAnsi="Times New Roman" w:eastAsia="宋体" w:cs="Times New Roman"/>
                <w:sz w:val="21"/>
                <w:szCs w:val="24"/>
              </w:rPr>
              <w:t>高新区规划</w:t>
            </w:r>
          </w:p>
        </w:tc>
        <w:tc>
          <w:tcPr>
            <w:tcW w:w="532" w:type="pct"/>
            <w:shd w:val="clear" w:color="auto" w:fill="auto"/>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9" w:hRule="atLeast"/>
        </w:trPr>
        <w:tc>
          <w:tcPr>
            <w:tcW w:w="2815"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推动建立基于环境承载能力的城市环境功能分区管理制度，加强特征污染物控制。划定城市生态保护红线，促进形成有利于污染控制和降低居民健康风险的城市空间格局。保护对区域生态系统服务功能极重要的基础生态用地，将区域开敞空间与城市绿地系统有机结合起来，加强生态用地的连通性。</w:t>
            </w:r>
          </w:p>
        </w:tc>
        <w:tc>
          <w:tcPr>
            <w:tcW w:w="1653" w:type="pct"/>
            <w:shd w:val="clear" w:color="auto" w:fill="auto"/>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园区范围不涉及生态红线，同时园区的开发建设符合涟源市相关规划内容，促进涟源市进一步的发展。</w:t>
            </w:r>
          </w:p>
        </w:tc>
        <w:tc>
          <w:tcPr>
            <w:tcW w:w="532" w:type="pct"/>
            <w:shd w:val="clear" w:color="auto" w:fill="auto"/>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815"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深化主要污染物排放总量控制和环境影响评价制度。排污许可允许的主要污染物排放量须满足国家主要污染物排放总量削减任务和区域环境质量标准要求</w:t>
            </w:r>
          </w:p>
        </w:tc>
        <w:tc>
          <w:tcPr>
            <w:tcW w:w="1653" w:type="pct"/>
            <w:shd w:val="clear" w:color="auto" w:fill="auto"/>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临湘</w:t>
            </w:r>
            <w:r>
              <w:rPr>
                <w:rFonts w:ascii="Times New Roman" w:hAnsi="Times New Roman" w:eastAsia="宋体" w:cs="Times New Roman"/>
                <w:sz w:val="21"/>
                <w:szCs w:val="24"/>
              </w:rPr>
              <w:t>高新区在后续开发建设中不突破本次规划环评及环境主管部门核定的总量，引进项目积极开展环境影响评价。</w:t>
            </w:r>
          </w:p>
        </w:tc>
        <w:tc>
          <w:tcPr>
            <w:tcW w:w="532" w:type="pct"/>
            <w:shd w:val="clear" w:color="auto" w:fill="auto"/>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815"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加强环境综合整治。大力实施大气环境综合整治、水环境综合整治、近岸海域环境综合整治、土壤污染管治、重金属污染管治、环境噪声影响严重区管治等环境综合整治工程，严格化学品环境管理，强化城镇污水、垃圾收集与处理设施建设，加强环境管理和监督力度，提高各类治污设施的效率，强化对企业污染物稳定达标排放的监管，开展污染防治对环境、人群健康影响的效果评估</w:t>
            </w:r>
          </w:p>
        </w:tc>
        <w:tc>
          <w:tcPr>
            <w:tcW w:w="1653" w:type="pct"/>
            <w:shd w:val="clear" w:color="auto" w:fill="auto"/>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临湘</w:t>
            </w:r>
            <w:r>
              <w:rPr>
                <w:rFonts w:ascii="Times New Roman" w:hAnsi="Times New Roman" w:eastAsia="宋体" w:cs="Times New Roman"/>
                <w:sz w:val="21"/>
                <w:szCs w:val="24"/>
              </w:rPr>
              <w:t>高新区在后续的开发过程中，积极推进大气环境综合整治、水环境综合整治等相关工作，加强环境管理和监督，加强企业监管，做到达标排放</w:t>
            </w:r>
          </w:p>
        </w:tc>
        <w:tc>
          <w:tcPr>
            <w:tcW w:w="532" w:type="pct"/>
            <w:shd w:val="clear" w:color="auto" w:fill="auto"/>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815"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强化环境风险管理。要建立区域环境风险评估和风险防控制度。区域内以工业为主的开发区，要根据环境风险评估建立风险预警和风险控制机制，制定突发环境事件应急预案，针对高危企业开展环境污染健康影响评估，建设项目和现有企业开展环境风险评估和制定突发环境事件应急预案，强化对其相关工作的监管。</w:t>
            </w:r>
          </w:p>
        </w:tc>
        <w:tc>
          <w:tcPr>
            <w:tcW w:w="1653" w:type="pct"/>
            <w:shd w:val="clear" w:color="auto" w:fill="auto"/>
            <w:vAlign w:val="center"/>
          </w:tcPr>
          <w:p>
            <w:pPr>
              <w:jc w:val="left"/>
              <w:rPr>
                <w:rFonts w:ascii="Times New Roman" w:hAnsi="Times New Roman" w:eastAsia="宋体" w:cs="Times New Roman"/>
                <w:sz w:val="21"/>
                <w:szCs w:val="24"/>
              </w:rPr>
            </w:pPr>
            <w:r>
              <w:rPr>
                <w:rFonts w:ascii="Times New Roman" w:hAnsi="Times New Roman" w:eastAsia="宋体" w:cs="Times New Roman"/>
                <w:sz w:val="21"/>
                <w:szCs w:val="24"/>
              </w:rPr>
              <w:t>园区企业按照管理规定制定突发环境事件应急预案，落实环境风险防范措施。本次规划环评完成后，对园区级突发环境应急预案进行修编和备案工作，组织开展应急演练，全面提升园区突发环境事件应急处理能力。</w:t>
            </w:r>
          </w:p>
        </w:tc>
        <w:tc>
          <w:tcPr>
            <w:tcW w:w="532" w:type="pct"/>
            <w:shd w:val="clear" w:color="auto" w:fill="auto"/>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符合</w:t>
            </w:r>
          </w:p>
        </w:tc>
      </w:tr>
    </w:tbl>
    <w:p>
      <w:pPr>
        <w:pStyle w:val="5"/>
        <w:ind w:firstLine="482"/>
        <w:rPr>
          <w:rFonts w:ascii="Times New Roman" w:hAnsi="Times New Roman" w:cs="Times New Roman" w:eastAsiaTheme="minorEastAsia"/>
        </w:rPr>
      </w:pPr>
      <w:r>
        <w:rPr>
          <w:rFonts w:ascii="Times New Roman" w:hAnsi="Times New Roman" w:cs="Times New Roman" w:eastAsiaTheme="minorEastAsia"/>
        </w:rPr>
        <w:t>3.3.3.</w:t>
      </w:r>
      <w:r>
        <w:rPr>
          <w:rFonts w:hint="eastAsia" w:ascii="Times New Roman" w:hAnsi="Times New Roman" w:cs="Times New Roman" w:eastAsiaTheme="minorEastAsia"/>
        </w:rPr>
        <w:t>4</w:t>
      </w:r>
      <w:r>
        <w:rPr>
          <w:rFonts w:ascii="Times New Roman" w:hAnsi="Times New Roman" w:cs="Times New Roman" w:eastAsiaTheme="minorEastAsia"/>
        </w:rPr>
        <w:t xml:space="preserve"> 与《水污染防治行动计划》实施区域差别化环境准入的指导意见</w:t>
      </w:r>
      <w:bookmarkEnd w:id="342"/>
      <w:bookmarkEnd w:id="343"/>
      <w:r>
        <w:rPr>
          <w:rFonts w:ascii="Times New Roman" w:hAnsi="Times New Roman" w:cs="Times New Roman" w:eastAsiaTheme="minorEastAsia"/>
        </w:rPr>
        <w:t>的相符性分析</w:t>
      </w:r>
    </w:p>
    <w:p>
      <w:pPr>
        <w:spacing w:line="360" w:lineRule="auto"/>
        <w:ind w:firstLine="480" w:firstLineChars="200"/>
        <w:rPr>
          <w:rFonts w:ascii="Times New Roman" w:hAnsi="Times New Roman" w:cs="Times New Roman"/>
        </w:rPr>
      </w:pPr>
      <w:r>
        <w:rPr>
          <w:rFonts w:ascii="Times New Roman" w:hAnsi="Times New Roman" w:cs="Times New Roman"/>
        </w:rPr>
        <w:t>2016年12月27日，环境保护部发布了关于落实《水污染防治行动计划》实施区域差别化环境准入的指导意见（环环评[2016]190号）。</w:t>
      </w:r>
    </w:p>
    <w:p>
      <w:pPr>
        <w:spacing w:line="360" w:lineRule="auto"/>
        <w:ind w:firstLine="480" w:firstLineChars="200"/>
        <w:rPr>
          <w:rFonts w:ascii="Times New Roman" w:hAnsi="Times New Roman" w:cs="Times New Roman"/>
        </w:rPr>
      </w:pPr>
      <w:r>
        <w:rPr>
          <w:rFonts w:ascii="Times New Roman" w:hAnsi="Times New Roman" w:cs="Times New Roman"/>
        </w:rPr>
        <w:t>坚持以改善水环境质量为核心，以落实主体功能定位为主线，以水资源水环境承载能力为约束，以污染源防控为重点，鼓励地方因地制宜、分区施策，找准当地影响水质改善目标的短板，强化源头防控、严格环境准入，强化水功能区水质达标管理，加快实现水质改善目标，推进绿色发展……。</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后续合理开发和科学配置水资源，控制水资源消耗总量和强度，加强水资源保护，对新、改、扩建项目主要水污染物及有毒有害污染物排放实施减量置换，满足《水污染防治行动计划》实施区域差别化环境准入的指导意见的相关要求。</w:t>
      </w:r>
    </w:p>
    <w:p>
      <w:pPr>
        <w:pStyle w:val="6"/>
        <w:rPr>
          <w:rFonts w:ascii="Times New Roman" w:hAnsi="Times New Roman" w:cs="Times New Roman"/>
        </w:rPr>
      </w:pPr>
      <w:r>
        <w:rPr>
          <w:rFonts w:ascii="Times New Roman" w:hAnsi="Times New Roman" w:cs="Times New Roman"/>
        </w:rPr>
        <w:t>表3.3-</w:t>
      </w:r>
      <w:r>
        <w:rPr>
          <w:rFonts w:hint="eastAsia" w:ascii="Times New Roman" w:hAnsi="Times New Roman" w:cs="Times New Roman"/>
        </w:rPr>
        <w:t>7</w:t>
      </w:r>
      <w:r>
        <w:rPr>
          <w:rFonts w:ascii="Times New Roman" w:hAnsi="Times New Roman" w:cs="Times New Roman"/>
        </w:rPr>
        <w:t xml:space="preserve">  与水污染防治行动计划实施区域差别化环境准入相符合性分析</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54"/>
        <w:gridCol w:w="2762"/>
        <w:gridCol w:w="8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shd w:val="clear" w:color="auto" w:fill="auto"/>
            <w:vAlign w:val="center"/>
          </w:tcPr>
          <w:p>
            <w:pPr>
              <w:pStyle w:val="63"/>
              <w:rPr>
                <w:rFonts w:eastAsiaTheme="minorEastAsia"/>
              </w:rPr>
            </w:pPr>
            <w:r>
              <w:rPr>
                <w:rFonts w:eastAsiaTheme="minorEastAsia"/>
              </w:rPr>
              <w:t>“关于落实《水污染防治行动计划》</w:t>
            </w:r>
          </w:p>
          <w:p>
            <w:pPr>
              <w:pStyle w:val="63"/>
              <w:rPr>
                <w:rFonts w:eastAsiaTheme="minorEastAsia"/>
              </w:rPr>
            </w:pPr>
            <w:r>
              <w:rPr>
                <w:rFonts w:eastAsiaTheme="minorEastAsia"/>
              </w:rPr>
              <w:t>实施区域差别化环境准入的指导意见”要求</w:t>
            </w:r>
          </w:p>
        </w:tc>
        <w:tc>
          <w:tcPr>
            <w:tcW w:w="1534" w:type="pct"/>
            <w:shd w:val="clear" w:color="auto" w:fill="auto"/>
            <w:vAlign w:val="center"/>
          </w:tcPr>
          <w:p>
            <w:pPr>
              <w:pStyle w:val="63"/>
              <w:rPr>
                <w:rFonts w:eastAsiaTheme="minorEastAsia"/>
              </w:rPr>
            </w:pPr>
            <w:r>
              <w:rPr>
                <w:rFonts w:eastAsiaTheme="minorEastAsia"/>
              </w:rPr>
              <w:t>临湘高新技术产业开发区规划</w:t>
            </w:r>
          </w:p>
        </w:tc>
        <w:tc>
          <w:tcPr>
            <w:tcW w:w="493" w:type="pct"/>
            <w:shd w:val="clear" w:color="auto" w:fill="auto"/>
            <w:vAlign w:val="center"/>
          </w:tcPr>
          <w:p>
            <w:pPr>
              <w:pStyle w:val="63"/>
              <w:rPr>
                <w:rFonts w:eastAsiaTheme="minorEastAsia"/>
              </w:rPr>
            </w:pPr>
            <w:r>
              <w:rPr>
                <w:rFonts w:eastAsiaTheme="minorEastAsia"/>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shd w:val="clear" w:color="auto" w:fill="auto"/>
            <w:vAlign w:val="center"/>
          </w:tcPr>
          <w:p>
            <w:pPr>
              <w:pStyle w:val="63"/>
              <w:rPr>
                <w:rFonts w:eastAsiaTheme="minorEastAsia"/>
              </w:rPr>
            </w:pPr>
            <w:r>
              <w:rPr>
                <w:rFonts w:eastAsiaTheme="minorEastAsia"/>
              </w:rPr>
              <w:t>重点开发区域环境政策：</w:t>
            </w:r>
          </w:p>
          <w:p>
            <w:pPr>
              <w:pStyle w:val="63"/>
              <w:rPr>
                <w:rFonts w:eastAsiaTheme="minorEastAsia"/>
              </w:rPr>
            </w:pPr>
            <w:r>
              <w:rPr>
                <w:rFonts w:eastAsiaTheme="minorEastAsia"/>
              </w:rPr>
              <w:t>1、针对区域面临的水质达标、水资源开发程度及水生态保护的形势和压力，严控建设项目污染物排放，新、改、扩建项目主要水污染物及有毒有害污染物排放实施减量置换。内蒙古、江西、河南、湖北、湖南、广东、广西、四川、贵州、云南、陕西、甘肃、新疆等地矿产资源开发活动集中区域，矿产资源开发项目执行重点污染物特别排放限值。</w:t>
            </w:r>
          </w:p>
          <w:p>
            <w:pPr>
              <w:pStyle w:val="63"/>
              <w:rPr>
                <w:rFonts w:eastAsiaTheme="minorEastAsia"/>
              </w:rPr>
            </w:pPr>
            <w:r>
              <w:rPr>
                <w:rFonts w:eastAsiaTheme="minorEastAsia"/>
              </w:rPr>
              <w:t>2、对城市存在黑臭水体的区域，应制定更为严格的减量置换措施。合理开发和科学配置水资源，控制水资源消耗总量和强度，加强水资源保护。严格水功能区管理监督，根据重要江河湖泊水功能区水质达标要求，落实污染物达标排放措施，切实监管入河湖排污口，严格控制入河湖排污总量。</w:t>
            </w:r>
          </w:p>
        </w:tc>
        <w:tc>
          <w:tcPr>
            <w:tcW w:w="1534" w:type="pct"/>
            <w:shd w:val="clear" w:color="auto" w:fill="auto"/>
            <w:vAlign w:val="center"/>
          </w:tcPr>
          <w:p>
            <w:pPr>
              <w:pStyle w:val="63"/>
              <w:rPr>
                <w:rFonts w:eastAsiaTheme="minorEastAsia"/>
              </w:rPr>
            </w:pPr>
            <w:r>
              <w:rPr>
                <w:rFonts w:eastAsiaTheme="minorEastAsia"/>
              </w:rPr>
              <w:t>1、对于园区新、改、扩建项目主要水污染物及有毒有害污染物排放实施等量置换和总量控制要求。</w:t>
            </w:r>
          </w:p>
          <w:p>
            <w:pPr>
              <w:pStyle w:val="63"/>
              <w:rPr>
                <w:rFonts w:eastAsiaTheme="minorEastAsia"/>
              </w:rPr>
            </w:pPr>
            <w:r>
              <w:rPr>
                <w:rFonts w:eastAsiaTheme="minorEastAsia"/>
              </w:rPr>
              <w:t>2、合理开发和科学配置水资源，控制水资源消耗总量和强度，加强水资源保护。园区企业根据湖南关于执行污染物特别排放限值（第一批）的行业要求执行特别排放限值。</w:t>
            </w:r>
          </w:p>
        </w:tc>
        <w:tc>
          <w:tcPr>
            <w:tcW w:w="493" w:type="pct"/>
            <w:shd w:val="clear" w:color="auto" w:fill="auto"/>
            <w:vAlign w:val="center"/>
          </w:tcPr>
          <w:p>
            <w:pPr>
              <w:pStyle w:val="63"/>
              <w:rPr>
                <w:rFonts w:eastAsiaTheme="minorEastAsia"/>
              </w:rPr>
            </w:pPr>
            <w:r>
              <w:rPr>
                <w:rFonts w:eastAsiaTheme="minorEastAsia"/>
              </w:rPr>
              <w:t>符合</w:t>
            </w:r>
          </w:p>
        </w:tc>
      </w:tr>
    </w:tbl>
    <w:p>
      <w:pPr>
        <w:pStyle w:val="5"/>
        <w:ind w:firstLine="482"/>
        <w:rPr>
          <w:rFonts w:ascii="Times New Roman" w:hAnsi="Times New Roman" w:cs="Times New Roman" w:eastAsiaTheme="minorEastAsia"/>
        </w:rPr>
      </w:pPr>
      <w:bookmarkStart w:id="344" w:name="_Toc38831985"/>
      <w:bookmarkStart w:id="345" w:name="_Toc49323798"/>
      <w:bookmarkStart w:id="346" w:name="_Toc50625300"/>
      <w:bookmarkStart w:id="347" w:name="_Toc484434125"/>
      <w:bookmarkStart w:id="348" w:name="_Toc474315761"/>
      <w:bookmarkStart w:id="349" w:name="_Toc1552343"/>
      <w:bookmarkStart w:id="350" w:name="_Toc38478419"/>
      <w:bookmarkStart w:id="351" w:name="_Toc38389590"/>
      <w:bookmarkStart w:id="352" w:name="_Toc40253188"/>
      <w:r>
        <w:rPr>
          <w:rFonts w:ascii="Times New Roman" w:hAnsi="Times New Roman" w:cs="Times New Roman" w:eastAsiaTheme="minorEastAsia"/>
        </w:rPr>
        <w:t>3.3.3.</w:t>
      </w:r>
      <w:bookmarkEnd w:id="344"/>
      <w:bookmarkEnd w:id="345"/>
      <w:bookmarkEnd w:id="346"/>
      <w:r>
        <w:rPr>
          <w:rFonts w:hint="eastAsia" w:ascii="Times New Roman" w:hAnsi="Times New Roman" w:cs="Times New Roman" w:eastAsiaTheme="minorEastAsia"/>
        </w:rPr>
        <w:t>5</w:t>
      </w:r>
      <w:r>
        <w:rPr>
          <w:rFonts w:ascii="Times New Roman" w:hAnsi="Times New Roman" w:cs="Times New Roman" w:eastAsiaTheme="minorEastAsia"/>
        </w:rPr>
        <w:t xml:space="preserve"> 与《</w:t>
      </w:r>
      <w:r>
        <w:rPr>
          <w:rFonts w:hint="eastAsia" w:ascii="Times New Roman" w:hAnsi="Times New Roman" w:cs="Times New Roman" w:eastAsiaTheme="minorEastAsia"/>
        </w:rPr>
        <w:t>岳阳市“三线一单”生态环境分区管控的意见</w:t>
      </w:r>
      <w:r>
        <w:rPr>
          <w:rFonts w:ascii="Times New Roman" w:hAnsi="Times New Roman" w:cs="Times New Roman" w:eastAsiaTheme="minorEastAsia"/>
        </w:rPr>
        <w:t>》相符性分析</w:t>
      </w:r>
    </w:p>
    <w:p>
      <w:pPr>
        <w:spacing w:line="360" w:lineRule="auto"/>
        <w:ind w:firstLine="480" w:firstLineChars="200"/>
        <w:rPr>
          <w:rFonts w:ascii="Times New Roman" w:hAnsi="Times New Roman" w:cs="Times New Roman"/>
        </w:rPr>
        <w:sectPr>
          <w:pgSz w:w="11907" w:h="16840"/>
          <w:pgMar w:top="1418" w:right="1418" w:bottom="1418" w:left="1701" w:header="935" w:footer="1021" w:gutter="0"/>
          <w:paperSrc w:first="7" w:other="7"/>
          <w:cols w:space="720" w:num="1"/>
          <w:docGrid w:linePitch="326" w:charSpace="0"/>
        </w:sectPr>
      </w:pPr>
      <w:r>
        <w:rPr>
          <w:rFonts w:hint="eastAsia" w:ascii="Times New Roman" w:hAnsi="Times New Roman" w:cs="Times New Roman"/>
        </w:rPr>
        <w:t>2021年2月1日，岳阳市人民政府关于实施《岳阳市“三线一单”生态环境分区管控的意见》（岳政发〔2021〕2号）</w:t>
      </w:r>
      <w:r>
        <w:rPr>
          <w:rFonts w:ascii="Times New Roman" w:hAnsi="Times New Roman" w:cs="Times New Roman"/>
        </w:rPr>
        <w:t>，本次规划与《</w:t>
      </w:r>
      <w:r>
        <w:rPr>
          <w:rFonts w:hint="eastAsia" w:ascii="Times New Roman" w:hAnsi="Times New Roman" w:cs="Times New Roman"/>
        </w:rPr>
        <w:t>岳阳市“三线一单”生态环境分区管控的意见》（岳政发〔2021〕2号</w:t>
      </w:r>
      <w:r>
        <w:rPr>
          <w:rFonts w:ascii="Times New Roman" w:hAnsi="Times New Roman" w:cs="Times New Roman"/>
        </w:rPr>
        <w:t>》相关内容对比分析，详见下表。</w:t>
      </w:r>
    </w:p>
    <w:p>
      <w:pPr>
        <w:pStyle w:val="6"/>
        <w:rPr>
          <w:rFonts w:ascii="Times New Roman" w:hAnsi="Times New Roman" w:cs="Times New Roman"/>
        </w:rPr>
      </w:pPr>
      <w:r>
        <w:rPr>
          <w:rFonts w:ascii="Times New Roman" w:hAnsi="Times New Roman" w:cs="Times New Roman"/>
        </w:rPr>
        <w:t>表3.3-</w:t>
      </w:r>
      <w:r>
        <w:rPr>
          <w:rFonts w:hint="eastAsia" w:ascii="Times New Roman" w:hAnsi="Times New Roman" w:cs="Times New Roman"/>
        </w:rPr>
        <w:t>8</w:t>
      </w:r>
      <w:r>
        <w:rPr>
          <w:rFonts w:ascii="Times New Roman" w:hAnsi="Times New Roman" w:cs="Times New Roman"/>
        </w:rPr>
        <w:t xml:space="preserve">  重点管控单元生态环境准入清单符合性分析</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36"/>
        <w:gridCol w:w="1277"/>
        <w:gridCol w:w="6975"/>
        <w:gridCol w:w="4084"/>
        <w:gridCol w:w="86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blHeader/>
          <w:jc w:val="center"/>
        </w:trPr>
        <w:tc>
          <w:tcPr>
            <w:tcW w:w="298" w:type="pct"/>
            <w:vAlign w:val="center"/>
          </w:tcPr>
          <w:p>
            <w:pPr>
              <w:pStyle w:val="63"/>
              <w:rPr>
                <w:lang w:eastAsia="en-US"/>
              </w:rPr>
            </w:pPr>
            <w:r>
              <w:rPr>
                <w:lang w:eastAsia="en-US"/>
              </w:rPr>
              <w:t>属性</w:t>
            </w:r>
          </w:p>
          <w:p>
            <w:pPr>
              <w:pStyle w:val="63"/>
              <w:rPr>
                <w:lang w:eastAsia="en-US"/>
              </w:rPr>
            </w:pPr>
            <w:r>
              <w:rPr>
                <w:lang w:eastAsia="en-US"/>
              </w:rPr>
              <w:t>区域</w:t>
            </w:r>
          </w:p>
        </w:tc>
        <w:tc>
          <w:tcPr>
            <w:tcW w:w="455" w:type="pct"/>
            <w:vAlign w:val="center"/>
          </w:tcPr>
          <w:p>
            <w:pPr>
              <w:pStyle w:val="63"/>
              <w:rPr>
                <w:lang w:eastAsia="en-US"/>
              </w:rPr>
            </w:pPr>
            <w:r>
              <w:rPr>
                <w:lang w:eastAsia="en-US"/>
              </w:rPr>
              <w:t>管控维度</w:t>
            </w:r>
          </w:p>
        </w:tc>
        <w:tc>
          <w:tcPr>
            <w:tcW w:w="2485" w:type="pct"/>
            <w:vAlign w:val="center"/>
          </w:tcPr>
          <w:p>
            <w:pPr>
              <w:pStyle w:val="63"/>
              <w:rPr>
                <w:lang w:eastAsia="en-US"/>
              </w:rPr>
            </w:pPr>
            <w:r>
              <w:rPr>
                <w:lang w:eastAsia="en-US"/>
              </w:rPr>
              <w:t>管控要求</w:t>
            </w:r>
          </w:p>
        </w:tc>
        <w:tc>
          <w:tcPr>
            <w:tcW w:w="1455" w:type="pct"/>
            <w:vAlign w:val="center"/>
          </w:tcPr>
          <w:p>
            <w:pPr>
              <w:pStyle w:val="63"/>
            </w:pPr>
            <w:r>
              <w:rPr>
                <w:rFonts w:eastAsiaTheme="minorEastAsia"/>
              </w:rPr>
              <w:t>临湘高新技术产业开发区规划</w:t>
            </w:r>
          </w:p>
        </w:tc>
        <w:tc>
          <w:tcPr>
            <w:tcW w:w="307" w:type="pct"/>
            <w:vAlign w:val="center"/>
          </w:tcPr>
          <w:p>
            <w:pPr>
              <w:pStyle w:val="63"/>
            </w:pPr>
            <w:r>
              <w:t>相符性分析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8" w:type="pct"/>
            <w:vMerge w:val="restart"/>
            <w:vAlign w:val="center"/>
          </w:tcPr>
          <w:p>
            <w:pPr>
              <w:pStyle w:val="63"/>
              <w:rPr>
                <w:spacing w:val="-2"/>
              </w:rPr>
            </w:pPr>
            <w:r>
              <w:rPr>
                <w:spacing w:val="-2"/>
              </w:rPr>
              <w:t>水</w:t>
            </w:r>
            <w:r>
              <w:t>环</w:t>
            </w:r>
            <w:r>
              <w:rPr>
                <w:spacing w:val="-2"/>
              </w:rPr>
              <w:t>境</w:t>
            </w:r>
            <w:r>
              <w:t>治理</w:t>
            </w:r>
          </w:p>
        </w:tc>
        <w:tc>
          <w:tcPr>
            <w:tcW w:w="455" w:type="pct"/>
            <w:vAlign w:val="center"/>
          </w:tcPr>
          <w:p>
            <w:pPr>
              <w:pStyle w:val="63"/>
              <w:rPr>
                <w:spacing w:val="-2"/>
              </w:rPr>
            </w:pPr>
            <w:r>
              <w:rPr>
                <w:spacing w:val="-2"/>
              </w:rPr>
              <w:t>空间</w:t>
            </w:r>
          </w:p>
          <w:p>
            <w:pPr>
              <w:pStyle w:val="63"/>
              <w:rPr>
                <w:spacing w:val="-2"/>
              </w:rPr>
            </w:pPr>
            <w:r>
              <w:rPr>
                <w:spacing w:val="-2"/>
              </w:rPr>
              <w:t>布</w:t>
            </w:r>
            <w:r>
              <w:t>局</w:t>
            </w:r>
            <w:r>
              <w:rPr>
                <w:spacing w:val="-2"/>
              </w:rPr>
              <w:t>约</w:t>
            </w:r>
            <w:r>
              <w:t>束</w:t>
            </w:r>
          </w:p>
        </w:tc>
        <w:tc>
          <w:tcPr>
            <w:tcW w:w="2485" w:type="pct"/>
            <w:vAlign w:val="center"/>
          </w:tcPr>
          <w:p>
            <w:pPr>
              <w:pStyle w:val="63"/>
              <w:jc w:val="both"/>
            </w:pPr>
            <w:r>
              <w:rPr>
                <w:spacing w:val="-2"/>
              </w:rPr>
              <w:t>1.2在城区水系及外围保护地带内</w:t>
            </w:r>
            <w:r>
              <w:rPr>
                <w:spacing w:val="-6"/>
              </w:rPr>
              <w:t>，</w:t>
            </w:r>
            <w:r>
              <w:rPr>
                <w:spacing w:val="-2"/>
              </w:rPr>
              <w:t>禁止围湖造地</w:t>
            </w:r>
            <w:r>
              <w:rPr>
                <w:spacing w:val="-6"/>
              </w:rPr>
              <w:t>、</w:t>
            </w:r>
            <w:r>
              <w:rPr>
                <w:spacing w:val="-2"/>
              </w:rPr>
              <w:t>围堰养殖及其他侵占城区</w:t>
            </w:r>
            <w:r>
              <w:rPr>
                <w:spacing w:val="-1"/>
              </w:rPr>
              <w:t>水</w:t>
            </w:r>
            <w:r>
              <w:rPr>
                <w:spacing w:val="-2"/>
              </w:rPr>
              <w:t>系的行为</w:t>
            </w:r>
            <w:r>
              <w:rPr>
                <w:spacing w:val="-6"/>
              </w:rPr>
              <w:t>，</w:t>
            </w:r>
            <w:r>
              <w:rPr>
                <w:spacing w:val="-2"/>
              </w:rPr>
              <w:t>禁止倾倒土</w:t>
            </w:r>
            <w:r>
              <w:rPr>
                <w:spacing w:val="-6"/>
              </w:rPr>
              <w:t>、</w:t>
            </w:r>
            <w:r>
              <w:rPr>
                <w:spacing w:val="-2"/>
              </w:rPr>
              <w:t>石</w:t>
            </w:r>
            <w:r>
              <w:rPr>
                <w:spacing w:val="-6"/>
              </w:rPr>
              <w:t>、</w:t>
            </w:r>
            <w:r>
              <w:rPr>
                <w:spacing w:val="-2"/>
              </w:rPr>
              <w:t>尾矿</w:t>
            </w:r>
            <w:r>
              <w:rPr>
                <w:spacing w:val="-6"/>
              </w:rPr>
              <w:t>、</w:t>
            </w:r>
            <w:r>
              <w:t>垃</w:t>
            </w:r>
            <w:r>
              <w:rPr>
                <w:spacing w:val="-2"/>
              </w:rPr>
              <w:t>圾、废渣、危险废物等固体废弃物；</w:t>
            </w:r>
            <w:r>
              <w:rPr>
                <w:spacing w:val="-1"/>
              </w:rPr>
              <w:t>增</w:t>
            </w:r>
            <w:r>
              <w:rPr>
                <w:spacing w:val="-2"/>
              </w:rPr>
              <w:t>设新的排污口，必须报经市水务局批</w:t>
            </w:r>
            <w:r>
              <w:t>准。</w:t>
            </w:r>
          </w:p>
          <w:p>
            <w:pPr>
              <w:pStyle w:val="63"/>
              <w:jc w:val="both"/>
            </w:pPr>
            <w:r>
              <w:t>11.4岳阳市城市规划区水体，按《岳阳市城市规划区山体水体保护规划（2017-2030）》中的规定执行。</w:t>
            </w:r>
          </w:p>
        </w:tc>
        <w:tc>
          <w:tcPr>
            <w:tcW w:w="1455" w:type="pct"/>
            <w:vAlign w:val="center"/>
          </w:tcPr>
          <w:p>
            <w:pPr>
              <w:pStyle w:val="63"/>
              <w:jc w:val="both"/>
              <w:rPr>
                <w:bCs/>
              </w:rPr>
            </w:pPr>
            <w:r>
              <w:rPr>
                <w:rFonts w:hint="eastAsia"/>
                <w:bCs/>
              </w:rPr>
              <w:t>1、临湘高新区规划范围在湘发改园区[2022]601号）的基础上进行调区扩区，依托现有污水处理厂进行污水处理，不新增排污口。</w:t>
            </w:r>
          </w:p>
          <w:p>
            <w:pPr>
              <w:pStyle w:val="63"/>
              <w:jc w:val="both"/>
              <w:rPr>
                <w:bCs/>
              </w:rPr>
            </w:pPr>
            <w:r>
              <w:rPr>
                <w:rFonts w:hint="eastAsia"/>
                <w:bCs/>
              </w:rPr>
              <w:t>2、</w:t>
            </w:r>
            <w:r>
              <w:rPr>
                <w:bCs/>
              </w:rPr>
              <w:t>对于区域内的保护山体水体保护详见《岳阳市城市规划区山体水体保护规划（2017-2030）》相符性分析。</w:t>
            </w:r>
          </w:p>
        </w:tc>
        <w:tc>
          <w:tcPr>
            <w:tcW w:w="307" w:type="pct"/>
            <w:vAlign w:val="center"/>
          </w:tcPr>
          <w:p>
            <w:pPr>
              <w:pStyle w:val="63"/>
            </w:pPr>
            <w: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8" w:type="pct"/>
            <w:vMerge w:val="continue"/>
            <w:vAlign w:val="center"/>
          </w:tcPr>
          <w:p>
            <w:pPr>
              <w:pStyle w:val="63"/>
              <w:rPr>
                <w:spacing w:val="-2"/>
              </w:rPr>
            </w:pPr>
          </w:p>
        </w:tc>
        <w:tc>
          <w:tcPr>
            <w:tcW w:w="455" w:type="pct"/>
            <w:vAlign w:val="center"/>
          </w:tcPr>
          <w:p>
            <w:pPr>
              <w:pStyle w:val="63"/>
              <w:rPr>
                <w:spacing w:val="-2"/>
              </w:rPr>
            </w:pPr>
            <w:r>
              <w:rPr>
                <w:spacing w:val="-2"/>
              </w:rPr>
              <w:t>污染物</w:t>
            </w:r>
          </w:p>
          <w:p>
            <w:pPr>
              <w:pStyle w:val="63"/>
              <w:rPr>
                <w:spacing w:val="-2"/>
              </w:rPr>
            </w:pPr>
            <w:r>
              <w:t>排</w:t>
            </w:r>
            <w:r>
              <w:rPr>
                <w:spacing w:val="-2"/>
              </w:rPr>
              <w:t>放管</w:t>
            </w:r>
            <w:r>
              <w:t>控</w:t>
            </w:r>
          </w:p>
        </w:tc>
        <w:tc>
          <w:tcPr>
            <w:tcW w:w="2485" w:type="pct"/>
            <w:vAlign w:val="center"/>
          </w:tcPr>
          <w:p>
            <w:pPr>
              <w:pStyle w:val="63"/>
              <w:jc w:val="both"/>
            </w:pPr>
            <w:r>
              <w:t>2.在城区水系及外围保护地带内，禁止排放未达到排放标准或者超过规定控制总量的废水、污物、废油等</w:t>
            </w:r>
          </w:p>
        </w:tc>
        <w:tc>
          <w:tcPr>
            <w:tcW w:w="1455" w:type="pct"/>
            <w:vAlign w:val="center"/>
          </w:tcPr>
          <w:p>
            <w:pPr>
              <w:pStyle w:val="63"/>
              <w:jc w:val="both"/>
            </w:pPr>
            <w:r>
              <w:t>园区废水依托各片区污水处理厂集中处理达标排放。</w:t>
            </w:r>
          </w:p>
        </w:tc>
        <w:tc>
          <w:tcPr>
            <w:tcW w:w="307" w:type="pct"/>
            <w:vAlign w:val="center"/>
          </w:tcPr>
          <w:p>
            <w:pPr>
              <w:pStyle w:val="63"/>
            </w:pPr>
            <w: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8" w:type="pct"/>
            <w:vMerge w:val="restart"/>
            <w:vAlign w:val="center"/>
          </w:tcPr>
          <w:p>
            <w:pPr>
              <w:pStyle w:val="63"/>
            </w:pPr>
            <w:r>
              <w:rPr>
                <w:spacing w:val="-2"/>
              </w:rPr>
              <w:t>产</w:t>
            </w:r>
            <w:r>
              <w:t>业</w:t>
            </w:r>
            <w:r>
              <w:rPr>
                <w:spacing w:val="-2"/>
              </w:rPr>
              <w:t>园</w:t>
            </w:r>
            <w:r>
              <w:t>区</w:t>
            </w:r>
          </w:p>
        </w:tc>
        <w:tc>
          <w:tcPr>
            <w:tcW w:w="455" w:type="pct"/>
            <w:vAlign w:val="center"/>
          </w:tcPr>
          <w:p>
            <w:pPr>
              <w:pStyle w:val="63"/>
            </w:pPr>
            <w:r>
              <w:rPr>
                <w:spacing w:val="-2"/>
              </w:rPr>
              <w:t>空间布</w:t>
            </w:r>
            <w:r>
              <w:t>局</w:t>
            </w:r>
          </w:p>
          <w:p>
            <w:pPr>
              <w:pStyle w:val="63"/>
            </w:pPr>
            <w:r>
              <w:rPr>
                <w:spacing w:val="-2"/>
              </w:rPr>
              <w:t>约</w:t>
            </w:r>
            <w:r>
              <w:t>束</w:t>
            </w:r>
          </w:p>
        </w:tc>
        <w:tc>
          <w:tcPr>
            <w:tcW w:w="2485" w:type="pct"/>
            <w:vAlign w:val="center"/>
          </w:tcPr>
          <w:p>
            <w:pPr>
              <w:pStyle w:val="63"/>
              <w:jc w:val="both"/>
            </w:pPr>
            <w:r>
              <w:t>1.1引导工业企业向集聚区内集中，推进有色、化工重点行业进入专业工业园区发展。</w:t>
            </w:r>
          </w:p>
          <w:p>
            <w:pPr>
              <w:pStyle w:val="63"/>
              <w:jc w:val="both"/>
            </w:pPr>
            <w:r>
              <w:t>1.2继续推进重点行业企业整合、升级，进入产业园区聚集发展，做大做强优势产业。</w:t>
            </w:r>
          </w:p>
          <w:p>
            <w:pPr>
              <w:pStyle w:val="63"/>
              <w:jc w:val="both"/>
            </w:pPr>
            <w:r>
              <w:rPr>
                <w:spacing w:val="-1"/>
              </w:rPr>
              <w:t>1.3在</w:t>
            </w:r>
            <w:r>
              <w:rPr>
                <w:spacing w:val="-2"/>
              </w:rPr>
              <w:t>非化工专门区域</w:t>
            </w:r>
            <w:r>
              <w:rPr>
                <w:spacing w:val="-15"/>
              </w:rPr>
              <w:t>，</w:t>
            </w:r>
            <w:r>
              <w:rPr>
                <w:spacing w:val="-2"/>
              </w:rPr>
              <w:t>已取得安</w:t>
            </w:r>
            <w:r>
              <w:rPr>
                <w:spacing w:val="-1"/>
              </w:rPr>
              <w:t>全</w:t>
            </w:r>
            <w:r>
              <w:rPr>
                <w:spacing w:val="-2"/>
              </w:rPr>
              <w:t>生产许可证的但生产过程无化学反应过程的企业</w:t>
            </w:r>
            <w:r>
              <w:rPr>
                <w:spacing w:val="-15"/>
              </w:rPr>
              <w:t>，</w:t>
            </w:r>
            <w:r>
              <w:rPr>
                <w:spacing w:val="-2"/>
              </w:rPr>
              <w:t>建设涉及危险化学品但生产过</w:t>
            </w:r>
            <w:r>
              <w:t>程</w:t>
            </w:r>
            <w:r>
              <w:rPr>
                <w:spacing w:val="-2"/>
              </w:rPr>
              <w:t>无化学反应过程的加工型改扩建项目</w:t>
            </w:r>
            <w:r>
              <w:rPr>
                <w:spacing w:val="-22"/>
              </w:rPr>
              <w:t>，</w:t>
            </w:r>
            <w:r>
              <w:rPr>
                <w:spacing w:val="-2"/>
              </w:rPr>
              <w:t>在确保安全条件</w:t>
            </w:r>
            <w:r>
              <w:rPr>
                <w:spacing w:val="-22"/>
              </w:rPr>
              <w:t>、</w:t>
            </w:r>
            <w:r>
              <w:rPr>
                <w:spacing w:val="-2"/>
              </w:rPr>
              <w:t>符合当地规划</w:t>
            </w:r>
            <w:r>
              <w:rPr>
                <w:spacing w:val="-22"/>
              </w:rPr>
              <w:t>、</w:t>
            </w:r>
            <w:r>
              <w:rPr>
                <w:spacing w:val="-2"/>
              </w:rPr>
              <w:t>不新增企业用地的前提下</w:t>
            </w:r>
            <w:r>
              <w:rPr>
                <w:spacing w:val="-22"/>
              </w:rPr>
              <w:t>，</w:t>
            </w:r>
            <w:r>
              <w:rPr>
                <w:spacing w:val="-2"/>
              </w:rPr>
              <w:t>可在化工集聚区或化</w:t>
            </w:r>
            <w:r>
              <w:t>工</w:t>
            </w:r>
            <w:r>
              <w:rPr>
                <w:spacing w:val="-2"/>
              </w:rPr>
              <w:t>园区外进行建</w:t>
            </w:r>
            <w:r>
              <w:t>设。</w:t>
            </w:r>
          </w:p>
          <w:p>
            <w:pPr>
              <w:pStyle w:val="63"/>
              <w:jc w:val="both"/>
            </w:pPr>
            <w:r>
              <w:rPr>
                <w:spacing w:val="-2"/>
              </w:rPr>
              <w:t>1.4对于规划化工</w:t>
            </w:r>
            <w:r>
              <w:rPr>
                <w:spacing w:val="-1"/>
              </w:rPr>
              <w:t>园</w:t>
            </w:r>
            <w:r>
              <w:rPr>
                <w:spacing w:val="-2"/>
              </w:rPr>
              <w:t>区外的危险化学品生产</w:t>
            </w:r>
            <w:r>
              <w:rPr>
                <w:spacing w:val="-58"/>
              </w:rPr>
              <w:t>、</w:t>
            </w:r>
            <w:r>
              <w:rPr>
                <w:spacing w:val="-2"/>
              </w:rPr>
              <w:t>储存企业进行安全评价后</w:t>
            </w:r>
            <w:r>
              <w:rPr>
                <w:spacing w:val="-58"/>
              </w:rPr>
              <w:t>，</w:t>
            </w:r>
            <w:r>
              <w:rPr>
                <w:spacing w:val="-2"/>
              </w:rPr>
              <w:t>整改受场地限制的</w:t>
            </w:r>
            <w:r>
              <w:rPr>
                <w:spacing w:val="-58"/>
              </w:rPr>
              <w:t>，</w:t>
            </w:r>
            <w:r>
              <w:rPr>
                <w:spacing w:val="-2"/>
              </w:rPr>
              <w:t>一律建议搬迁至化工园区</w:t>
            </w:r>
            <w:r>
              <w:t>。</w:t>
            </w:r>
            <w:r>
              <w:rPr>
                <w:spacing w:val="-2"/>
              </w:rPr>
              <w:t>不在化工园区的危险化学品生产、储</w:t>
            </w:r>
            <w:r>
              <w:rPr>
                <w:spacing w:val="-1"/>
              </w:rPr>
              <w:t>存</w:t>
            </w:r>
            <w:r>
              <w:rPr>
                <w:spacing w:val="-2"/>
              </w:rPr>
              <w:t>建设项目企业，禁止其进行改、扩</w:t>
            </w:r>
            <w:r>
              <w:t>建。</w:t>
            </w:r>
          </w:p>
          <w:p>
            <w:pPr>
              <w:pStyle w:val="63"/>
              <w:jc w:val="both"/>
            </w:pPr>
            <w:r>
              <w:rPr>
                <w:spacing w:val="-2"/>
              </w:rPr>
              <w:t>1.5加快推进长江</w:t>
            </w:r>
            <w:r>
              <w:rPr>
                <w:spacing w:val="-1"/>
              </w:rPr>
              <w:t>经</w:t>
            </w:r>
            <w:r>
              <w:rPr>
                <w:spacing w:val="-2"/>
              </w:rPr>
              <w:t>济带化工整治专项行动</w:t>
            </w:r>
            <w:r>
              <w:rPr>
                <w:spacing w:val="-58"/>
              </w:rPr>
              <w:t>，</w:t>
            </w:r>
            <w:r>
              <w:rPr>
                <w:spacing w:val="-2"/>
              </w:rPr>
              <w:t>依法整治不符合有关规划</w:t>
            </w:r>
            <w:r>
              <w:rPr>
                <w:spacing w:val="-58"/>
              </w:rPr>
              <w:t>、</w:t>
            </w:r>
            <w:r>
              <w:rPr>
                <w:spacing w:val="-2"/>
              </w:rPr>
              <w:t>区划要求或者位于生态保护红线</w:t>
            </w:r>
            <w:r>
              <w:rPr>
                <w:spacing w:val="-58"/>
              </w:rPr>
              <w:t>、</w:t>
            </w:r>
            <w:r>
              <w:rPr>
                <w:spacing w:val="-2"/>
              </w:rPr>
              <w:t>自然保护区</w:t>
            </w:r>
            <w:r>
              <w:t>、</w:t>
            </w:r>
            <w:r>
              <w:rPr>
                <w:spacing w:val="-2"/>
              </w:rPr>
              <w:t>饮用水水源保护区以及其他环境敏感</w:t>
            </w:r>
            <w:r>
              <w:rPr>
                <w:spacing w:val="-1"/>
              </w:rPr>
              <w:t>区</w:t>
            </w:r>
            <w:r>
              <w:rPr>
                <w:spacing w:val="-2"/>
              </w:rPr>
              <w:t>域内的化工企业、化工园</w:t>
            </w:r>
            <w:r>
              <w:t>区。</w:t>
            </w:r>
          </w:p>
        </w:tc>
        <w:tc>
          <w:tcPr>
            <w:tcW w:w="1455" w:type="pct"/>
            <w:vAlign w:val="center"/>
          </w:tcPr>
          <w:p>
            <w:pPr>
              <w:pStyle w:val="63"/>
              <w:jc w:val="both"/>
              <w:rPr>
                <w:spacing w:val="-2"/>
              </w:rPr>
            </w:pPr>
            <w:r>
              <w:t>1、</w:t>
            </w:r>
            <w:r>
              <w:rPr>
                <w:rFonts w:hint="eastAsia"/>
              </w:rPr>
              <w:t>临湘高新技术产业开发区</w:t>
            </w:r>
            <w:r>
              <w:t>规划范围不涉及</w:t>
            </w:r>
            <w:r>
              <w:rPr>
                <w:spacing w:val="-2"/>
              </w:rPr>
              <w:t>生态保护红线</w:t>
            </w:r>
            <w:r>
              <w:rPr>
                <w:spacing w:val="-58"/>
              </w:rPr>
              <w:t>、</w:t>
            </w:r>
            <w:r>
              <w:rPr>
                <w:spacing w:val="-2"/>
              </w:rPr>
              <w:t>自然保护区</w:t>
            </w:r>
            <w:r>
              <w:t>、</w:t>
            </w:r>
            <w:r>
              <w:rPr>
                <w:spacing w:val="-2"/>
              </w:rPr>
              <w:t>饮用水水源保护区。</w:t>
            </w:r>
          </w:p>
          <w:p>
            <w:pPr>
              <w:pStyle w:val="63"/>
              <w:jc w:val="both"/>
              <w:rPr>
                <w:bCs/>
              </w:rPr>
            </w:pPr>
            <w:r>
              <w:rPr>
                <w:spacing w:val="-2"/>
              </w:rPr>
              <w:t>2、</w:t>
            </w:r>
            <w:r>
              <w:rPr>
                <w:rFonts w:hint="eastAsia"/>
              </w:rPr>
              <w:t>临湘高新技术产业开发区</w:t>
            </w:r>
            <w:r>
              <w:t>属</w:t>
            </w:r>
            <w:r>
              <w:rPr>
                <w:rFonts w:hint="eastAsia"/>
              </w:rPr>
              <w:t>主导产业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p>
            <w:pPr>
              <w:pStyle w:val="63"/>
              <w:jc w:val="both"/>
            </w:pPr>
            <w:r>
              <w:rPr>
                <w:rFonts w:hint="eastAsia"/>
                <w:bCs/>
              </w:rPr>
              <w:t>3、</w:t>
            </w:r>
            <w:r>
              <w:t>绿色化工产业园</w:t>
            </w:r>
            <w:r>
              <w:rPr>
                <w:rFonts w:hint="eastAsia"/>
              </w:rPr>
              <w:t>片区</w:t>
            </w:r>
          </w:p>
        </w:tc>
        <w:tc>
          <w:tcPr>
            <w:tcW w:w="307" w:type="pct"/>
            <w:vAlign w:val="center"/>
          </w:tcPr>
          <w:p>
            <w:pPr>
              <w:pStyle w:val="63"/>
            </w:pPr>
            <w: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8" w:type="pct"/>
            <w:vMerge w:val="continue"/>
            <w:vAlign w:val="center"/>
          </w:tcPr>
          <w:p>
            <w:pPr>
              <w:pStyle w:val="63"/>
            </w:pPr>
          </w:p>
        </w:tc>
        <w:tc>
          <w:tcPr>
            <w:tcW w:w="455" w:type="pct"/>
            <w:vAlign w:val="center"/>
          </w:tcPr>
          <w:p>
            <w:pPr>
              <w:pStyle w:val="63"/>
              <w:rPr>
                <w:spacing w:val="-2"/>
              </w:rPr>
            </w:pPr>
            <w:r>
              <w:rPr>
                <w:spacing w:val="-2"/>
              </w:rPr>
              <w:t>污染物</w:t>
            </w:r>
          </w:p>
          <w:p>
            <w:pPr>
              <w:pStyle w:val="63"/>
            </w:pPr>
            <w:r>
              <w:t>排</w:t>
            </w:r>
            <w:r>
              <w:rPr>
                <w:spacing w:val="-2"/>
              </w:rPr>
              <w:t>放管</w:t>
            </w:r>
            <w:r>
              <w:t>控</w:t>
            </w:r>
          </w:p>
        </w:tc>
        <w:tc>
          <w:tcPr>
            <w:tcW w:w="2485" w:type="pct"/>
            <w:vAlign w:val="center"/>
          </w:tcPr>
          <w:p>
            <w:pPr>
              <w:pStyle w:val="63"/>
              <w:jc w:val="both"/>
            </w:pPr>
            <w:r>
              <w:t>2.1集中治理产业园区水污染，产业园区内工业废水必须经预处理达到集中处理要求后，方可进入污水集中处理设施。</w:t>
            </w:r>
          </w:p>
          <w:p>
            <w:pPr>
              <w:pStyle w:val="63"/>
              <w:jc w:val="both"/>
            </w:pPr>
            <w:r>
              <w:t>2.2新建、升级工业集聚区应同步规划、建设污水、固体废物集中处理等污染治理设施。</w:t>
            </w:r>
          </w:p>
          <w:p>
            <w:pPr>
              <w:pStyle w:val="63"/>
              <w:jc w:val="both"/>
            </w:pPr>
            <w:r>
              <w:t>2.3工业园区必须配套建设集中污水处理设施等环境基础设施，并逐步提高园区污水集中处理规模和排放标准。</w:t>
            </w:r>
          </w:p>
          <w:p>
            <w:pPr>
              <w:pStyle w:val="63"/>
              <w:jc w:val="both"/>
            </w:pPr>
            <w:r>
              <w:t>2.4产业园区应根据要求和实际建成污水集中处理设施，并安装自动在线监控装置。</w:t>
            </w:r>
          </w:p>
          <w:p>
            <w:pPr>
              <w:pStyle w:val="63"/>
              <w:jc w:val="both"/>
            </w:pPr>
            <w:r>
              <w:t>2.5禁止工矿企业、工业园区排放废水直接用于农业灌溉。</w:t>
            </w:r>
          </w:p>
        </w:tc>
        <w:tc>
          <w:tcPr>
            <w:tcW w:w="1455" w:type="pct"/>
            <w:vAlign w:val="center"/>
          </w:tcPr>
          <w:p>
            <w:pPr>
              <w:pStyle w:val="63"/>
              <w:jc w:val="both"/>
            </w:pPr>
            <w:r>
              <w:t>1、园区企业生产废水禁止违法违规不经处直接排放，园区废水依托各片区污水处理厂集中处理达标排放，已投产的污水处理厂已安装在线监测设施，本次扩区园区同步规划有建设污水、固体废物集中处理等污染治理设施。</w:t>
            </w:r>
          </w:p>
        </w:tc>
        <w:tc>
          <w:tcPr>
            <w:tcW w:w="307" w:type="pct"/>
            <w:vAlign w:val="center"/>
          </w:tcPr>
          <w:p>
            <w:pPr>
              <w:pStyle w:val="63"/>
            </w:pPr>
            <w: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8" w:type="pct"/>
            <w:vMerge w:val="continue"/>
            <w:vAlign w:val="center"/>
          </w:tcPr>
          <w:p>
            <w:pPr>
              <w:pStyle w:val="63"/>
            </w:pPr>
          </w:p>
        </w:tc>
        <w:tc>
          <w:tcPr>
            <w:tcW w:w="455" w:type="pct"/>
            <w:vAlign w:val="center"/>
          </w:tcPr>
          <w:p>
            <w:pPr>
              <w:pStyle w:val="63"/>
              <w:rPr>
                <w:lang w:eastAsia="en-US"/>
              </w:rPr>
            </w:pPr>
            <w:r>
              <w:rPr>
                <w:lang w:eastAsia="en-US"/>
              </w:rPr>
              <w:t>环境风险</w:t>
            </w:r>
          </w:p>
          <w:p>
            <w:pPr>
              <w:pStyle w:val="63"/>
            </w:pPr>
            <w:r>
              <w:t>防控</w:t>
            </w:r>
          </w:p>
        </w:tc>
        <w:tc>
          <w:tcPr>
            <w:tcW w:w="2485" w:type="pct"/>
            <w:vAlign w:val="center"/>
          </w:tcPr>
          <w:p>
            <w:pPr>
              <w:pStyle w:val="63"/>
              <w:jc w:val="both"/>
            </w:pPr>
            <w:r>
              <w:t>3.重点监管工业园区建设用地土壤中铅、镉、砷、汞等重金属和多环芳烃、石油烃、卤代烃等有机污染物。</w:t>
            </w:r>
          </w:p>
        </w:tc>
        <w:tc>
          <w:tcPr>
            <w:tcW w:w="1455" w:type="pct"/>
            <w:vAlign w:val="center"/>
          </w:tcPr>
          <w:p>
            <w:pPr>
              <w:pStyle w:val="63"/>
              <w:jc w:val="both"/>
            </w:pPr>
            <w:r>
              <w:t>对于园区内列入土壤重点排污单位的企业，根据企业的特征污染物排放情况，开展监测工作，重点关注铅、镉、砷、汞等重金属和多环芳烃、石油烃、卤代烃等有机污染物。</w:t>
            </w:r>
          </w:p>
        </w:tc>
        <w:tc>
          <w:tcPr>
            <w:tcW w:w="307" w:type="pct"/>
            <w:vAlign w:val="center"/>
          </w:tcPr>
          <w:p>
            <w:pPr>
              <w:pStyle w:val="63"/>
            </w:pPr>
            <w: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8" w:type="pct"/>
            <w:vMerge w:val="continue"/>
            <w:vAlign w:val="center"/>
          </w:tcPr>
          <w:p>
            <w:pPr>
              <w:pStyle w:val="63"/>
            </w:pPr>
          </w:p>
        </w:tc>
        <w:tc>
          <w:tcPr>
            <w:tcW w:w="455" w:type="pct"/>
            <w:vAlign w:val="center"/>
          </w:tcPr>
          <w:p>
            <w:pPr>
              <w:pStyle w:val="63"/>
            </w:pPr>
            <w:r>
              <w:rPr>
                <w:spacing w:val="-2"/>
              </w:rPr>
              <w:t>资源开</w:t>
            </w:r>
            <w:r>
              <w:t>发</w:t>
            </w:r>
          </w:p>
          <w:p>
            <w:pPr>
              <w:pStyle w:val="63"/>
            </w:pPr>
            <w:r>
              <w:rPr>
                <w:spacing w:val="-2"/>
              </w:rPr>
              <w:t>效率要</w:t>
            </w:r>
            <w:r>
              <w:t>求</w:t>
            </w:r>
          </w:p>
        </w:tc>
        <w:tc>
          <w:tcPr>
            <w:tcW w:w="2485" w:type="pct"/>
            <w:vAlign w:val="center"/>
          </w:tcPr>
          <w:p>
            <w:pPr>
              <w:pStyle w:val="63"/>
              <w:jc w:val="both"/>
            </w:pPr>
            <w:r>
              <w:rPr>
                <w:spacing w:val="-1"/>
              </w:rPr>
              <w:t>4.</w:t>
            </w:r>
            <w:r>
              <w:rPr>
                <w:spacing w:val="-2"/>
              </w:rPr>
              <w:t>深入推进煤炭清洁利用</w:t>
            </w:r>
            <w:r>
              <w:rPr>
                <w:spacing w:val="-42"/>
              </w:rPr>
              <w:t>，</w:t>
            </w:r>
            <w:r>
              <w:rPr>
                <w:spacing w:val="-2"/>
              </w:rPr>
              <w:t>将煤炭更多地用于燃烧效率高且污染治理措施到位的燃煤电厂</w:t>
            </w:r>
            <w:r>
              <w:rPr>
                <w:spacing w:val="-42"/>
              </w:rPr>
              <w:t>，</w:t>
            </w:r>
            <w:r>
              <w:rPr>
                <w:spacing w:val="-2"/>
              </w:rPr>
              <w:t>鼓励电厂对附近园区企业</w:t>
            </w:r>
            <w:r>
              <w:t>实</w:t>
            </w:r>
            <w:r>
              <w:rPr>
                <w:spacing w:val="-2"/>
              </w:rPr>
              <w:t>施集中供</w:t>
            </w:r>
            <w:r>
              <w:t>热。</w:t>
            </w:r>
          </w:p>
        </w:tc>
        <w:tc>
          <w:tcPr>
            <w:tcW w:w="1455" w:type="pct"/>
            <w:vAlign w:val="center"/>
          </w:tcPr>
          <w:p>
            <w:pPr>
              <w:pStyle w:val="63"/>
              <w:jc w:val="both"/>
            </w:pPr>
            <w:r>
              <w:t>园区依托现有电厂供热设施或规划新建集中供热设施，实施区域集中供热。</w:t>
            </w:r>
          </w:p>
        </w:tc>
        <w:tc>
          <w:tcPr>
            <w:tcW w:w="307" w:type="pct"/>
            <w:vAlign w:val="center"/>
          </w:tcPr>
          <w:p>
            <w:pPr>
              <w:pStyle w:val="63"/>
            </w:pPr>
            <w:r>
              <w:t>符合</w:t>
            </w:r>
          </w:p>
        </w:tc>
      </w:tr>
    </w:tbl>
    <w:p>
      <w:pPr>
        <w:spacing w:line="360" w:lineRule="auto"/>
        <w:ind w:firstLine="480" w:firstLineChars="200"/>
        <w:rPr>
          <w:rFonts w:ascii="Times New Roman" w:hAnsi="Times New Roman" w:cs="Times New Roman"/>
        </w:rPr>
        <w:sectPr>
          <w:pgSz w:w="16840" w:h="11907" w:orient="landscape"/>
          <w:pgMar w:top="1418" w:right="1418" w:bottom="1701" w:left="1418" w:header="935" w:footer="1021" w:gutter="0"/>
          <w:paperSrc w:first="7" w:other="7"/>
          <w:cols w:space="720" w:num="1"/>
          <w:docGrid w:linePitch="326" w:charSpace="0"/>
        </w:sectPr>
      </w:pPr>
    </w:p>
    <w:bookmarkEnd w:id="347"/>
    <w:bookmarkEnd w:id="348"/>
    <w:bookmarkEnd w:id="349"/>
    <w:bookmarkEnd w:id="350"/>
    <w:bookmarkEnd w:id="351"/>
    <w:bookmarkEnd w:id="352"/>
    <w:p>
      <w:pPr>
        <w:pStyle w:val="5"/>
        <w:ind w:firstLine="482"/>
      </w:pPr>
      <w:bookmarkStart w:id="353" w:name="_Toc134088485"/>
      <w:bookmarkStart w:id="354" w:name="_Toc49323803"/>
      <w:bookmarkStart w:id="355" w:name="_Toc484434127"/>
      <w:bookmarkStart w:id="356" w:name="_Toc43837850"/>
      <w:bookmarkStart w:id="357" w:name="_Toc82606989"/>
      <w:bookmarkStart w:id="358" w:name="_Toc40253190"/>
      <w:bookmarkStart w:id="359" w:name="_Toc50625307"/>
      <w:bookmarkStart w:id="360" w:name="_Toc38389592"/>
      <w:bookmarkStart w:id="361" w:name="_Toc1552345"/>
      <w:bookmarkStart w:id="362" w:name="_Toc474315763"/>
      <w:bookmarkStart w:id="363" w:name="_Toc38478421"/>
      <w:r>
        <w:rPr>
          <w:rFonts w:hint="eastAsia"/>
        </w:rPr>
        <w:t xml:space="preserve">3.3.3.6 </w:t>
      </w:r>
      <w:r>
        <w:t>与《岳阳市城市规划区山体水体保护规划（2017-2030）》相符性分析</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本次扩区涉及《岳阳市城市规划区山体水体保护规划（2017-2030）》中规划的山体、水体主要见下表。</w:t>
      </w:r>
    </w:p>
    <w:p>
      <w:pPr>
        <w:pStyle w:val="6"/>
      </w:pPr>
      <w:r>
        <w:t>表</w:t>
      </w:r>
      <w:r>
        <w:rPr>
          <w:rFonts w:hint="eastAsia"/>
        </w:rPr>
        <w:t>3.3-9</w:t>
      </w:r>
      <w:r>
        <w:t xml:space="preserve">  园区范围涉及保护山体、水体情况</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1"/>
        <w:gridCol w:w="1537"/>
        <w:gridCol w:w="1075"/>
        <w:gridCol w:w="1216"/>
        <w:gridCol w:w="1244"/>
        <w:gridCol w:w="1518"/>
        <w:gridCol w:w="12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5000" w:type="pct"/>
            <w:gridSpan w:val="7"/>
            <w:vAlign w:val="center"/>
          </w:tcPr>
          <w:p>
            <w:pPr>
              <w:spacing w:line="0" w:lineRule="atLeast"/>
              <w:jc w:val="center"/>
              <w:rPr>
                <w:rFonts w:ascii="Times New Roman" w:hAnsi="Times New Roman" w:eastAsia="宋体" w:cs="Times New Roman"/>
                <w:sz w:val="21"/>
                <w:szCs w:val="24"/>
              </w:rPr>
            </w:pPr>
            <w:r>
              <w:rPr>
                <w:rFonts w:ascii="Times New Roman" w:hAnsi="Times New Roman" w:eastAsia="宋体" w:cs="Times New Roman"/>
                <w:sz w:val="21"/>
                <w:szCs w:val="21"/>
              </w:rPr>
              <w:t>原核准范围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restar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片区</w:t>
            </w:r>
          </w:p>
        </w:tc>
        <w:tc>
          <w:tcPr>
            <w:tcW w:w="2244" w:type="pct"/>
            <w:gridSpan w:val="3"/>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涉及保护山体</w:t>
            </w:r>
          </w:p>
        </w:tc>
        <w:tc>
          <w:tcPr>
            <w:tcW w:w="2339" w:type="pct"/>
            <w:gridSpan w:val="3"/>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涉及保护水体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continue"/>
            <w:vAlign w:val="center"/>
          </w:tcPr>
          <w:p>
            <w:pPr>
              <w:spacing w:line="0" w:lineRule="atLeast"/>
              <w:jc w:val="center"/>
              <w:rPr>
                <w:rFonts w:ascii="Times New Roman" w:hAnsi="Times New Roman" w:eastAsia="宋体" w:cs="Times New Roman"/>
                <w:sz w:val="21"/>
                <w:szCs w:val="21"/>
              </w:rPr>
            </w:pPr>
          </w:p>
        </w:tc>
        <w:tc>
          <w:tcPr>
            <w:tcW w:w="901"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编号、名称</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占用情况</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保护等级</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编号、名称</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占用情况</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保护等级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restar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巴陵片区</w:t>
            </w:r>
          </w:p>
        </w:tc>
        <w:tc>
          <w:tcPr>
            <w:tcW w:w="901" w:type="pct"/>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06</w:t>
            </w:r>
            <w:r>
              <w:rPr>
                <w:rFonts w:hint="eastAsia" w:ascii="Times New Roman" w:hAnsi="Times New Roman" w:eastAsia="宋体" w:cs="Times New Roman"/>
                <w:sz w:val="21"/>
                <w:szCs w:val="21"/>
              </w:rPr>
              <w:t>、</w:t>
            </w:r>
            <w:r>
              <w:rPr>
                <w:rFonts w:ascii="Times New Roman" w:hAnsi="Times New Roman" w:eastAsia="宋体" w:cs="Times New Roman"/>
                <w:sz w:val="21"/>
                <w:szCs w:val="21"/>
              </w:rPr>
              <w:t>凤形山</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占用部分</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二级保护山体</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continue"/>
            <w:vAlign w:val="center"/>
          </w:tcPr>
          <w:p>
            <w:pPr>
              <w:spacing w:line="0" w:lineRule="atLeast"/>
              <w:jc w:val="center"/>
              <w:rPr>
                <w:rFonts w:ascii="Times New Roman" w:hAnsi="Times New Roman" w:eastAsia="宋体" w:cs="Times New Roman"/>
                <w:sz w:val="21"/>
                <w:szCs w:val="21"/>
              </w:rPr>
            </w:pPr>
          </w:p>
        </w:tc>
        <w:tc>
          <w:tcPr>
            <w:tcW w:w="901"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55、黄茅大山（横过岭-赵家街）</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占用部分</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一级保护山体</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continue"/>
            <w:vAlign w:val="center"/>
          </w:tcPr>
          <w:p>
            <w:pPr>
              <w:spacing w:line="0" w:lineRule="atLeast"/>
              <w:jc w:val="center"/>
              <w:rPr>
                <w:rFonts w:ascii="Times New Roman" w:hAnsi="Times New Roman" w:eastAsia="宋体" w:cs="Times New Roman"/>
                <w:sz w:val="21"/>
                <w:szCs w:val="21"/>
              </w:rPr>
            </w:pPr>
          </w:p>
        </w:tc>
        <w:tc>
          <w:tcPr>
            <w:tcW w:w="901" w:type="pct"/>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r>
              <w:rPr>
                <w:rFonts w:ascii="Times New Roman" w:hAnsi="Times New Roman" w:eastAsia="宋体" w:cs="Times New Roman"/>
                <w:sz w:val="21"/>
                <w:szCs w:val="21"/>
              </w:rPr>
              <w:t>6</w:t>
            </w:r>
            <w:r>
              <w:rPr>
                <w:rFonts w:hint="eastAsia" w:ascii="Times New Roman" w:hAnsi="Times New Roman" w:eastAsia="宋体" w:cs="Times New Roman"/>
                <w:sz w:val="21"/>
                <w:szCs w:val="21"/>
              </w:rPr>
              <w:t>、</w:t>
            </w:r>
            <w:r>
              <w:rPr>
                <w:rFonts w:ascii="Times New Roman" w:hAnsi="Times New Roman" w:eastAsia="宋体" w:cs="Times New Roman"/>
                <w:sz w:val="21"/>
                <w:szCs w:val="21"/>
              </w:rPr>
              <w:t>牯牛尖</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占用部分</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一级保护山体</w:t>
            </w:r>
          </w:p>
        </w:tc>
        <w:tc>
          <w:tcPr>
            <w:tcW w:w="729" w:type="pct"/>
            <w:vAlign w:val="center"/>
          </w:tcPr>
          <w:p>
            <w:pPr>
              <w:spacing w:line="0" w:lineRule="atLeast"/>
              <w:jc w:val="center"/>
              <w:rPr>
                <w:rFonts w:ascii="Times New Roman" w:hAnsi="Times New Roman" w:eastAsia="宋体" w:cs="Times New Roman"/>
                <w:sz w:val="21"/>
                <w:szCs w:val="21"/>
              </w:rPr>
            </w:pPr>
          </w:p>
        </w:tc>
        <w:tc>
          <w:tcPr>
            <w:tcW w:w="890" w:type="pct"/>
            <w:vAlign w:val="center"/>
          </w:tcPr>
          <w:p>
            <w:pPr>
              <w:spacing w:line="0" w:lineRule="atLeast"/>
              <w:jc w:val="center"/>
              <w:rPr>
                <w:rFonts w:ascii="Times New Roman" w:hAnsi="Times New Roman" w:eastAsia="宋体" w:cs="Times New Roman"/>
                <w:sz w:val="21"/>
                <w:szCs w:val="21"/>
              </w:rPr>
            </w:pPr>
          </w:p>
        </w:tc>
        <w:tc>
          <w:tcPr>
            <w:tcW w:w="720" w:type="pct"/>
            <w:vAlign w:val="center"/>
          </w:tcPr>
          <w:p>
            <w:pPr>
              <w:spacing w:line="0" w:lineRule="atLeast"/>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continue"/>
            <w:vAlign w:val="center"/>
          </w:tcPr>
          <w:p>
            <w:pPr>
              <w:spacing w:line="0" w:lineRule="atLeast"/>
              <w:jc w:val="center"/>
              <w:rPr>
                <w:rFonts w:ascii="Times New Roman" w:hAnsi="Times New Roman" w:eastAsia="宋体" w:cs="Times New Roman"/>
                <w:sz w:val="21"/>
                <w:szCs w:val="21"/>
              </w:rPr>
            </w:pPr>
          </w:p>
        </w:tc>
        <w:tc>
          <w:tcPr>
            <w:tcW w:w="901"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99、枫树坡-五方坡-夏塘坡</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占用部分</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二级保护山体</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5000" w:type="pct"/>
            <w:gridSpan w:val="7"/>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4"/>
              </w:rPr>
              <w:t>本次扩区范围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restar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片区</w:t>
            </w:r>
          </w:p>
        </w:tc>
        <w:tc>
          <w:tcPr>
            <w:tcW w:w="2244" w:type="pct"/>
            <w:gridSpan w:val="3"/>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涉及保护山体</w:t>
            </w:r>
          </w:p>
        </w:tc>
        <w:tc>
          <w:tcPr>
            <w:tcW w:w="2339" w:type="pct"/>
            <w:gridSpan w:val="3"/>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涉及保护水体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Merge w:val="continue"/>
            <w:vAlign w:val="center"/>
          </w:tcPr>
          <w:p>
            <w:pPr>
              <w:spacing w:line="0" w:lineRule="atLeast"/>
              <w:jc w:val="center"/>
              <w:rPr>
                <w:rFonts w:ascii="Times New Roman" w:hAnsi="Times New Roman" w:eastAsia="宋体" w:cs="Times New Roman"/>
                <w:sz w:val="21"/>
                <w:szCs w:val="21"/>
              </w:rPr>
            </w:pPr>
          </w:p>
        </w:tc>
        <w:tc>
          <w:tcPr>
            <w:tcW w:w="901"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编号、名称</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占用情况</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保护等级</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编号、名称</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占用情况</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保护等级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云溪片区</w:t>
            </w:r>
          </w:p>
        </w:tc>
        <w:tc>
          <w:tcPr>
            <w:tcW w:w="901"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4、松杨湖</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占用部分湖汊（梅花湾）</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一级保护水体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7"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长岭片区</w:t>
            </w:r>
          </w:p>
        </w:tc>
        <w:tc>
          <w:tcPr>
            <w:tcW w:w="901" w:type="pct"/>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33</w:t>
            </w:r>
            <w:r>
              <w:rPr>
                <w:rFonts w:hint="eastAsia" w:ascii="Times New Roman" w:hAnsi="Times New Roman" w:eastAsia="宋体" w:cs="Times New Roman"/>
                <w:sz w:val="21"/>
                <w:szCs w:val="21"/>
              </w:rPr>
              <w:t>、</w:t>
            </w:r>
            <w:r>
              <w:rPr>
                <w:rFonts w:ascii="Times New Roman" w:hAnsi="Times New Roman" w:eastAsia="宋体" w:cs="Times New Roman"/>
                <w:sz w:val="21"/>
                <w:szCs w:val="21"/>
              </w:rPr>
              <w:t>荆竹大山</w:t>
            </w:r>
          </w:p>
        </w:tc>
        <w:tc>
          <w:tcPr>
            <w:tcW w:w="63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占用部分</w:t>
            </w:r>
          </w:p>
        </w:tc>
        <w:tc>
          <w:tcPr>
            <w:tcW w:w="713"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一级保护山体</w:t>
            </w:r>
          </w:p>
        </w:tc>
        <w:tc>
          <w:tcPr>
            <w:tcW w:w="729"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89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720" w:type="pct"/>
            <w:vAlign w:val="center"/>
          </w:tcPr>
          <w:p>
            <w:pPr>
              <w:spacing w:line="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bl>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依据《岳阳市城市规划区山体水体保护规划（2017-2030）》对一、二级保护水体及一、二级保护山体要求，与本次扩区项目相符性分析如下。</w:t>
      </w:r>
    </w:p>
    <w:p>
      <w:pPr>
        <w:pStyle w:val="6"/>
      </w:pPr>
      <w:r>
        <w:t>表</w:t>
      </w:r>
      <w:r>
        <w:rPr>
          <w:rFonts w:hint="eastAsia"/>
        </w:rPr>
        <w:t xml:space="preserve">3.3-10 </w:t>
      </w:r>
      <w:r>
        <w:t xml:space="preserve"> 与山体、水体规划保护要求相符性分析</w:t>
      </w:r>
    </w:p>
    <w:tbl>
      <w:tblPr>
        <w:tblStyle w:val="36"/>
        <w:tblW w:w="474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1"/>
        <w:gridCol w:w="846"/>
        <w:gridCol w:w="4531"/>
        <w:gridCol w:w="21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6" w:type="pct"/>
            <w:vAlign w:val="center"/>
          </w:tcPr>
          <w:p>
            <w:pPr>
              <w:pStyle w:val="63"/>
            </w:pPr>
            <w:r>
              <w:t>规划</w:t>
            </w:r>
          </w:p>
          <w:p>
            <w:pPr>
              <w:pStyle w:val="63"/>
            </w:pPr>
            <w:r>
              <w:t>内容</w:t>
            </w:r>
          </w:p>
        </w:tc>
        <w:tc>
          <w:tcPr>
            <w:tcW w:w="342" w:type="pct"/>
            <w:vAlign w:val="center"/>
          </w:tcPr>
          <w:p>
            <w:pPr>
              <w:pStyle w:val="63"/>
            </w:pPr>
            <w:r>
              <w:t>保护</w:t>
            </w:r>
          </w:p>
          <w:p>
            <w:pPr>
              <w:pStyle w:val="63"/>
            </w:pPr>
            <w:r>
              <w:t>名称</w:t>
            </w:r>
          </w:p>
        </w:tc>
        <w:tc>
          <w:tcPr>
            <w:tcW w:w="2860" w:type="pct"/>
            <w:vAlign w:val="center"/>
          </w:tcPr>
          <w:p>
            <w:pPr>
              <w:pStyle w:val="63"/>
            </w:pPr>
            <w:r>
              <w:t>规划保护要求</w:t>
            </w:r>
          </w:p>
        </w:tc>
        <w:tc>
          <w:tcPr>
            <w:tcW w:w="1372" w:type="pct"/>
            <w:vAlign w:val="center"/>
          </w:tcPr>
          <w:p>
            <w:pPr>
              <w:pStyle w:val="63"/>
            </w:pPr>
            <w:r>
              <w:rPr>
                <w:rFonts w:hint="eastAsia"/>
              </w:rPr>
              <w:t>临湘高新技术产业开发区规划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26" w:type="pct"/>
            <w:vAlign w:val="center"/>
          </w:tcPr>
          <w:p>
            <w:pPr>
              <w:pStyle w:val="63"/>
            </w:pPr>
            <w:r>
              <w:t>一级保护水体</w:t>
            </w:r>
          </w:p>
        </w:tc>
        <w:tc>
          <w:tcPr>
            <w:tcW w:w="342" w:type="pct"/>
            <w:vAlign w:val="center"/>
          </w:tcPr>
          <w:p>
            <w:pPr>
              <w:pStyle w:val="63"/>
            </w:pPr>
            <w:r>
              <w:t>鲁家湖、松杨湖梅花湾等</w:t>
            </w:r>
          </w:p>
        </w:tc>
        <w:tc>
          <w:tcPr>
            <w:tcW w:w="2860" w:type="pct"/>
            <w:vAlign w:val="center"/>
          </w:tcPr>
          <w:p>
            <w:pPr>
              <w:pStyle w:val="63"/>
            </w:pPr>
            <w:r>
              <w:t>1）禁止进行任何破坏水体生态环境、影响水质的开发与利用活动，如投肥、投饵养殖；倾倒垃圾、工业废渣等废弃物；排放未经处理或者处理未达标的废水和油类、酸液、碱液等有毒有害液体；丢弃动物尸体，排放未经处理的畜禽养殖废弃物以及围填、采砂、挖泥等行为。</w:t>
            </w:r>
          </w:p>
          <w:p>
            <w:pPr>
              <w:pStyle w:val="63"/>
            </w:pPr>
            <w:r>
              <w:t>2）应维持河湖的合理流量和湖泊、水库以及地下水的合理水位，维护水体的自然净化能力。</w:t>
            </w:r>
          </w:p>
          <w:p>
            <w:pPr>
              <w:pStyle w:val="63"/>
            </w:pPr>
            <w:r>
              <w:t>3）禁止在饮用水水源保护区内设置排污口。</w:t>
            </w:r>
          </w:p>
          <w:p>
            <w:pPr>
              <w:pStyle w:val="63"/>
            </w:pPr>
            <w:r>
              <w:t>4）禁止在河湖、水库、渠道内弃置、堆放阻碍行洪的物体和种植阻碍行洪的林木及高秆作物。</w:t>
            </w:r>
          </w:p>
          <w:p>
            <w:pPr>
              <w:pStyle w:val="63"/>
            </w:pPr>
            <w:r>
              <w:t>5）禁止在水体蓝线范围内建设妨碍行洪的建筑物、构筑物以及从事影响河势稳定、危害河岸堤防安全和其他妨碍河道行洪的活动。</w:t>
            </w:r>
          </w:p>
          <w:p>
            <w:pPr>
              <w:pStyle w:val="63"/>
            </w:pPr>
            <w:r>
              <w:t>6）在水利工程保护范围内，禁止从事影响水利工程运行和危害水利工程安全的爆破、打井、采石、取土等活动。</w:t>
            </w:r>
          </w:p>
          <w:p>
            <w:pPr>
              <w:pStyle w:val="63"/>
            </w:pPr>
            <w:r>
              <w:t>7）在水体保护范围内建设桥梁、码头和其他拦水、跨水、临水建筑物、构筑物，铺设跨水管道、电缆，应当符合国家规定的防洪标准和其他有关的技术要求，工程建设方案应当依照防洪法的有关规定报经相关水行政主管部门审查同意。因建设前款工程设施，需要扩建、改建、拆除或者损害原有水利工程设施的，建设范围应当负责扩建、改建的费用和损失补偿。但是，原有工程设施属于违法工程的除外。</w:t>
            </w:r>
          </w:p>
        </w:tc>
        <w:tc>
          <w:tcPr>
            <w:tcW w:w="1372" w:type="pct"/>
            <w:vAlign w:val="center"/>
          </w:tcPr>
          <w:p>
            <w:pPr>
              <w:pStyle w:val="63"/>
              <w:rPr>
                <w:szCs w:val="21"/>
              </w:rPr>
            </w:pPr>
            <w:r>
              <w:rPr>
                <w:szCs w:val="21"/>
              </w:rPr>
              <w:t>1、本次云溪片区扩区部分占用鲁家湖的部分湖汊，鲁家湖位于云溪片区扩区边界处，环评建议园区扩区范围将占用鲁家湖的用地调整出园区范围。</w:t>
            </w:r>
          </w:p>
          <w:p>
            <w:pPr>
              <w:pStyle w:val="63"/>
              <w:rPr>
                <w:szCs w:val="21"/>
              </w:rPr>
            </w:pPr>
            <w:r>
              <w:rPr>
                <w:szCs w:val="21"/>
              </w:rPr>
              <w:t>2、云溪片区规划范围占用一级保护水体松杨湖的部分湖汊，已纳入2021年省发改委核准批复用地范围，作为己内酰胺项目用地已取得了自然资源部用地批复。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26" w:type="pct"/>
            <w:vAlign w:val="center"/>
          </w:tcPr>
          <w:p>
            <w:pPr>
              <w:pStyle w:val="63"/>
            </w:pPr>
            <w:r>
              <w:t>二级保护水体</w:t>
            </w:r>
          </w:p>
        </w:tc>
        <w:tc>
          <w:tcPr>
            <w:tcW w:w="342" w:type="pct"/>
            <w:vAlign w:val="center"/>
          </w:tcPr>
          <w:p>
            <w:pPr>
              <w:pStyle w:val="63"/>
            </w:pPr>
            <w:r>
              <w:t>潘口水库、白家冲水库、白竹水库、平坳水库、荣锦河等</w:t>
            </w:r>
          </w:p>
        </w:tc>
        <w:tc>
          <w:tcPr>
            <w:tcW w:w="2860" w:type="pct"/>
            <w:vAlign w:val="center"/>
          </w:tcPr>
          <w:p>
            <w:pPr>
              <w:pStyle w:val="63"/>
              <w:rPr>
                <w:kern w:val="0"/>
                <w:szCs w:val="21"/>
              </w:rPr>
            </w:pPr>
            <w:bookmarkStart w:id="364" w:name="_Toc79740196"/>
            <w:bookmarkStart w:id="365" w:name="_Toc79677133"/>
            <w:bookmarkStart w:id="366" w:name="_Toc79743621"/>
            <w:bookmarkStart w:id="367" w:name="_Toc79665072"/>
            <w:bookmarkStart w:id="368" w:name="_Toc5719"/>
            <w:bookmarkStart w:id="369" w:name="_Toc84582726"/>
            <w:r>
              <w:rPr>
                <w:kern w:val="0"/>
                <w:szCs w:val="21"/>
              </w:rPr>
              <w:t>1）禁止在水体蓝线范围内建设妨碍行洪的建筑物、构筑物以及从事影响河势稳定、危害堤防安全和其他妨碍行洪的活动。</w:t>
            </w:r>
            <w:bookmarkEnd w:id="364"/>
            <w:bookmarkEnd w:id="365"/>
            <w:bookmarkEnd w:id="366"/>
            <w:bookmarkEnd w:id="367"/>
            <w:bookmarkEnd w:id="368"/>
            <w:bookmarkEnd w:id="369"/>
          </w:p>
          <w:p>
            <w:pPr>
              <w:pStyle w:val="63"/>
              <w:rPr>
                <w:kern w:val="0"/>
                <w:szCs w:val="21"/>
              </w:rPr>
            </w:pPr>
            <w:bookmarkStart w:id="370" w:name="_Toc79665073"/>
            <w:bookmarkStart w:id="371" w:name="_Toc84582727"/>
            <w:bookmarkStart w:id="372" w:name="_Toc79664776"/>
            <w:bookmarkStart w:id="373" w:name="_Toc79743622"/>
            <w:bookmarkStart w:id="374" w:name="_Toc79740197"/>
            <w:bookmarkStart w:id="375" w:name="_Toc19619"/>
            <w:bookmarkStart w:id="376" w:name="_Toc79677134"/>
            <w:r>
              <w:rPr>
                <w:kern w:val="0"/>
                <w:szCs w:val="21"/>
              </w:rPr>
              <w:t>2）禁止在水体蓝线范围内弃置、堆放阻碍行洪的物体和种植阻碍行洪的林木及高秆作物。</w:t>
            </w:r>
            <w:bookmarkEnd w:id="370"/>
            <w:bookmarkEnd w:id="371"/>
            <w:bookmarkEnd w:id="372"/>
            <w:bookmarkEnd w:id="373"/>
            <w:bookmarkEnd w:id="374"/>
            <w:bookmarkEnd w:id="375"/>
            <w:bookmarkEnd w:id="376"/>
          </w:p>
          <w:p>
            <w:pPr>
              <w:pStyle w:val="63"/>
              <w:rPr>
                <w:kern w:val="0"/>
                <w:szCs w:val="21"/>
              </w:rPr>
            </w:pPr>
            <w:bookmarkStart w:id="377" w:name="_Toc79743623"/>
            <w:bookmarkStart w:id="378" w:name="_Toc79677135"/>
            <w:bookmarkStart w:id="379" w:name="_Toc79665074"/>
            <w:bookmarkStart w:id="380" w:name="_Toc30087"/>
            <w:bookmarkStart w:id="381" w:name="_Toc84582728"/>
            <w:bookmarkStart w:id="382" w:name="_Toc79664777"/>
            <w:bookmarkStart w:id="383" w:name="_Toc79740198"/>
            <w:r>
              <w:rPr>
                <w:kern w:val="0"/>
                <w:szCs w:val="21"/>
              </w:rPr>
              <w:t>3）在水利工程保护范围内，禁止从事影响水利工程运行和危害水利工程安全的爆破、打井、采石、取土等活动。</w:t>
            </w:r>
            <w:bookmarkEnd w:id="377"/>
            <w:bookmarkEnd w:id="378"/>
            <w:bookmarkEnd w:id="379"/>
            <w:bookmarkEnd w:id="380"/>
            <w:bookmarkEnd w:id="381"/>
            <w:bookmarkEnd w:id="382"/>
            <w:bookmarkEnd w:id="383"/>
          </w:p>
          <w:p>
            <w:pPr>
              <w:pStyle w:val="63"/>
              <w:rPr>
                <w:kern w:val="0"/>
                <w:szCs w:val="21"/>
              </w:rPr>
            </w:pPr>
            <w:bookmarkStart w:id="384" w:name="_Toc79665075"/>
            <w:bookmarkStart w:id="385" w:name="_Toc79664778"/>
            <w:bookmarkStart w:id="386" w:name="_Toc84582729"/>
            <w:bookmarkStart w:id="387" w:name="_Toc79740199"/>
            <w:bookmarkStart w:id="388" w:name="_Toc21555"/>
            <w:bookmarkStart w:id="389" w:name="_Toc79743624"/>
            <w:bookmarkStart w:id="390" w:name="_Toc79677136"/>
            <w:r>
              <w:rPr>
                <w:kern w:val="0"/>
                <w:szCs w:val="21"/>
              </w:rPr>
              <w:t>4）可在保证水体功能和水质的情况下进行有条件的开发和利用。</w:t>
            </w:r>
            <w:bookmarkEnd w:id="384"/>
            <w:bookmarkEnd w:id="385"/>
            <w:bookmarkEnd w:id="386"/>
            <w:bookmarkEnd w:id="387"/>
            <w:bookmarkEnd w:id="388"/>
            <w:bookmarkEnd w:id="389"/>
            <w:bookmarkEnd w:id="390"/>
          </w:p>
          <w:p>
            <w:pPr>
              <w:pStyle w:val="63"/>
              <w:rPr>
                <w:kern w:val="0"/>
                <w:szCs w:val="21"/>
              </w:rPr>
            </w:pPr>
            <w:bookmarkStart w:id="391" w:name="_Toc79740200"/>
            <w:bookmarkStart w:id="392" w:name="_Toc79665076"/>
            <w:bookmarkStart w:id="393" w:name="_Toc13843"/>
            <w:bookmarkStart w:id="394" w:name="_Toc79743625"/>
            <w:bookmarkStart w:id="395" w:name="_Toc84582730"/>
            <w:bookmarkStart w:id="396" w:name="_Toc79677137"/>
            <w:bookmarkStart w:id="397" w:name="_Toc79664779"/>
            <w:r>
              <w:rPr>
                <w:kern w:val="0"/>
                <w:szCs w:val="21"/>
              </w:rPr>
              <w:t>5）开发利用时，应当行利与除害相结合，兼顾上下游、左右岸和有关地区之间的利益，充分发挥水资源的综合效益，并服从防洪的总体安排。</w:t>
            </w:r>
            <w:bookmarkEnd w:id="391"/>
            <w:bookmarkEnd w:id="392"/>
            <w:bookmarkEnd w:id="393"/>
            <w:bookmarkEnd w:id="394"/>
            <w:bookmarkEnd w:id="395"/>
            <w:bookmarkEnd w:id="396"/>
            <w:bookmarkEnd w:id="397"/>
          </w:p>
          <w:p>
            <w:pPr>
              <w:pStyle w:val="63"/>
              <w:rPr>
                <w:kern w:val="0"/>
                <w:szCs w:val="20"/>
              </w:rPr>
            </w:pPr>
            <w:bookmarkStart w:id="398" w:name="_Toc84582731"/>
            <w:bookmarkStart w:id="399" w:name="_Toc14587"/>
            <w:bookmarkStart w:id="400" w:name="_Toc79665077"/>
            <w:bookmarkStart w:id="401" w:name="_Toc79743626"/>
            <w:bookmarkStart w:id="402" w:name="_Toc79677138"/>
            <w:bookmarkStart w:id="403" w:name="_Toc79740201"/>
            <w:bookmarkStart w:id="404" w:name="_Toc79664780"/>
            <w:r>
              <w:rPr>
                <w:kern w:val="0"/>
                <w:szCs w:val="21"/>
              </w:rPr>
              <w:t>6）开发利用时，应当首先满足城乡居民生活用水，并兼顾农业、工业、生态环境用水等需要。</w:t>
            </w:r>
            <w:bookmarkEnd w:id="398"/>
            <w:bookmarkEnd w:id="399"/>
            <w:bookmarkEnd w:id="400"/>
            <w:bookmarkEnd w:id="401"/>
            <w:bookmarkEnd w:id="402"/>
            <w:bookmarkEnd w:id="403"/>
            <w:bookmarkEnd w:id="404"/>
          </w:p>
          <w:p>
            <w:pPr>
              <w:pStyle w:val="63"/>
            </w:pPr>
          </w:p>
        </w:tc>
        <w:tc>
          <w:tcPr>
            <w:tcW w:w="1372" w:type="pct"/>
            <w:vAlign w:val="center"/>
          </w:tcPr>
          <w:p>
            <w:pPr>
              <w:pStyle w:val="63"/>
              <w:rPr>
                <w:szCs w:val="21"/>
              </w:rPr>
            </w:pPr>
            <w:r>
              <w:rPr>
                <w:szCs w:val="21"/>
              </w:rPr>
              <w:t>1、云溪片区扩区内涉及荣锦河、潘口水库等二级保护水体，长岭片区扩区内涉及白竹水库、平坳水库、陈家港等二级保护水体，后续规划确需占用水面或者改变水面形状的建设活动，实行严格控制、保护生态、分类管理、占补平衡的原则，经水行政主管部门和城乡规划主管部门同意后方可进行，并需做到水体占补平衡，且必须先补后占，做到水体面积、容积和功能的占补平衡。根据城市规划和城市建设的实际需要，需要改变河湖形态的，经专门论证后，在不减少河湖水体面积、容积、功能等的前提下，可根据实际情况做适当调整。</w:t>
            </w:r>
          </w:p>
          <w:p>
            <w:pPr>
              <w:pStyle w:val="63"/>
              <w:rPr>
                <w:szCs w:val="21"/>
              </w:rPr>
            </w:pPr>
            <w:r>
              <w:rPr>
                <w:szCs w:val="21"/>
              </w:rPr>
              <w:t>2、长岭片区扩区边界处占用白家冲水库部分库区，环评建议园区扩区规划将白家冲水库调出。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26" w:type="pct"/>
            <w:vAlign w:val="center"/>
          </w:tcPr>
          <w:p>
            <w:pPr>
              <w:pStyle w:val="63"/>
            </w:pPr>
            <w:r>
              <w:t>一级保护山体</w:t>
            </w:r>
          </w:p>
        </w:tc>
        <w:tc>
          <w:tcPr>
            <w:tcW w:w="342" w:type="pct"/>
            <w:vAlign w:val="center"/>
          </w:tcPr>
          <w:p>
            <w:pPr>
              <w:pStyle w:val="63"/>
            </w:pPr>
            <w:r>
              <w:t>幼希山、黄茅大山（横过岭-赵家街）等</w:t>
            </w:r>
          </w:p>
        </w:tc>
        <w:tc>
          <w:tcPr>
            <w:tcW w:w="2860" w:type="pct"/>
            <w:vAlign w:val="center"/>
          </w:tcPr>
          <w:p>
            <w:pPr>
              <w:pStyle w:val="63"/>
              <w:rPr>
                <w:bCs/>
              </w:rPr>
            </w:pPr>
            <w:r>
              <w:rPr>
                <w:bCs/>
              </w:rPr>
              <w:t>1）禁止进行影响山体地质地貌、自然景观和人文景观等的开发与利用，如倾倒或者堆放垃圾、工业废渣等废弃物；修建储存爆炸性、易燃性、放射性、毒害性、腐蚀性物品的设施；挖山、开矿、采石、采砂、毁林开垦；新建、改建、扩建墓地等。</w:t>
            </w:r>
          </w:p>
          <w:p>
            <w:pPr>
              <w:pStyle w:val="63"/>
              <w:rPr>
                <w:bCs/>
              </w:rPr>
            </w:pPr>
            <w:r>
              <w:rPr>
                <w:bCs/>
              </w:rPr>
              <w:t>2）禁止擅自新建、改建、扩建建筑物、构筑物和设施。</w:t>
            </w:r>
          </w:p>
          <w:p>
            <w:pPr>
              <w:pStyle w:val="63"/>
              <w:rPr>
                <w:bCs/>
              </w:rPr>
            </w:pPr>
            <w:r>
              <w:rPr>
                <w:bCs/>
              </w:rPr>
              <w:t>3）禁止采伐、移植、毁坏林木，非法采伐、移植、毁坏林木，采挖重点保护野生植物，非法狩猎。因保护、管理、科研及其他特殊情况，需要进行相关开发活动的，应当经林业主管部门批准后实施。</w:t>
            </w:r>
          </w:p>
          <w:p>
            <w:pPr>
              <w:pStyle w:val="63"/>
              <w:rPr>
                <w:bCs/>
              </w:rPr>
            </w:pPr>
            <w:r>
              <w:rPr>
                <w:bCs/>
              </w:rPr>
              <w:t>4）封山育林，促进生态系统的自我修复；对适宜树木生长的灌草地和未利用地，应因地制宜，采取人工造林或封山育林等措施增加山体植被，提升生态功能。</w:t>
            </w:r>
          </w:p>
          <w:p>
            <w:pPr>
              <w:pStyle w:val="63"/>
              <w:rPr>
                <w:bCs/>
              </w:rPr>
            </w:pPr>
            <w:r>
              <w:rPr>
                <w:bCs/>
              </w:rPr>
              <w:t>5）禁止在森林防火区内野外用火。</w:t>
            </w:r>
          </w:p>
          <w:p>
            <w:pPr>
              <w:pStyle w:val="63"/>
              <w:rPr>
                <w:bCs/>
              </w:rPr>
            </w:pPr>
            <w:r>
              <w:rPr>
                <w:bCs/>
              </w:rPr>
              <w:t>6）对山体林地进行抚育和更新性质采伐，应当严格执行《森林采伐作业规程》（LY/T1646-2005）和《生态公益林建设技术规程》（GB/T18337.3-2001）的相关标准，采取有利于生物多样性保护、有利于形成异龄、复层、混交森林群落的作业方式。</w:t>
            </w:r>
          </w:p>
          <w:p>
            <w:pPr>
              <w:pStyle w:val="63"/>
              <w:rPr>
                <w:bCs/>
              </w:rPr>
            </w:pPr>
            <w:r>
              <w:rPr>
                <w:bCs/>
              </w:rPr>
              <w:t>7）严禁其他破坏山体生态、景观的行为。</w:t>
            </w:r>
          </w:p>
          <w:p>
            <w:pPr>
              <w:pStyle w:val="63"/>
            </w:pPr>
            <w:r>
              <w:rPr>
                <w:bCs/>
              </w:rPr>
              <w:t>8）该类山体需要进行整治、造林、培育等项目时，需要从严论证、从严把关，减少人类活动对自然环境的干扰。</w:t>
            </w:r>
          </w:p>
        </w:tc>
        <w:tc>
          <w:tcPr>
            <w:tcW w:w="1372" w:type="pct"/>
            <w:vAlign w:val="center"/>
          </w:tcPr>
          <w:p>
            <w:pPr>
              <w:pStyle w:val="63"/>
              <w:rPr>
                <w:szCs w:val="21"/>
              </w:rPr>
            </w:pPr>
            <w:r>
              <w:rPr>
                <w:szCs w:val="21"/>
              </w:rPr>
              <w:t>1、园区占用的一级保护山体幼希山、黄茅大山（横过岭-赵家街）属于巴陵和长炼的现有用地红线范围内，环评建议岳阳市城市规划区山体水体保护规划进行调整，将巴陵和长炼厂区现有用地红线范围内的一级保护山体调出山体水体保护规划范围内，在山体水体保护规划调整前巴陵和长炼厂区占用的一级保护山体禁止开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26" w:type="pct"/>
            <w:vAlign w:val="center"/>
          </w:tcPr>
          <w:p>
            <w:pPr>
              <w:pStyle w:val="63"/>
            </w:pPr>
            <w:r>
              <w:t>二级保护山体</w:t>
            </w:r>
          </w:p>
        </w:tc>
        <w:tc>
          <w:tcPr>
            <w:tcW w:w="342" w:type="pct"/>
            <w:vAlign w:val="center"/>
          </w:tcPr>
          <w:p>
            <w:pPr>
              <w:pStyle w:val="63"/>
            </w:pPr>
            <w:r>
              <w:t>笔架山、青山、高家坡、伏牛山、冷水坡、狮子山、牛鸡山（鱼子山）、坳上、荆竹大山等</w:t>
            </w:r>
          </w:p>
        </w:tc>
        <w:tc>
          <w:tcPr>
            <w:tcW w:w="2860" w:type="pct"/>
            <w:vAlign w:val="center"/>
          </w:tcPr>
          <w:p>
            <w:pPr>
              <w:pStyle w:val="63"/>
            </w:pPr>
            <w:r>
              <w:t>1）不得进行破坏山体整体功能的开发与利用。</w:t>
            </w:r>
          </w:p>
          <w:p>
            <w:pPr>
              <w:pStyle w:val="63"/>
            </w:pPr>
            <w:r>
              <w:t>2）禁止修建储存爆炸性、易燃性、放射性、毒害性、腐蚀性物品的设施；禁止在森林防火区内野外用火；禁止挖山、开矿、采石、采砂、毁林开垦。</w:t>
            </w:r>
          </w:p>
          <w:p>
            <w:pPr>
              <w:pStyle w:val="63"/>
            </w:pPr>
            <w:r>
              <w:t>3）未经相关行政主管部门同意，不得在二级保护山体范围内倾倒或者堆放垃圾、工业废渣等废弃物；不得采伐、移植、毁坏林木，采挖重点保护野生植物，非法狩猎；不得擅自新建、改建、扩建建筑物、构筑物和设施；不得新建、改建、扩建墓地以及进行其他破坏山体生态、景观的行为。</w:t>
            </w:r>
          </w:p>
          <w:p>
            <w:pPr>
              <w:pStyle w:val="63"/>
            </w:pPr>
            <w:r>
              <w:t>4）该类山体可适度发展经济林、果园、作物种植等，是岳阳市开展生态整治与调整利用结构的重点区域。</w:t>
            </w:r>
          </w:p>
          <w:p>
            <w:pPr>
              <w:pStyle w:val="63"/>
            </w:pPr>
            <w:r>
              <w:t>5）该类山体可进行有序开发，适度发展旅游观光业。</w:t>
            </w:r>
          </w:p>
          <w:p>
            <w:pPr>
              <w:pStyle w:val="63"/>
            </w:pPr>
            <w:r>
              <w:t>6）严格限制建设用地占用山体，根据山体土地的适宜性合理选择配置利用类型，调整现有的农业利用结构，如发展生态果园、绿色农业等，以控制环境为主导原则，鼓励退耕还林，原则上不利用该类山体新开辟耕地。</w:t>
            </w:r>
          </w:p>
          <w:p>
            <w:pPr>
              <w:pStyle w:val="63"/>
            </w:pPr>
            <w:r>
              <w:t>7）积极开展封山育林和植树造林，改善山体生态环境。</w:t>
            </w:r>
          </w:p>
          <w:p>
            <w:pPr>
              <w:pStyle w:val="63"/>
            </w:pPr>
            <w:r>
              <w:t>8）需占用该类山体的建设活动，应进行科学论证，经相关主管部门同意后方可进行。</w:t>
            </w:r>
          </w:p>
        </w:tc>
        <w:tc>
          <w:tcPr>
            <w:tcW w:w="1372" w:type="pct"/>
            <w:vAlign w:val="center"/>
          </w:tcPr>
          <w:p>
            <w:pPr>
              <w:pStyle w:val="63"/>
              <w:rPr>
                <w:szCs w:val="21"/>
              </w:rPr>
            </w:pPr>
            <w:r>
              <w:rPr>
                <w:szCs w:val="21"/>
              </w:rPr>
              <w:t>1、云溪片区扩区范围占用笔架山、青山、高家坡、伏牛山、冷水坡、狮子山、牛鸡山（鱼子山）、坳上等二级保护山体；长岭片区扩区范围占用二级保护山体荆竹大山，依据保护规划要求的第8条可知，在进行科学论证，并经相关主管部门同意后方可进行建设。</w:t>
            </w:r>
          </w:p>
        </w:tc>
      </w:tr>
    </w:tbl>
    <w:p>
      <w:pPr>
        <w:pStyle w:val="4"/>
        <w:rPr>
          <w:rFonts w:ascii="Times New Roman" w:hAnsi="Times New Roman" w:cs="Times New Roman"/>
        </w:rPr>
      </w:pPr>
      <w:bookmarkStart w:id="405" w:name="_Toc146091917"/>
      <w:r>
        <w:rPr>
          <w:rFonts w:ascii="Times New Roman" w:hAnsi="Times New Roman" w:cs="Times New Roman"/>
        </w:rPr>
        <w:t>3.3.4</w:t>
      </w:r>
      <w:r>
        <w:rPr>
          <w:rFonts w:hint="eastAsia" w:ascii="Times New Roman" w:hAnsi="Times New Roman" w:cs="Times New Roman"/>
        </w:rPr>
        <w:t xml:space="preserve"> 与国民经济发展规划的相符性分析</w:t>
      </w:r>
      <w:bookmarkEnd w:id="405"/>
    </w:p>
    <w:p>
      <w:pPr>
        <w:pStyle w:val="5"/>
        <w:ind w:firstLine="482"/>
        <w:rPr>
          <w:rFonts w:ascii="Times New Roman" w:hAnsi="Times New Roman" w:cs="Times New Roman"/>
        </w:rPr>
      </w:pPr>
      <w:r>
        <w:rPr>
          <w:rFonts w:hint="eastAsia"/>
        </w:rPr>
        <w:t xml:space="preserve">3.3.4.1 </w:t>
      </w:r>
      <w:bookmarkEnd w:id="353"/>
      <w:r>
        <w:rPr>
          <w:rFonts w:hint="eastAsia" w:ascii="Times New Roman" w:hAnsi="Times New Roman" w:cs="Times New Roman"/>
        </w:rPr>
        <w:t>与《岳阳市国民经济和社会发展第十四个五年规划和二〇三五年远景目标纲要》的相符性分析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（1）规划概况</w:t>
      </w:r>
    </w:p>
    <w:p>
      <w:pPr>
        <w:spacing w:line="360" w:lineRule="auto"/>
        <w:ind w:firstLine="480" w:firstLineChars="200"/>
        <w:rPr>
          <w:rFonts w:ascii="Times New Roman" w:hAnsi="Times New Roman" w:cs="Times New Roman"/>
        </w:rPr>
      </w:pPr>
      <w:r>
        <w:rPr>
          <w:rFonts w:hint="eastAsia" w:ascii="Times New Roman" w:hAnsi="Times New Roman" w:cs="Times New Roman"/>
        </w:rPr>
        <w:t>1）着力提升中心城区首位度。注重做大做强做优做美中心城区，优化中心城区内部空间组织，加快推动城市扩容提质，更好地发挥岳阳作为大城市的集聚辐射作用。按照“江湖城共生、港产城融合”的空间组织思路，推动形成“一心四组团”空间格局。“一心”即城市服务核心，以岳阳楼区为主体，加快发展现代商贸、现代金融、商务服务、研发设计、文化创意、养老托育等生产性和生活服务业，培育发展平台经济、数字经济、总部经济和夜间经济等新经济新业态新模式，进一步提高城市品质和服务功能，打造湘鄂赣省际边界区域现代服务业发展中心。“四组团”即</w:t>
      </w:r>
      <w:r>
        <w:rPr>
          <w:rFonts w:hint="eastAsia" w:ascii="Times New Roman" w:hAnsi="Times New Roman" w:cs="Times New Roman"/>
          <w:b/>
        </w:rPr>
        <w:t>城北制造业绿色转型发展组团</w:t>
      </w:r>
      <w:r>
        <w:rPr>
          <w:rFonts w:hint="eastAsia" w:ascii="Times New Roman" w:hAnsi="Times New Roman" w:cs="Times New Roman"/>
        </w:rPr>
        <w:t>、城东产城融合发展组团、西部江湖特色旅游组团、南部宜居康养组团。</w:t>
      </w:r>
      <w:r>
        <w:rPr>
          <w:rFonts w:hint="eastAsia" w:ascii="Times New Roman" w:hAnsi="Times New Roman" w:cs="Times New Roman"/>
          <w:b/>
        </w:rPr>
        <w:t>城北组团包括城陵矶新港区、云溪区以及临湘滨江片区，以发展先进制造业和现代物流业为重点，加快推动“区港一体”联动发展，着力培育优势产业集群，打造全市高质量发展核心增长带</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2）建设长江百里绿色经济发展走廊。充分发挥岳阳长江黄金水道的独特优势，依通道布局产业、以产业带动物流，加快推动绿色低碳发展。坚持高质量发展要求，加快转型升级步伐，着力打造一批“环境友好、有成本优势、有市场前景、有带动能力”的重点工程、示范项目，严禁在沿江1公里范围内新建、扩建化工园区和化工项目。加快长江沿线县市区协调联动，发挥城陵矶新港区引领作用，</w:t>
      </w:r>
      <w:r>
        <w:rPr>
          <w:rFonts w:hint="eastAsia" w:ascii="Times New Roman" w:hAnsi="Times New Roman" w:cs="Times New Roman"/>
          <w:b/>
        </w:rPr>
        <w:t>将临湘工业园滨江产业区纳入新港区拓展区（北片区）统一规划布局、整体开发建设，打造园区共同体，做大做强岳阳绿色化工产业园，重点发展航运物流、绿色化工、电子信息、装备制造、新材料、粮油加工、清洁能源等绿色低碳产业。</w:t>
      </w:r>
      <w:r>
        <w:rPr>
          <w:rFonts w:hint="eastAsia" w:ascii="Times New Roman" w:hAnsi="Times New Roman" w:cs="Times New Roman"/>
        </w:rPr>
        <w:t>强化全市一盘棋意识，以长江黄金水道为主轴，辐射带动腹地经济发展，形成相互配套、多点支撑、特色鲜明的全域产业体系。</w:t>
      </w:r>
    </w:p>
    <w:p>
      <w:pPr>
        <w:spacing w:line="360" w:lineRule="auto"/>
        <w:ind w:firstLine="480" w:firstLineChars="200"/>
        <w:rPr>
          <w:rFonts w:ascii="Times New Roman" w:hAnsi="Times New Roman" w:cs="Times New Roman"/>
        </w:rPr>
      </w:pPr>
      <w:r>
        <w:rPr>
          <w:rFonts w:hint="eastAsia" w:ascii="Times New Roman" w:hAnsi="Times New Roman" w:cs="Times New Roman"/>
        </w:rPr>
        <w:t>3）产业联动发展工程。积极推动物流业与制造业联动发展，完善产业集聚区物流服务功能，在全市10个产业园区规划建设一批与主导产业紧密配套的物流服务“区中园”，推动汨罗正威互联网＋再生资源仓储物流交割基地、平江聚慧物流园、</w:t>
      </w:r>
      <w:r>
        <w:rPr>
          <w:rFonts w:hint="eastAsia" w:ascii="Times New Roman" w:hAnsi="Times New Roman" w:cs="Times New Roman"/>
          <w:b/>
        </w:rPr>
        <w:t>临湘市钓具电商物流园等项目建设</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4）土壤污染防治工程。以受污染耕地及拟开发建设居住、商业、学校、医疗、养老机构和公共服务设施等项目的污染地块为重点，强化土壤污染治理和修复，重点推动中心城区己内酰胺退出区域土壤污染治理和</w:t>
      </w:r>
      <w:r>
        <w:rPr>
          <w:rFonts w:hint="eastAsia" w:ascii="Times New Roman" w:hAnsi="Times New Roman" w:cs="Times New Roman"/>
          <w:b/>
        </w:rPr>
        <w:t>临湘工业园滨江园区退出化工企业区域污染地块综合治理与修复</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（2）规划相符性分析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临湘高新技术产业开发区主导产业以建设“长江经济带转型升级引领区、中非经贸产业合作先行区、国家级高新技术产业创建区、湘北承接产业转移示范区”为依托，形成以绿色化工为主导产业、以浮标（钓具）及加工制造为特色产业的“一主一特”的产业生态圈，符合产业发展要求。在后续发展过程中积极开展退出化工企业区域污染地块综合治理与修复工作。</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综上所述，临湘高新技术产业开发区符合《岳阳市国民经济和社会发展第十四个五年规划和二〇三五年远景目标纲要》的相关要求。</w:t>
      </w:r>
    </w:p>
    <w:p>
      <w:pPr>
        <w:pStyle w:val="5"/>
        <w:ind w:firstLine="482"/>
        <w:rPr>
          <w:rFonts w:ascii="Times New Roman" w:hAnsi="Times New Roman" w:cs="Times New Roman"/>
        </w:rPr>
      </w:pPr>
      <w:r>
        <w:rPr>
          <w:rFonts w:hint="eastAsia"/>
        </w:rPr>
        <w:t xml:space="preserve">3.3.4.2 </w:t>
      </w:r>
      <w:r>
        <w:rPr>
          <w:rFonts w:hint="eastAsia" w:ascii="Times New Roman" w:hAnsi="Times New Roman" w:cs="Times New Roman"/>
        </w:rPr>
        <w:t>与《临湘市国民经济和社会发展第十四个五年规划纲要》的相符性分析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（1）规划概况</w:t>
      </w:r>
    </w:p>
    <w:p>
      <w:pPr>
        <w:spacing w:line="360" w:lineRule="auto"/>
        <w:ind w:firstLine="480" w:firstLineChars="200"/>
        <w:rPr>
          <w:rFonts w:ascii="Times New Roman" w:hAnsi="Times New Roman" w:cs="Times New Roman"/>
        </w:rPr>
      </w:pPr>
      <w:r>
        <w:rPr>
          <w:rFonts w:hint="eastAsia" w:ascii="Times New Roman" w:hAnsi="Times New Roman" w:cs="Times New Roman"/>
        </w:rPr>
        <w:t>1）加快推进滨江工业园沿江一公里传统化工产业退出，转型绿色发展。大力发展新材料、电子信息、港航物流、装配式建筑等新兴产业，打造临港新兴产业集群。积极发展现代金融、现代物流、电子商务等产业，积极发展休闲旅游，推进全域旅游。加大产业园区建设力度，为产业发展提供高水平支撑。逐步形成科学合理、梯次演进的产业发展新格局。</w:t>
      </w:r>
    </w:p>
    <w:p>
      <w:pPr>
        <w:spacing w:line="360" w:lineRule="auto"/>
        <w:ind w:firstLine="480" w:firstLineChars="200"/>
        <w:rPr>
          <w:rFonts w:ascii="Times New Roman" w:hAnsi="Times New Roman" w:cs="Times New Roman"/>
        </w:rPr>
      </w:pPr>
      <w:r>
        <w:rPr>
          <w:rFonts w:hint="eastAsia" w:ascii="Times New Roman" w:hAnsi="Times New Roman" w:cs="Times New Roman"/>
        </w:rPr>
        <w:t>2）将湖南（岳阳）中非工贸产业园建设成为全省开放发展的高地和中非经贸合作创新的前沿阵地，争取岳阳综保区向临湘扩区，探索中国（湖南）自由贸易试验区岳阳片区联动发展路径，建设高等级开放平台。推进区域合作模式创新，全力建设临港新兴产业园。加强与省内外区域协作，抓住长江经济带国家战略机遇，努力融入武汉、岳阳、咸宁同构经济圈。</w:t>
      </w:r>
    </w:p>
    <w:p>
      <w:pPr>
        <w:spacing w:line="360" w:lineRule="auto"/>
        <w:ind w:firstLine="480" w:firstLineChars="200"/>
        <w:rPr>
          <w:rFonts w:ascii="Times New Roman" w:hAnsi="Times New Roman" w:cs="Times New Roman"/>
        </w:rPr>
      </w:pPr>
      <w:r>
        <w:rPr>
          <w:rFonts w:hint="eastAsia" w:ascii="微软雅黑" w:hAnsi="微软雅黑"/>
          <w:color w:val="333333"/>
          <w:shd w:val="clear" w:color="auto" w:fill="FFFFFF"/>
        </w:rPr>
        <w:t>3）</w:t>
      </w:r>
      <w:r>
        <w:rPr>
          <w:rFonts w:ascii="微软雅黑" w:hAnsi="微软雅黑"/>
          <w:color w:val="333333"/>
          <w:shd w:val="clear" w:color="auto" w:fill="FFFFFF"/>
        </w:rPr>
        <w:t>引导滨江区域传统化工产业加快退出，推进化工业绿色转型发展。坚持生态优先、绿色发展的理念，积极落实长江大保护政策，督促沿江一公里传统化工企业搬迁转移，就近转型发展。</w:t>
      </w:r>
    </w:p>
    <w:p>
      <w:pPr>
        <w:spacing w:line="360" w:lineRule="auto"/>
        <w:ind w:firstLine="480" w:firstLineChars="200"/>
        <w:rPr>
          <w:rFonts w:ascii="Times New Roman" w:hAnsi="Times New Roman" w:cs="Times New Roman"/>
        </w:rPr>
      </w:pPr>
      <w:r>
        <w:rPr>
          <w:rFonts w:hint="eastAsia" w:ascii="Times New Roman" w:hAnsi="Times New Roman" w:cs="Times New Roman"/>
        </w:rPr>
        <w:t>4）以产品升级强化“临湘钓具”品牌。积极推进钓具产品品质升级、功能升级。强化行业标准建设，建立具有区域特色的高品质“临湘钓具”品牌形象，打造具有“临湘制造、临湘文化、临湘品质”的产业集群，实现城市公共品牌、区域品牌、企业自主品牌协同发展。加强营销渠道建设，进一步放大电商营销优势，鼓励企业采用网红直播、短视频、主题活动等新兴营销方式进行品牌传播和产品销售。</w:t>
      </w:r>
    </w:p>
    <w:p>
      <w:pPr>
        <w:spacing w:line="360" w:lineRule="auto"/>
        <w:ind w:firstLine="480" w:firstLineChars="200"/>
        <w:rPr>
          <w:rFonts w:ascii="Times New Roman" w:hAnsi="Times New Roman" w:cs="Times New Roman"/>
          <w:i/>
        </w:rPr>
      </w:pPr>
      <w:r>
        <w:rPr>
          <w:rFonts w:hint="eastAsia" w:ascii="Times New Roman" w:hAnsi="Times New Roman" w:cs="Times New Roman"/>
        </w:rPr>
        <w:t>（2）规划相符性分析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临湘高新技术产业开发区主导产业以建设“长江经济带转型升级引领区、中非经贸产业合作先行区、国家级高新技术产业创建区、湘北承接产业转移示范区”为依托，形成以绿色化工为主导产业、以浮标（钓具）及加工制造为特色产业的“一主一特”的产业生态圈，符合产业发展要求。</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综上所述，临湘高新技术产业开发区符合《临湘市国民经济和社会发展第十四个五年规划纲要》的相关要求。</w:t>
      </w:r>
    </w:p>
    <w:p>
      <w:pPr>
        <w:pStyle w:val="4"/>
        <w:rPr>
          <w:rFonts w:ascii="Times New Roman" w:hAnsi="Times New Roman" w:cs="Times New Roman"/>
        </w:rPr>
      </w:pPr>
      <w:bookmarkStart w:id="406" w:name="_Toc134088486"/>
      <w:bookmarkStart w:id="407" w:name="_Toc146091918"/>
      <w:r>
        <w:rPr>
          <w:rFonts w:ascii="Times New Roman" w:hAnsi="Times New Roman" w:cs="Times New Roman"/>
        </w:rPr>
        <w:t>3.3.5 与</w:t>
      </w:r>
      <w:r>
        <w:rPr>
          <w:rFonts w:hint="eastAsia" w:ascii="Times New Roman" w:hAnsi="Times New Roman" w:cs="Times New Roman"/>
        </w:rPr>
        <w:t>《临湘市国土空间总体规划（2021-2035 年）》</w:t>
      </w:r>
      <w:r>
        <w:rPr>
          <w:rFonts w:ascii="Times New Roman" w:hAnsi="Times New Roman" w:cs="Times New Roman"/>
        </w:rPr>
        <w:t>相符性分析</w:t>
      </w:r>
      <w:bookmarkEnd w:id="406"/>
      <w:bookmarkEnd w:id="407"/>
    </w:p>
    <w:p>
      <w:pPr>
        <w:spacing w:line="360" w:lineRule="auto"/>
        <w:ind w:firstLine="480" w:firstLineChars="200"/>
        <w:rPr>
          <w:rFonts w:ascii="Times New Roman" w:hAnsi="Times New Roman" w:cs="Times New Roman"/>
        </w:rPr>
      </w:pPr>
      <w:r>
        <w:rPr>
          <w:rFonts w:hint="eastAsia" w:ascii="Times New Roman" w:hAnsi="Times New Roman" w:cs="Times New Roman"/>
        </w:rPr>
        <w:t>（1）规划概况</w:t>
      </w:r>
    </w:p>
    <w:p>
      <w:pPr>
        <w:spacing w:line="360" w:lineRule="auto"/>
        <w:ind w:firstLine="480" w:firstLineChars="200"/>
        <w:rPr>
          <w:rFonts w:ascii="Times New Roman" w:hAnsi="Times New Roman" w:cs="Times New Roman"/>
        </w:rPr>
      </w:pPr>
      <w:r>
        <w:rPr>
          <w:rFonts w:hint="eastAsia" w:ascii="Times New Roman" w:hAnsi="Times New Roman" w:cs="Times New Roman"/>
        </w:rPr>
        <w:t>1）城市性质</w:t>
      </w:r>
    </w:p>
    <w:p>
      <w:pPr>
        <w:spacing w:line="360" w:lineRule="auto"/>
        <w:ind w:firstLine="480" w:firstLineChars="200"/>
        <w:rPr>
          <w:rFonts w:ascii="Times New Roman" w:hAnsi="Times New Roman" w:cs="Times New Roman"/>
        </w:rPr>
      </w:pPr>
      <w:r>
        <w:rPr>
          <w:rFonts w:hint="eastAsia" w:ascii="Times New Roman" w:hAnsi="Times New Roman" w:cs="Times New Roman"/>
        </w:rPr>
        <w:t>临湘市是长江百里绿色经济发展走廊示范区，湘北重要智造门户，岳阳市综合性市域副中心，融岳宜居的魅力花园城市。</w:t>
      </w:r>
    </w:p>
    <w:p>
      <w:pPr>
        <w:spacing w:line="360" w:lineRule="auto"/>
        <w:ind w:firstLine="480" w:firstLineChars="200"/>
        <w:rPr>
          <w:rFonts w:ascii="Times New Roman" w:hAnsi="Times New Roman" w:cs="Times New Roman"/>
        </w:rPr>
      </w:pPr>
      <w:r>
        <w:rPr>
          <w:rFonts w:hint="eastAsia" w:ascii="Times New Roman" w:hAnsi="Times New Roman" w:cs="Times New Roman"/>
        </w:rPr>
        <w:t>2）城市职能</w:t>
      </w:r>
    </w:p>
    <w:p>
      <w:pPr>
        <w:spacing w:line="360" w:lineRule="auto"/>
        <w:ind w:firstLine="480" w:firstLineChars="200"/>
        <w:rPr>
          <w:rFonts w:ascii="Times New Roman" w:hAnsi="Times New Roman" w:cs="Times New Roman"/>
        </w:rPr>
      </w:pPr>
      <w:r>
        <w:rPr>
          <w:rFonts w:hint="eastAsia" w:ascii="Times New Roman" w:hAnsi="Times New Roman" w:cs="Times New Roman"/>
        </w:rPr>
        <w:t>临湘市城市职能包括：世界浮标之乡、国家级农产品主产区、长江经济带开放门户节点、岳阳都市区副城。其中，“长江经济带开放门户节点”具体职能为：紧紧抓住长江经济带发展、中部地区崛起的重大历史机遇，深入融入长江黄金水道建设，落实“三高四新”战略定位和使命任务，落实“守护好一江碧水”首倡地责任，加强与长江经济带和长江中游城市群的经济协作与交通联系，以滨江高新产业园的建设为重点，建设长江百里绿色经济发展走廊示范区，长江经济带开放门户节点。</w:t>
      </w:r>
    </w:p>
    <w:p>
      <w:pPr>
        <w:spacing w:line="360" w:lineRule="auto"/>
        <w:ind w:firstLine="480" w:firstLineChars="200"/>
        <w:rPr>
          <w:rFonts w:ascii="Times New Roman" w:hAnsi="Times New Roman" w:cs="Times New Roman"/>
        </w:rPr>
      </w:pPr>
      <w:r>
        <w:rPr>
          <w:rFonts w:hint="eastAsia" w:ascii="Times New Roman" w:hAnsi="Times New Roman" w:cs="Times New Roman"/>
        </w:rPr>
        <w:t>3）国土空间总体格局</w:t>
      </w:r>
    </w:p>
    <w:p>
      <w:pPr>
        <w:spacing w:line="360" w:lineRule="auto"/>
        <w:ind w:firstLine="480" w:firstLineChars="200"/>
        <w:rPr>
          <w:rFonts w:ascii="Times New Roman" w:hAnsi="Times New Roman" w:cs="Times New Roman"/>
        </w:rPr>
      </w:pPr>
      <w:r>
        <w:rPr>
          <w:rFonts w:hint="eastAsia" w:ascii="Times New Roman" w:hAnsi="Times New Roman" w:cs="Times New Roman"/>
        </w:rPr>
        <w:t>以“做特市域，做强中心，做精城镇，做优乡村”为导向，以山水林田湖整体保护格局为目标，以自然资源禀赋和经济社会发展趋势为基础，提出国土空间总体格局。规划确定“两主三副三平台，一屏两带多廊道”的市域总体格局，“一屏两带多廊道”凸显保护格局，“两主三副三平台”明确开发格局。</w:t>
      </w:r>
    </w:p>
    <w:p>
      <w:pPr>
        <w:spacing w:line="360" w:lineRule="auto"/>
        <w:ind w:firstLine="480" w:firstLineChars="200"/>
        <w:rPr>
          <w:rFonts w:ascii="Times New Roman" w:hAnsi="Times New Roman" w:cs="Times New Roman"/>
        </w:rPr>
      </w:pPr>
      <w:r>
        <w:rPr>
          <w:rFonts w:hint="eastAsia" w:ascii="Times New Roman" w:hAnsi="Times New Roman" w:cs="Times New Roman"/>
        </w:rPr>
        <w:t>一屏两带多廊道：一屏是指五尖山-大云山-龙窖山生态屏障；两带分别为滨江生态防护带和融岳生态绿带；多廊道分别为源潭河水系廊道、游港河水系廊道、新店河水系廊道以及武广高铁、京广铁路、京港澳高速、107 国道等交通生态廊道。</w:t>
      </w:r>
    </w:p>
    <w:p>
      <w:pPr>
        <w:spacing w:line="360" w:lineRule="auto"/>
        <w:ind w:firstLine="480" w:firstLineChars="200"/>
        <w:rPr>
          <w:rFonts w:ascii="Times New Roman" w:hAnsi="Times New Roman" w:cs="Times New Roman"/>
        </w:rPr>
      </w:pPr>
      <w:r>
        <w:rPr>
          <w:rFonts w:hint="eastAsia" w:ascii="Times New Roman" w:hAnsi="Times New Roman" w:cs="Times New Roman"/>
        </w:rPr>
        <w:t>两主三副三平台：两主包括长安中心城区、滨江高新产业园区；三副包括聂市镇副中心城镇、羊楼司镇副中心城镇以及桃林镇副中心城镇；三平台包括平丘综合经济产业平台、丘岗综合经济产业平台以及山地综合经济产业平台。</w:t>
      </w:r>
    </w:p>
    <w:p>
      <w:pPr>
        <w:spacing w:line="360" w:lineRule="auto"/>
        <w:ind w:firstLine="480" w:firstLineChars="200"/>
        <w:rPr>
          <w:rFonts w:ascii="Times New Roman" w:hAnsi="Times New Roman" w:cs="Times New Roman"/>
        </w:rPr>
      </w:pPr>
      <w:r>
        <w:rPr>
          <w:rFonts w:hint="eastAsia" w:ascii="Times New Roman" w:hAnsi="Times New Roman" w:cs="Times New Roman"/>
        </w:rPr>
        <w:t>4）产业发展布局</w:t>
      </w:r>
    </w:p>
    <w:p>
      <w:pPr>
        <w:spacing w:line="360" w:lineRule="auto"/>
        <w:ind w:firstLine="480" w:firstLineChars="200"/>
        <w:rPr>
          <w:rFonts w:ascii="Times New Roman" w:hAnsi="Times New Roman" w:cs="Times New Roman"/>
        </w:rPr>
      </w:pPr>
      <w:r>
        <w:rPr>
          <w:rFonts w:hint="eastAsia" w:ascii="Times New Roman" w:hAnsi="Times New Roman" w:cs="Times New Roman"/>
        </w:rPr>
        <w:t>a.产业发展目标</w:t>
      </w:r>
    </w:p>
    <w:p>
      <w:pPr>
        <w:spacing w:line="360" w:lineRule="auto"/>
        <w:ind w:firstLine="480" w:firstLineChars="200"/>
        <w:rPr>
          <w:rFonts w:ascii="Times New Roman" w:hAnsi="Times New Roman" w:cs="Times New Roman"/>
        </w:rPr>
      </w:pPr>
      <w:r>
        <w:rPr>
          <w:rFonts w:hint="eastAsia" w:ascii="Times New Roman" w:hAnsi="Times New Roman" w:cs="Times New Roman"/>
        </w:rPr>
        <w:t>紧抓长江经济带国家战略机遇，融入武汉、岳阳、咸宁同构经济圈，坚持以科创和绿色发展为指引，大力推进技术创新、人才创新和机制创新，加大产业的科技投入。通过做强支柱产业、培育新兴产业、做优特色产业、加速现代服务产业四大思路，构筑“1342”产业发展体系，重点做强绿色化工支柱产业，培育电子信息、新材料以及建材装备制造新兴产业，做优浮标、竹木、黑茶和农产品加工四大特色产业，加速发展旅游业和现代物流业，将临湘打造成为百里长江绿色发展长廊的重要节点城市。</w:t>
      </w:r>
    </w:p>
    <w:p>
      <w:pPr>
        <w:spacing w:line="360" w:lineRule="auto"/>
        <w:ind w:firstLine="480" w:firstLineChars="200"/>
        <w:rPr>
          <w:rFonts w:ascii="Times New Roman" w:hAnsi="Times New Roman" w:cs="Times New Roman"/>
        </w:rPr>
      </w:pPr>
      <w:r>
        <w:rPr>
          <w:rFonts w:hint="eastAsia" w:ascii="Times New Roman" w:hAnsi="Times New Roman" w:cs="Times New Roman"/>
        </w:rPr>
        <w:t>b.产业空间布局</w:t>
      </w:r>
    </w:p>
    <w:p>
      <w:pPr>
        <w:spacing w:line="360" w:lineRule="auto"/>
        <w:ind w:firstLine="480" w:firstLineChars="200"/>
        <w:rPr>
          <w:rFonts w:ascii="Times New Roman" w:hAnsi="Times New Roman" w:cs="Times New Roman"/>
        </w:rPr>
      </w:pPr>
      <w:r>
        <w:rPr>
          <w:rFonts w:hint="eastAsia" w:ascii="Times New Roman" w:hAnsi="Times New Roman" w:cs="Times New Roman"/>
        </w:rPr>
        <w:t>产业空间布局分为第一产空间布局、第二产空间布局和第三产空间布局。第一产空间布局：以“稳粮油”为根本，把保障粮食安全放在突出位置，全面落实粮食安全生产责任制，推进米油茶全面发展。第二产空间布局：按照“产城融合、产业集聚、功能集成、错位发展”的布局原则，合理优化城市功能及空间布局，规划“一园两区六片”的发展格局。其中一园两区是临湘省级工业园区，包含了滨江高新产业园区和三湾工业园区。六片主要根据以产业特色划分，规划形成中非经贸合作产业片、新材料产业片、绿色化工产业片、电子信息产业片、现代航运物流产业片和三湾浮标特色产业片。第三产空间布局：根据各类服务中心按其规模、功能和服务范围的不同构建“综合级、片区级、节点级”三级服务中心体系，形成一个核心、两个中心、四个重要节点。</w:t>
      </w:r>
    </w:p>
    <w:p>
      <w:pPr>
        <w:spacing w:line="360" w:lineRule="auto"/>
        <w:ind w:firstLine="480" w:firstLineChars="200"/>
        <w:rPr>
          <w:rFonts w:ascii="Times New Roman" w:hAnsi="Times New Roman" w:cs="Times New Roman"/>
        </w:rPr>
      </w:pPr>
      <w:r>
        <w:rPr>
          <w:rFonts w:hint="eastAsia" w:ascii="Times New Roman" w:hAnsi="Times New Roman" w:cs="Times New Roman"/>
        </w:rPr>
        <w:t xml:space="preserve">5）统筹落实三条控制线 </w:t>
      </w:r>
    </w:p>
    <w:p>
      <w:pPr>
        <w:spacing w:line="360" w:lineRule="auto"/>
        <w:ind w:firstLine="480" w:firstLineChars="200"/>
        <w:rPr>
          <w:rFonts w:ascii="Times New Roman" w:hAnsi="Times New Roman" w:cs="Times New Roman"/>
        </w:rPr>
      </w:pPr>
      <w:r>
        <w:rPr>
          <w:rFonts w:hint="eastAsia" w:ascii="Times New Roman" w:hAnsi="Times New Roman" w:cs="Times New Roman"/>
        </w:rPr>
        <w:t>优先划定耕地和永久基本农田保护红线、生态保护红线，科学划定城镇开发边界，保障全市生态与农业安全，促进全市土地节约集约利用，推动经济社会绿色转型。到 2035 年，临湘市共划定永久基本农田面积 31875.33 公顷（47.81 万亩）；共划定生态保护红线区面积 228.69 平方公里；划定临湘市城镇开发边界面积44.62 平方公里，其中中心城区划定 2336.54 公顷，滨江高新产业园区 958.98公顷。</w:t>
      </w:r>
    </w:p>
    <w:p>
      <w:pPr>
        <w:spacing w:line="360" w:lineRule="auto"/>
        <w:ind w:firstLine="480" w:firstLineChars="200"/>
        <w:rPr>
          <w:rFonts w:ascii="Times New Roman" w:hAnsi="Times New Roman" w:cs="Times New Roman"/>
          <w:i/>
        </w:rPr>
      </w:pPr>
      <w:r>
        <w:rPr>
          <w:rFonts w:hint="eastAsia" w:ascii="Times New Roman" w:hAnsi="Times New Roman" w:cs="Times New Roman"/>
        </w:rPr>
        <w:t>（2）规划相符性分析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临湘高新技术产业开发区下辖滨江和三湾两个工业片区，</w:t>
      </w:r>
      <w:r>
        <w:rPr>
          <w:rFonts w:ascii="Times New Roman" w:hAnsi="Times New Roman" w:cs="Times New Roman"/>
        </w:rPr>
        <w:t>依据高新区所处的区位、现状条件和发展态势，结合临湘市城市总体规划的城市功能要求，确定规划目标为：以产业集群为主要发展模式，以构建循环产业链为主要发展特色，建设成环境友好、设施完备、产业繁荣、特色鲜明、生活舒适、产城一体化的滨江产业新城。按照“产城融合、产业集聚、功能集成、错位发展”的布局原则，合理优化城市功能及空间布局，规划“一区三片五园”的发展格局。</w:t>
      </w:r>
    </w:p>
    <w:p>
      <w:pPr>
        <w:spacing w:line="360" w:lineRule="auto"/>
        <w:ind w:firstLine="480" w:firstLineChars="200"/>
        <w:rPr>
          <w:rFonts w:ascii="Times New Roman" w:hAnsi="Times New Roman" w:cs="Times New Roman"/>
        </w:rPr>
      </w:pPr>
      <w:r>
        <w:rPr>
          <w:rFonts w:ascii="Times New Roman" w:hAnsi="Times New Roman" w:cs="Times New Roman"/>
        </w:rPr>
        <w:t>一区：临湘高新技术产业开发区</w:t>
      </w:r>
    </w:p>
    <w:p>
      <w:pPr>
        <w:spacing w:line="360" w:lineRule="auto"/>
        <w:ind w:firstLine="480" w:firstLineChars="200"/>
        <w:rPr>
          <w:rFonts w:ascii="Times New Roman" w:hAnsi="Times New Roman" w:cs="Times New Roman"/>
        </w:rPr>
      </w:pPr>
      <w:r>
        <w:rPr>
          <w:rFonts w:ascii="Times New Roman" w:hAnsi="Times New Roman" w:cs="Times New Roman"/>
        </w:rPr>
        <w:t>三片：三湾产业片区、滨江产业片区、白云产业片区。</w:t>
      </w:r>
    </w:p>
    <w:p>
      <w:pPr>
        <w:spacing w:line="360" w:lineRule="auto"/>
        <w:ind w:firstLine="480" w:firstLineChars="200"/>
        <w:rPr>
          <w:rFonts w:ascii="Times New Roman" w:hAnsi="Times New Roman" w:cs="Times New Roman"/>
        </w:rPr>
      </w:pPr>
      <w:r>
        <w:rPr>
          <w:rFonts w:ascii="Times New Roman" w:hAnsi="Times New Roman" w:cs="Times New Roman"/>
        </w:rPr>
        <w:t>五园：中非工贸产业园、三湾产业园、绿色建材产业园、绿色化工产业园、加工制造产业园。</w:t>
      </w:r>
    </w:p>
    <w:p>
      <w:pPr>
        <w:spacing w:line="360" w:lineRule="auto"/>
        <w:ind w:firstLine="480" w:firstLineChars="200"/>
        <w:rPr>
          <w:rFonts w:ascii="Times New Roman" w:hAnsi="Times New Roman" w:cs="Times New Roman"/>
        </w:rPr>
      </w:pPr>
      <w:r>
        <w:rPr>
          <w:rFonts w:hint="eastAsia" w:ascii="Times New Roman" w:hAnsi="Times New Roman" w:cs="Times New Roman"/>
        </w:rPr>
        <w:t>2）产业规划</w:t>
      </w:r>
    </w:p>
    <w:p>
      <w:pPr>
        <w:spacing w:line="360" w:lineRule="auto"/>
        <w:ind w:firstLine="480" w:firstLineChars="200"/>
        <w:rPr>
          <w:rFonts w:ascii="Times New Roman" w:hAnsi="Times New Roman" w:cs="Times New Roman"/>
        </w:rPr>
      </w:pPr>
      <w:r>
        <w:rPr>
          <w:rFonts w:hint="eastAsia" w:ascii="Times New Roman" w:hAnsi="Times New Roman" w:cs="Times New Roman"/>
        </w:rPr>
        <w:t>临湘高新区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p>
      <w:pPr>
        <w:spacing w:line="360" w:lineRule="auto"/>
        <w:ind w:firstLine="480" w:firstLineChars="200"/>
        <w:rPr>
          <w:rFonts w:ascii="Times New Roman" w:hAnsi="Times New Roman" w:cs="Times New Roman"/>
        </w:rPr>
      </w:pPr>
      <w:r>
        <w:rPr>
          <w:rFonts w:hint="eastAsia" w:ascii="Times New Roman" w:hAnsi="Times New Roman" w:cs="Times New Roman"/>
        </w:rPr>
        <w:t>本次临湘高新区规划园区用地均在临湘市城镇开发边界内，符合《临湘市国土空间总体规划（2021-2035 年）》中的主体功能定位、市域总体格局等相关要求。</w:t>
      </w:r>
    </w:p>
    <w:p>
      <w:pPr>
        <w:pStyle w:val="4"/>
        <w:rPr>
          <w:rFonts w:ascii="Times New Roman" w:hAnsi="Times New Roman" w:cs="Times New Roman"/>
        </w:rPr>
      </w:pPr>
      <w:bookmarkStart w:id="408" w:name="_Toc1552347"/>
      <w:bookmarkStart w:id="409" w:name="_Toc38389594"/>
      <w:bookmarkStart w:id="410" w:name="_Toc134088488"/>
      <w:bookmarkStart w:id="411" w:name="_Toc40253192"/>
      <w:bookmarkStart w:id="412" w:name="_Toc43837852"/>
      <w:bookmarkStart w:id="413" w:name="_Toc49323809"/>
      <w:bookmarkStart w:id="414" w:name="_Toc38478423"/>
      <w:bookmarkStart w:id="415" w:name="_Toc82606991"/>
      <w:bookmarkStart w:id="416" w:name="_Toc474315765"/>
      <w:bookmarkStart w:id="417" w:name="_Toc146091919"/>
      <w:bookmarkStart w:id="418" w:name="_Toc484434129"/>
      <w:bookmarkStart w:id="419" w:name="_Toc50625313"/>
      <w:r>
        <w:rPr>
          <w:rFonts w:ascii="Times New Roman" w:hAnsi="Times New Roman" w:cs="Times New Roman"/>
        </w:rPr>
        <w:t>3.3.</w:t>
      </w:r>
      <w:r>
        <w:rPr>
          <w:rFonts w:hint="eastAsia" w:ascii="Times New Roman" w:hAnsi="Times New Roman" w:cs="Times New Roman"/>
        </w:rPr>
        <w:t>6</w:t>
      </w:r>
      <w:r>
        <w:rPr>
          <w:rFonts w:ascii="Times New Roman" w:hAnsi="Times New Roman" w:cs="Times New Roman"/>
        </w:rPr>
        <w:t xml:space="preserve"> 与相关环保规划的相符性分析</w:t>
      </w:r>
      <w:bookmarkEnd w:id="408"/>
      <w:bookmarkEnd w:id="409"/>
      <w:bookmarkEnd w:id="410"/>
      <w:bookmarkEnd w:id="411"/>
      <w:bookmarkEnd w:id="412"/>
      <w:bookmarkEnd w:id="413"/>
      <w:bookmarkEnd w:id="414"/>
      <w:bookmarkEnd w:id="415"/>
      <w:bookmarkEnd w:id="416"/>
      <w:bookmarkEnd w:id="417"/>
      <w:bookmarkEnd w:id="418"/>
      <w:bookmarkEnd w:id="419"/>
    </w:p>
    <w:p>
      <w:pPr>
        <w:pStyle w:val="5"/>
        <w:ind w:firstLine="482"/>
        <w:rPr>
          <w:rFonts w:ascii="Times New Roman" w:hAnsi="Times New Roman" w:cs="Times New Roman" w:eastAsiaTheme="minorEastAsia"/>
        </w:rPr>
      </w:pPr>
      <w:bookmarkStart w:id="420" w:name="_Toc50625314"/>
      <w:bookmarkStart w:id="421" w:name="_Toc49323810"/>
      <w:r>
        <w:rPr>
          <w:rFonts w:ascii="Times New Roman" w:hAnsi="Times New Roman" w:cs="Times New Roman" w:eastAsiaTheme="minorEastAsia"/>
        </w:rPr>
        <w:t>3.3.</w:t>
      </w:r>
      <w:r>
        <w:rPr>
          <w:rFonts w:hint="eastAsia" w:ascii="Times New Roman" w:hAnsi="Times New Roman" w:cs="Times New Roman" w:eastAsiaTheme="minorEastAsia"/>
        </w:rPr>
        <w:t>6</w:t>
      </w:r>
      <w:r>
        <w:rPr>
          <w:rFonts w:ascii="Times New Roman" w:hAnsi="Times New Roman" w:cs="Times New Roman" w:eastAsiaTheme="minorEastAsia"/>
        </w:rPr>
        <w:t>.1 与大气污染防治行动计划及其配套文件的符合性分析</w:t>
      </w:r>
      <w:bookmarkEnd w:id="420"/>
      <w:bookmarkEnd w:id="421"/>
    </w:p>
    <w:p>
      <w:pPr>
        <w:spacing w:line="360" w:lineRule="auto"/>
        <w:ind w:firstLine="480" w:firstLineChars="200"/>
        <w:rPr>
          <w:rFonts w:ascii="Times New Roman" w:hAnsi="Times New Roman" w:cs="Times New Roman"/>
        </w:rPr>
      </w:pPr>
      <w:r>
        <w:rPr>
          <w:rFonts w:ascii="Times New Roman" w:hAnsi="Times New Roman" w:cs="Times New Roman"/>
        </w:rPr>
        <w:t>2013年9月10日，国务院印发《大气污染防治行动计划》的通知（国发〔2013〕37号）。大气污染防治行动计划工作任务：加大综合治理力度，减少多污染物排放；调整优化产业结构，推动产业转型升级；加快企业技术改造，提高科技创新能力；加快调整能源结构，增加清洁能源供应；严格节能环保准入，优化产业空间布局；发挥市场机制作用等。</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临湘高新技术产业开发区与《大气污染防治行动计划》的符合性详见下表。</w:t>
      </w:r>
    </w:p>
    <w:bookmarkEnd w:id="354"/>
    <w:bookmarkEnd w:id="355"/>
    <w:bookmarkEnd w:id="356"/>
    <w:bookmarkEnd w:id="357"/>
    <w:bookmarkEnd w:id="358"/>
    <w:bookmarkEnd w:id="359"/>
    <w:bookmarkEnd w:id="360"/>
    <w:bookmarkEnd w:id="361"/>
    <w:bookmarkEnd w:id="362"/>
    <w:bookmarkEnd w:id="363"/>
    <w:p>
      <w:pPr>
        <w:pStyle w:val="6"/>
        <w:rPr>
          <w:rFonts w:ascii="Times New Roman" w:hAnsi="Times New Roman" w:cs="Times New Roman"/>
        </w:rPr>
      </w:pPr>
      <w:r>
        <w:rPr>
          <w:rFonts w:ascii="Times New Roman" w:hAnsi="Times New Roman" w:cs="Times New Roman"/>
        </w:rPr>
        <w:t>表3.3-</w:t>
      </w:r>
      <w:r>
        <w:rPr>
          <w:rFonts w:hint="eastAsia" w:ascii="Times New Roman" w:hAnsi="Times New Roman" w:cs="Times New Roman"/>
        </w:rPr>
        <w:t>11</w:t>
      </w:r>
      <w:r>
        <w:rPr>
          <w:rFonts w:ascii="Times New Roman" w:hAnsi="Times New Roman" w:cs="Times New Roman"/>
        </w:rPr>
        <w:t xml:space="preserve">  临湘高新技术产业开发区与《大气污染防治行动计划》的符合性</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71"/>
        <w:gridCol w:w="2576"/>
        <w:gridCol w:w="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vAlign w:val="center"/>
          </w:tcPr>
          <w:p>
            <w:pPr>
              <w:pStyle w:val="63"/>
              <w:rPr>
                <w:rFonts w:eastAsiaTheme="minorEastAsia"/>
              </w:rPr>
            </w:pPr>
            <w:r>
              <w:rPr>
                <w:rFonts w:eastAsiaTheme="minorEastAsia"/>
              </w:rPr>
              <w:t>《大气污染防治行动计划》要求</w:t>
            </w:r>
          </w:p>
        </w:tc>
        <w:tc>
          <w:tcPr>
            <w:tcW w:w="1510" w:type="pct"/>
            <w:vAlign w:val="center"/>
          </w:tcPr>
          <w:p>
            <w:pPr>
              <w:pStyle w:val="63"/>
              <w:rPr>
                <w:rFonts w:eastAsiaTheme="minorEastAsia"/>
              </w:rPr>
            </w:pPr>
            <w:r>
              <w:rPr>
                <w:rFonts w:eastAsiaTheme="minorEastAsia"/>
              </w:rPr>
              <w:t>临湘高新技术产业开发区规划</w:t>
            </w:r>
          </w:p>
        </w:tc>
        <w:tc>
          <w:tcPr>
            <w:tcW w:w="517" w:type="pct"/>
            <w:vAlign w:val="center"/>
          </w:tcPr>
          <w:p>
            <w:pPr>
              <w:pStyle w:val="63"/>
              <w:rPr>
                <w:rFonts w:eastAsiaTheme="minorEastAsia"/>
              </w:rPr>
            </w:pPr>
            <w:r>
              <w:rPr>
                <w:rFonts w:eastAsiaTheme="minorEastAsia"/>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vAlign w:val="center"/>
          </w:tcPr>
          <w:p>
            <w:pPr>
              <w:pStyle w:val="63"/>
              <w:rPr>
                <w:rFonts w:eastAsiaTheme="minorEastAsia"/>
              </w:rPr>
            </w:pPr>
            <w:r>
              <w:rPr>
                <w:rFonts w:eastAsiaTheme="minorEastAsia"/>
              </w:rPr>
              <w:t>（一）加强工业企业大气污染综合治理。</w:t>
            </w:r>
          </w:p>
          <w:p>
            <w:pPr>
              <w:pStyle w:val="63"/>
              <w:rPr>
                <w:rFonts w:eastAsiaTheme="minorEastAsia"/>
              </w:rPr>
            </w:pPr>
            <w:r>
              <w:rPr>
                <w:rFonts w:eastAsiaTheme="minorEastAsia"/>
              </w:rPr>
              <w:t>1、全面整治燃煤小锅炉。加快推进集中供热、“煤改气”、“煤改电”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p>
            <w:pPr>
              <w:pStyle w:val="63"/>
              <w:rPr>
                <w:rFonts w:eastAsiaTheme="minorEastAsia"/>
              </w:rPr>
            </w:pPr>
            <w:r>
              <w:rPr>
                <w:rFonts w:eastAsiaTheme="minorEastAsia"/>
              </w:rPr>
              <w:t>2、加快重点行业脱硫、脱硝、除尘改造工程建设。所有燃煤电厂、钢铁企业的烧结机和球团生产设备、石油炼制企业的催化裂化装置、有色金属冶炼企业都要安装脱硫设施，每小时 20蒸吨及以上的燃煤锅炉要实施脱硫。燃煤锅炉和工业窑炉现有除尘设施要实施升级改造。推进挥发性有机物污染治理。在石化、有机化工、表面涂装、包装印刷等行业实施挥发性有机物综合整治，完善涂料、胶粘剂等产品挥发性有机物限值标准，推广使用水性涂料，鼓励生产、销售和使用低毒、低挥发性有机溶剂。</w:t>
            </w:r>
          </w:p>
          <w:p>
            <w:pPr>
              <w:pStyle w:val="63"/>
              <w:rPr>
                <w:rFonts w:eastAsiaTheme="minorEastAsia"/>
              </w:rPr>
            </w:pPr>
            <w:r>
              <w:rPr>
                <w:rFonts w:eastAsiaTheme="minorEastAsia"/>
              </w:rPr>
              <w:t>京津冀、长三角、珠三角等区域要于2015年底前基本完成燃煤电厂、燃煤锅炉和工业窑炉的污染治理设施建设与改造，完成石化企业有机废气综合治理。</w:t>
            </w:r>
          </w:p>
        </w:tc>
        <w:tc>
          <w:tcPr>
            <w:tcW w:w="1510" w:type="pct"/>
            <w:vAlign w:val="center"/>
          </w:tcPr>
          <w:p>
            <w:pPr>
              <w:pStyle w:val="63"/>
              <w:rPr>
                <w:rFonts w:eastAsiaTheme="minorEastAsia"/>
              </w:rPr>
            </w:pPr>
            <w:r>
              <w:rPr>
                <w:rFonts w:eastAsiaTheme="minorEastAsia"/>
              </w:rPr>
              <w:t>1、园区已淘汰10蒸吨及以下燃煤锅炉。</w:t>
            </w:r>
          </w:p>
          <w:p>
            <w:pPr>
              <w:pStyle w:val="63"/>
              <w:rPr>
                <w:rFonts w:eastAsiaTheme="minorEastAsia"/>
              </w:rPr>
            </w:pPr>
            <w:r>
              <w:rPr>
                <w:rFonts w:eastAsiaTheme="minorEastAsia"/>
              </w:rPr>
              <w:t>2、园区企业落实相关的污染防治措施，污染物做到达标排放。</w:t>
            </w:r>
          </w:p>
          <w:p>
            <w:pPr>
              <w:pStyle w:val="63"/>
              <w:rPr>
                <w:rFonts w:eastAsiaTheme="minorEastAsia"/>
              </w:rPr>
            </w:pPr>
            <w:r>
              <w:rPr>
                <w:rFonts w:hint="eastAsia" w:eastAsiaTheme="minorEastAsia"/>
              </w:rPr>
              <w:t>3</w:t>
            </w:r>
            <w:r>
              <w:rPr>
                <w:rFonts w:eastAsiaTheme="minorEastAsia"/>
              </w:rPr>
              <w:t>、强化源头管控强化和末端治理，确保VOCs达标排放。</w:t>
            </w:r>
          </w:p>
        </w:tc>
        <w:tc>
          <w:tcPr>
            <w:tcW w:w="517"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vAlign w:val="center"/>
          </w:tcPr>
          <w:p>
            <w:pPr>
              <w:pStyle w:val="63"/>
              <w:rPr>
                <w:rFonts w:eastAsiaTheme="minorEastAsia"/>
              </w:rPr>
            </w:pPr>
            <w:r>
              <w:rPr>
                <w:rFonts w:eastAsiaTheme="minorEastAsia"/>
              </w:rPr>
              <w:t>（四）严控“两高”行业新增产能。修订高耗能、高污染和资源性行业准入条件，明确资源能源节约和污染物排放等指标。有条件的地区要制定符合当地功能定位、严于国家要求的产业准入目录。严格控制“两高”行业新增产能，新、改、扩建项目要实行产能等量或减量置换。</w:t>
            </w:r>
          </w:p>
        </w:tc>
        <w:tc>
          <w:tcPr>
            <w:tcW w:w="1510" w:type="pct"/>
            <w:vAlign w:val="center"/>
          </w:tcPr>
          <w:p>
            <w:pPr>
              <w:pStyle w:val="63"/>
              <w:rPr>
                <w:rFonts w:eastAsiaTheme="minorEastAsia"/>
              </w:rPr>
            </w:pPr>
            <w:r>
              <w:rPr>
                <w:rFonts w:eastAsiaTheme="minorEastAsia"/>
              </w:rPr>
              <w:t>1、临湘高新技术产业开发区严格落实严格产业和环境准入，严把新建项目产业政策关，加大产业结构调整力度，产能过剩行业新增产能的项目实行产能等量或减量置换。园区发展不超过本评价的总量控制要求。</w:t>
            </w:r>
          </w:p>
          <w:p>
            <w:pPr>
              <w:pStyle w:val="63"/>
              <w:rPr>
                <w:rFonts w:eastAsiaTheme="minorEastAsia"/>
              </w:rPr>
            </w:pPr>
            <w:r>
              <w:rPr>
                <w:rFonts w:eastAsiaTheme="minorEastAsia"/>
              </w:rPr>
              <w:t>2、园区发展严格执行《产业结构调整指导目录》（2019年本）要求，禁止引进限制类、淘汰类项目。</w:t>
            </w:r>
          </w:p>
        </w:tc>
        <w:tc>
          <w:tcPr>
            <w:tcW w:w="517"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vAlign w:val="center"/>
          </w:tcPr>
          <w:p>
            <w:pPr>
              <w:pStyle w:val="63"/>
              <w:rPr>
                <w:rFonts w:eastAsiaTheme="minorEastAsia"/>
              </w:rPr>
            </w:pPr>
            <w:r>
              <w:rPr>
                <w:rFonts w:eastAsiaTheme="minorEastAsia"/>
              </w:rPr>
              <w:t>（九）全面推行清洁生产。对钢铁、水泥、化工、石化、有色金属冶炼等重点行业进行清洁生产审核，针对节能减排关键领域和薄弱环节，采用先进适用的技术、工艺和装备，实施清洁生产技术改造……。</w:t>
            </w:r>
          </w:p>
        </w:tc>
        <w:tc>
          <w:tcPr>
            <w:tcW w:w="1510" w:type="pct"/>
            <w:vAlign w:val="center"/>
          </w:tcPr>
          <w:p>
            <w:pPr>
              <w:pStyle w:val="63"/>
              <w:rPr>
                <w:rFonts w:eastAsiaTheme="minorEastAsia"/>
              </w:rPr>
            </w:pPr>
            <w:r>
              <w:rPr>
                <w:rFonts w:eastAsiaTheme="minorEastAsia"/>
              </w:rPr>
              <w:t>临湘高新技术产业开发区内的重点企业开展清洁生产审核</w:t>
            </w:r>
          </w:p>
        </w:tc>
        <w:tc>
          <w:tcPr>
            <w:tcW w:w="517"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73" w:type="pct"/>
            <w:vAlign w:val="center"/>
          </w:tcPr>
          <w:p>
            <w:pPr>
              <w:pStyle w:val="63"/>
              <w:rPr>
                <w:rFonts w:eastAsiaTheme="minorEastAsia"/>
              </w:rPr>
            </w:pPr>
            <w:r>
              <w:rPr>
                <w:rFonts w:eastAsiaTheme="minorEastAsia"/>
              </w:rPr>
              <w:t>（十六）调整产业布局。按照主体功能区规划要求，合理确定重点产业发展布局、结构和规模，重大项目原则上布局在优化开发区和重点开发区。</w:t>
            </w:r>
          </w:p>
        </w:tc>
        <w:tc>
          <w:tcPr>
            <w:tcW w:w="1510" w:type="pct"/>
            <w:vAlign w:val="center"/>
          </w:tcPr>
          <w:p>
            <w:pPr>
              <w:pStyle w:val="63"/>
              <w:rPr>
                <w:rFonts w:eastAsiaTheme="minorEastAsia"/>
              </w:rPr>
            </w:pPr>
            <w:r>
              <w:rPr>
                <w:rFonts w:eastAsiaTheme="minorEastAsia"/>
              </w:rPr>
              <w:t>临湘高新技术产业开发区依托已聚集的产业，合理确定重点产业发展布局。城镇建设和工业开发严格限制在资源环境能够承受的特定区域。</w:t>
            </w:r>
          </w:p>
        </w:tc>
        <w:tc>
          <w:tcPr>
            <w:tcW w:w="517" w:type="pct"/>
            <w:vAlign w:val="center"/>
          </w:tcPr>
          <w:p>
            <w:pPr>
              <w:pStyle w:val="63"/>
              <w:rPr>
                <w:rFonts w:eastAsiaTheme="minorEastAsia"/>
              </w:rPr>
            </w:pPr>
            <w:r>
              <w:rPr>
                <w:rFonts w:eastAsiaTheme="minorEastAsia"/>
              </w:rPr>
              <w:t>符合</w:t>
            </w:r>
          </w:p>
        </w:tc>
      </w:tr>
    </w:tbl>
    <w:p>
      <w:pPr>
        <w:pStyle w:val="5"/>
        <w:ind w:firstLine="482"/>
        <w:rPr>
          <w:rFonts w:ascii="Times New Roman" w:hAnsi="Times New Roman" w:cs="Times New Roman" w:eastAsiaTheme="minorEastAsia"/>
        </w:rPr>
      </w:pPr>
      <w:bookmarkStart w:id="422" w:name="_Toc49323811"/>
      <w:bookmarkStart w:id="423" w:name="_Toc50625315"/>
      <w:r>
        <w:rPr>
          <w:rFonts w:ascii="Times New Roman" w:hAnsi="Times New Roman" w:cs="Times New Roman" w:eastAsiaTheme="minorEastAsia"/>
        </w:rPr>
        <w:t>3.3.</w:t>
      </w:r>
      <w:r>
        <w:rPr>
          <w:rFonts w:hint="eastAsia" w:ascii="Times New Roman" w:hAnsi="Times New Roman" w:cs="Times New Roman" w:eastAsiaTheme="minorEastAsia"/>
        </w:rPr>
        <w:t>6</w:t>
      </w:r>
      <w:r>
        <w:rPr>
          <w:rFonts w:ascii="Times New Roman" w:hAnsi="Times New Roman" w:cs="Times New Roman" w:eastAsiaTheme="minorEastAsia"/>
        </w:rPr>
        <w:t>.2 与水污染防治相关规划的相符性分析</w:t>
      </w:r>
      <w:bookmarkEnd w:id="422"/>
      <w:bookmarkEnd w:id="423"/>
    </w:p>
    <w:p>
      <w:pPr>
        <w:spacing w:line="360" w:lineRule="auto"/>
        <w:ind w:firstLine="480" w:firstLineChars="200"/>
        <w:rPr>
          <w:rFonts w:ascii="Times New Roman" w:hAnsi="Times New Roman" w:cs="Times New Roman"/>
        </w:rPr>
      </w:pPr>
      <w:r>
        <w:rPr>
          <w:rFonts w:ascii="Times New Roman" w:hAnsi="Times New Roman" w:cs="Times New Roman"/>
        </w:rPr>
        <w:t>2015年4月2日，国务院印发《水污染防治行动计划》（国发[2015]17号）。具体要求全面控制污染物排放；推动经济结构转型升级；着力节约保护水资源；强化科技支撑；充分发挥市场机制作用；严格环境执法监管；切实加强水环境管理；全力保障水生态环境安全；明确和落实各方责任；强化公众参与和社会监督。</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临湘高新技术产业开发区与《水污染防治行动计划》符合性详见下表。</w:t>
      </w:r>
    </w:p>
    <w:p>
      <w:pPr>
        <w:pStyle w:val="6"/>
        <w:rPr>
          <w:rFonts w:ascii="Times New Roman" w:hAnsi="Times New Roman" w:cs="Times New Roman"/>
        </w:rPr>
      </w:pPr>
      <w:r>
        <w:rPr>
          <w:rFonts w:ascii="Times New Roman" w:hAnsi="Times New Roman" w:cs="Times New Roman"/>
        </w:rPr>
        <w:t>表3.3-</w:t>
      </w:r>
      <w:r>
        <w:rPr>
          <w:rFonts w:hint="eastAsia" w:ascii="Times New Roman" w:hAnsi="Times New Roman" w:cs="Times New Roman"/>
        </w:rPr>
        <w:t>12</w:t>
      </w:r>
      <w:r>
        <w:rPr>
          <w:rFonts w:ascii="Times New Roman" w:hAnsi="Times New Roman" w:cs="Times New Roman"/>
        </w:rPr>
        <w:t xml:space="preserve">   临湘高新技术产业开发区规划与水污染防治相关行动计划的符合性</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34"/>
        <w:gridCol w:w="2685"/>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2658" w:type="pct"/>
            <w:vAlign w:val="center"/>
          </w:tcPr>
          <w:p>
            <w:pPr>
              <w:pStyle w:val="63"/>
              <w:rPr>
                <w:rFonts w:eastAsiaTheme="minorEastAsia"/>
              </w:rPr>
            </w:pPr>
            <w:r>
              <w:rPr>
                <w:rFonts w:eastAsiaTheme="minorEastAsia"/>
              </w:rPr>
              <w:t>《水污染防治行动计划》要求</w:t>
            </w:r>
          </w:p>
        </w:tc>
        <w:tc>
          <w:tcPr>
            <w:tcW w:w="1574" w:type="pct"/>
            <w:vAlign w:val="center"/>
          </w:tcPr>
          <w:p>
            <w:pPr>
              <w:pStyle w:val="63"/>
              <w:rPr>
                <w:rFonts w:eastAsiaTheme="minorEastAsia"/>
              </w:rPr>
            </w:pPr>
            <w:r>
              <w:rPr>
                <w:rFonts w:eastAsiaTheme="minorEastAsia"/>
              </w:rPr>
              <w:t>临湘高新技术产业开发区规划</w:t>
            </w:r>
          </w:p>
        </w:tc>
        <w:tc>
          <w:tcPr>
            <w:tcW w:w="768" w:type="pct"/>
            <w:vAlign w:val="center"/>
          </w:tcPr>
          <w:p>
            <w:pPr>
              <w:pStyle w:val="63"/>
              <w:rPr>
                <w:rFonts w:eastAsiaTheme="minorEastAsia"/>
              </w:rPr>
            </w:pPr>
            <w:r>
              <w:rPr>
                <w:rFonts w:eastAsiaTheme="minorEastAsia"/>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3" w:hRule="atLeast"/>
          <w:jc w:val="center"/>
        </w:trPr>
        <w:tc>
          <w:tcPr>
            <w:tcW w:w="2658" w:type="pct"/>
            <w:vAlign w:val="center"/>
          </w:tcPr>
          <w:p>
            <w:pPr>
              <w:pStyle w:val="63"/>
              <w:rPr>
                <w:rFonts w:eastAsiaTheme="minorEastAsia"/>
              </w:rPr>
            </w:pPr>
            <w:r>
              <w:rPr>
                <w:rFonts w:eastAsiaTheme="minorEastAsia"/>
              </w:rPr>
              <w:t>狠抓工业污染防治：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tc>
        <w:tc>
          <w:tcPr>
            <w:tcW w:w="1574" w:type="pct"/>
            <w:vMerge w:val="restart"/>
            <w:vAlign w:val="center"/>
          </w:tcPr>
          <w:p>
            <w:pPr>
              <w:pStyle w:val="63"/>
              <w:rPr>
                <w:rFonts w:eastAsiaTheme="minorEastAsia"/>
              </w:rPr>
            </w:pPr>
            <w:r>
              <w:rPr>
                <w:rFonts w:eastAsiaTheme="minorEastAsia"/>
              </w:rPr>
              <w:t>1、园区废水经预处理后进入污水处理厂进行处理。</w:t>
            </w:r>
          </w:p>
          <w:p>
            <w:pPr>
              <w:pStyle w:val="63"/>
              <w:rPr>
                <w:rFonts w:eastAsiaTheme="minorEastAsia"/>
              </w:rPr>
            </w:pPr>
            <w:r>
              <w:rPr>
                <w:rFonts w:eastAsiaTheme="minorEastAsia"/>
              </w:rPr>
              <w:t>2、园区污水管网伴随着区域开发同步推进。以建成区已实施了雨污分流、污污分流，路网完善区域修建了雨水、一般工业废水和生活污水收集管网，落实了雨污分流以及污污分流的要求。</w:t>
            </w:r>
          </w:p>
          <w:p>
            <w:pPr>
              <w:pStyle w:val="63"/>
              <w:rPr>
                <w:rFonts w:eastAsiaTheme="minorEastAsia"/>
              </w:rPr>
            </w:pPr>
            <w:r>
              <w:rPr>
                <w:rFonts w:eastAsiaTheme="minorEastAsia"/>
              </w:rPr>
              <w:t>3、临湘高新技术产业开发区各片区废水进入依托或配套的污水处理厂经集中处理后排放，加大废水回用，根据现状监测和环境影响预测园区废水排放满足区域水环境承载力。</w:t>
            </w:r>
          </w:p>
        </w:tc>
        <w:tc>
          <w:tcPr>
            <w:tcW w:w="768"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58" w:type="pct"/>
            <w:vAlign w:val="center"/>
          </w:tcPr>
          <w:p>
            <w:pPr>
              <w:pStyle w:val="63"/>
              <w:rPr>
                <w:rFonts w:eastAsiaTheme="minorEastAsia"/>
              </w:rPr>
            </w:pPr>
            <w:r>
              <w:rPr>
                <w:rFonts w:eastAsiaTheme="minorEastAsia"/>
              </w:rPr>
              <w:t>强化城镇生活污染治理。加快城镇污水处理设施建设与改造。现有城镇污水处理设施，要因地制宜进行改造，2020年底前达到相应排放标准或再生利用要求…全面加强配套管网建设。强化城中村、老旧城区和城乡结合部污水截流、收集。现有合流制排水系统应加快实施雨污分流改造，难以改造的，应采取截流、调蓄和治理等措施。新建污水处理设施的配套管网应同步设计、同步建设、同步投运…</w:t>
            </w:r>
          </w:p>
        </w:tc>
        <w:tc>
          <w:tcPr>
            <w:tcW w:w="1574" w:type="pct"/>
            <w:vMerge w:val="continue"/>
            <w:vAlign w:val="center"/>
          </w:tcPr>
          <w:p>
            <w:pPr>
              <w:pStyle w:val="63"/>
              <w:rPr>
                <w:rFonts w:eastAsiaTheme="minorEastAsia"/>
              </w:rPr>
            </w:pPr>
          </w:p>
        </w:tc>
        <w:tc>
          <w:tcPr>
            <w:tcW w:w="768"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58" w:type="pct"/>
            <w:vAlign w:val="center"/>
          </w:tcPr>
          <w:p>
            <w:pPr>
              <w:pStyle w:val="63"/>
              <w:rPr>
                <w:rFonts w:eastAsiaTheme="minorEastAsia"/>
              </w:rPr>
            </w:pPr>
            <w:r>
              <w:rPr>
                <w:rFonts w:eastAsiaTheme="minorEastAsia"/>
              </w:rPr>
              <w:t>优化空间布局。合理确定发展布局、结构和规模。充分考虑水资源、水环境承载能力，以水定城、以水定地、以水定人、以水定产。重大项目原则上布局在优化开发区和重点开发区，并符合城乡规划和土地利用总体规划。</w:t>
            </w:r>
          </w:p>
        </w:tc>
        <w:tc>
          <w:tcPr>
            <w:tcW w:w="1574" w:type="pct"/>
            <w:vMerge w:val="continue"/>
            <w:vAlign w:val="center"/>
          </w:tcPr>
          <w:p>
            <w:pPr>
              <w:pStyle w:val="63"/>
              <w:rPr>
                <w:rFonts w:eastAsiaTheme="minorEastAsia"/>
              </w:rPr>
            </w:pPr>
          </w:p>
        </w:tc>
        <w:tc>
          <w:tcPr>
            <w:tcW w:w="768" w:type="pct"/>
            <w:vAlign w:val="center"/>
          </w:tcPr>
          <w:p>
            <w:pPr>
              <w:pStyle w:val="63"/>
              <w:rPr>
                <w:rFonts w:eastAsiaTheme="minorEastAsia"/>
              </w:rPr>
            </w:pPr>
            <w:r>
              <w:rPr>
                <w:rFonts w:eastAsiaTheme="minorEastAsia"/>
              </w:rPr>
              <w:t>符合</w:t>
            </w:r>
          </w:p>
        </w:tc>
      </w:tr>
    </w:tbl>
    <w:p>
      <w:pPr>
        <w:spacing w:line="360" w:lineRule="auto"/>
        <w:ind w:firstLine="480" w:firstLineChars="200"/>
        <w:rPr>
          <w:rFonts w:ascii="Times New Roman" w:hAnsi="Times New Roman" w:cs="Times New Roman"/>
        </w:rPr>
      </w:pPr>
      <w:bookmarkStart w:id="424" w:name="_Toc49323812"/>
      <w:bookmarkStart w:id="425" w:name="_Toc50625317"/>
      <w:r>
        <w:rPr>
          <w:rFonts w:ascii="Times New Roman" w:hAnsi="Times New Roman" w:cs="Times New Roman"/>
        </w:rPr>
        <w:t>临湘高新技术产业开发区控制水资源消耗总量和强度，园区企业用水须满足《湖南省用水定额》（DB43T388-2020）等有关用水标准；园区新、改、扩建项目主要水污染物及有毒有害污染物排放的项目实施等量置换，综上所述，临湘高新技术产业开发区在落实上述措施后基本符合《水污染防治行动计划》的相关要求。</w:t>
      </w:r>
    </w:p>
    <w:p>
      <w:pPr>
        <w:pStyle w:val="5"/>
        <w:ind w:firstLine="482"/>
        <w:rPr>
          <w:rFonts w:ascii="Times New Roman" w:hAnsi="Times New Roman" w:cs="Times New Roman" w:eastAsiaTheme="minorEastAsia"/>
        </w:rPr>
      </w:pPr>
      <w:r>
        <w:rPr>
          <w:rFonts w:ascii="Times New Roman" w:hAnsi="Times New Roman" w:cs="Times New Roman" w:eastAsiaTheme="minorEastAsia"/>
        </w:rPr>
        <w:t>3.3.</w:t>
      </w:r>
      <w:r>
        <w:rPr>
          <w:rFonts w:hint="eastAsia" w:ascii="Times New Roman" w:hAnsi="Times New Roman" w:cs="Times New Roman" w:eastAsiaTheme="minorEastAsia"/>
        </w:rPr>
        <w:t>6</w:t>
      </w:r>
      <w:r>
        <w:rPr>
          <w:rFonts w:ascii="Times New Roman" w:hAnsi="Times New Roman" w:cs="Times New Roman" w:eastAsiaTheme="minorEastAsia"/>
        </w:rPr>
        <w:t>.3 与土壤污染防治行动计划及其配套文件的符合性分析</w:t>
      </w:r>
      <w:bookmarkEnd w:id="424"/>
      <w:bookmarkEnd w:id="425"/>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产业布局严格执行相关行业布局选址要求，禁止在居住、商业、学校、医疗、养老机构、人口密集区和公共服务设施等周边新建高污染企业。对于园区后续引进排放重点污染物的项目须进行土壤环境影响评价，并提出防范土壤污染的具体措施。对于涉重企业列为土壤重点排污单位，列入名单的企业要自行开展用地土壤环境监测，结果向社会公开。企业生产的一般工业固体废物经分类回收后，进行综合利用，危险废物交由专业有资质单位进行处置。</w:t>
      </w:r>
    </w:p>
    <w:p>
      <w:pPr>
        <w:spacing w:line="360" w:lineRule="auto"/>
        <w:ind w:firstLine="480" w:firstLineChars="200"/>
        <w:rPr>
          <w:rFonts w:ascii="Times New Roman" w:hAnsi="Times New Roman" w:cs="Times New Roman"/>
        </w:rPr>
      </w:pPr>
      <w:r>
        <w:rPr>
          <w:rFonts w:hint="eastAsia" w:ascii="Times New Roman" w:hAnsi="Times New Roman" w:cs="Times New Roman"/>
        </w:rPr>
        <w:t>针对临湘工业园滨江园区退出化工企业区域污染地块综合治理与修复，</w:t>
      </w:r>
      <w:r>
        <w:rPr>
          <w:rFonts w:ascii="Times New Roman" w:hAnsi="Times New Roman" w:cs="Times New Roman"/>
        </w:rPr>
        <w:t>对于后续引进的涉重企业要求进行场地环境调查；同时加强建设用地准入管理，防范人居环境风险，严格开展用地准入，合理确定土地用途；土地开发利用必须符合土壤环境质量要求；此外，在日常环境管理中应加强</w:t>
      </w:r>
      <w:r>
        <w:fldChar w:fldCharType="begin"/>
      </w:r>
      <w:r>
        <w:instrText xml:space="preserve"> HYPERLINK "http://baike.baidu.com/view/469675.htm" \t "_blank" </w:instrText>
      </w:r>
      <w:r>
        <w:fldChar w:fldCharType="separate"/>
      </w:r>
      <w:r>
        <w:rPr>
          <w:rFonts w:ascii="Times New Roman" w:hAnsi="Times New Roman" w:cs="Times New Roman"/>
        </w:rPr>
        <w:t>污染源</w:t>
      </w:r>
      <w:r>
        <w:rPr>
          <w:rFonts w:ascii="Times New Roman" w:hAnsi="Times New Roman" w:cs="Times New Roman"/>
        </w:rPr>
        <w:fldChar w:fldCharType="end"/>
      </w:r>
      <w:r>
        <w:rPr>
          <w:rFonts w:ascii="Times New Roman" w:hAnsi="Times New Roman" w:cs="Times New Roman"/>
        </w:rPr>
        <w:t>监管，做好土壤污染防治工作。</w:t>
      </w:r>
    </w:p>
    <w:p>
      <w:pPr>
        <w:pStyle w:val="6"/>
        <w:rPr>
          <w:rFonts w:ascii="Times New Roman" w:hAnsi="Times New Roman" w:cs="Times New Roman"/>
        </w:rPr>
      </w:pPr>
      <w:r>
        <w:rPr>
          <w:rFonts w:ascii="Times New Roman" w:hAnsi="Times New Roman" w:cs="Times New Roman"/>
        </w:rPr>
        <w:t>表3.3-1</w:t>
      </w:r>
      <w:r>
        <w:rPr>
          <w:rFonts w:hint="eastAsia" w:ascii="Times New Roman" w:hAnsi="Times New Roman" w:cs="Times New Roman"/>
        </w:rPr>
        <w:t>3</w:t>
      </w:r>
      <w:r>
        <w:rPr>
          <w:rFonts w:ascii="Times New Roman" w:hAnsi="Times New Roman" w:cs="Times New Roman"/>
        </w:rPr>
        <w:t xml:space="preserve">   临湘高新技术产业开发区规划与土壤污染防治工作方案符合性分析</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8"/>
        <w:gridCol w:w="4027"/>
        <w:gridCol w:w="2570"/>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72" w:type="dxa"/>
            <w:gridSpan w:val="2"/>
            <w:vAlign w:val="center"/>
          </w:tcPr>
          <w:p>
            <w:pPr>
              <w:pStyle w:val="63"/>
              <w:rPr>
                <w:rFonts w:eastAsiaTheme="minorEastAsia"/>
              </w:rPr>
            </w:pPr>
            <w:r>
              <w:rPr>
                <w:rFonts w:eastAsiaTheme="minorEastAsia"/>
              </w:rPr>
              <w:t>临武县土壤污染防治工作方案</w:t>
            </w:r>
          </w:p>
        </w:tc>
        <w:tc>
          <w:tcPr>
            <w:tcW w:w="2827" w:type="dxa"/>
            <w:vAlign w:val="center"/>
          </w:tcPr>
          <w:p>
            <w:pPr>
              <w:pStyle w:val="63"/>
              <w:rPr>
                <w:rFonts w:eastAsiaTheme="minorEastAsia"/>
              </w:rPr>
            </w:pPr>
            <w:r>
              <w:rPr>
                <w:rFonts w:eastAsiaTheme="minorEastAsia"/>
              </w:rPr>
              <w:t>临湘高新技术产业开发区规划</w:t>
            </w:r>
          </w:p>
        </w:tc>
        <w:tc>
          <w:tcPr>
            <w:tcW w:w="1069" w:type="dxa"/>
            <w:vAlign w:val="center"/>
          </w:tcPr>
          <w:p>
            <w:pPr>
              <w:pStyle w:val="63"/>
              <w:rPr>
                <w:rFonts w:eastAsiaTheme="minorEastAsia"/>
              </w:rPr>
            </w:pPr>
            <w:r>
              <w:rPr>
                <w:rFonts w:eastAsiaTheme="minorEastAsia"/>
              </w:rPr>
              <w:t>相符性</w:t>
            </w:r>
          </w:p>
          <w:p>
            <w:pPr>
              <w:pStyle w:val="63"/>
              <w:rPr>
                <w:rFonts w:eastAsiaTheme="minorEastAsia"/>
              </w:rPr>
            </w:pPr>
            <w:r>
              <w:rPr>
                <w:rFonts w:eastAsiaTheme="minorEastAsia"/>
              </w:rPr>
              <w:t>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vAlign w:val="center"/>
          </w:tcPr>
          <w:p>
            <w:pPr>
              <w:pStyle w:val="63"/>
              <w:rPr>
                <w:rFonts w:eastAsiaTheme="minorEastAsia"/>
              </w:rPr>
            </w:pPr>
            <w:r>
              <w:rPr>
                <w:rFonts w:eastAsiaTheme="minorEastAsia"/>
              </w:rPr>
              <w:t>强化土壤环境管理，加大土壤污染执法力度</w:t>
            </w:r>
          </w:p>
        </w:tc>
        <w:tc>
          <w:tcPr>
            <w:tcW w:w="4394" w:type="dxa"/>
            <w:vAlign w:val="center"/>
          </w:tcPr>
          <w:p>
            <w:pPr>
              <w:pStyle w:val="63"/>
              <w:rPr>
                <w:rFonts w:eastAsiaTheme="minorEastAsia"/>
              </w:rPr>
            </w:pPr>
            <w:r>
              <w:rPr>
                <w:rFonts w:eastAsiaTheme="minorEastAsia"/>
              </w:rPr>
              <w:t>明确土壤环境监管重点。充分利用环境监测网格，重点监管有色金属冶炼和压延加工、有色金属矿采选、富锰渣冶炼、化工、焦化、电解锰、电镀、制革、危险废物经营等重点行业，重点监控土壤中镉、汞、砷、铅、铬、锑等重金属和多环芳烃、石油烃、卤代烃等有机污染物。加强土壤污染风险防控能力建设。</w:t>
            </w:r>
          </w:p>
        </w:tc>
        <w:tc>
          <w:tcPr>
            <w:tcW w:w="2827" w:type="dxa"/>
            <w:vAlign w:val="center"/>
          </w:tcPr>
          <w:p>
            <w:pPr>
              <w:pStyle w:val="63"/>
              <w:rPr>
                <w:rFonts w:eastAsiaTheme="minorEastAsia"/>
              </w:rPr>
            </w:pPr>
            <w:r>
              <w:rPr>
                <w:rFonts w:eastAsiaTheme="minorEastAsia"/>
              </w:rPr>
              <w:t xml:space="preserve">加强土壤污染风险防控能力建设，园区管委会与当地生态环境局加强涉及重金属污染物排放企业的日常监管。 </w:t>
            </w:r>
          </w:p>
        </w:tc>
        <w:tc>
          <w:tcPr>
            <w:tcW w:w="1069" w:type="dxa"/>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vAlign w:val="center"/>
          </w:tcPr>
          <w:p>
            <w:pPr>
              <w:pStyle w:val="63"/>
              <w:rPr>
                <w:rFonts w:eastAsiaTheme="minorEastAsia"/>
              </w:rPr>
            </w:pPr>
            <w:r>
              <w:rPr>
                <w:rFonts w:eastAsiaTheme="minorEastAsia"/>
              </w:rPr>
              <w:t>加强建设用地准入管理，防范人居环境风险</w:t>
            </w:r>
          </w:p>
        </w:tc>
        <w:tc>
          <w:tcPr>
            <w:tcW w:w="4394" w:type="dxa"/>
            <w:vAlign w:val="center"/>
          </w:tcPr>
          <w:p>
            <w:pPr>
              <w:pStyle w:val="63"/>
              <w:rPr>
                <w:rFonts w:eastAsiaTheme="minorEastAsia"/>
              </w:rPr>
            </w:pPr>
            <w:r>
              <w:rPr>
                <w:rFonts w:eastAsiaTheme="minorEastAsia"/>
              </w:rPr>
              <w:t>1、建立调查评估制度。按照国家关于建设用地土壤环境调查评估技术规定，自2017年起，对拟收回土地使用权的有色金属冶炼和压延加工、有色金属矿采选、化工、焦化、危险废物经营等行业企业用地，以及用途拟变更为居住和商业、学校、医疗、养老机构等公共设施的上述企业用地，由土地使用权人负责开展土壤环境状况调查评估，调查评估结果向市环保局、国土资源局备案……</w:t>
            </w:r>
          </w:p>
          <w:p>
            <w:pPr>
              <w:pStyle w:val="63"/>
              <w:rPr>
                <w:rFonts w:eastAsiaTheme="minorEastAsia"/>
              </w:rPr>
            </w:pPr>
            <w:r>
              <w:rPr>
                <w:rFonts w:eastAsiaTheme="minorEastAsia"/>
              </w:rPr>
              <w:t>2、用途明确管理措施。自2017年起，我市结合土壤污染状况详查情况，根据建设用地土壤环境调查评估及现有重金属污染场地调查结果，逐步建立污染地块名录及其开发利用的负面清单，合理确定土地用途。……。</w:t>
            </w:r>
          </w:p>
          <w:p>
            <w:pPr>
              <w:pStyle w:val="63"/>
              <w:rPr>
                <w:rFonts w:eastAsiaTheme="minorEastAsia"/>
              </w:rPr>
            </w:pPr>
            <w:r>
              <w:rPr>
                <w:rFonts w:eastAsiaTheme="minorEastAsia"/>
              </w:rPr>
              <w:t>3、严格用地准入。将建设用地土壤环境管理要求纳入城市规划和供地管理，土地开发利用必须符合土壤环境质量要求。……</w:t>
            </w:r>
          </w:p>
        </w:tc>
        <w:tc>
          <w:tcPr>
            <w:tcW w:w="2827" w:type="dxa"/>
            <w:vAlign w:val="center"/>
          </w:tcPr>
          <w:p>
            <w:pPr>
              <w:pStyle w:val="63"/>
              <w:rPr>
                <w:rFonts w:eastAsiaTheme="minorEastAsia"/>
              </w:rPr>
            </w:pPr>
            <w:r>
              <w:rPr>
                <w:rFonts w:eastAsiaTheme="minorEastAsia"/>
              </w:rPr>
              <w:t>建议开展园区土壤污染状况调查，对于园区涉及重金属排放、持久性污染物的企业开展土壤污染现状调查，对于后续引进的涉重企业要求进行场地环境调查。</w:t>
            </w:r>
          </w:p>
        </w:tc>
        <w:tc>
          <w:tcPr>
            <w:tcW w:w="1069" w:type="dxa"/>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vAlign w:val="center"/>
          </w:tcPr>
          <w:p>
            <w:pPr>
              <w:pStyle w:val="63"/>
              <w:rPr>
                <w:rFonts w:eastAsiaTheme="minorEastAsia"/>
              </w:rPr>
            </w:pPr>
            <w:r>
              <w:rPr>
                <w:rFonts w:eastAsiaTheme="minorEastAsia"/>
              </w:rPr>
              <w:t>强化未污染土壤保护，严控新增土壤污染</w:t>
            </w:r>
          </w:p>
        </w:tc>
        <w:tc>
          <w:tcPr>
            <w:tcW w:w="4394" w:type="dxa"/>
            <w:vAlign w:val="center"/>
          </w:tcPr>
          <w:p>
            <w:pPr>
              <w:pStyle w:val="63"/>
              <w:rPr>
                <w:rFonts w:eastAsiaTheme="minorEastAsia"/>
              </w:rPr>
            </w:pPr>
            <w:r>
              <w:rPr>
                <w:rFonts w:eastAsiaTheme="minorEastAsia"/>
              </w:rPr>
              <w:t>1、加强未利用地环境管理。按照科学有序原则开发利用未利用地，防止造成土壤污染。</w:t>
            </w:r>
          </w:p>
          <w:p>
            <w:pPr>
              <w:pStyle w:val="63"/>
              <w:rPr>
                <w:rFonts w:eastAsiaTheme="minorEastAsia"/>
              </w:rPr>
            </w:pPr>
            <w:r>
              <w:rPr>
                <w:rFonts w:eastAsiaTheme="minorEastAsia"/>
              </w:rPr>
              <w:t>2、防范建设用地新增污染。排放重点污染物的建设项目，在开展环境影响评价时，要严格落实对土壤环境影响的评价内容，并提出防范土壤污染的具体措施；需要建设的土壤污染防治设施，要与主体工程同时设计、同时施工、同时投产使用；环境保护部门要做好有关措施落实情况的监督管理工作。……</w:t>
            </w:r>
          </w:p>
          <w:p>
            <w:pPr>
              <w:pStyle w:val="63"/>
              <w:rPr>
                <w:rFonts w:eastAsiaTheme="minorEastAsia"/>
              </w:rPr>
            </w:pPr>
            <w:r>
              <w:rPr>
                <w:rFonts w:eastAsiaTheme="minorEastAsia"/>
              </w:rPr>
              <w:t>3、强化空间布局管控。加强规划区划和建设项目布局论证，根据土壤等环境承载能力，合理确定区域功能定位、空间布局。严格执行相关行业企业布局选址要求，禁止在商住、学校、医疗、养老机构、人口密集区和公共服务设施等周边新建有色金属冶炼和压延加工、有色金属矿采选等行业企业。</w:t>
            </w:r>
          </w:p>
        </w:tc>
        <w:tc>
          <w:tcPr>
            <w:tcW w:w="2827" w:type="dxa"/>
            <w:vAlign w:val="center"/>
          </w:tcPr>
          <w:p>
            <w:pPr>
              <w:pStyle w:val="63"/>
              <w:rPr>
                <w:rFonts w:eastAsiaTheme="minorEastAsia"/>
              </w:rPr>
            </w:pPr>
            <w:r>
              <w:rPr>
                <w:rFonts w:eastAsiaTheme="minorEastAsia"/>
              </w:rPr>
              <w:t>加强建设用地准入管理，防范人居环境风险，严格开展用地准入，临湘高新技术产业开发区产业布局严格执行相关行业布局选址要求，禁止在居住、商业、学校、医疗、养老机构、人口密集区和公共服务设施等周边新建有色金属精深加工企业。对于园区后续引进排放重金属重点污染物的项目须进行土壤环境影响评价，并提出防范土壤污染的具体措施，同时开展用地准入，合理确定土地用途，土地开发利用必须符合土壤环境质量要求。</w:t>
            </w:r>
          </w:p>
        </w:tc>
        <w:tc>
          <w:tcPr>
            <w:tcW w:w="1069" w:type="dxa"/>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vAlign w:val="center"/>
          </w:tcPr>
          <w:p>
            <w:pPr>
              <w:pStyle w:val="63"/>
              <w:rPr>
                <w:rFonts w:eastAsiaTheme="minorEastAsia"/>
              </w:rPr>
            </w:pPr>
            <w:r>
              <w:rPr>
                <w:rFonts w:eastAsiaTheme="minorEastAsia"/>
              </w:rPr>
              <w:t>强化污染源监管，遏制土壤污染扩大趋势</w:t>
            </w:r>
          </w:p>
        </w:tc>
        <w:tc>
          <w:tcPr>
            <w:tcW w:w="4394" w:type="dxa"/>
            <w:vAlign w:val="center"/>
          </w:tcPr>
          <w:p>
            <w:pPr>
              <w:pStyle w:val="63"/>
              <w:rPr>
                <w:rFonts w:eastAsiaTheme="minorEastAsia"/>
              </w:rPr>
            </w:pPr>
            <w:r>
              <w:rPr>
                <w:rFonts w:eastAsiaTheme="minorEastAsia"/>
              </w:rPr>
              <w:t>1、严格重点企业与园区土壤环境管控。依据国家相关规定，结合重点企业分布、规模和污染排放情况，确定本辖区土壤环境重点监管企业名单，实行动态管理，并向社会公布。列入名单的企业每年要自行对其用地土壤进行环境监测，监测结果向社会公开。……加强重点工业园区土壤与地下水污染预防预警体系建设试点，建立工业园区大气、水、土壤和地下水预防预警体系。</w:t>
            </w:r>
          </w:p>
          <w:p>
            <w:pPr>
              <w:pStyle w:val="63"/>
              <w:rPr>
                <w:rFonts w:eastAsiaTheme="minorEastAsia"/>
              </w:rPr>
            </w:pPr>
            <w:r>
              <w:rPr>
                <w:rFonts w:eastAsiaTheme="minorEastAsia"/>
              </w:rPr>
              <w:t>2、严格企业各类拆除活动污染防控。有色金属冶炼和压延加工、有色金属矿采选、富锰渣冶炼、化工、焦化、电解锰、电镀、制革、危险废物经营等行业企业拆除生产设施设备、构筑物和污染治理设施，要事先制定残留污染物清理和安全处置方案，并报环保、经信部门备查；要严格按照有关规定实施安全处理处置，防范企业拆除活动污染土壤环境……。</w:t>
            </w:r>
          </w:p>
          <w:p>
            <w:pPr>
              <w:pStyle w:val="63"/>
              <w:rPr>
                <w:rFonts w:eastAsiaTheme="minorEastAsia"/>
              </w:rPr>
            </w:pPr>
            <w:r>
              <w:rPr>
                <w:rFonts w:eastAsiaTheme="minorEastAsia"/>
              </w:rPr>
              <w:t>3、加强涉重金属行业污染防控。严格执行重金属污染物排放标准并落实相关总量控制指标，加大监督检查力度，对整改后仍不达标的企业，依法责令其停业、关闭，并将企业名单向社会公开。</w:t>
            </w:r>
          </w:p>
          <w:p>
            <w:pPr>
              <w:pStyle w:val="63"/>
              <w:rPr>
                <w:rFonts w:eastAsiaTheme="minorEastAsia"/>
              </w:rPr>
            </w:pPr>
            <w:r>
              <w:rPr>
                <w:rFonts w:eastAsiaTheme="minorEastAsia"/>
              </w:rPr>
              <w:t>4、继续淘汰涉重金属重点行业落后产能，执行重金属相关行业准入条件，禁止新建落后产能或产能严重过剩行业的建设项目，鼓励企业采用先进适用清洁生产工艺和技术。</w:t>
            </w:r>
          </w:p>
          <w:p>
            <w:pPr>
              <w:pStyle w:val="63"/>
              <w:rPr>
                <w:rFonts w:eastAsiaTheme="minorEastAsia"/>
              </w:rPr>
            </w:pPr>
            <w:r>
              <w:rPr>
                <w:rFonts w:eastAsiaTheme="minorEastAsia"/>
              </w:rPr>
              <w:t>5、加强工业废物处理处置。全面开展尾矿、煤矸石、工业副产石膏、粉煤灰、冶炼渣、铬渣、砷渣以及废水、废气处理产生固体废物的堆存场所排查和整治，完善防扬散、防流失、防渗漏等设施，制定完成整治方案并有序实施。规范工业废物处理处置活动。进一步健全危险废物源头管控、规范化管理和处置等工作机制，新建危险废物利用设施，企业须全部进入工业园区，现有危险废物经营企业在“十三五”期间完成搬迁入园。加强工业固体废物综合利用……。</w:t>
            </w:r>
          </w:p>
        </w:tc>
        <w:tc>
          <w:tcPr>
            <w:tcW w:w="2827" w:type="dxa"/>
            <w:vAlign w:val="center"/>
          </w:tcPr>
          <w:p>
            <w:pPr>
              <w:pStyle w:val="63"/>
              <w:rPr>
                <w:rFonts w:eastAsiaTheme="minorEastAsia"/>
              </w:rPr>
            </w:pPr>
            <w:r>
              <w:rPr>
                <w:rFonts w:eastAsiaTheme="minorEastAsia"/>
              </w:rPr>
              <w:t>1、对于园区列入土壤环境重点监管企业开展定期土壤环境监测工作，监测结果向社会公布。</w:t>
            </w:r>
          </w:p>
          <w:p>
            <w:pPr>
              <w:pStyle w:val="63"/>
              <w:rPr>
                <w:rFonts w:eastAsiaTheme="minorEastAsia"/>
              </w:rPr>
            </w:pPr>
            <w:r>
              <w:rPr>
                <w:rFonts w:eastAsiaTheme="minorEastAsia"/>
              </w:rPr>
              <w:t>2、园区后续的有色金属精深加工等涉及重金属排放企业在拆除生产设施设备、构筑物和污染治理设施等严格落实土壤防治措施。</w:t>
            </w:r>
          </w:p>
          <w:p>
            <w:pPr>
              <w:pStyle w:val="63"/>
              <w:rPr>
                <w:rFonts w:eastAsiaTheme="minorEastAsia"/>
              </w:rPr>
            </w:pPr>
            <w:r>
              <w:rPr>
                <w:rFonts w:eastAsiaTheme="minorEastAsia"/>
              </w:rPr>
              <w:t>3、园区涉重金属排放企业严格落实项目环评和排污许可重金属排放总量要求。</w:t>
            </w:r>
          </w:p>
          <w:p>
            <w:pPr>
              <w:pStyle w:val="63"/>
              <w:rPr>
                <w:rFonts w:eastAsiaTheme="minorEastAsia"/>
              </w:rPr>
            </w:pPr>
            <w:r>
              <w:rPr>
                <w:rFonts w:eastAsiaTheme="minorEastAsia"/>
              </w:rPr>
              <w:t>4、临湘高新技术产业开发区内的有色金属精深加工企业不涉及国家产业政策的落后生产工艺装备，园区内丰越、华信等冶炼企业已开展了清洁生产改造。</w:t>
            </w:r>
          </w:p>
          <w:p>
            <w:pPr>
              <w:pStyle w:val="63"/>
              <w:rPr>
                <w:rFonts w:eastAsiaTheme="minorEastAsia"/>
              </w:rPr>
            </w:pPr>
            <w:r>
              <w:rPr>
                <w:rFonts w:eastAsiaTheme="minorEastAsia"/>
              </w:rPr>
              <w:t>5、企业生产的一般工业固体废物经分类回收后，进行综合利用，危险废物交由专业有资质单位进行处置，固体废物暂时贮存场所做到防扬散、防流失、防渗漏等设施。</w:t>
            </w:r>
          </w:p>
        </w:tc>
        <w:tc>
          <w:tcPr>
            <w:tcW w:w="1069" w:type="dxa"/>
            <w:vAlign w:val="center"/>
          </w:tcPr>
          <w:p>
            <w:pPr>
              <w:pStyle w:val="63"/>
              <w:rPr>
                <w:rFonts w:eastAsiaTheme="minorEastAsia"/>
              </w:rPr>
            </w:pPr>
            <w:r>
              <w:rPr>
                <w:rFonts w:eastAsiaTheme="minorEastAsia"/>
              </w:rPr>
              <w:t>符合</w:t>
            </w:r>
          </w:p>
        </w:tc>
      </w:tr>
    </w:tbl>
    <w:p>
      <w:pPr>
        <w:pStyle w:val="5"/>
        <w:ind w:firstLine="482"/>
        <w:rPr>
          <w:rFonts w:ascii="Times New Roman" w:hAnsi="Times New Roman" w:cs="Times New Roman" w:eastAsiaTheme="minorEastAsia"/>
        </w:rPr>
      </w:pPr>
      <w:bookmarkStart w:id="426" w:name="_Toc82606992"/>
      <w:bookmarkStart w:id="427" w:name="_Toc484434130"/>
      <w:bookmarkStart w:id="428" w:name="_Toc1552348"/>
      <w:bookmarkStart w:id="429" w:name="_Toc38478424"/>
      <w:bookmarkStart w:id="430" w:name="_Toc43837853"/>
      <w:bookmarkStart w:id="431" w:name="_Toc49323817"/>
      <w:bookmarkStart w:id="432" w:name="_Toc38389595"/>
      <w:bookmarkStart w:id="433" w:name="_Toc50625321"/>
      <w:bookmarkStart w:id="434" w:name="_Toc40253193"/>
      <w:r>
        <w:rPr>
          <w:rFonts w:ascii="Times New Roman" w:hAnsi="Times New Roman" w:cs="Times New Roman" w:eastAsiaTheme="minorEastAsia"/>
        </w:rPr>
        <w:t>3.3.</w:t>
      </w:r>
      <w:r>
        <w:rPr>
          <w:rFonts w:hint="eastAsia" w:ascii="Times New Roman" w:hAnsi="Times New Roman" w:cs="Times New Roman" w:eastAsiaTheme="minorEastAsia"/>
        </w:rPr>
        <w:t>6</w:t>
      </w:r>
      <w:r>
        <w:rPr>
          <w:rFonts w:ascii="Times New Roman" w:hAnsi="Times New Roman" w:cs="Times New Roman" w:eastAsiaTheme="minorEastAsia"/>
        </w:rPr>
        <w:t>.</w:t>
      </w:r>
      <w:r>
        <w:rPr>
          <w:rFonts w:hint="eastAsia" w:ascii="Times New Roman" w:hAnsi="Times New Roman" w:cs="Times New Roman" w:eastAsiaTheme="minorEastAsia"/>
        </w:rPr>
        <w:t>4</w:t>
      </w:r>
      <w:r>
        <w:rPr>
          <w:rFonts w:ascii="Times New Roman" w:hAnsi="Times New Roman" w:cs="Times New Roman" w:eastAsiaTheme="minorEastAsia"/>
        </w:rPr>
        <w:t xml:space="preserve"> 与《湖南省“十四五”生态环境保护规划》相符性分析</w:t>
      </w:r>
    </w:p>
    <w:p>
      <w:pPr>
        <w:widowControl/>
        <w:spacing w:line="360" w:lineRule="auto"/>
        <w:ind w:firstLine="480" w:firstLineChars="200"/>
        <w:jc w:val="left"/>
        <w:rPr>
          <w:rFonts w:ascii="Times New Roman" w:hAnsi="Times New Roman" w:cs="Times New Roman"/>
          <w:kern w:val="0"/>
          <w:szCs w:val="20"/>
        </w:rPr>
      </w:pPr>
      <w:r>
        <w:rPr>
          <w:rFonts w:ascii="Times New Roman" w:hAnsi="Times New Roman" w:cs="Times New Roman"/>
          <w:kern w:val="0"/>
          <w:szCs w:val="20"/>
        </w:rPr>
        <w:t>2021年9月，湖南省人民政府办公厅关于印发《湖南省“十四五”生态环境保护规划》的通知（湘政办发〔2021〕61号），本次评价将园区规划对照其文件，园区规划建设与《湖南省“十四五”生态环境保护规划》相符，具体见下表。</w:t>
      </w:r>
    </w:p>
    <w:p>
      <w:pPr>
        <w:pStyle w:val="6"/>
        <w:rPr>
          <w:rFonts w:ascii="Times New Roman" w:hAnsi="Times New Roman" w:cs="Times New Roman"/>
        </w:rPr>
      </w:pPr>
      <w:r>
        <w:rPr>
          <w:rFonts w:ascii="Times New Roman" w:hAnsi="Times New Roman" w:cs="Times New Roman"/>
        </w:rPr>
        <w:t>表3.3-1</w:t>
      </w:r>
      <w:r>
        <w:rPr>
          <w:rFonts w:hint="eastAsia" w:ascii="Times New Roman" w:hAnsi="Times New Roman" w:cs="Times New Roman"/>
        </w:rPr>
        <w:t>4</w:t>
      </w:r>
      <w:r>
        <w:rPr>
          <w:rFonts w:ascii="Times New Roman" w:hAnsi="Times New Roman" w:cs="Times New Roman"/>
        </w:rPr>
        <w:t xml:space="preserve">  与《湖南省“十四五”生态环境保护规划》的相符性</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4305"/>
        <w:gridCol w:w="2903"/>
        <w:gridCol w:w="6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94" w:type="pct"/>
            <w:gridSpan w:val="2"/>
            <w:vAlign w:val="center"/>
          </w:tcPr>
          <w:p>
            <w:pPr>
              <w:pStyle w:val="63"/>
              <w:rPr>
                <w:rFonts w:eastAsiaTheme="minorEastAsia"/>
              </w:rPr>
            </w:pPr>
            <w:r>
              <w:rPr>
                <w:rFonts w:eastAsiaTheme="minorEastAsia"/>
              </w:rPr>
              <w:t>湖南省“十四五”生态环境保护规划</w:t>
            </w:r>
          </w:p>
        </w:tc>
        <w:tc>
          <w:tcPr>
            <w:tcW w:w="1703" w:type="pct"/>
            <w:vAlign w:val="center"/>
          </w:tcPr>
          <w:p>
            <w:pPr>
              <w:pStyle w:val="63"/>
              <w:rPr>
                <w:rFonts w:eastAsiaTheme="minorEastAsia"/>
              </w:rPr>
            </w:pPr>
            <w:r>
              <w:rPr>
                <w:rFonts w:eastAsiaTheme="minorEastAsia"/>
              </w:rPr>
              <w:t>临湘高新技术产业开发区规划</w:t>
            </w:r>
          </w:p>
        </w:tc>
        <w:tc>
          <w:tcPr>
            <w:tcW w:w="403" w:type="pct"/>
            <w:vAlign w:val="center"/>
          </w:tcPr>
          <w:p>
            <w:pPr>
              <w:pStyle w:val="63"/>
              <w:rPr>
                <w:rFonts w:eastAsiaTheme="minorEastAsia"/>
              </w:rPr>
            </w:pPr>
            <w:r>
              <w:rPr>
                <w:rFonts w:eastAsiaTheme="minorEastAsia"/>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restart"/>
            <w:vAlign w:val="center"/>
          </w:tcPr>
          <w:p>
            <w:pPr>
              <w:pStyle w:val="63"/>
              <w:rPr>
                <w:rFonts w:eastAsiaTheme="minorEastAsia"/>
              </w:rPr>
            </w:pPr>
            <w:r>
              <w:rPr>
                <w:rFonts w:eastAsiaTheme="minorEastAsia"/>
              </w:rPr>
              <w:t>三、致力绿色低碳循环发展</w:t>
            </w:r>
          </w:p>
        </w:tc>
        <w:tc>
          <w:tcPr>
            <w:tcW w:w="2525" w:type="pct"/>
            <w:vAlign w:val="center"/>
          </w:tcPr>
          <w:p>
            <w:pPr>
              <w:pStyle w:val="63"/>
              <w:jc w:val="both"/>
              <w:rPr>
                <w:rFonts w:eastAsiaTheme="minorEastAsia"/>
                <w:b/>
              </w:rPr>
            </w:pPr>
            <w:r>
              <w:rPr>
                <w:rFonts w:eastAsiaTheme="minorEastAsia"/>
                <w:b/>
              </w:rPr>
              <w:t>（一）优化国土空间保护格局。</w:t>
            </w:r>
          </w:p>
          <w:p>
            <w:pPr>
              <w:pStyle w:val="63"/>
              <w:jc w:val="both"/>
              <w:rPr>
                <w:rFonts w:eastAsiaTheme="minorEastAsia"/>
              </w:rPr>
            </w:pPr>
            <w:r>
              <w:rPr>
                <w:rFonts w:eastAsiaTheme="minorEastAsia"/>
                <w:b/>
                <w:bCs/>
              </w:rPr>
              <w:t>落实主体功能区战略</w:t>
            </w:r>
            <w:r>
              <w:rPr>
                <w:rFonts w:eastAsiaTheme="minorEastAsia"/>
              </w:rPr>
              <w:t>。坚持保护优先，立足资源环境承载力，合理划分城市化发展区、农产品主产区、重点生态功能区，发挥各地比较优势，实施国土空间资源的差异化配置，推动形成以主体功能明显、优势互补、高质量发展的国土空间开发保护新格局，保护永久基本农田和生态空间。</w:t>
            </w:r>
          </w:p>
          <w:p>
            <w:pPr>
              <w:pStyle w:val="63"/>
              <w:jc w:val="both"/>
              <w:rPr>
                <w:rFonts w:eastAsiaTheme="minorEastAsia"/>
              </w:rPr>
            </w:pPr>
            <w:r>
              <w:rPr>
                <w:rFonts w:eastAsiaTheme="minorEastAsia"/>
                <w:b/>
                <w:bCs/>
              </w:rPr>
              <w:t>强化国土空间分区管控</w:t>
            </w:r>
            <w:r>
              <w:rPr>
                <w:rFonts w:eastAsiaTheme="minorEastAsia"/>
              </w:rPr>
              <w:t>。统筹划定生态保护红线、永久基本农田和城镇开发边界三条控制线，合理安排生产、生活、生态空间，形成科学适度有序的国土空间布局体系，减少人类活动对自然空间的占用。</w:t>
            </w:r>
          </w:p>
        </w:tc>
        <w:tc>
          <w:tcPr>
            <w:tcW w:w="1703" w:type="pct"/>
            <w:vAlign w:val="center"/>
          </w:tcPr>
          <w:p>
            <w:pPr>
              <w:pStyle w:val="63"/>
              <w:jc w:val="both"/>
              <w:rPr>
                <w:rFonts w:eastAsiaTheme="minorEastAsia"/>
              </w:rPr>
            </w:pPr>
            <w:r>
              <w:rPr>
                <w:rFonts w:eastAsiaTheme="minorEastAsia"/>
              </w:rPr>
              <w:t>1、园内的用地为重点开发区域，执行重点开发区的环境政策要求。</w:t>
            </w:r>
          </w:p>
          <w:p>
            <w:pPr>
              <w:pStyle w:val="63"/>
              <w:jc w:val="both"/>
              <w:rPr>
                <w:rFonts w:eastAsiaTheme="minorEastAsia"/>
              </w:rPr>
            </w:pPr>
            <w:r>
              <w:rPr>
                <w:rFonts w:eastAsiaTheme="minorEastAsia"/>
              </w:rPr>
              <w:t>2、园区规划范围不涉及生态保护红线，属于</w:t>
            </w:r>
            <w:r>
              <w:rPr>
                <w:rFonts w:hint="eastAsia" w:eastAsiaTheme="minorEastAsia"/>
              </w:rPr>
              <w:t>临湘市</w:t>
            </w:r>
            <w:r>
              <w:rPr>
                <w:rFonts w:eastAsiaTheme="minorEastAsia"/>
              </w:rPr>
              <w:t>国土空间规划城镇开发边界内。</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（二）推动形成绿色生产方式。</w:t>
            </w:r>
          </w:p>
          <w:p>
            <w:pPr>
              <w:pStyle w:val="63"/>
              <w:jc w:val="both"/>
              <w:rPr>
                <w:rFonts w:eastAsiaTheme="minorEastAsia"/>
              </w:rPr>
            </w:pPr>
            <w:r>
              <w:rPr>
                <w:rFonts w:eastAsiaTheme="minorEastAsia"/>
                <w:b/>
                <w:bCs/>
              </w:rPr>
              <w:t>推动产业结构绿色转型。</w:t>
            </w:r>
            <w:r>
              <w:rPr>
                <w:rFonts w:eastAsiaTheme="minorEastAsia"/>
                <w:bCs/>
              </w:rPr>
              <w:t>加快建设绿色制造体系，持续推进工业新兴优势产业链和“3+3+2”重点产业领域建设，</w:t>
            </w:r>
            <w:r>
              <w:rPr>
                <w:rFonts w:eastAsiaTheme="minorEastAsia"/>
                <w:b/>
                <w:bCs/>
              </w:rPr>
              <w:t>围绕碳达峰、碳中和目标</w:t>
            </w:r>
            <w:r>
              <w:rPr>
                <w:rFonts w:eastAsiaTheme="minorEastAsia"/>
                <w:bCs/>
              </w:rPr>
              <w:t>，在污染治理、资源综合利用、先进储能、燃料电池、碳捕集利用封存等方面突破一批关键技术。制定全省清洁生产审核实施方案，深入推进能源、冶金、焦化、建材、有色、化工、印染、造纸、原料药、电镀、农副食品加工、工业涂装、包装印刷等行业强制性清洁生产审核，到2025年，全部落实强制性清洁生产审核方案要求，推动重点行业完成限制类产能装备的升级改造。积极推进建材、化工、铸造、印染、电镀加工制造等产业集群提升改造，提高产业集约化、绿色化发展水平，积极探索工业园区和企业集群清洁生产审核试点。</w:t>
            </w:r>
          </w:p>
          <w:p>
            <w:pPr>
              <w:pStyle w:val="63"/>
              <w:jc w:val="both"/>
              <w:rPr>
                <w:rFonts w:eastAsiaTheme="minorEastAsia"/>
              </w:rPr>
            </w:pPr>
            <w:r>
              <w:rPr>
                <w:rFonts w:eastAsiaTheme="minorEastAsia"/>
                <w:b/>
                <w:bCs/>
              </w:rPr>
              <w:t>推动资源高效循环利用</w:t>
            </w:r>
            <w:r>
              <w:rPr>
                <w:rFonts w:eastAsiaTheme="minorEastAsia"/>
              </w:rPr>
              <w:t>。加强工业生产用水、用能全过程管理，提高水资源、能源利用效率，严格实行用水、用能总量和强度管理，开展工业能效、水效“领跑者”制度。推进工业园区循环化改造，……资源综合利用、能量梯级利用、水资源循环使用。</w:t>
            </w:r>
          </w:p>
        </w:tc>
        <w:tc>
          <w:tcPr>
            <w:tcW w:w="1703" w:type="pct"/>
            <w:vAlign w:val="center"/>
          </w:tcPr>
          <w:p>
            <w:pPr>
              <w:pStyle w:val="63"/>
              <w:jc w:val="both"/>
              <w:rPr>
                <w:rFonts w:eastAsiaTheme="minorEastAsia"/>
                <w:bCs/>
              </w:rPr>
            </w:pPr>
            <w:r>
              <w:rPr>
                <w:rFonts w:eastAsiaTheme="minorEastAsia"/>
              </w:rPr>
              <w:t>1、</w:t>
            </w:r>
            <w:r>
              <w:rPr>
                <w:rFonts w:eastAsiaTheme="minorEastAsia"/>
                <w:bCs/>
              </w:rPr>
              <w:t>积极推进园区内的企业开展清洁生产审核，园区提升产业集群提升改造，提高产业集约化、绿色化发展水平，积极探索工业园区和企业集群清洁生产审核试点。</w:t>
            </w:r>
          </w:p>
          <w:p>
            <w:pPr>
              <w:pStyle w:val="63"/>
              <w:jc w:val="both"/>
              <w:rPr>
                <w:rFonts w:eastAsiaTheme="minorEastAsia"/>
                <w:bCs/>
              </w:rPr>
            </w:pPr>
            <w:r>
              <w:rPr>
                <w:rFonts w:eastAsiaTheme="minorEastAsia"/>
                <w:bCs/>
              </w:rPr>
              <w:t>2、园区</w:t>
            </w:r>
            <w:r>
              <w:rPr>
                <w:rFonts w:eastAsiaTheme="minorEastAsia"/>
              </w:rPr>
              <w:t>加强工业生产用水、用能全过程管理，提高水资源、能源利用效率，严格实行用水、用能总量和强度管理，开展工业能效、水效“领跑者”制度。</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（五）严格生态环境准入。</w:t>
            </w:r>
          </w:p>
          <w:p>
            <w:pPr>
              <w:pStyle w:val="63"/>
              <w:jc w:val="both"/>
              <w:rPr>
                <w:rFonts w:eastAsiaTheme="minorEastAsia"/>
              </w:rPr>
            </w:pPr>
            <w:r>
              <w:rPr>
                <w:rFonts w:eastAsiaTheme="minorEastAsia"/>
                <w:b/>
                <w:bCs/>
              </w:rPr>
              <w:t>严格生态环境分区引导</w:t>
            </w:r>
            <w:r>
              <w:rPr>
                <w:rFonts w:eastAsiaTheme="minorEastAsia"/>
              </w:rPr>
              <w:t>。严格落实湖南省“三线一单”生态环境总体管控要求，将生态保护红线、环境质量底线、资源利用上线和生态环境准入清单作为硬约束落实到环境管控单元，……加强“三线一单”与国土空间规划的衔接，区域资源开发、产业布局和结构调整、城镇建设、重大项目选址应以“三线一单”确定的环境管控单元及生态环境准入清单作为重要依据，加强省级以上产业园区生态环境准入管理</w:t>
            </w:r>
          </w:p>
          <w:p>
            <w:pPr>
              <w:pStyle w:val="63"/>
              <w:jc w:val="both"/>
              <w:rPr>
                <w:rFonts w:eastAsiaTheme="minorEastAsia"/>
              </w:rPr>
            </w:pPr>
            <w:r>
              <w:rPr>
                <w:rFonts w:eastAsiaTheme="minorEastAsia"/>
                <w:b/>
                <w:bCs/>
              </w:rPr>
              <w:t>加强规划环境影响评价</w:t>
            </w:r>
            <w:r>
              <w:rPr>
                <w:rFonts w:eastAsiaTheme="minorEastAsia"/>
              </w:rPr>
              <w:t>。严格执行以环评制度为主体的生态环境源头预防制度……考虑底线约束、空间管制、总量管控和生态环境准入，统筹区域空间布局与生态安全格局。严格审查涉“两高”行业的有关综合性规划和工业、能源等专项规划，严格控制“两高”行业发展规模，优化规划布局、产业结构与实施时序。加强规划环评对建设项目环评工作的指导和约束，推动规划环评成果落实。</w:t>
            </w:r>
          </w:p>
          <w:p>
            <w:pPr>
              <w:pStyle w:val="63"/>
              <w:jc w:val="both"/>
              <w:rPr>
                <w:rFonts w:eastAsiaTheme="minorEastAsia"/>
              </w:rPr>
            </w:pPr>
            <w:r>
              <w:rPr>
                <w:rFonts w:eastAsiaTheme="minorEastAsia"/>
                <w:b/>
                <w:bCs/>
              </w:rPr>
              <w:t>全面实行排污许可制度</w:t>
            </w:r>
            <w:r>
              <w:rPr>
                <w:rFonts w:eastAsiaTheme="minorEastAsia"/>
              </w:rPr>
              <w:t>。推动构建以排污许可制为核心的固定污染源监管制度体系，实现固定污染源排污许可全覆盖，推动工业固体废物、土壤环境要素全覆盖，探索将碳排放纳入排污许可管理内容。依托排污许可证实施企事业单位污染物排放总量指标分配、监管和考核……。</w:t>
            </w:r>
          </w:p>
        </w:tc>
        <w:tc>
          <w:tcPr>
            <w:tcW w:w="1703" w:type="pct"/>
            <w:vAlign w:val="center"/>
          </w:tcPr>
          <w:p>
            <w:pPr>
              <w:pStyle w:val="63"/>
              <w:jc w:val="both"/>
              <w:rPr>
                <w:rFonts w:eastAsiaTheme="minorEastAsia"/>
              </w:rPr>
            </w:pPr>
            <w:r>
              <w:rPr>
                <w:rFonts w:eastAsiaTheme="minorEastAsia"/>
              </w:rPr>
              <w:t>1、园区严格落实湖南省、</w:t>
            </w:r>
            <w:r>
              <w:rPr>
                <w:rFonts w:hint="eastAsia" w:eastAsiaTheme="minorEastAsia"/>
              </w:rPr>
              <w:t>岳阳</w:t>
            </w:r>
            <w:r>
              <w:rPr>
                <w:rFonts w:eastAsiaTheme="minorEastAsia"/>
              </w:rPr>
              <w:t>市“三线一单”生态环境总体管控要求，园区发展须满足生态保护红线、环境质量底线、资源利用上线和生态环境准入清单等管控要求。</w:t>
            </w:r>
          </w:p>
          <w:p>
            <w:pPr>
              <w:pStyle w:val="63"/>
              <w:jc w:val="both"/>
              <w:rPr>
                <w:rFonts w:eastAsiaTheme="minorEastAsia"/>
              </w:rPr>
            </w:pPr>
            <w:r>
              <w:rPr>
                <w:rFonts w:eastAsiaTheme="minorEastAsia"/>
              </w:rPr>
              <w:t>2、园区后续发展符合规划环评提出管控要求。</w:t>
            </w:r>
          </w:p>
          <w:p>
            <w:pPr>
              <w:pStyle w:val="63"/>
              <w:jc w:val="both"/>
              <w:rPr>
                <w:rFonts w:eastAsiaTheme="minorEastAsia"/>
              </w:rPr>
            </w:pPr>
            <w:r>
              <w:rPr>
                <w:rFonts w:eastAsiaTheme="minorEastAsia"/>
              </w:rPr>
              <w:t>3、园区企业根据固定污染源管理要求落实排污许可要求，园区企业污染物达标排放，评价要求重点行业、重点项目积极开展碳排放评价。</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restart"/>
            <w:vAlign w:val="center"/>
          </w:tcPr>
          <w:p>
            <w:pPr>
              <w:pStyle w:val="63"/>
              <w:rPr>
                <w:rFonts w:eastAsiaTheme="minorEastAsia"/>
              </w:rPr>
            </w:pPr>
            <w:r>
              <w:rPr>
                <w:rFonts w:eastAsiaTheme="minorEastAsia"/>
              </w:rPr>
              <w:t>四、深入打好污染防治攻坚战</w:t>
            </w:r>
          </w:p>
        </w:tc>
        <w:tc>
          <w:tcPr>
            <w:tcW w:w="2525" w:type="pct"/>
            <w:vAlign w:val="center"/>
          </w:tcPr>
          <w:p>
            <w:pPr>
              <w:pStyle w:val="63"/>
              <w:jc w:val="both"/>
              <w:rPr>
                <w:rFonts w:eastAsiaTheme="minorEastAsia"/>
                <w:b/>
              </w:rPr>
            </w:pPr>
            <w:r>
              <w:rPr>
                <w:rFonts w:eastAsiaTheme="minorEastAsia"/>
                <w:b/>
              </w:rPr>
              <w:t>（一）深入打好碧水保卫战。</w:t>
            </w:r>
          </w:p>
          <w:p>
            <w:pPr>
              <w:pStyle w:val="63"/>
              <w:jc w:val="both"/>
              <w:rPr>
                <w:rFonts w:eastAsiaTheme="minorEastAsia"/>
                <w:lang w:bidi="ar"/>
              </w:rPr>
            </w:pPr>
            <w:r>
              <w:rPr>
                <w:rFonts w:eastAsiaTheme="minorEastAsia"/>
                <w:b/>
                <w:bCs/>
                <w:lang w:eastAsia="zh-Hans"/>
              </w:rPr>
              <w:t>深化</w:t>
            </w:r>
            <w:r>
              <w:rPr>
                <w:rFonts w:eastAsiaTheme="minorEastAsia"/>
                <w:b/>
                <w:bCs/>
              </w:rPr>
              <w:t>重点领域水</w:t>
            </w:r>
            <w:r>
              <w:rPr>
                <w:rFonts w:eastAsiaTheme="minorEastAsia"/>
                <w:b/>
                <w:bCs/>
                <w:lang w:eastAsia="zh-Hans"/>
              </w:rPr>
              <w:t>污染</w:t>
            </w:r>
            <w:r>
              <w:rPr>
                <w:rFonts w:eastAsiaTheme="minorEastAsia"/>
                <w:b/>
                <w:bCs/>
              </w:rPr>
              <w:t>治理</w:t>
            </w:r>
            <w:r>
              <w:rPr>
                <w:rFonts w:eastAsiaTheme="minorEastAsia"/>
                <w:lang w:eastAsia="zh-Hans"/>
              </w:rPr>
              <w:t>。以企业和工业聚集区为重点，推进工业园区污水处理设施分类管理、分期升级改造，实施省级及以上工业园区专项整治行动</w:t>
            </w:r>
            <w:r>
              <w:rPr>
                <w:rFonts w:eastAsiaTheme="minorEastAsia"/>
              </w:rPr>
              <w:t>，实现</w:t>
            </w:r>
            <w:r>
              <w:rPr>
                <w:rFonts w:eastAsiaTheme="minorEastAsia"/>
                <w:lang w:eastAsia="zh-Hans"/>
              </w:rPr>
              <w:t>省级及以上工业园区污水管网全覆盖、污水全收集、污水集中处理设施稳定达标运行、</w:t>
            </w:r>
            <w:r>
              <w:rPr>
                <w:rFonts w:eastAsiaTheme="minorEastAsia"/>
              </w:rPr>
              <w:t>进出水水质在线监控并联网正常</w:t>
            </w:r>
            <w:r>
              <w:rPr>
                <w:rFonts w:eastAsiaTheme="minorEastAsia"/>
                <w:lang w:eastAsia="zh-Hans"/>
              </w:rPr>
              <w:t>，规范设置园区集中污水处理设施排污口，建立园区水环境管理“一园一档”。</w:t>
            </w:r>
            <w:r>
              <w:rPr>
                <w:rFonts w:eastAsiaTheme="minorEastAsia"/>
                <w:lang w:bidi="ar"/>
              </w:rPr>
              <w:t>加强涉重金属行业企业废水治理，推进重点行业氨氮和总磷排放总量控制</w:t>
            </w:r>
            <w:r>
              <w:rPr>
                <w:rFonts w:eastAsiaTheme="minorEastAsia"/>
                <w:lang w:eastAsia="zh-Hans"/>
              </w:rPr>
              <w:t>。</w:t>
            </w:r>
          </w:p>
        </w:tc>
        <w:tc>
          <w:tcPr>
            <w:tcW w:w="1703" w:type="pct"/>
            <w:vAlign w:val="center"/>
          </w:tcPr>
          <w:p>
            <w:pPr>
              <w:pStyle w:val="63"/>
              <w:jc w:val="both"/>
              <w:rPr>
                <w:rFonts w:eastAsiaTheme="minorEastAsia"/>
              </w:rPr>
            </w:pPr>
            <w:r>
              <w:rPr>
                <w:rFonts w:eastAsiaTheme="minorEastAsia"/>
              </w:rPr>
              <w:t>1、园区</w:t>
            </w:r>
            <w:r>
              <w:rPr>
                <w:rFonts w:hint="eastAsia" w:eastAsiaTheme="minorEastAsia"/>
              </w:rPr>
              <w:t>三湾产业园、建材产业园污水依托临湘市污水净化中心处理，滨江片区污水纳入工业污水处理厂进行处理，</w:t>
            </w:r>
            <w:r>
              <w:rPr>
                <w:rFonts w:eastAsiaTheme="minorEastAsia"/>
              </w:rPr>
              <w:t>工业污水处理厂排污口已取得入河排污口设置批复。</w:t>
            </w:r>
          </w:p>
        </w:tc>
        <w:tc>
          <w:tcPr>
            <w:tcW w:w="403" w:type="pct"/>
            <w:vAlign w:val="center"/>
          </w:tcPr>
          <w:p>
            <w:pPr>
              <w:pStyle w:val="63"/>
              <w:jc w:val="both"/>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（二）深入打好蓝天保卫战。</w:t>
            </w:r>
          </w:p>
          <w:p>
            <w:pPr>
              <w:pStyle w:val="63"/>
              <w:jc w:val="both"/>
              <w:rPr>
                <w:rFonts w:eastAsiaTheme="minorEastAsia"/>
                <w:b/>
                <w:bCs/>
              </w:rPr>
            </w:pPr>
            <w:r>
              <w:rPr>
                <w:rFonts w:eastAsiaTheme="minorEastAsia"/>
                <w:b/>
                <w:bCs/>
              </w:rPr>
              <w:t>推进</w:t>
            </w:r>
            <w:r>
              <w:rPr>
                <w:rFonts w:eastAsiaTheme="minorEastAsia"/>
                <w:b/>
                <w:bCs/>
                <w:lang w:val="en"/>
              </w:rPr>
              <w:t>PM</w:t>
            </w:r>
            <w:r>
              <w:rPr>
                <w:rFonts w:eastAsiaTheme="minorEastAsia"/>
                <w:b/>
                <w:bCs/>
                <w:vertAlign w:val="subscript"/>
              </w:rPr>
              <w:t>2.5</w:t>
            </w:r>
            <w:r>
              <w:rPr>
                <w:rFonts w:eastAsiaTheme="minorEastAsia"/>
                <w:b/>
                <w:bCs/>
              </w:rPr>
              <w:t>与臭氧协同治理</w:t>
            </w:r>
            <w:r>
              <w:rPr>
                <w:rFonts w:eastAsiaTheme="minorEastAsia"/>
              </w:rPr>
              <w:t>。</w:t>
            </w:r>
            <w:r>
              <w:rPr>
                <w:rFonts w:eastAsiaTheme="minorEastAsia"/>
                <w:b/>
                <w:bCs/>
              </w:rPr>
              <w:t>强化重点行业NOx深度治理。</w:t>
            </w:r>
            <w:r>
              <w:rPr>
                <w:rFonts w:eastAsiaTheme="minorEastAsia"/>
                <w:b/>
              </w:rPr>
              <w:t>强化扬尘污染精准科学管控</w:t>
            </w:r>
            <w:r>
              <w:rPr>
                <w:rFonts w:eastAsiaTheme="minorEastAsia"/>
              </w:rPr>
              <w:t>。</w:t>
            </w:r>
          </w:p>
          <w:p>
            <w:pPr>
              <w:pStyle w:val="63"/>
              <w:jc w:val="both"/>
              <w:rPr>
                <w:rFonts w:eastAsiaTheme="minorEastAsia"/>
              </w:rPr>
            </w:pPr>
            <w:r>
              <w:rPr>
                <w:rFonts w:eastAsiaTheme="minorEastAsia"/>
                <w:b/>
                <w:bCs/>
              </w:rPr>
              <w:t>强化重点行业VOCs科学治理</w:t>
            </w:r>
            <w:r>
              <w:rPr>
                <w:rFonts w:eastAsiaTheme="minorEastAsia"/>
                <w:b/>
                <w:bCs/>
                <w:spacing w:val="4"/>
                <w:w w:val="95"/>
              </w:rPr>
              <w:t>。</w:t>
            </w:r>
            <w:r>
              <w:rPr>
                <w:rFonts w:eastAsiaTheme="minorEastAsia"/>
              </w:rPr>
              <w:t>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实行重点排放源排放浓度与去除效率双重控制</w:t>
            </w:r>
          </w:p>
        </w:tc>
        <w:tc>
          <w:tcPr>
            <w:tcW w:w="1703" w:type="pct"/>
            <w:vAlign w:val="center"/>
          </w:tcPr>
          <w:p>
            <w:pPr>
              <w:pStyle w:val="63"/>
              <w:jc w:val="both"/>
              <w:rPr>
                <w:rFonts w:eastAsiaTheme="minorEastAsia"/>
              </w:rPr>
            </w:pPr>
            <w:r>
              <w:rPr>
                <w:rFonts w:eastAsiaTheme="minorEastAsia"/>
              </w:rPr>
              <w:t>1、园区要求后续入园企业加大低VOCs含量原辅材料的推广使用力度，从源头减少VOCs产生，推进使用先进生产工艺设备，减少无组织排放。</w:t>
            </w:r>
          </w:p>
        </w:tc>
        <w:tc>
          <w:tcPr>
            <w:tcW w:w="403" w:type="pct"/>
            <w:vAlign w:val="center"/>
          </w:tcPr>
          <w:p>
            <w:pPr>
              <w:pStyle w:val="63"/>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（三）深入打好净土保卫战。</w:t>
            </w:r>
          </w:p>
          <w:p>
            <w:pPr>
              <w:pStyle w:val="63"/>
              <w:jc w:val="both"/>
              <w:rPr>
                <w:rFonts w:eastAsiaTheme="minorEastAsia"/>
              </w:rPr>
            </w:pPr>
            <w:r>
              <w:rPr>
                <w:rFonts w:eastAsiaTheme="minorEastAsia"/>
                <w:b/>
                <w:bCs/>
              </w:rPr>
              <w:t>实施土壤环境精细管理</w:t>
            </w:r>
            <w:r>
              <w:rPr>
                <w:rFonts w:eastAsiaTheme="minorEastAsia"/>
              </w:rPr>
              <w:t>。以腾退工矿企业用地、用途变更为住宅和公共管理与公共服务用地的地块为重点，依法开展土壤污染状况调查和风险评估。</w:t>
            </w:r>
          </w:p>
          <w:p>
            <w:pPr>
              <w:pStyle w:val="63"/>
              <w:jc w:val="both"/>
              <w:rPr>
                <w:rFonts w:eastAsiaTheme="minorEastAsia"/>
              </w:rPr>
            </w:pPr>
            <w:r>
              <w:rPr>
                <w:rFonts w:eastAsiaTheme="minorEastAsia"/>
                <w:b/>
                <w:bCs/>
              </w:rPr>
              <w:t>加强土壤污染源头预防</w:t>
            </w:r>
            <w:r>
              <w:rPr>
                <w:rFonts w:eastAsiaTheme="minorEastAsia"/>
              </w:rPr>
              <w:t>。推动污染物与土壤环境、地下水环境之间的协同控制，持续开展固体废物和危险废物贮存场所周边土壤与地下水环境状况调查评估。严格控制涉重金属行业污染物排放。建立土壤污染重点监管单位名录并适时动态更新，鼓励土壤污染重点监管单位因地制宜实施管道化、密闭化改造。</w:t>
            </w:r>
          </w:p>
          <w:p>
            <w:pPr>
              <w:pStyle w:val="63"/>
              <w:jc w:val="both"/>
              <w:rPr>
                <w:rFonts w:eastAsiaTheme="minorEastAsia"/>
              </w:rPr>
            </w:pPr>
            <w:r>
              <w:rPr>
                <w:rFonts w:eastAsiaTheme="minorEastAsia"/>
                <w:b/>
                <w:bCs/>
              </w:rPr>
              <w:t>巩固提升耕地安全水平</w:t>
            </w:r>
            <w:r>
              <w:rPr>
                <w:rFonts w:eastAsiaTheme="minorEastAsia"/>
              </w:rPr>
              <w:t>。加大优先保护类耕地保护力度，确保面积不减少、环境质量不下降；在永久基本农田集中区域，不得规划新建可能造成土壤污染的建设项目。</w:t>
            </w:r>
          </w:p>
          <w:p>
            <w:pPr>
              <w:pStyle w:val="63"/>
              <w:jc w:val="both"/>
              <w:rPr>
                <w:rFonts w:eastAsiaTheme="minorEastAsia"/>
              </w:rPr>
            </w:pPr>
            <w:r>
              <w:rPr>
                <w:rFonts w:eastAsiaTheme="minorEastAsia"/>
                <w:b/>
                <w:bCs/>
              </w:rPr>
              <w:t>严格污染地块准入管理</w:t>
            </w:r>
            <w:r>
              <w:rPr>
                <w:rFonts w:eastAsiaTheme="minorEastAsia"/>
              </w:rPr>
              <w:t>。</w:t>
            </w:r>
          </w:p>
          <w:p>
            <w:pPr>
              <w:pStyle w:val="63"/>
              <w:jc w:val="both"/>
              <w:rPr>
                <w:rFonts w:eastAsiaTheme="minorEastAsia"/>
              </w:rPr>
            </w:pPr>
            <w:r>
              <w:rPr>
                <w:rFonts w:eastAsiaTheme="minorEastAsia"/>
                <w:b/>
                <w:bCs/>
              </w:rPr>
              <w:t>加强地下水环境保护</w:t>
            </w:r>
            <w:r>
              <w:rPr>
                <w:rFonts w:eastAsiaTheme="minorEastAsia"/>
              </w:rPr>
              <w:t>。开展“一企一库”“两场两区”（即化学品生产企业、尾矿库、危险废物处置场、垃圾填埋场、工业集聚区、矿山开采区）地下水环境状况调查评估，评估地下水环境风险。2023年底前，完成一批工业集聚区和危险废物填埋场地下水环境状况调查评估；2025年底前，完成一批其他污染源地下水环境状况调查评估。根据调查评估结果，开展地下水环境状况调查评估及修复试点，控制地下水污染。</w:t>
            </w:r>
          </w:p>
        </w:tc>
        <w:tc>
          <w:tcPr>
            <w:tcW w:w="1703" w:type="pct"/>
            <w:vAlign w:val="center"/>
          </w:tcPr>
          <w:p>
            <w:pPr>
              <w:pStyle w:val="63"/>
              <w:jc w:val="both"/>
              <w:rPr>
                <w:rFonts w:eastAsiaTheme="minorEastAsia"/>
              </w:rPr>
            </w:pPr>
            <w:r>
              <w:rPr>
                <w:rFonts w:eastAsiaTheme="minorEastAsia"/>
              </w:rPr>
              <w:t>1、园区</w:t>
            </w:r>
            <w:r>
              <w:rPr>
                <w:rFonts w:hint="eastAsia" w:eastAsiaTheme="minorEastAsia"/>
              </w:rPr>
              <w:t>退出企业</w:t>
            </w:r>
            <w:r>
              <w:rPr>
                <w:rFonts w:eastAsiaTheme="minorEastAsia"/>
              </w:rPr>
              <w:t>用地开展土壤污染状况调查和风险评估。</w:t>
            </w:r>
          </w:p>
          <w:p>
            <w:pPr>
              <w:pStyle w:val="63"/>
              <w:jc w:val="both"/>
              <w:rPr>
                <w:rFonts w:eastAsiaTheme="minorEastAsia"/>
              </w:rPr>
            </w:pPr>
            <w:r>
              <w:rPr>
                <w:rFonts w:eastAsiaTheme="minorEastAsia"/>
              </w:rPr>
              <w:t>2、园区后续按要求开展地下水、土壤评估调查。</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（五）加强重金属污染防控。</w:t>
            </w:r>
          </w:p>
          <w:p>
            <w:pPr>
              <w:pStyle w:val="63"/>
              <w:jc w:val="both"/>
              <w:rPr>
                <w:rFonts w:eastAsiaTheme="minorEastAsia"/>
              </w:rPr>
            </w:pPr>
            <w:r>
              <w:rPr>
                <w:rFonts w:eastAsiaTheme="minorEastAsia"/>
                <w:b/>
                <w:bCs/>
              </w:rPr>
              <w:t>实施重金属总量控制。</w:t>
            </w:r>
            <w:r>
              <w:rPr>
                <w:rFonts w:eastAsiaTheme="minorEastAsia"/>
              </w:rPr>
              <w:t>聚焦重有色金属采选冶炼、电镀等重点行业和重点区域，坚持严控增量、削减存量，持续推进镉、汞、砷、铅、铬、铊等重点重金属污染防控。严格涉重金属重点行业环境准入，落实重点重金属污染物排放量“等量置换”和“减量替换”原则。加大有色金属、电镀等行业企业生产工艺提升改造力度，积极推进重金属特别排放限值达标改造等污染治理工程，持续减少重金属污染物排放，到2025年，重点行业重点重金属污染物排放量下降5%。</w:t>
            </w:r>
          </w:p>
          <w:p>
            <w:pPr>
              <w:pStyle w:val="63"/>
              <w:jc w:val="both"/>
              <w:rPr>
                <w:rFonts w:eastAsiaTheme="minorEastAsia"/>
              </w:rPr>
            </w:pPr>
            <w:r>
              <w:rPr>
                <w:rFonts w:eastAsiaTheme="minorEastAsia"/>
                <w:b/>
                <w:bCs/>
              </w:rPr>
              <w:t>强化重点行业管控</w:t>
            </w:r>
            <w:r>
              <w:rPr>
                <w:rFonts w:eastAsiaTheme="minorEastAsia"/>
              </w:rPr>
              <w:t>。优化产业布局，继续淘汰涉重金属重点行业落后产能。实施重金属污染整治提升行动，加大生产工艺提升改造力度。强化涉重金属工业园区和重点工矿企业污染物排放及周边环境质量监测，加强环境风险隐患排查。深入推进重点河流湖库、水源地等环境敏感区域周边涉重金属企业污染综合治理。</w:t>
            </w:r>
          </w:p>
        </w:tc>
        <w:tc>
          <w:tcPr>
            <w:tcW w:w="1703" w:type="pct"/>
            <w:vAlign w:val="center"/>
          </w:tcPr>
          <w:p>
            <w:pPr>
              <w:pStyle w:val="63"/>
              <w:jc w:val="both"/>
              <w:rPr>
                <w:rFonts w:eastAsiaTheme="minorEastAsia"/>
              </w:rPr>
            </w:pPr>
            <w:r>
              <w:rPr>
                <w:rFonts w:eastAsiaTheme="minorEastAsia"/>
              </w:rPr>
              <w:t>1、园区目前不涉及重点行业落后产能，评价已要求开展跟踪监测。</w:t>
            </w:r>
          </w:p>
          <w:p>
            <w:pPr>
              <w:pStyle w:val="63"/>
              <w:jc w:val="both"/>
              <w:rPr>
                <w:rFonts w:eastAsiaTheme="minorEastAsia"/>
              </w:rPr>
            </w:pPr>
            <w:r>
              <w:rPr>
                <w:rFonts w:eastAsiaTheme="minorEastAsia"/>
              </w:rPr>
              <w:t>2、园区后续引入项目严格落实重点重金属污染物排放量“等量置换”或“减量替换”原则。</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restart"/>
            <w:vAlign w:val="center"/>
          </w:tcPr>
          <w:p>
            <w:pPr>
              <w:pStyle w:val="63"/>
              <w:rPr>
                <w:rFonts w:eastAsiaTheme="minorEastAsia"/>
              </w:rPr>
            </w:pPr>
            <w:r>
              <w:rPr>
                <w:rFonts w:eastAsiaTheme="minorEastAsia"/>
              </w:rPr>
              <w:t>六、防范化解生态环境风险</w:t>
            </w:r>
          </w:p>
        </w:tc>
        <w:tc>
          <w:tcPr>
            <w:tcW w:w="2525" w:type="pct"/>
            <w:vAlign w:val="center"/>
          </w:tcPr>
          <w:p>
            <w:pPr>
              <w:pStyle w:val="63"/>
              <w:jc w:val="both"/>
              <w:rPr>
                <w:rFonts w:eastAsiaTheme="minorEastAsia"/>
                <w:b/>
              </w:rPr>
            </w:pPr>
            <w:r>
              <w:rPr>
                <w:rFonts w:eastAsiaTheme="minorEastAsia"/>
                <w:b/>
              </w:rPr>
              <w:t>（一）加强危险废物管控。</w:t>
            </w:r>
          </w:p>
          <w:p>
            <w:pPr>
              <w:pStyle w:val="63"/>
              <w:jc w:val="both"/>
              <w:rPr>
                <w:rFonts w:eastAsiaTheme="minorEastAsia"/>
              </w:rPr>
            </w:pPr>
            <w:r>
              <w:rPr>
                <w:rFonts w:eastAsiaTheme="minorEastAsia"/>
                <w:b/>
                <w:bCs/>
              </w:rPr>
              <w:t>加强危险废物全过程监管。</w:t>
            </w:r>
            <w:r>
              <w:rPr>
                <w:rFonts w:eastAsiaTheme="minorEastAsia"/>
              </w:rPr>
              <w:t>在环境风险可控前提下，开展危险废物“点对点”定向利用豁免管理试点；提升危险废物管理信息化水平，建立完善“能定位、能共享、能追溯”的危险废物信息化监管体系，实现全省危险废物信息化管理“一张网”；推进危险废物规范化管理，严厉打击危险废物非法转移、倾倒、利用处置和无证经营危险废物等违法活动。</w:t>
            </w:r>
          </w:p>
          <w:p>
            <w:pPr>
              <w:pStyle w:val="63"/>
              <w:jc w:val="both"/>
              <w:rPr>
                <w:rFonts w:eastAsiaTheme="minorEastAsia"/>
              </w:rPr>
            </w:pPr>
            <w:r>
              <w:rPr>
                <w:rFonts w:eastAsiaTheme="minorEastAsia"/>
                <w:b/>
                <w:bCs/>
              </w:rPr>
              <w:t>健全危险废物收运转移体系</w:t>
            </w:r>
            <w:r>
              <w:rPr>
                <w:rFonts w:eastAsiaTheme="minorEastAsia"/>
              </w:rPr>
              <w:t>。开展危险废物集中收集贮存试点；推动落实生产者责任延伸制度，鼓励生产经营单位建立专业化的服务队伍和收集站点；鼓励根据属地实际情况依法合理建设危险废物贮存设施；推动危险废物分类收集专业化、规模化和园区化发展；探索建立产业园区或行业危险废物收集平台，提升小微企业工业园区、科研机构等危险废物收集的转运能力……。</w:t>
            </w:r>
          </w:p>
          <w:p>
            <w:pPr>
              <w:pStyle w:val="63"/>
              <w:jc w:val="both"/>
              <w:rPr>
                <w:rFonts w:eastAsiaTheme="minorEastAsia"/>
              </w:rPr>
            </w:pPr>
            <w:r>
              <w:rPr>
                <w:rFonts w:eastAsiaTheme="minorEastAsia"/>
                <w:b/>
                <w:bCs/>
              </w:rPr>
              <w:t>推进一般工业固体废物综合利用</w:t>
            </w:r>
            <w:r>
              <w:rPr>
                <w:rFonts w:eastAsiaTheme="minorEastAsia"/>
              </w:rPr>
              <w:t>。在环境风险可控下，充分利用工业窑炉、水泥窑等设施消纳采选尾矿、粉煤灰、炉渣、冶炼废渣、脱硫石膏等大宗工业固体废物；构建以水泥、建材、冶金等行业为核心的工业固体废物综合利用系统；推动工业固体废物资源综合利用示范基地（园区）、示范企业、示范项目建设，到 2025 年，全省一般工业固体废物资源综合利用率达到80%。</w:t>
            </w:r>
          </w:p>
        </w:tc>
        <w:tc>
          <w:tcPr>
            <w:tcW w:w="1703" w:type="pct"/>
            <w:vAlign w:val="center"/>
          </w:tcPr>
          <w:p>
            <w:pPr>
              <w:pStyle w:val="63"/>
              <w:jc w:val="both"/>
              <w:rPr>
                <w:rFonts w:eastAsiaTheme="minorEastAsia"/>
              </w:rPr>
            </w:pPr>
            <w:r>
              <w:rPr>
                <w:rFonts w:eastAsiaTheme="minorEastAsia"/>
              </w:rPr>
              <w:t>1、园区现有企业危险废物均委托有资质单位进行处置，园区推进危险废物规范化管理，严厉打击危险废物非法转移、倾倒、利用处置和无证经营危险废物等违法活动。</w:t>
            </w:r>
          </w:p>
          <w:p>
            <w:pPr>
              <w:pStyle w:val="63"/>
              <w:jc w:val="both"/>
              <w:rPr>
                <w:rFonts w:eastAsiaTheme="minorEastAsia"/>
              </w:rPr>
            </w:pPr>
            <w:r>
              <w:rPr>
                <w:rFonts w:eastAsiaTheme="minorEastAsia"/>
              </w:rPr>
              <w:t>2、园区进一步</w:t>
            </w:r>
            <w:r>
              <w:rPr>
                <w:rFonts w:eastAsiaTheme="minorEastAsia"/>
                <w:bCs/>
              </w:rPr>
              <w:t>推进一般工业固体废物综合利用</w:t>
            </w:r>
            <w:r>
              <w:rPr>
                <w:rFonts w:eastAsiaTheme="minorEastAsia"/>
              </w:rPr>
              <w:t>。</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（四）加强环境风险应急防范。</w:t>
            </w:r>
          </w:p>
          <w:p>
            <w:pPr>
              <w:pStyle w:val="63"/>
              <w:jc w:val="both"/>
              <w:rPr>
                <w:rFonts w:eastAsiaTheme="minorEastAsia"/>
              </w:rPr>
            </w:pPr>
            <w:r>
              <w:rPr>
                <w:rFonts w:eastAsiaTheme="minorEastAsia"/>
                <w:b/>
                <w:bCs/>
              </w:rPr>
              <w:t>加强生态环境保护监控</w:t>
            </w:r>
            <w:r>
              <w:rPr>
                <w:rFonts w:eastAsiaTheme="minorEastAsia"/>
              </w:rPr>
              <w:t>。加强生态环境保护监控平台和生态环境监控中心建设，建设“生态环境+电力大数据”智慧监管平台，实现“环境质量、污染源排放、智能电量、污染源视频”一体化监控。加强生态环境保护日常监管和线下监控，健全环境风险预警防控体系，推进重点流域、重要水源地风险防控及化工园区、有毒有害气体预警体系建设；建立生态环境风险隐患排查制度和重大生态环境风险源数据库，实行动态跟踪监控和管理。</w:t>
            </w:r>
          </w:p>
          <w:p>
            <w:pPr>
              <w:pStyle w:val="63"/>
              <w:jc w:val="both"/>
              <w:rPr>
                <w:rFonts w:eastAsiaTheme="minorEastAsia"/>
              </w:rPr>
            </w:pPr>
            <w:r>
              <w:rPr>
                <w:rFonts w:eastAsiaTheme="minorEastAsia"/>
                <w:b/>
                <w:bCs/>
              </w:rPr>
              <w:t>加强突发事件急处置</w:t>
            </w:r>
            <w:r>
              <w:rPr>
                <w:rFonts w:eastAsiaTheme="minorEastAsia"/>
              </w:rPr>
              <w:t>。强化生态环境监控信息响应，对生态环境监控发现的数据异常……防止污染扩大、风险爆发、事件升级。以化工园区、尾矿库、采选、冶炼企业等为重点，健全突发生态环境事件风险防范化解和应急准备责任体系，严格落实企业主体责任。提升事中妥善处置能力，健全突发生态环境事件应急响应和处置机制，提升应急响应处置规范化水平。</w:t>
            </w:r>
          </w:p>
          <w:p>
            <w:pPr>
              <w:pStyle w:val="63"/>
              <w:jc w:val="both"/>
              <w:rPr>
                <w:rFonts w:eastAsiaTheme="minorEastAsia"/>
              </w:rPr>
            </w:pPr>
            <w:r>
              <w:rPr>
                <w:rFonts w:eastAsiaTheme="minorEastAsia"/>
                <w:b/>
                <w:bCs/>
              </w:rPr>
              <w:t>提升应急处置保障水平</w:t>
            </w:r>
            <w:r>
              <w:rPr>
                <w:rFonts w:eastAsiaTheme="minorEastAsia"/>
              </w:rPr>
              <w:t>。督促企业制定突发环境事件应急预案，实现涉危涉重企业电子化备案全覆盖，……分类分级开展基层环境应急人员轮训，加强应急溯源、处置、监测装备以及应急车辆配置，完善环境应急指挥平台建设，强化应急培训与应急演练，完善环境应急联动机制，提升协同处置能力。</w:t>
            </w:r>
          </w:p>
        </w:tc>
        <w:tc>
          <w:tcPr>
            <w:tcW w:w="1703" w:type="pct"/>
            <w:vAlign w:val="center"/>
          </w:tcPr>
          <w:p>
            <w:pPr>
              <w:pStyle w:val="63"/>
              <w:jc w:val="both"/>
              <w:rPr>
                <w:rFonts w:eastAsiaTheme="minorEastAsia"/>
              </w:rPr>
            </w:pPr>
            <w:r>
              <w:rPr>
                <w:rFonts w:eastAsiaTheme="minorEastAsia"/>
              </w:rPr>
              <w:t>1、园区正逐步完善加强生态环境保护监控，逐步推进生态环境保护监控平台和生态环境监控中心建设。</w:t>
            </w:r>
          </w:p>
          <w:p>
            <w:pPr>
              <w:pStyle w:val="63"/>
              <w:jc w:val="both"/>
              <w:rPr>
                <w:rFonts w:eastAsiaTheme="minorEastAsia"/>
              </w:rPr>
            </w:pPr>
            <w:r>
              <w:rPr>
                <w:rFonts w:eastAsiaTheme="minorEastAsia"/>
              </w:rPr>
              <w:t>2、园区已编制突发环境事件应急预案</w:t>
            </w:r>
            <w:r>
              <w:rPr>
                <w:rFonts w:hint="eastAsia" w:eastAsiaTheme="minorEastAsia"/>
              </w:rPr>
              <w:t>修编</w:t>
            </w:r>
            <w:r>
              <w:rPr>
                <w:rFonts w:eastAsiaTheme="minorEastAsia"/>
              </w:rPr>
              <w:t>并完成备案，每年开展演练。</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restart"/>
            <w:vAlign w:val="center"/>
          </w:tcPr>
          <w:p>
            <w:pPr>
              <w:pStyle w:val="63"/>
              <w:rPr>
                <w:rFonts w:eastAsiaTheme="minorEastAsia"/>
              </w:rPr>
            </w:pPr>
            <w:r>
              <w:rPr>
                <w:rFonts w:eastAsiaTheme="minorEastAsia"/>
              </w:rPr>
              <w:t>七、完善生态环境治理体系</w:t>
            </w:r>
          </w:p>
        </w:tc>
        <w:tc>
          <w:tcPr>
            <w:tcW w:w="2525" w:type="pct"/>
            <w:vAlign w:val="center"/>
          </w:tcPr>
          <w:p>
            <w:pPr>
              <w:pStyle w:val="63"/>
              <w:jc w:val="both"/>
              <w:rPr>
                <w:rFonts w:eastAsiaTheme="minorEastAsia"/>
                <w:b/>
              </w:rPr>
            </w:pPr>
            <w:r>
              <w:rPr>
                <w:rFonts w:eastAsiaTheme="minorEastAsia"/>
                <w:b/>
              </w:rPr>
              <w:t>（一）完善生态环境治理责任体系。</w:t>
            </w:r>
          </w:p>
          <w:p>
            <w:pPr>
              <w:pStyle w:val="63"/>
              <w:jc w:val="both"/>
              <w:rPr>
                <w:rFonts w:eastAsiaTheme="minorEastAsia"/>
              </w:rPr>
            </w:pPr>
            <w:r>
              <w:rPr>
                <w:rFonts w:eastAsiaTheme="minorEastAsia"/>
                <w:b/>
                <w:bCs/>
              </w:rPr>
              <w:t>完善企业责任体系</w:t>
            </w:r>
            <w:r>
              <w:rPr>
                <w:rFonts w:eastAsiaTheme="minorEastAsia"/>
              </w:rPr>
              <w:t>。压实企业治污责任，督促企业切实加大污染治理投入、提高清洁生产水平，严格落实环评批复要求、减少污染排放、加强污染治理、做好生态恢复。压实企业守法责任，引导企业牢固树立新发展理念、强化学法守法意识，自觉加强日常管理，引导企业自觉守法；加强日常监管执法，保持打击违法排污的高压态势，建立正向激励机制和违法严惩机制……建立健全企业信用评价制度，深化环境信息依法披露制度改革，依法推动企业强制性披露环境信息。</w:t>
            </w:r>
          </w:p>
        </w:tc>
        <w:tc>
          <w:tcPr>
            <w:tcW w:w="1703" w:type="pct"/>
            <w:vAlign w:val="center"/>
          </w:tcPr>
          <w:p>
            <w:pPr>
              <w:pStyle w:val="63"/>
              <w:jc w:val="both"/>
              <w:rPr>
                <w:rFonts w:eastAsiaTheme="minorEastAsia"/>
              </w:rPr>
            </w:pPr>
            <w:r>
              <w:rPr>
                <w:rFonts w:eastAsiaTheme="minorEastAsia"/>
              </w:rPr>
              <w:t>1、评价要求进一步完善企业责任体系，切实履行企业主体责任，按环评、排污许可要求执行，减少污染物排放。</w:t>
            </w:r>
          </w:p>
        </w:tc>
        <w:tc>
          <w:tcPr>
            <w:tcW w:w="403" w:type="pct"/>
            <w:vAlign w:val="center"/>
          </w:tcPr>
          <w:p>
            <w:pPr>
              <w:pStyle w:val="63"/>
              <w:rPr>
                <w:rFonts w:eastAsiaTheme="minorEastAsia"/>
              </w:rPr>
            </w:pPr>
            <w:r>
              <w:rPr>
                <w:rFonts w:eastAsiaTheme="minor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9" w:type="pct"/>
            <w:vMerge w:val="continue"/>
            <w:vAlign w:val="center"/>
          </w:tcPr>
          <w:p>
            <w:pPr>
              <w:pStyle w:val="63"/>
              <w:rPr>
                <w:rFonts w:eastAsiaTheme="minorEastAsia"/>
              </w:rPr>
            </w:pPr>
          </w:p>
        </w:tc>
        <w:tc>
          <w:tcPr>
            <w:tcW w:w="2525" w:type="pct"/>
            <w:vAlign w:val="center"/>
          </w:tcPr>
          <w:p>
            <w:pPr>
              <w:pStyle w:val="63"/>
              <w:jc w:val="both"/>
              <w:rPr>
                <w:rFonts w:eastAsiaTheme="minorEastAsia"/>
                <w:b/>
              </w:rPr>
            </w:pPr>
            <w:r>
              <w:rPr>
                <w:rFonts w:eastAsiaTheme="minorEastAsia"/>
                <w:b/>
              </w:rPr>
              <w:t>（三）完善生态环境治理市场体系。</w:t>
            </w:r>
          </w:p>
          <w:p>
            <w:pPr>
              <w:pStyle w:val="63"/>
              <w:jc w:val="both"/>
              <w:rPr>
                <w:rFonts w:eastAsiaTheme="minorEastAsia"/>
              </w:rPr>
            </w:pPr>
            <w:r>
              <w:rPr>
                <w:rFonts w:eastAsiaTheme="minorEastAsia"/>
                <w:b/>
                <w:bCs/>
              </w:rPr>
              <w:t>创新环境治理模式</w:t>
            </w:r>
            <w:r>
              <w:rPr>
                <w:rFonts w:eastAsiaTheme="minorEastAsia"/>
              </w:rPr>
              <w:t>。因地制宜、加快推行园区环境污染第三方治理，建立健全“污染者付费+第三方治理”等机制，到2022年底，省级及以上园区基本实现环境污染第三方治理全覆盖。</w:t>
            </w:r>
          </w:p>
          <w:p>
            <w:pPr>
              <w:pStyle w:val="63"/>
              <w:jc w:val="both"/>
              <w:rPr>
                <w:rFonts w:eastAsiaTheme="minorEastAsia"/>
              </w:rPr>
            </w:pPr>
            <w:r>
              <w:rPr>
                <w:rFonts w:eastAsiaTheme="minorEastAsia"/>
                <w:b/>
                <w:bCs/>
              </w:rPr>
              <w:t>加快环境信用建设</w:t>
            </w:r>
            <w:r>
              <w:rPr>
                <w:rFonts w:eastAsiaTheme="minorEastAsia"/>
              </w:rPr>
              <w:t>。推进产业园区和企事业单位环境信用建设……逐步实现与全省其他信用平台互联互通。</w:t>
            </w:r>
          </w:p>
        </w:tc>
        <w:tc>
          <w:tcPr>
            <w:tcW w:w="1703" w:type="pct"/>
            <w:vAlign w:val="center"/>
          </w:tcPr>
          <w:p>
            <w:pPr>
              <w:pStyle w:val="63"/>
              <w:jc w:val="both"/>
              <w:rPr>
                <w:rFonts w:eastAsiaTheme="minorEastAsia"/>
              </w:rPr>
            </w:pPr>
            <w:r>
              <w:rPr>
                <w:rFonts w:eastAsiaTheme="minorEastAsia"/>
              </w:rPr>
              <w:t>1、园区已引进第三方治理服务。</w:t>
            </w:r>
          </w:p>
          <w:p>
            <w:pPr>
              <w:pStyle w:val="63"/>
              <w:jc w:val="both"/>
              <w:rPr>
                <w:rFonts w:eastAsiaTheme="minorEastAsia"/>
              </w:rPr>
            </w:pPr>
            <w:r>
              <w:rPr>
                <w:rFonts w:eastAsiaTheme="minorEastAsia"/>
              </w:rPr>
              <w:t>2、已按要求开展环境信用建设，2020年园区为环保合格园区。</w:t>
            </w:r>
          </w:p>
        </w:tc>
        <w:tc>
          <w:tcPr>
            <w:tcW w:w="403" w:type="pct"/>
            <w:vAlign w:val="center"/>
          </w:tcPr>
          <w:p>
            <w:pPr>
              <w:pStyle w:val="63"/>
              <w:rPr>
                <w:rFonts w:eastAsiaTheme="minorEastAsia"/>
              </w:rPr>
            </w:pPr>
            <w:r>
              <w:rPr>
                <w:rFonts w:eastAsiaTheme="minorEastAsia"/>
              </w:rPr>
              <w:t>符合</w:t>
            </w:r>
          </w:p>
        </w:tc>
      </w:tr>
    </w:tbl>
    <w:p>
      <w:pPr>
        <w:pStyle w:val="5"/>
        <w:ind w:firstLine="482"/>
      </w:pPr>
      <w:r>
        <w:rPr>
          <w:rFonts w:ascii="Times New Roman" w:hAnsi="Times New Roman" w:cs="Times New Roman" w:eastAsiaTheme="minorEastAsia"/>
        </w:rPr>
        <w:t>3.3.</w:t>
      </w:r>
      <w:r>
        <w:rPr>
          <w:rFonts w:hint="eastAsia" w:ascii="Times New Roman" w:hAnsi="Times New Roman" w:cs="Times New Roman" w:eastAsiaTheme="minorEastAsia"/>
        </w:rPr>
        <w:t>6.5</w:t>
      </w:r>
      <w:r>
        <w:rPr>
          <w:rFonts w:ascii="Times New Roman" w:hAnsi="Times New Roman" w:cs="Times New Roman" w:eastAsiaTheme="minorEastAsia"/>
        </w:rPr>
        <w:t xml:space="preserve"> </w:t>
      </w:r>
      <w:r>
        <w:t>与长江经济带发展负面清单指南（试行）相符性分析</w:t>
      </w:r>
    </w:p>
    <w:p>
      <w:pPr>
        <w:spacing w:line="360" w:lineRule="auto"/>
        <w:ind w:firstLine="480" w:firstLineChars="200"/>
        <w:rPr>
          <w:rFonts w:ascii="Times New Roman" w:hAnsi="Times New Roman" w:eastAsia="宋体" w:cs="Times New Roman"/>
          <w:szCs w:val="20"/>
        </w:rPr>
      </w:pPr>
      <w:r>
        <w:rPr>
          <w:rFonts w:ascii="Times New Roman" w:hAnsi="Times New Roman" w:eastAsia="宋体" w:cs="Times New Roman"/>
          <w:szCs w:val="20"/>
        </w:rPr>
        <w:t>2022年，推动长江经济带发展领导小组办公室发布了《长江经济带发展负面清单指南（试行，2022年版）》。</w:t>
      </w:r>
      <w:r>
        <w:rPr>
          <w:rFonts w:hint="eastAsia" w:ascii="Times New Roman" w:hAnsi="Times New Roman" w:eastAsia="宋体" w:cs="Times New Roman"/>
          <w:szCs w:val="20"/>
        </w:rPr>
        <w:t>2022年，湖南省推动长江经济带发展领导小组办公室发布了《湖南省长江经济带发展负面清单实施细则（试行，2022年版）》。</w:t>
      </w:r>
    </w:p>
    <w:p>
      <w:pPr>
        <w:spacing w:line="360" w:lineRule="auto"/>
        <w:ind w:firstLine="480" w:firstLineChars="200"/>
        <w:rPr>
          <w:rFonts w:ascii="Times New Roman" w:hAnsi="Times New Roman" w:eastAsia="宋体" w:cs="Times New Roman"/>
          <w:szCs w:val="20"/>
        </w:rPr>
      </w:pPr>
      <w:r>
        <w:rPr>
          <w:rFonts w:hint="eastAsia" w:ascii="Times New Roman" w:hAnsi="Times New Roman" w:eastAsia="宋体" w:cs="Times New Roman"/>
          <w:szCs w:val="20"/>
        </w:rPr>
        <w:t>临湘</w:t>
      </w:r>
      <w:r>
        <w:rPr>
          <w:rFonts w:ascii="Times New Roman" w:hAnsi="Times New Roman" w:eastAsia="宋体" w:cs="Times New Roman"/>
          <w:szCs w:val="20"/>
        </w:rPr>
        <w:t>高新区规划范围不涉及自然保护区、饮用水水源保护区、生态保护红线、国家湿地公园、基本农田等生态环境敏感目标</w:t>
      </w:r>
      <w:r>
        <w:rPr>
          <w:rFonts w:hint="eastAsia" w:ascii="Times New Roman" w:hAnsi="Times New Roman" w:eastAsia="宋体" w:cs="Times New Roman"/>
          <w:szCs w:val="20"/>
        </w:rPr>
        <w:t>，</w:t>
      </w:r>
      <w:r>
        <w:rPr>
          <w:rFonts w:ascii="Times New Roman" w:hAnsi="Times New Roman" w:eastAsia="宋体" w:cs="Times New Roman"/>
          <w:szCs w:val="24"/>
        </w:rPr>
        <w:t>禁止新建、扩建法律法规和相关政策明令禁止的落后产能项目，对不符合要求的落后产能项目，依法依规退出。</w:t>
      </w:r>
    </w:p>
    <w:p>
      <w:pPr>
        <w:spacing w:line="360" w:lineRule="auto"/>
        <w:ind w:firstLine="480" w:firstLineChars="200"/>
        <w:rPr>
          <w:rFonts w:ascii="Times New Roman" w:hAnsi="Times New Roman" w:eastAsia="宋体" w:cs="Times New Roman"/>
          <w:szCs w:val="20"/>
        </w:rPr>
      </w:pPr>
      <w:r>
        <w:rPr>
          <w:rFonts w:ascii="Times New Roman" w:hAnsi="Times New Roman" w:eastAsia="宋体" w:cs="Times New Roman"/>
          <w:szCs w:val="20"/>
        </w:rPr>
        <w:t>综上所述，</w:t>
      </w:r>
      <w:r>
        <w:rPr>
          <w:rFonts w:hint="eastAsia" w:ascii="Times New Roman" w:hAnsi="Times New Roman" w:eastAsia="宋体" w:cs="Times New Roman"/>
          <w:szCs w:val="20"/>
        </w:rPr>
        <w:t>临湘</w:t>
      </w:r>
      <w:r>
        <w:rPr>
          <w:rFonts w:ascii="Times New Roman" w:hAnsi="Times New Roman" w:eastAsia="宋体" w:cs="Times New Roman"/>
          <w:szCs w:val="20"/>
        </w:rPr>
        <w:t>高新区规划在落实在评价的措施后，基本符合《长江经济带发展负面清单指南（试行）》和《湖南省长江经济带发展负面清单实施细则（试行）》的相关要求。</w:t>
      </w:r>
    </w:p>
    <w:p>
      <w:pPr>
        <w:pStyle w:val="6"/>
      </w:pPr>
      <w:r>
        <w:t>表3.</w:t>
      </w:r>
      <w:r>
        <w:rPr>
          <w:rFonts w:hint="eastAsia"/>
        </w:rPr>
        <w:t>3-15</w:t>
      </w:r>
      <w:r>
        <w:t xml:space="preserve">  与长江经济带发展负面清单指南相符性分析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18"/>
        <w:gridCol w:w="3031"/>
        <w:gridCol w:w="2342"/>
        <w:gridCol w:w="6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7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《长江经济带发展负面清单指南》</w:t>
            </w:r>
          </w:p>
        </w:tc>
        <w:tc>
          <w:tcPr>
            <w:tcW w:w="1777"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《湖南省长江经济带发展负面清单实施细则（试行）》</w:t>
            </w:r>
          </w:p>
        </w:tc>
        <w:tc>
          <w:tcPr>
            <w:tcW w:w="1373" w:type="pc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临湘</w:t>
            </w:r>
            <w:r>
              <w:rPr>
                <w:rFonts w:ascii="Times New Roman" w:hAnsi="Times New Roman" w:eastAsia="宋体" w:cs="Times New Roman"/>
                <w:sz w:val="21"/>
                <w:szCs w:val="21"/>
              </w:rPr>
              <w:t>高新区规划</w:t>
            </w:r>
          </w:p>
        </w:tc>
        <w:tc>
          <w:tcPr>
            <w:tcW w:w="374"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76" w:type="pc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禁止在长江干支流、重要湖泊岸线一公里范围内新建、扩建化工园区和化工项目。禁止在长江干流岸线三公里范围内和重要支流岸线―公里范围内新建、改建、扩建尾矿库、冶炼渣库和磷石膏库，以提升安全、生态环境保护水平为目的的改建除外。</w:t>
            </w:r>
          </w:p>
        </w:tc>
        <w:tc>
          <w:tcPr>
            <w:tcW w:w="1777"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禁止在长江湖南段和洞庭湖、 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373" w:type="pc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临湘</w:t>
            </w:r>
            <w:r>
              <w:rPr>
                <w:rFonts w:ascii="Times New Roman" w:hAnsi="Times New Roman" w:eastAsia="宋体" w:cs="Times New Roman"/>
                <w:sz w:val="21"/>
                <w:szCs w:val="21"/>
              </w:rPr>
              <w:t>高新区</w:t>
            </w:r>
            <w:r>
              <w:rPr>
                <w:rFonts w:hint="eastAsia" w:ascii="Times New Roman" w:hAnsi="Times New Roman" w:eastAsia="宋体" w:cs="Times New Roman"/>
                <w:sz w:val="21"/>
                <w:szCs w:val="21"/>
              </w:rPr>
              <w:t>化工产业园</w:t>
            </w:r>
            <w:r>
              <w:rPr>
                <w:rFonts w:ascii="Times New Roman" w:hAnsi="Times New Roman" w:eastAsia="宋体" w:cs="Times New Roman"/>
                <w:sz w:val="21"/>
                <w:szCs w:val="21"/>
              </w:rPr>
              <w:t>范围不属于长江干支流岸线1公里范围内，</w:t>
            </w:r>
            <w:r>
              <w:rPr>
                <w:rFonts w:hint="eastAsia" w:ascii="Times New Roman" w:hAnsi="Times New Roman" w:eastAsia="宋体" w:cs="Times New Roman"/>
                <w:sz w:val="21"/>
                <w:szCs w:val="21"/>
              </w:rPr>
              <w:t>园区严格执行长江干支流1公里范围内新建、扩建化工项目的政策。</w:t>
            </w:r>
          </w:p>
        </w:tc>
        <w:tc>
          <w:tcPr>
            <w:tcW w:w="374"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7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bCs/>
                <w:kern w:val="0"/>
                <w:sz w:val="21"/>
                <w:szCs w:val="21"/>
              </w:rPr>
              <w:t>禁止在合规园区外新建、扩建钢铁、石化、化工、焦化、建材、有色、制浆造纸等高污染项目。禁止新建、扩建不符合国家石化、现代煤化工等产业布局规划的项目。</w:t>
            </w:r>
          </w:p>
        </w:tc>
        <w:tc>
          <w:tcPr>
            <w:tcW w:w="1777"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禁止在合规园区外新建、 扩建钢铁、石化、化工、焦化、建材、有色、制浆造纸等高污染项目。高污染项目严格按照生态环境部《环境保护综合名录（2021年版）》有关要求执行。禁止新建、扩建不符合国家石化、现代煤化工等产业布局规划的项目。未通过认定的化工园区，不得新建、改扩建化工项目（安全环保、节能和智能化改造项目除外）。</w:t>
            </w:r>
          </w:p>
        </w:tc>
        <w:tc>
          <w:tcPr>
            <w:tcW w:w="1373" w:type="pc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临湘</w:t>
            </w:r>
            <w:r>
              <w:rPr>
                <w:rFonts w:ascii="Times New Roman" w:hAnsi="Times New Roman" w:eastAsia="宋体" w:cs="Times New Roman"/>
                <w:sz w:val="21"/>
                <w:szCs w:val="21"/>
              </w:rPr>
              <w:t>高新区属于《中国开发区审核公告目录2018版》内的省级工业园</w:t>
            </w:r>
            <w:r>
              <w:rPr>
                <w:rFonts w:hint="eastAsia" w:ascii="Times New Roman" w:hAnsi="Times New Roman" w:eastAsia="宋体" w:cs="Times New Roman"/>
                <w:sz w:val="21"/>
                <w:szCs w:val="21"/>
              </w:rPr>
              <w:t>，2021年临湘高新技术产业开发区（滨江化工片区）认定为湖南省第一批化工园区，后续引入企业符合相关政策要求。</w:t>
            </w:r>
          </w:p>
        </w:tc>
        <w:tc>
          <w:tcPr>
            <w:tcW w:w="374"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76" w:type="pc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bCs/>
                <w:kern w:val="0"/>
                <w:sz w:val="21"/>
                <w:szCs w:val="21"/>
              </w:rPr>
              <w:t>3、</w:t>
            </w:r>
            <w:r>
              <w:rPr>
                <w:rFonts w:ascii="Times New Roman" w:hAnsi="Times New Roman" w:eastAsia="宋体" w:cs="Times New Roman"/>
                <w:bCs/>
                <w:kern w:val="0"/>
                <w:sz w:val="21"/>
                <w:szCs w:val="21"/>
              </w:rPr>
              <w:t>禁止新建、扩建法律法规和相关政策明令禁止的落后产能项目。禁止新建、扩建不符合国家产能置换要求的严重过剩产能行业的项目。禁止新建、扩建不符合要求的“两高” 项目。</w:t>
            </w:r>
          </w:p>
        </w:tc>
        <w:tc>
          <w:tcPr>
            <w:tcW w:w="1777"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禁止新建、 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373" w:type="pct"/>
            <w:vAlign w:val="center"/>
          </w:tcPr>
          <w:p>
            <w:pP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w:t>
            </w:r>
            <w:r>
              <w:rPr>
                <w:rFonts w:hint="eastAsia" w:ascii="Times New Roman" w:hAnsi="Times New Roman" w:eastAsia="宋体" w:cs="Times New Roman"/>
                <w:bCs/>
                <w:kern w:val="0"/>
                <w:sz w:val="21"/>
                <w:szCs w:val="21"/>
              </w:rPr>
              <w:t>临湘</w:t>
            </w:r>
            <w:r>
              <w:rPr>
                <w:rFonts w:ascii="Times New Roman" w:hAnsi="Times New Roman" w:eastAsia="宋体" w:cs="Times New Roman"/>
                <w:bCs/>
                <w:kern w:val="0"/>
                <w:sz w:val="21"/>
                <w:szCs w:val="21"/>
              </w:rPr>
              <w:t>高新区禁止新建、扩建法律法规和相关政策明令禁止的落后产能项目。</w:t>
            </w:r>
          </w:p>
          <w:p>
            <w:pP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w:t>
            </w:r>
            <w:r>
              <w:rPr>
                <w:rFonts w:hint="eastAsia" w:ascii="Times New Roman" w:hAnsi="Times New Roman" w:eastAsia="宋体" w:cs="Times New Roman"/>
                <w:bCs/>
                <w:kern w:val="0"/>
                <w:sz w:val="21"/>
                <w:szCs w:val="21"/>
              </w:rPr>
              <w:t>临湘</w:t>
            </w:r>
            <w:r>
              <w:rPr>
                <w:rFonts w:ascii="Times New Roman" w:hAnsi="Times New Roman" w:eastAsia="宋体" w:cs="Times New Roman"/>
                <w:bCs/>
                <w:kern w:val="0"/>
                <w:sz w:val="21"/>
                <w:szCs w:val="21"/>
              </w:rPr>
              <w:t>高新区严格执行《产业结构调整指导目录》（2019本）的要求，禁止投资建设目录中的限制类、淘汰类的。</w:t>
            </w:r>
          </w:p>
          <w:p>
            <w:pPr>
              <w:widowControl/>
              <w:rPr>
                <w:rFonts w:ascii="Times New Roman" w:hAnsi="Times New Roman" w:eastAsia="宋体" w:cs="Times New Roman"/>
                <w:kern w:val="0"/>
                <w:sz w:val="21"/>
                <w:szCs w:val="21"/>
              </w:rPr>
            </w:pPr>
            <w:r>
              <w:rPr>
                <w:rFonts w:hint="eastAsia" w:ascii="Times New Roman" w:hAnsi="Times New Roman" w:eastAsia="宋体" w:cs="Times New Roman"/>
                <w:bCs/>
                <w:kern w:val="0"/>
                <w:sz w:val="21"/>
                <w:szCs w:val="21"/>
              </w:rPr>
              <w:t>3、对于不符合国家产能置换要求的严重过剩产能行业的项目一律不准入园。新建、扩建 “两高” 项目按国家和省内政策要求严格执行。</w:t>
            </w:r>
          </w:p>
        </w:tc>
        <w:tc>
          <w:tcPr>
            <w:tcW w:w="374"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bl>
    <w:p>
      <w:pPr>
        <w:pStyle w:val="5"/>
        <w:ind w:firstLine="482"/>
      </w:pPr>
      <w:r>
        <w:t>3.</w:t>
      </w:r>
      <w:r>
        <w:rPr>
          <w:rFonts w:hint="eastAsia"/>
        </w:rPr>
        <w:t>3</w:t>
      </w:r>
      <w:r>
        <w:t>.</w:t>
      </w:r>
      <w:r>
        <w:rPr>
          <w:rFonts w:hint="eastAsia"/>
        </w:rPr>
        <w:t>6.6</w:t>
      </w:r>
      <w:r>
        <w:t xml:space="preserve"> 与《关于加强高耗能、高排放建设项目生态环境源头防控的指导意见》相符性分析</w:t>
      </w:r>
    </w:p>
    <w:p>
      <w:pPr>
        <w:spacing w:line="360" w:lineRule="auto"/>
        <w:ind w:firstLine="480" w:firstLineChars="200"/>
        <w:rPr>
          <w:rFonts w:ascii="Times New Roman" w:hAnsi="Times New Roman" w:eastAsia="宋体" w:cs="Times New Roman"/>
          <w:szCs w:val="24"/>
          <w:lang w:val="en"/>
        </w:rPr>
      </w:pPr>
      <w:r>
        <w:rPr>
          <w:rFonts w:ascii="Times New Roman" w:hAnsi="Times New Roman" w:eastAsia="宋体" w:cs="Times New Roman"/>
          <w:szCs w:val="24"/>
          <w:lang w:val="en"/>
        </w:rPr>
        <w:t>2021年5月31日，生态环境部发布了《关于加强高耗能、高排放建设项目生态环境源头防控的指导意见》（环环评〔2021〕45号），</w:t>
      </w:r>
      <w:r>
        <w:rPr>
          <w:rFonts w:hint="eastAsia" w:ascii="Times New Roman" w:hAnsi="Times New Roman" w:eastAsia="宋体" w:cs="Times New Roman"/>
          <w:szCs w:val="24"/>
        </w:rPr>
        <w:t>临湘</w:t>
      </w:r>
      <w:r>
        <w:rPr>
          <w:rFonts w:ascii="Times New Roman" w:hAnsi="Times New Roman" w:eastAsia="宋体" w:cs="Times New Roman"/>
          <w:szCs w:val="24"/>
        </w:rPr>
        <w:t>高新区与其符合性分析见下表。</w:t>
      </w:r>
    </w:p>
    <w:p>
      <w:pPr>
        <w:spacing w:line="360" w:lineRule="auto"/>
        <w:ind w:firstLine="480" w:firstLineChars="200"/>
        <w:rPr>
          <w:rFonts w:ascii="Times New Roman" w:hAnsi="Times New Roman" w:eastAsia="宋体" w:cs="Times New Roman"/>
          <w:szCs w:val="24"/>
        </w:rPr>
      </w:pPr>
      <w:r>
        <w:rPr>
          <w:rFonts w:hint="eastAsia" w:ascii="Times New Roman" w:hAnsi="Times New Roman" w:eastAsia="宋体" w:cs="Times New Roman"/>
          <w:szCs w:val="24"/>
        </w:rPr>
        <w:t>临湘</w:t>
      </w:r>
      <w:r>
        <w:rPr>
          <w:rFonts w:ascii="Times New Roman" w:hAnsi="Times New Roman" w:eastAsia="宋体" w:cs="Times New Roman"/>
          <w:szCs w:val="24"/>
        </w:rPr>
        <w:t>高新区后续引进项目应符合规划环评提出的环境准入要求、功能布局、产业定位，在后续扩区规划环评中落实碳排放情况与减排潜力分析，推动园区绿色低碳发展。</w:t>
      </w:r>
      <w:r>
        <w:rPr>
          <w:rFonts w:hint="eastAsia" w:ascii="Times New Roman" w:hAnsi="Times New Roman" w:eastAsia="宋体" w:cs="Times New Roman"/>
          <w:szCs w:val="24"/>
        </w:rPr>
        <w:t>临湘</w:t>
      </w:r>
      <w:r>
        <w:rPr>
          <w:rFonts w:ascii="Times New Roman" w:hAnsi="Times New Roman" w:eastAsia="宋体" w:cs="Times New Roman"/>
          <w:szCs w:val="24"/>
        </w:rPr>
        <w:t>高新区属于合法合规批复的省级园区，园区管委会和各级生态环境部门和行政审批部门严格把关，对于不符合相关法律法规的项目，不予入园。</w:t>
      </w:r>
    </w:p>
    <w:p>
      <w:pPr>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szCs w:val="24"/>
        </w:rPr>
        <w:t>综上所述，</w:t>
      </w:r>
      <w:r>
        <w:rPr>
          <w:rFonts w:hint="eastAsia" w:ascii="Times New Roman" w:hAnsi="Times New Roman" w:eastAsia="宋体" w:cs="Times New Roman"/>
          <w:szCs w:val="24"/>
        </w:rPr>
        <w:t>临湘</w:t>
      </w:r>
      <w:r>
        <w:rPr>
          <w:rFonts w:ascii="Times New Roman" w:hAnsi="Times New Roman" w:eastAsia="宋体" w:cs="Times New Roman"/>
          <w:szCs w:val="24"/>
        </w:rPr>
        <w:t>高新区符合</w:t>
      </w:r>
      <w:r>
        <w:rPr>
          <w:rFonts w:ascii="Times New Roman" w:hAnsi="Times New Roman" w:eastAsia="宋体" w:cs="Times New Roman"/>
          <w:szCs w:val="24"/>
          <w:lang w:val="en"/>
        </w:rPr>
        <w:t>《关于加强高耗能、高排放建设项目生态环境源头防控的指导意见》的相关要求。</w:t>
      </w:r>
    </w:p>
    <w:p>
      <w:pPr>
        <w:pStyle w:val="6"/>
      </w:pPr>
      <w:r>
        <w:t>表3</w:t>
      </w:r>
      <w:r>
        <w:rPr>
          <w:rFonts w:hint="eastAsia"/>
        </w:rPr>
        <w:t>.3</w:t>
      </w:r>
      <w:r>
        <w:t>-1</w:t>
      </w:r>
      <w:r>
        <w:rPr>
          <w:rFonts w:hint="eastAsia"/>
        </w:rPr>
        <w:t>6</w:t>
      </w:r>
      <w:r>
        <w:t xml:space="preserve">  与</w:t>
      </w:r>
      <w:r>
        <w:rPr>
          <w:lang w:val="en"/>
        </w:rPr>
        <w:t>关于加强高耗能、高排放建设项目指导意见</w:t>
      </w:r>
      <w:r>
        <w:t>的符合性分析</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4210"/>
        <w:gridCol w:w="2511"/>
        <w:gridCol w:w="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3" w:type="pct"/>
            <w:gridSpan w:val="2"/>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《关于加强高耗能、高排放建设</w:t>
            </w:r>
          </w:p>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项目生态环境源头防控的指导意见》</w:t>
            </w:r>
          </w:p>
        </w:tc>
        <w:tc>
          <w:tcPr>
            <w:tcW w:w="1472" w:type="pct"/>
            <w:vAlign w:val="center"/>
          </w:tcPr>
          <w:p>
            <w:pPr>
              <w:widowControl/>
              <w:jc w:val="center"/>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临湘</w:t>
            </w:r>
            <w:r>
              <w:rPr>
                <w:rFonts w:ascii="Times New Roman" w:hAnsi="Times New Roman" w:eastAsia="宋体" w:cs="Times New Roman"/>
                <w:kern w:val="0"/>
                <w:sz w:val="21"/>
                <w:szCs w:val="20"/>
              </w:rPr>
              <w:t>高新区</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一、加强生态环境分区管控和规划约束</w:t>
            </w: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一）深入实施“三线一单”。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1472" w:type="pct"/>
            <w:vAlign w:val="center"/>
          </w:tcPr>
          <w:p>
            <w:pPr>
              <w:widowControl/>
              <w:jc w:val="center"/>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临湘</w:t>
            </w:r>
            <w:r>
              <w:rPr>
                <w:rFonts w:ascii="Times New Roman" w:hAnsi="Times New Roman" w:eastAsia="宋体" w:cs="Times New Roman"/>
                <w:kern w:val="0"/>
                <w:sz w:val="21"/>
                <w:szCs w:val="20"/>
              </w:rPr>
              <w:t>高新区后续引进项目严格落实“三线一单”的管控要求。</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vAlign w:val="center"/>
          </w:tcPr>
          <w:p>
            <w:pPr>
              <w:widowControl/>
              <w:jc w:val="center"/>
              <w:rPr>
                <w:rFonts w:ascii="Times New Roman" w:hAnsi="Times New Roman" w:eastAsia="宋体" w:cs="Times New Roman"/>
                <w:kern w:val="0"/>
                <w:sz w:val="21"/>
                <w:szCs w:val="20"/>
              </w:rPr>
            </w:pP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二）强化规划环评效力。各级生态环境部门应严格审查涉“两高”行业的有关综合性规划和工业、能源等专项规划环评，特别对为上马“两高”项目而修编的规划，在环评审查中应严格控制“两高”行业发展规模，优化规划布局、产业结构与实施时序。以“两高”行业为主导产业的园区规划环评应增加碳排放情况与减排潜力分析，推动园区绿色低碳发展。推动煤电能源基地、现代煤化工示范区、石化产业基地等开展规划环境影响跟踪评价，完善生态环境保护措施并适时优化调整规划。</w:t>
            </w:r>
          </w:p>
        </w:tc>
        <w:tc>
          <w:tcPr>
            <w:tcW w:w="1472"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1、</w:t>
            </w:r>
            <w:r>
              <w:rPr>
                <w:rFonts w:hint="eastAsia" w:ascii="Times New Roman" w:hAnsi="Times New Roman" w:eastAsia="宋体" w:cs="Times New Roman"/>
                <w:kern w:val="0"/>
                <w:sz w:val="21"/>
                <w:szCs w:val="20"/>
              </w:rPr>
              <w:t>临湘</w:t>
            </w:r>
            <w:r>
              <w:rPr>
                <w:rFonts w:ascii="Times New Roman" w:hAnsi="Times New Roman" w:eastAsia="宋体" w:cs="Times New Roman"/>
                <w:kern w:val="0"/>
                <w:sz w:val="21"/>
                <w:szCs w:val="20"/>
              </w:rPr>
              <w:t>高新区后续引进项目应符合规划环评提出的环境准入要求、功能布局、产业定位，在后续扩区规划环评中落实碳排放情况与减排潜力分析，推动园区绿色低碳发展。</w:t>
            </w:r>
          </w:p>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2、</w:t>
            </w:r>
            <w:r>
              <w:rPr>
                <w:rFonts w:hint="eastAsia" w:ascii="Times New Roman" w:hAnsi="Times New Roman" w:eastAsia="宋体" w:cs="Times New Roman"/>
                <w:kern w:val="0"/>
                <w:sz w:val="21"/>
                <w:szCs w:val="20"/>
              </w:rPr>
              <w:t>临湘</w:t>
            </w:r>
            <w:r>
              <w:rPr>
                <w:rFonts w:ascii="Times New Roman" w:hAnsi="Times New Roman" w:eastAsia="宋体" w:cs="Times New Roman"/>
                <w:kern w:val="0"/>
                <w:sz w:val="21"/>
                <w:szCs w:val="20"/>
              </w:rPr>
              <w:t>高新区在扩区规划实施满5年以上实施规划环境影响跟踪评价，完善生态环境保护措施并适时优化调整规划。</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二、严格“两高”项目环评审批</w:t>
            </w: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472"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1、园区内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widowControl/>
              <w:jc w:val="left"/>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2</w:t>
            </w:r>
            <w:r>
              <w:rPr>
                <w:rFonts w:ascii="Times New Roman" w:hAnsi="Times New Roman" w:eastAsia="宋体" w:cs="Times New Roman"/>
                <w:kern w:val="0"/>
                <w:sz w:val="21"/>
                <w:szCs w:val="20"/>
              </w:rPr>
              <w:t>、</w:t>
            </w:r>
            <w:r>
              <w:rPr>
                <w:rFonts w:hint="eastAsia" w:ascii="Times New Roman" w:hAnsi="Times New Roman" w:eastAsia="宋体" w:cs="Times New Roman"/>
                <w:kern w:val="0"/>
                <w:sz w:val="21"/>
                <w:szCs w:val="20"/>
              </w:rPr>
              <w:t>临湘</w:t>
            </w:r>
            <w:r>
              <w:rPr>
                <w:rFonts w:ascii="Times New Roman" w:hAnsi="Times New Roman" w:eastAsia="宋体" w:cs="Times New Roman"/>
                <w:kern w:val="0"/>
                <w:sz w:val="21"/>
                <w:szCs w:val="20"/>
              </w:rPr>
              <w:t>高新区属于合法合规批复的省级园区，园区管委会和各级生态环境部门和行政审批部门严格把关，对于不符合相关法律法规的项目，不予入园。</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vAlign w:val="center"/>
          </w:tcPr>
          <w:p>
            <w:pPr>
              <w:widowControl/>
              <w:jc w:val="center"/>
              <w:rPr>
                <w:rFonts w:ascii="Times New Roman" w:hAnsi="Times New Roman" w:eastAsia="宋体" w:cs="Times New Roman"/>
                <w:kern w:val="0"/>
                <w:sz w:val="21"/>
                <w:szCs w:val="20"/>
              </w:rPr>
            </w:pP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472" w:type="pct"/>
            <w:vAlign w:val="center"/>
          </w:tcPr>
          <w:p>
            <w:pPr>
              <w:widowControl/>
              <w:jc w:val="left"/>
              <w:rPr>
                <w:rFonts w:ascii="Times New Roman" w:hAnsi="Times New Roman" w:eastAsia="宋体" w:cs="Times New Roman"/>
                <w:kern w:val="0"/>
                <w:sz w:val="21"/>
                <w:szCs w:val="20"/>
              </w:rPr>
            </w:pPr>
            <w:r>
              <w:rPr>
                <w:rFonts w:hint="eastAsia" w:ascii="Times New Roman" w:hAnsi="Times New Roman" w:eastAsia="宋体" w:cs="Times New Roman"/>
                <w:kern w:val="0"/>
                <w:sz w:val="21"/>
                <w:szCs w:val="20"/>
              </w:rPr>
              <w:t>临湘</w:t>
            </w:r>
            <w:r>
              <w:rPr>
                <w:rFonts w:ascii="Times New Roman" w:hAnsi="Times New Roman" w:eastAsia="宋体" w:cs="Times New Roman"/>
                <w:kern w:val="0"/>
                <w:sz w:val="21"/>
                <w:szCs w:val="20"/>
              </w:rPr>
              <w:t>高新区有足够的环境容量，用于园区后续的开发建设。</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三、推进“两高”行业减污降碳协同控制</w:t>
            </w: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六）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472"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园区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使用清洁燃料，减少燃料废气污染物的排放量。</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vAlign w:val="center"/>
          </w:tcPr>
          <w:p>
            <w:pPr>
              <w:widowControl/>
              <w:jc w:val="center"/>
              <w:rPr>
                <w:rFonts w:ascii="Times New Roman" w:hAnsi="Times New Roman" w:eastAsia="宋体" w:cs="Times New Roman"/>
                <w:kern w:val="0"/>
                <w:sz w:val="21"/>
                <w:szCs w:val="20"/>
              </w:rPr>
            </w:pP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七）将碳排放影响评价纳入环境影响评价体系。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472"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园区内涉及两高行业的企业在项目环评时衔接落实有关区域和行业碳达峰行动方案、清洁能源替代、清洁运输、煤炭消费总量控制等政策要求。在环评工作中，统筹开展污染物和碳排放的源项识别、源强核算、减污降碳措施可行性论证及方案比选，提出协同控制最优方案。</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四、依排污许可证强化监管执法</w:t>
            </w: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八）加强排污许可证管理。地方生态环境部门和行政审批部门在“两高”企业排污许可证核发审查过程中，应全面核实环评及批复文件中各项生态环境保护措施及区域削减措施落实情况，对实行排污许可重点管理的“两高”企业加强现场核查，对不符合条件的依法不予许可。加强“两高”企业排污许可证质量和执行报告提交情况检查，督促企业做好台账记录、执行报告、自行监测、环境信息公开等工作。对于持有排污限期整改通知书或排污许可证中存在整改事项的“两高”企业，密切跟踪整改落实情况，发现未按期完成整改、存在无证排污行为的，依法从严查处。</w:t>
            </w:r>
          </w:p>
        </w:tc>
        <w:tc>
          <w:tcPr>
            <w:tcW w:w="1472" w:type="pct"/>
            <w:vMerge w:val="restar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1、地方生态环境部门和在“两高”企业排污许可证核发审查过程中，全面核实环评及批复文件中各项生态环境保护措施及区域削减措施落实情况，对实行排污许可重点管理的“两高”企业加强现场核查，对不符合条件的依法不予许可。</w:t>
            </w:r>
          </w:p>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2、地方生态环境部门加强“两高”企业排污许可证质量和执行报告提交情况检查，督促企业做好台账记录、执行报告、自行监测、环境信息公开等工作。</w:t>
            </w:r>
          </w:p>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3、打击“两高”企业无证排污、不按证排污等各类违法行为。对于持有排污限期整改通知书或排污许可证中存在整改事项的“两高”企业，密切跟踪。</w:t>
            </w:r>
          </w:p>
        </w:tc>
        <w:tc>
          <w:tcPr>
            <w:tcW w:w="556" w:type="pct"/>
            <w:vMerge w:val="restar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vAlign w:val="center"/>
          </w:tcPr>
          <w:p>
            <w:pPr>
              <w:widowControl/>
              <w:jc w:val="center"/>
              <w:rPr>
                <w:rFonts w:ascii="Times New Roman" w:hAnsi="Times New Roman" w:eastAsia="宋体" w:cs="Times New Roman"/>
                <w:kern w:val="0"/>
                <w:sz w:val="21"/>
                <w:szCs w:val="20"/>
              </w:rPr>
            </w:pPr>
          </w:p>
        </w:tc>
        <w:tc>
          <w:tcPr>
            <w:tcW w:w="2468" w:type="pct"/>
            <w:vAlign w:val="center"/>
          </w:tcPr>
          <w:p>
            <w:pPr>
              <w:widowControl/>
              <w:jc w:val="left"/>
              <w:rPr>
                <w:rFonts w:ascii="Times New Roman" w:hAnsi="Times New Roman" w:eastAsia="宋体" w:cs="Times New Roman"/>
                <w:kern w:val="0"/>
                <w:sz w:val="21"/>
                <w:szCs w:val="20"/>
              </w:rPr>
            </w:pPr>
            <w:r>
              <w:rPr>
                <w:rFonts w:ascii="Times New Roman" w:hAnsi="Times New Roman" w:eastAsia="宋体" w:cs="Times New Roman"/>
                <w:kern w:val="0"/>
                <w:sz w:val="21"/>
                <w:szCs w:val="20"/>
              </w:rPr>
              <w:t>（九）强化以排污许可证为主要依据的执法监管。各地生态环境部门应将“两高”企业纳入“双随机、一公开”监管。加大“两高”企业依证排污以及环境信息依法公开情况检查力度，特别对实行排污许可重点管理的“两高”企业，应及时核查排污许可证许可事项落实情况，重点核查污染物排放浓度及排放量、无组织排放控制、特殊时段排放控制等要求的落实情况。严厉打击“两高”企业无证排污、不按证排污等各类违法行为，及时曝光违反排污许可制度的典型案例。</w:t>
            </w:r>
          </w:p>
        </w:tc>
        <w:tc>
          <w:tcPr>
            <w:tcW w:w="1472" w:type="pct"/>
            <w:vMerge w:val="continue"/>
            <w:vAlign w:val="center"/>
          </w:tcPr>
          <w:p>
            <w:pPr>
              <w:widowControl/>
              <w:jc w:val="left"/>
              <w:rPr>
                <w:rFonts w:ascii="Times New Roman" w:hAnsi="Times New Roman" w:eastAsia="宋体" w:cs="Times New Roman"/>
                <w:kern w:val="0"/>
                <w:sz w:val="21"/>
                <w:szCs w:val="20"/>
              </w:rPr>
            </w:pPr>
          </w:p>
        </w:tc>
        <w:tc>
          <w:tcPr>
            <w:tcW w:w="556" w:type="pct"/>
            <w:vMerge w:val="continue"/>
            <w:vAlign w:val="center"/>
          </w:tcPr>
          <w:p>
            <w:pPr>
              <w:widowControl/>
              <w:jc w:val="center"/>
              <w:rPr>
                <w:rFonts w:ascii="Times New Roman" w:hAnsi="Times New Roman" w:eastAsia="宋体" w:cs="Times New Roman"/>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Align w:val="center"/>
          </w:tcPr>
          <w:p>
            <w:pPr>
              <w:widowControl/>
              <w:jc w:val="center"/>
              <w:rPr>
                <w:rFonts w:ascii="Times New Roman" w:hAnsi="Times New Roman" w:eastAsia="宋体" w:cs="Times New Roman"/>
                <w:kern w:val="0"/>
                <w:sz w:val="21"/>
                <w:szCs w:val="20"/>
                <w:lang w:val="en"/>
              </w:rPr>
            </w:pPr>
            <w:r>
              <w:rPr>
                <w:rFonts w:ascii="Times New Roman" w:hAnsi="Times New Roman" w:eastAsia="宋体" w:cs="Times New Roman"/>
                <w:kern w:val="0"/>
                <w:sz w:val="21"/>
                <w:szCs w:val="20"/>
                <w:lang w:val="en"/>
              </w:rPr>
              <w:t>五、保障政策落地见效</w:t>
            </w:r>
          </w:p>
        </w:tc>
        <w:tc>
          <w:tcPr>
            <w:tcW w:w="2468" w:type="pct"/>
            <w:vAlign w:val="center"/>
          </w:tcPr>
          <w:p>
            <w:pPr>
              <w:widowControl/>
              <w:jc w:val="left"/>
              <w:rPr>
                <w:rFonts w:ascii="Times New Roman" w:hAnsi="Times New Roman" w:eastAsia="宋体" w:cs="Times New Roman"/>
                <w:kern w:val="0"/>
                <w:sz w:val="21"/>
                <w:szCs w:val="20"/>
                <w:lang w:val="en"/>
              </w:rPr>
            </w:pPr>
            <w:r>
              <w:rPr>
                <w:rFonts w:ascii="Times New Roman" w:hAnsi="Times New Roman" w:eastAsia="宋体" w:cs="Times New Roman"/>
                <w:kern w:val="0"/>
                <w:sz w:val="21"/>
                <w:szCs w:val="20"/>
                <w:lang w:val="en"/>
              </w:rPr>
              <w:t>建立管理台账；加强监督检查；各地生态环境部门应建立“两高”项目环评与排污许可监督检查工作机制。强化责任追究。“两高”项目建设单位应认真履行生态环境保护主体责任。对未依法报批环评文件即擅自开工建设的“两高”项目，或未依法重新报批环评文件擅自发生重大变动的，地方生态环境部门应责令立即停止建设，依法严肃查处；对不满足生态环境准入条件的，依法责令恢复原状。对不落实环评及“三同时”要求的“两高”项目，应责令按要求整改；造成重大环境污染或生态破坏的，依法责令停止生产或使用，或依法报经有批准权的人民政府责令关闭。对审批及监管部门工作人员不依法履职、把关不严的，依法给予处分，造成重大损失或影响的，依法追究相关责任人责任。地方政府落实“两高”项目生态环境防控措施不力问题突出的，依法实施区域限批，纳入中央和省级生态环境保护督察。</w:t>
            </w:r>
          </w:p>
        </w:tc>
        <w:tc>
          <w:tcPr>
            <w:tcW w:w="1472" w:type="pct"/>
            <w:vAlign w:val="center"/>
          </w:tcPr>
          <w:p>
            <w:pPr>
              <w:widowControl/>
              <w:jc w:val="left"/>
              <w:rPr>
                <w:rFonts w:ascii="Times New Roman" w:hAnsi="Times New Roman" w:eastAsia="宋体" w:cs="Times New Roman"/>
                <w:kern w:val="0"/>
                <w:sz w:val="21"/>
                <w:szCs w:val="20"/>
                <w:lang w:val="en"/>
              </w:rPr>
            </w:pPr>
            <w:r>
              <w:rPr>
                <w:rFonts w:ascii="Times New Roman" w:hAnsi="Times New Roman" w:eastAsia="宋体" w:cs="Times New Roman"/>
                <w:kern w:val="0"/>
                <w:sz w:val="21"/>
                <w:szCs w:val="20"/>
                <w:lang w:val="en"/>
              </w:rPr>
              <w:t xml:space="preserve">两高”项目建设单位应认真履行生态环境保护主体责任。对未依法报批环评文件即擅自开工建设的“两高”项目，或未依法重新报批环评文件擅自发生重大变动的，地方生态环境部门应责令立即停止建设，依法严肃查处；对不满足生态环境准入条件的，依法责令恢复原状。对不落实环评及“三同时”要求的“两高”项目，应责令按要求整改。 </w:t>
            </w:r>
          </w:p>
        </w:tc>
        <w:tc>
          <w:tcPr>
            <w:tcW w:w="556" w:type="pct"/>
            <w:vAlign w:val="center"/>
          </w:tcPr>
          <w:p>
            <w:pPr>
              <w:widowControl/>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符合</w:t>
            </w:r>
          </w:p>
        </w:tc>
      </w:tr>
    </w:tbl>
    <w:p>
      <w:pPr>
        <w:pStyle w:val="5"/>
        <w:ind w:firstLine="482"/>
        <w:rPr>
          <w:rFonts w:ascii="Times New Roman" w:hAnsi="Times New Roman" w:cs="Times New Roman" w:eastAsiaTheme="minorEastAsia"/>
        </w:rPr>
      </w:pPr>
      <w:r>
        <w:rPr>
          <w:rFonts w:ascii="Times New Roman" w:hAnsi="Times New Roman" w:cs="Times New Roman" w:eastAsiaTheme="minorEastAsia"/>
        </w:rPr>
        <w:t>3.3.</w:t>
      </w:r>
      <w:r>
        <w:rPr>
          <w:rFonts w:hint="eastAsia" w:ascii="Times New Roman" w:hAnsi="Times New Roman" w:cs="Times New Roman" w:eastAsiaTheme="minorEastAsia"/>
        </w:rPr>
        <w:t>6</w:t>
      </w:r>
      <w:r>
        <w:rPr>
          <w:rFonts w:ascii="Times New Roman" w:hAnsi="Times New Roman" w:cs="Times New Roman" w:eastAsiaTheme="minorEastAsia"/>
        </w:rPr>
        <w:t>.</w:t>
      </w:r>
      <w:r>
        <w:rPr>
          <w:rFonts w:hint="eastAsia" w:ascii="Times New Roman" w:hAnsi="Times New Roman" w:cs="Times New Roman" w:eastAsiaTheme="minorEastAsia"/>
        </w:rPr>
        <w:t>7</w:t>
      </w:r>
      <w:r>
        <w:rPr>
          <w:rFonts w:ascii="Times New Roman" w:hAnsi="Times New Roman" w:cs="Times New Roman" w:eastAsiaTheme="minorEastAsia"/>
        </w:rPr>
        <w:t xml:space="preserve"> 与《水产种质资源保护区管理暂行办法（2016年修正本）》的相符性分析</w:t>
      </w:r>
    </w:p>
    <w:p>
      <w:pPr>
        <w:spacing w:line="360" w:lineRule="auto"/>
        <w:ind w:firstLine="480" w:firstLineChars="200"/>
        <w:rPr>
          <w:rFonts w:ascii="Times New Roman" w:hAnsi="Times New Roman" w:cs="Times New Roman"/>
        </w:rPr>
      </w:pPr>
      <w:r>
        <w:rPr>
          <w:rFonts w:ascii="Times New Roman" w:hAnsi="Times New Roman" w:cs="Times New Roman"/>
        </w:rPr>
        <w:t>（1）规划内容</w:t>
      </w:r>
    </w:p>
    <w:p>
      <w:pPr>
        <w:spacing w:line="360" w:lineRule="auto"/>
        <w:ind w:firstLine="480" w:firstLineChars="200"/>
        <w:rPr>
          <w:rFonts w:ascii="Times New Roman" w:hAnsi="Times New Roman" w:cs="Times New Roman"/>
        </w:rPr>
      </w:pPr>
      <w:r>
        <w:rPr>
          <w:rFonts w:ascii="Times New Roman" w:hAnsi="Times New Roman" w:cs="Times New Roman"/>
        </w:rPr>
        <w:t>第十五条农业部应当针对国家级水产种质资源保护区主要保护对象的繁殖期、幼体生长期等生长繁育关键阶段设定特别保护期。特别保护期内不得从事捕捞、爆破作业以及其他可能对保护区内生物资源和生态环境造成损害的活动。</w:t>
      </w:r>
    </w:p>
    <w:p>
      <w:pPr>
        <w:spacing w:line="360" w:lineRule="auto"/>
        <w:ind w:firstLine="480" w:firstLineChars="200"/>
        <w:rPr>
          <w:rFonts w:ascii="Times New Roman" w:hAnsi="Times New Roman" w:cs="Times New Roman"/>
        </w:rPr>
      </w:pPr>
      <w:r>
        <w:rPr>
          <w:rFonts w:ascii="Times New Roman" w:hAnsi="Times New Roman" w:cs="Times New Roman"/>
        </w:rPr>
        <w:t>特别保护期外从事捕捞活动，应当遵守《渔业法》及有关法律法规的规定。</w:t>
      </w:r>
    </w:p>
    <w:p>
      <w:pPr>
        <w:spacing w:line="360" w:lineRule="auto"/>
        <w:ind w:firstLine="480" w:firstLineChars="200"/>
        <w:rPr>
          <w:rFonts w:ascii="Times New Roman" w:hAnsi="Times New Roman" w:cs="Times New Roman"/>
        </w:rPr>
      </w:pPr>
      <w:r>
        <w:rPr>
          <w:rFonts w:ascii="Times New Roman" w:hAnsi="Times New Roman" w:cs="Times New Roman"/>
        </w:rPr>
        <w:t>第十六条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pPr>
        <w:spacing w:line="360" w:lineRule="auto"/>
        <w:ind w:firstLine="480" w:firstLineChars="200"/>
        <w:rPr>
          <w:rFonts w:ascii="Times New Roman" w:hAnsi="Times New Roman" w:cs="Times New Roman"/>
        </w:rPr>
      </w:pPr>
      <w:r>
        <w:rPr>
          <w:rFonts w:ascii="Times New Roman" w:hAnsi="Times New Roman" w:cs="Times New Roman"/>
        </w:rPr>
        <w:t>第二十条禁止在水产种质资源保护区内新建排污口。在水产种质资源保护区附近新建、改建、扩建排污口，应当保证保护区水体不受污染。</w:t>
      </w:r>
    </w:p>
    <w:p>
      <w:pPr>
        <w:spacing w:line="360" w:lineRule="auto"/>
        <w:ind w:firstLine="480" w:firstLineChars="200"/>
        <w:rPr>
          <w:rFonts w:ascii="Times New Roman" w:hAnsi="Times New Roman" w:cs="Times New Roman"/>
        </w:rPr>
      </w:pPr>
      <w:r>
        <w:rPr>
          <w:rFonts w:ascii="Times New Roman" w:hAnsi="Times New Roman" w:cs="Times New Roman"/>
        </w:rPr>
        <w:t>（2）相符性分析</w:t>
      </w:r>
    </w:p>
    <w:p>
      <w:pPr>
        <w:spacing w:line="360" w:lineRule="auto"/>
        <w:ind w:firstLine="480" w:firstLineChars="200"/>
        <w:rPr>
          <w:rFonts w:ascii="Times New Roman" w:hAnsi="Times New Roman" w:cs="Times New Roman"/>
        </w:rPr>
      </w:pPr>
      <w:r>
        <w:rPr>
          <w:rFonts w:ascii="Times New Roman" w:hAnsi="Times New Roman" w:cs="Times New Roman"/>
        </w:rPr>
        <w:t>园区工业污水处理厂排污口位于水产种质资源保护区</w:t>
      </w:r>
      <w:r>
        <w:rPr>
          <w:rFonts w:hint="eastAsia" w:ascii="Times New Roman" w:hAnsi="Times New Roman" w:cs="Times New Roman"/>
        </w:rPr>
        <w:t>试验区</w:t>
      </w:r>
      <w:r>
        <w:rPr>
          <w:rFonts w:ascii="Times New Roman" w:hAnsi="Times New Roman" w:cs="Times New Roman"/>
        </w:rPr>
        <w:t>，现有排污口于</w:t>
      </w:r>
      <w:r>
        <w:rPr>
          <w:rFonts w:hint="eastAsia" w:ascii="Times New Roman" w:hAnsi="Times New Roman" w:cs="Times New Roman"/>
        </w:rPr>
        <w:t>2023</w:t>
      </w:r>
      <w:r>
        <w:rPr>
          <w:rFonts w:ascii="Times New Roman" w:hAnsi="Times New Roman" w:cs="Times New Roman"/>
        </w:rPr>
        <w:t>年</w:t>
      </w:r>
      <w:r>
        <w:rPr>
          <w:rFonts w:hint="eastAsia" w:ascii="Times New Roman" w:hAnsi="Times New Roman" w:cs="Times New Roman"/>
        </w:rPr>
        <w:t>6月</w:t>
      </w:r>
      <w:r>
        <w:rPr>
          <w:rFonts w:ascii="Times New Roman" w:hAnsi="Times New Roman" w:cs="Times New Roman"/>
        </w:rPr>
        <w:t>取得《</w:t>
      </w:r>
      <w:r>
        <w:rPr>
          <w:rFonts w:hint="eastAsia" w:ascii="Times New Roman" w:hAnsi="Times New Roman" w:cs="Times New Roman"/>
        </w:rPr>
        <w:t>湖南省生态环境厅关于临湘市白马矶入河排污口设置的批复</w:t>
      </w:r>
      <w:r>
        <w:rPr>
          <w:rFonts w:ascii="Times New Roman" w:hAnsi="Times New Roman" w:cs="Times New Roman"/>
        </w:rPr>
        <w:t>》（</w:t>
      </w:r>
      <w:r>
        <w:rPr>
          <w:rFonts w:hint="eastAsia" w:ascii="Times New Roman" w:hAnsi="Times New Roman" w:cs="Times New Roman"/>
        </w:rPr>
        <w:t>湘环函[2023]180号</w:t>
      </w:r>
      <w:r>
        <w:rPr>
          <w:rFonts w:ascii="Times New Roman" w:hAnsi="Times New Roman" w:cs="Times New Roman"/>
        </w:rPr>
        <w:t>），排水方案可行，因此合《水产种质资源保护区管理暂行办法（2016年修正本）》的相关要求。</w:t>
      </w:r>
    </w:p>
    <w:p>
      <w:pPr>
        <w:pStyle w:val="4"/>
      </w:pPr>
      <w:bookmarkStart w:id="435" w:name="_Toc146091920"/>
      <w:r>
        <w:rPr>
          <w:rFonts w:hint="eastAsia"/>
        </w:rPr>
        <w:t>3.3.7 化工园区相关文件</w:t>
      </w:r>
      <w:bookmarkEnd w:id="435"/>
    </w:p>
    <w:p>
      <w:pPr>
        <w:pStyle w:val="5"/>
        <w:ind w:firstLine="482"/>
        <w:rPr>
          <w:rFonts w:ascii="Times New Roman" w:hAnsi="Times New Roman" w:eastAsia="宋体" w:cs="Times New Roman"/>
          <w:kern w:val="0"/>
          <w:szCs w:val="24"/>
        </w:rPr>
      </w:pPr>
      <w:r>
        <w:rPr>
          <w:rFonts w:hint="eastAsia"/>
        </w:rPr>
        <w:t>3.3.7.1</w:t>
      </w:r>
      <w:r>
        <w:rPr>
          <w:rFonts w:hint="eastAsia" w:ascii="Times New Roman" w:hAnsi="Times New Roman" w:eastAsia="宋体" w:cs="Times New Roman"/>
          <w:kern w:val="0"/>
          <w:szCs w:val="24"/>
        </w:rPr>
        <w:t>与《化工园区建设标准和认定管理办法（试行）》相符性分析</w:t>
      </w:r>
    </w:p>
    <w:p>
      <w:pPr>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szCs w:val="24"/>
        </w:rPr>
        <w:t>2021年12月，工业和信息化部、自然资源部、生态环境部、住房和城乡建设部、交通运输部、应急管理部、关于印发《化工园区建设标准和认定管理办法（试行）》的通知（工信部联原〔2021〕220号）</w:t>
      </w:r>
      <w:r>
        <w:rPr>
          <w:rFonts w:ascii="Times New Roman" w:hAnsi="Times New Roman" w:eastAsia="宋体" w:cs="Times New Roman"/>
          <w:kern w:val="0"/>
          <w:szCs w:val="20"/>
        </w:rPr>
        <w:t>，对照《化工园区建设标准和认定管理办法（试行）》中涉及</w:t>
      </w:r>
      <w:r>
        <w:rPr>
          <w:rFonts w:ascii="Times New Roman" w:hAnsi="Times New Roman" w:eastAsia="宋体" w:cs="Times New Roman"/>
          <w:szCs w:val="24"/>
        </w:rPr>
        <w:t>生态环境</w:t>
      </w:r>
      <w:r>
        <w:rPr>
          <w:rFonts w:ascii="Times New Roman" w:hAnsi="Times New Roman" w:eastAsia="宋体" w:cs="Times New Roman"/>
          <w:kern w:val="0"/>
          <w:szCs w:val="20"/>
        </w:rPr>
        <w:t>保护要求的符合性见下表。</w:t>
      </w:r>
    </w:p>
    <w:p>
      <w:pPr>
        <w:pStyle w:val="6"/>
      </w:pPr>
      <w:r>
        <w:t>表3.</w:t>
      </w:r>
      <w:r>
        <w:rPr>
          <w:rFonts w:hint="eastAsia"/>
        </w:rPr>
        <w:t>3-17</w:t>
      </w:r>
      <w:r>
        <w:t xml:space="preserve">  与《化工园区建设标准和认定管理办法（试行）》相符性分析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4033"/>
        <w:gridCol w:w="2954"/>
        <w:gridCol w:w="9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2364"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《化工园区建设标准和认定管理办法</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（试行）》</w:t>
            </w:r>
          </w:p>
        </w:tc>
        <w:tc>
          <w:tcPr>
            <w:tcW w:w="1732"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临湘高新技术产业开发区</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第四条  化工园区设立应手续完备，</w:t>
            </w:r>
            <w:r>
              <w:rPr>
                <w:rFonts w:ascii="Times New Roman" w:hAnsi="Times New Roman" w:eastAsia="宋体" w:cs="Times New Roman"/>
                <w:b/>
                <w:sz w:val="21"/>
                <w:szCs w:val="24"/>
              </w:rPr>
              <w:t>依法开展规划环境影响评价</w:t>
            </w:r>
            <w:r>
              <w:rPr>
                <w:rFonts w:ascii="Times New Roman" w:hAnsi="Times New Roman" w:eastAsia="宋体" w:cs="Times New Roman"/>
                <w:sz w:val="21"/>
                <w:szCs w:val="24"/>
              </w:rPr>
              <w:t>和整体性安全风险评价，并通过相关部门审查。</w:t>
            </w:r>
          </w:p>
        </w:tc>
        <w:tc>
          <w:tcPr>
            <w:tcW w:w="1732" w:type="pct"/>
            <w:vAlign w:val="center"/>
          </w:tcPr>
          <w:p>
            <w:pPr>
              <w:rPr>
                <w:rFonts w:ascii="Times New Roman" w:hAnsi="Times New Roman" w:eastAsia="宋体" w:cs="Times New Roman"/>
                <w:sz w:val="21"/>
                <w:szCs w:val="24"/>
              </w:rPr>
            </w:pPr>
            <w:r>
              <w:rPr>
                <w:rFonts w:hint="eastAsia" w:ascii="Times New Roman" w:hAnsi="Times New Roman" w:eastAsia="宋体" w:cs="Times New Roman"/>
                <w:sz w:val="21"/>
                <w:szCs w:val="24"/>
              </w:rPr>
              <w:t>临湘高新区属于湖南省认定的化工园区，手续完备</w:t>
            </w:r>
            <w:r>
              <w:rPr>
                <w:rFonts w:ascii="Times New Roman" w:hAnsi="Times New Roman" w:eastAsia="宋体" w:cs="Times New Roman"/>
                <w:sz w:val="21"/>
                <w:szCs w:val="24"/>
              </w:rPr>
              <w:t>。</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第五条  化工园区应明确管理机构，具备安全生产、</w:t>
            </w:r>
            <w:r>
              <w:rPr>
                <w:rFonts w:ascii="Times New Roman" w:hAnsi="Times New Roman" w:eastAsia="宋体" w:cs="Times New Roman"/>
                <w:b/>
                <w:sz w:val="21"/>
                <w:szCs w:val="24"/>
              </w:rPr>
              <w:t>环境保护</w:t>
            </w:r>
            <w:r>
              <w:rPr>
                <w:rFonts w:ascii="Times New Roman" w:hAnsi="Times New Roman" w:eastAsia="宋体" w:cs="Times New Roman"/>
                <w:sz w:val="21"/>
                <w:szCs w:val="24"/>
              </w:rPr>
              <w:t>、应急救援等方面有效管理能力，配备满足化工园区安全管理和</w:t>
            </w:r>
            <w:r>
              <w:rPr>
                <w:rFonts w:ascii="Times New Roman" w:hAnsi="Times New Roman" w:eastAsia="宋体" w:cs="Times New Roman"/>
                <w:b/>
                <w:sz w:val="21"/>
                <w:szCs w:val="24"/>
              </w:rPr>
              <w:t>环境保护</w:t>
            </w:r>
            <w:r>
              <w:rPr>
                <w:rFonts w:ascii="Times New Roman" w:hAnsi="Times New Roman" w:eastAsia="宋体" w:cs="Times New Roman"/>
                <w:sz w:val="21"/>
                <w:szCs w:val="24"/>
              </w:rPr>
              <w:t>需要的人员。</w:t>
            </w:r>
          </w:p>
        </w:tc>
        <w:tc>
          <w:tcPr>
            <w:tcW w:w="1732" w:type="pct"/>
            <w:vAlign w:val="center"/>
          </w:tcPr>
          <w:p>
            <w:pPr>
              <w:rPr>
                <w:rFonts w:ascii="Times New Roman" w:hAnsi="Times New Roman" w:eastAsia="宋体" w:cs="Times New Roman"/>
                <w:sz w:val="21"/>
                <w:szCs w:val="24"/>
              </w:rPr>
            </w:pPr>
            <w:r>
              <w:rPr>
                <w:rFonts w:hint="eastAsia" w:ascii="Times New Roman" w:hAnsi="Times New Roman" w:eastAsia="宋体" w:cs="Times New Roman"/>
                <w:sz w:val="21"/>
                <w:szCs w:val="24"/>
              </w:rPr>
              <w:t>高新区</w:t>
            </w:r>
            <w:r>
              <w:rPr>
                <w:rFonts w:ascii="Times New Roman" w:hAnsi="Times New Roman" w:eastAsia="宋体" w:cs="Times New Roman"/>
                <w:sz w:val="21"/>
                <w:szCs w:val="24"/>
              </w:rPr>
              <w:t>已设立环境保护专岗，同时引入第三方环保管家配合。</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第六条  化工园区选址布局应符合有关法律法规、政策规定和相关规划。严禁在地震断层、地质灾害易发区、生态保护红线、永久基本农田、自然保护区、饮用水水源保护区以及其他环境敏感区等地段、地区选址。化工园区与城市建成区、人口密集区、重要设施等防护目标之间的外部安全防护距离应满足相关标准要求，并设置周边规划安全控制线。</w:t>
            </w:r>
          </w:p>
        </w:tc>
        <w:tc>
          <w:tcPr>
            <w:tcW w:w="1732"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化工产业</w:t>
            </w:r>
            <w:r>
              <w:rPr>
                <w:rFonts w:ascii="Times New Roman" w:hAnsi="Times New Roman" w:eastAsia="宋体" w:cs="Times New Roman"/>
                <w:sz w:val="21"/>
                <w:szCs w:val="24"/>
              </w:rPr>
              <w:t>片区</w:t>
            </w:r>
            <w:r>
              <w:rPr>
                <w:rFonts w:hint="eastAsia" w:ascii="Times New Roman" w:hAnsi="Times New Roman" w:eastAsia="宋体" w:cs="Times New Roman"/>
                <w:sz w:val="21"/>
                <w:szCs w:val="24"/>
              </w:rPr>
              <w:t>现状评估区地质灾害不发育，危险性小，规划用地工程建设总体适宜，</w:t>
            </w:r>
            <w:r>
              <w:rPr>
                <w:rFonts w:ascii="Times New Roman" w:hAnsi="Times New Roman" w:eastAsia="宋体" w:cs="Times New Roman"/>
                <w:sz w:val="21"/>
                <w:szCs w:val="24"/>
              </w:rPr>
              <w:t>不涉及生态保护红线、永久基本农田、自然保护区、饮用水水源保护区以及其他环境敏感区，</w:t>
            </w:r>
            <w:r>
              <w:rPr>
                <w:rFonts w:hint="eastAsia" w:ascii="Times New Roman" w:hAnsi="Times New Roman" w:eastAsia="宋体" w:cs="Times New Roman"/>
                <w:sz w:val="21"/>
                <w:szCs w:val="24"/>
              </w:rPr>
              <w:t>规划</w:t>
            </w:r>
            <w:r>
              <w:rPr>
                <w:rFonts w:ascii="Times New Roman" w:hAnsi="Times New Roman" w:eastAsia="宋体" w:cs="Times New Roman"/>
                <w:sz w:val="21"/>
                <w:szCs w:val="24"/>
              </w:rPr>
              <w:t>范围已纳入</w:t>
            </w:r>
            <w:r>
              <w:rPr>
                <w:rFonts w:hint="eastAsia" w:ascii="Times New Roman" w:hAnsi="Times New Roman" w:eastAsia="宋体" w:cs="Times New Roman"/>
                <w:sz w:val="21"/>
                <w:szCs w:val="24"/>
              </w:rPr>
              <w:t>临湘市城镇</w:t>
            </w:r>
            <w:r>
              <w:rPr>
                <w:rFonts w:ascii="Times New Roman" w:hAnsi="Times New Roman" w:eastAsia="宋体" w:cs="Times New Roman"/>
                <w:sz w:val="21"/>
                <w:szCs w:val="24"/>
              </w:rPr>
              <w:t>开发</w:t>
            </w:r>
            <w:r>
              <w:rPr>
                <w:rFonts w:hint="eastAsia" w:ascii="Times New Roman" w:hAnsi="Times New Roman" w:eastAsia="宋体" w:cs="Times New Roman"/>
                <w:sz w:val="21"/>
                <w:szCs w:val="24"/>
              </w:rPr>
              <w:t>边界</w:t>
            </w:r>
            <w:r>
              <w:rPr>
                <w:rFonts w:ascii="Times New Roman" w:hAnsi="Times New Roman" w:eastAsia="宋体" w:cs="Times New Roman"/>
                <w:sz w:val="21"/>
                <w:szCs w:val="24"/>
              </w:rPr>
              <w:t>，与城市建成区、人口密集区有一定的距离</w:t>
            </w:r>
            <w:r>
              <w:rPr>
                <w:rFonts w:hint="eastAsia" w:ascii="Times New Roman" w:hAnsi="Times New Roman" w:eastAsia="宋体" w:cs="Times New Roman"/>
                <w:sz w:val="21"/>
                <w:szCs w:val="24"/>
              </w:rPr>
              <w:t>，正在</w:t>
            </w:r>
            <w:r>
              <w:rPr>
                <w:rFonts w:ascii="Times New Roman" w:hAnsi="Times New Roman" w:eastAsia="宋体" w:cs="Times New Roman"/>
                <w:sz w:val="21"/>
                <w:szCs w:val="24"/>
              </w:rPr>
              <w:t>开展</w:t>
            </w:r>
            <w:r>
              <w:rPr>
                <w:rFonts w:hint="eastAsia" w:ascii="Times New Roman" w:hAnsi="Times New Roman" w:eastAsia="宋体" w:cs="Times New Roman"/>
                <w:sz w:val="21"/>
                <w:szCs w:val="24"/>
              </w:rPr>
              <w:t>安全</w:t>
            </w:r>
            <w:r>
              <w:rPr>
                <w:rFonts w:ascii="Times New Roman" w:hAnsi="Times New Roman" w:eastAsia="宋体" w:cs="Times New Roman"/>
                <w:sz w:val="21"/>
                <w:szCs w:val="24"/>
              </w:rPr>
              <w:t>评价，将设置相应的规划安全控制线。</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第七条  化工园区管理机构应编制总体规划和产业规划。总体规划应包括安全生产、应急救援、生态环境保护、节约集约用地和综合防灾减灾的章节或独立编制相关专项规划。产业规划应结合当地土地资源、产业基础、水资源、环境容量、城市建设、物流交通等基础条件进行编制，符合国家化工产业政策和所在地区生态环境分区管控要求及化工产业发展规划。</w:t>
            </w:r>
          </w:p>
        </w:tc>
        <w:tc>
          <w:tcPr>
            <w:tcW w:w="1732"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高新区管理机构已编制规划，含生态环境保护专项规划，</w:t>
            </w:r>
            <w:r>
              <w:rPr>
                <w:rFonts w:hint="eastAsia" w:ascii="Times New Roman" w:hAnsi="Times New Roman" w:eastAsia="宋体" w:cs="Times New Roman"/>
                <w:sz w:val="21"/>
                <w:szCs w:val="24"/>
              </w:rPr>
              <w:t>化工产业</w:t>
            </w:r>
            <w:r>
              <w:rPr>
                <w:rFonts w:ascii="Times New Roman" w:hAnsi="Times New Roman" w:eastAsia="宋体" w:cs="Times New Roman"/>
                <w:sz w:val="21"/>
                <w:szCs w:val="24"/>
              </w:rPr>
              <w:t>片区符合区域环境容量要求，符合省级园区生态环境分区管控要求。</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5</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第十二条  化工园区应按照分类收集、分质处理的要求，配备专业化工生产废水集中处理设施（独立建设或依托骨干企业）及专管或明管输送的配套管网，园区内废水做到应纳尽纳、集中处理和达标排放；含有码头的，应按照有关规定配备船舶水污染物接收转运处置设施;设置了入河（海）排污口的，排污口设置应符合相关规定。</w:t>
            </w:r>
          </w:p>
        </w:tc>
        <w:tc>
          <w:tcPr>
            <w:tcW w:w="1732"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高新区拟引进企业，</w:t>
            </w:r>
            <w:r>
              <w:rPr>
                <w:rFonts w:hint="eastAsia" w:ascii="Times New Roman" w:hAnsi="Times New Roman" w:eastAsia="宋体" w:cs="Times New Roman"/>
                <w:sz w:val="21"/>
                <w:szCs w:val="24"/>
              </w:rPr>
              <w:t>均</w:t>
            </w:r>
            <w:r>
              <w:rPr>
                <w:rFonts w:ascii="Times New Roman" w:hAnsi="Times New Roman" w:eastAsia="宋体" w:cs="Times New Roman"/>
                <w:sz w:val="21"/>
                <w:szCs w:val="24"/>
              </w:rPr>
              <w:t>按照分类收集、分质处理的要求，建成明管（专管）输送至拟建设的污水处理厂处理。</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6</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第十三条   ……化工园区应按照有关规定建设园区事故废水防控系统，做好事故废水的收集、暂存和处理。</w:t>
            </w:r>
          </w:p>
        </w:tc>
        <w:tc>
          <w:tcPr>
            <w:tcW w:w="1732" w:type="pct"/>
            <w:vAlign w:val="center"/>
          </w:tcPr>
          <w:p>
            <w:pPr>
              <w:rPr>
                <w:rFonts w:ascii="Times New Roman" w:hAnsi="Times New Roman" w:eastAsia="宋体" w:cs="Times New Roman"/>
                <w:sz w:val="21"/>
                <w:szCs w:val="24"/>
              </w:rPr>
            </w:pPr>
            <w:r>
              <w:rPr>
                <w:rFonts w:hint="eastAsia" w:ascii="Times New Roman" w:hAnsi="Times New Roman" w:eastAsia="宋体" w:cs="Times New Roman"/>
                <w:sz w:val="21"/>
                <w:szCs w:val="24"/>
              </w:rPr>
              <w:t>化工产业片区已按照有关规定建设园区事故废水防控系统，做好事故废水的收集、暂存和处理。</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7</w:t>
            </w:r>
          </w:p>
        </w:tc>
        <w:tc>
          <w:tcPr>
            <w:tcW w:w="2364"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第十四条  化工园区应根据自身规模和产业结构需要，建立完善的安全生产和生态环境的监测监控和风险预警体系，相关监测监控数据应接入地方监测预警系统。</w:t>
            </w:r>
          </w:p>
        </w:tc>
        <w:tc>
          <w:tcPr>
            <w:tcW w:w="1732"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园区按照相关要求，建设水气土一体化监控系统。</w:t>
            </w:r>
          </w:p>
        </w:tc>
        <w:tc>
          <w:tcPr>
            <w:tcW w:w="53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bl>
    <w:p>
      <w:pPr>
        <w:widowControl/>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kern w:val="0"/>
          <w:szCs w:val="20"/>
        </w:rPr>
        <w:t>由上表可知，</w:t>
      </w:r>
      <w:r>
        <w:rPr>
          <w:rFonts w:hint="eastAsia" w:ascii="Times New Roman" w:hAnsi="Times New Roman" w:eastAsia="宋体" w:cs="Times New Roman"/>
          <w:kern w:val="0"/>
          <w:szCs w:val="20"/>
        </w:rPr>
        <w:t>临湘高新技术产业开发区化工产业</w:t>
      </w:r>
      <w:r>
        <w:rPr>
          <w:rFonts w:ascii="Times New Roman" w:hAnsi="Times New Roman" w:eastAsia="宋体" w:cs="Times New Roman"/>
          <w:kern w:val="0"/>
          <w:szCs w:val="20"/>
        </w:rPr>
        <w:t>片区与《化工园区建设标准和认定管理办法（试行）》中生态环境保护要求相符，后续根据开发建设进一步完善企业污水一企一管明管（专管）输送、环境监测、环境风险监控体系。</w:t>
      </w:r>
    </w:p>
    <w:p>
      <w:pPr>
        <w:pStyle w:val="5"/>
        <w:ind w:firstLine="482"/>
      </w:pPr>
      <w:r>
        <w:rPr>
          <w:rFonts w:hint="eastAsia"/>
        </w:rPr>
        <w:t>3.3.7.2 与《湖南省化工园区认定评估导则》相符性分析</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2021年3月，湖南省出台《湖南省化工园区认定评估导则》，对照《湖南省化工园区认定评估导则》中环境保护9项相符性如下表。</w:t>
      </w:r>
    </w:p>
    <w:p>
      <w:pPr>
        <w:pStyle w:val="6"/>
      </w:pPr>
      <w:r>
        <w:t>表</w:t>
      </w:r>
      <w:r>
        <w:rPr>
          <w:rFonts w:hint="eastAsia"/>
        </w:rPr>
        <w:t>3</w:t>
      </w:r>
      <w:r>
        <w:t>.3-1</w:t>
      </w:r>
      <w:r>
        <w:rPr>
          <w:rFonts w:hint="eastAsia"/>
        </w:rPr>
        <w:t>8</w:t>
      </w:r>
      <w:r>
        <w:t xml:space="preserve">  与《湖南省化工园区认定评估导则》相符性分析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865"/>
        <w:gridCol w:w="3601"/>
        <w:gridCol w:w="2615"/>
        <w:gridCol w:w="7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96"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一级指标</w:t>
            </w: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二级指标</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三级指标</w:t>
            </w:r>
          </w:p>
        </w:tc>
        <w:tc>
          <w:tcPr>
            <w:tcW w:w="1533"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湖南临湘高新技术产业开发区</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restar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环境保护</w:t>
            </w: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1、监管机构</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园区管理机构应设有生态环境保护部门，配备满足园区生态环境保护需要的管理人员。</w:t>
            </w:r>
          </w:p>
        </w:tc>
        <w:tc>
          <w:tcPr>
            <w:tcW w:w="153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园区管理机构已设有生态环境保护部门，且配备满足园区管理人员。</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2、规划环评</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园区已完成规划环境影响评价并通过审查；规划实施五年以上的，要组织开展环境影响跟踪评价。</w:t>
            </w:r>
          </w:p>
        </w:tc>
        <w:tc>
          <w:tcPr>
            <w:tcW w:w="1533" w:type="pct"/>
            <w:vAlign w:val="center"/>
          </w:tcPr>
          <w:p>
            <w:pPr>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本次化工产业</w:t>
            </w:r>
            <w:r>
              <w:rPr>
                <w:rFonts w:ascii="Times New Roman" w:hAnsi="Times New Roman" w:eastAsia="宋体" w:cs="Times New Roman"/>
                <w:sz w:val="21"/>
                <w:szCs w:val="24"/>
              </w:rPr>
              <w:t>片区</w:t>
            </w:r>
            <w:r>
              <w:rPr>
                <w:rFonts w:hint="eastAsia" w:ascii="Times New Roman" w:hAnsi="Times New Roman" w:eastAsia="宋体" w:cs="Times New Roman"/>
                <w:sz w:val="21"/>
                <w:szCs w:val="24"/>
              </w:rPr>
              <w:t>扩区范围</w:t>
            </w:r>
            <w:r>
              <w:rPr>
                <w:rFonts w:ascii="Times New Roman" w:hAnsi="Times New Roman" w:eastAsia="宋体" w:cs="Times New Roman"/>
                <w:sz w:val="21"/>
                <w:szCs w:val="24"/>
              </w:rPr>
              <w:t>属于本次评价范围内，正在进行环境影响评价</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3、排污许可</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排污许可证核发率达到100%；园区内生产企业及污水处理厂按照排污许可证的规定排放污染物，做到稳定达标排放。</w:t>
            </w:r>
          </w:p>
        </w:tc>
        <w:tc>
          <w:tcPr>
            <w:tcW w:w="153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后续拟引入企业均按照相关要求，进行排污许可管理。</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4、污水集中处理</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污水处理厂具备污水分质（应急）处理的能力和设施；按照雨污分流、污污分流、分质处理的原则建设污水收集管网，采用明管（专管）输送收集方式，企业在分质预处理节点安装水量计量装置，建设满足容量的应急事故池，初期雨水、事故废水全部进入废水处理系统。污水排放口设置应符合《环境保护图形标志》（GB/T 15562.1-1995GB/T 15562.2-1995）和《污水监测技术规范》（HJ91.1-2019）及湖南省相关技术要求；入河排污口按照行政主管部门要求设置入河排污口标志牌。</w:t>
            </w:r>
          </w:p>
        </w:tc>
        <w:tc>
          <w:tcPr>
            <w:tcW w:w="153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w:t>
            </w:r>
            <w:r>
              <w:rPr>
                <w:rFonts w:hint="eastAsia" w:ascii="Times New Roman" w:hAnsi="Times New Roman" w:eastAsia="宋体" w:cs="Times New Roman"/>
                <w:sz w:val="21"/>
                <w:szCs w:val="24"/>
              </w:rPr>
              <w:t>已</w:t>
            </w:r>
            <w:r>
              <w:rPr>
                <w:rFonts w:ascii="Times New Roman" w:hAnsi="Times New Roman" w:eastAsia="宋体" w:cs="Times New Roman"/>
                <w:sz w:val="21"/>
                <w:szCs w:val="24"/>
              </w:rPr>
              <w:t>建污水处理厂，具备污水分质（应急）处理的能力；并按照雨污分流、污污分流、分质处理的原则建设污水收集管网，并按要求建设有应急事故池，初期雨水、事故废水全部进入废水处理系统。污水排放口设置及入河排污口设有符合要求的排污口标志牌。</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5、废气防治措施</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园区内生产企业废气处理设施、污水预处理设施、危废暂存设施建成及运行率达到100%，并稳定达标排放，固定污染源烟气（SO</w:t>
            </w:r>
            <w:r>
              <w:rPr>
                <w:rFonts w:ascii="Times New Roman" w:hAnsi="Times New Roman" w:eastAsia="宋体" w:cs="Times New Roman"/>
                <w:sz w:val="21"/>
                <w:szCs w:val="24"/>
                <w:vertAlign w:val="subscript"/>
              </w:rPr>
              <w:t>2</w:t>
            </w:r>
            <w:r>
              <w:rPr>
                <w:rFonts w:ascii="Times New Roman" w:hAnsi="Times New Roman" w:eastAsia="宋体" w:cs="Times New Roman"/>
                <w:sz w:val="21"/>
                <w:szCs w:val="24"/>
              </w:rPr>
              <w:t>、NO</w:t>
            </w:r>
            <w:r>
              <w:rPr>
                <w:rFonts w:ascii="Times New Roman" w:hAnsi="Times New Roman" w:eastAsia="宋体" w:cs="Times New Roman"/>
                <w:sz w:val="21"/>
                <w:szCs w:val="24"/>
                <w:vertAlign w:val="subscript"/>
              </w:rPr>
              <w:t>X</w:t>
            </w:r>
            <w:r>
              <w:rPr>
                <w:rFonts w:ascii="Times New Roman" w:hAnsi="Times New Roman" w:eastAsia="宋体" w:cs="Times New Roman"/>
                <w:sz w:val="21"/>
                <w:szCs w:val="24"/>
              </w:rPr>
              <w:t>、颗粒物等）、挥发性有机物等无组织排放应达到相应标准。</w:t>
            </w:r>
          </w:p>
        </w:tc>
        <w:tc>
          <w:tcPr>
            <w:tcW w:w="153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园区拟引入企业，必须配套建设环保设施，运行率100%，各污染物排放须满足相应标准要求。</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6、土壤污染防治</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化工园区内的土壤污染重点监管单位应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153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园区</w:t>
            </w:r>
            <w:r>
              <w:rPr>
                <w:rFonts w:hint="eastAsia" w:ascii="Times New Roman" w:hAnsi="Times New Roman" w:eastAsia="宋体" w:cs="Times New Roman"/>
                <w:sz w:val="21"/>
                <w:szCs w:val="24"/>
              </w:rPr>
              <w:t>应</w:t>
            </w:r>
            <w:r>
              <w:rPr>
                <w:rFonts w:ascii="Times New Roman" w:hAnsi="Times New Roman" w:eastAsia="宋体" w:cs="Times New Roman"/>
                <w:sz w:val="21"/>
                <w:szCs w:val="24"/>
              </w:rPr>
              <w:t>建立土壤隐患排查制度，重点企业按要求进行监测。</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7、主要污染物达标率及弹性系数</w:t>
            </w:r>
          </w:p>
        </w:tc>
        <w:tc>
          <w:tcPr>
            <w:tcW w:w="2111"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（1）园区工业固体废物综合利用率≥90%</w:t>
            </w:r>
          </w:p>
          <w:p>
            <w:pPr>
              <w:jc w:val="center"/>
              <w:rPr>
                <w:rFonts w:ascii="Times New Roman" w:hAnsi="Times New Roman" w:eastAsia="宋体" w:cs="Times New Roman"/>
                <w:sz w:val="21"/>
                <w:szCs w:val="24"/>
              </w:rPr>
            </w:pPr>
            <w:r>
              <w:rPr>
                <w:rFonts w:ascii="Times New Roman" w:hAnsi="Times New Roman" w:eastAsia="宋体" w:cs="Times New Roman"/>
                <w:sz w:val="21"/>
                <w:szCs w:val="24"/>
              </w:rPr>
              <w:t>（2）园区危险废物安全利用和处置率100%；</w:t>
            </w:r>
          </w:p>
        </w:tc>
        <w:tc>
          <w:tcPr>
            <w:tcW w:w="153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规划</w:t>
            </w:r>
            <w:r>
              <w:rPr>
                <w:rFonts w:hint="eastAsia" w:ascii="Times New Roman" w:hAnsi="Times New Roman" w:eastAsia="宋体" w:cs="Times New Roman"/>
                <w:sz w:val="21"/>
                <w:szCs w:val="24"/>
              </w:rPr>
              <w:t>化工产业</w:t>
            </w:r>
            <w:r>
              <w:rPr>
                <w:rFonts w:ascii="Times New Roman" w:hAnsi="Times New Roman" w:eastAsia="宋体" w:cs="Times New Roman"/>
                <w:sz w:val="21"/>
                <w:szCs w:val="24"/>
              </w:rPr>
              <w:t>片区工业固体废物、危险废物处置、利用符合要求</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8、环境风险防控</w:t>
            </w:r>
          </w:p>
        </w:tc>
        <w:tc>
          <w:tcPr>
            <w:tcW w:w="2111"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（1）建设园区环境应急物资库，针对园区风险源储备相应的环境应急物资；（2）每年度开展园区突发环境事件应急演练；（3）组织开展园区环境风险隐患排查治理；</w:t>
            </w:r>
          </w:p>
          <w:p>
            <w:pPr>
              <w:rPr>
                <w:rFonts w:ascii="Times New Roman" w:hAnsi="Times New Roman" w:eastAsia="宋体" w:cs="Times New Roman"/>
                <w:sz w:val="21"/>
                <w:szCs w:val="24"/>
              </w:rPr>
            </w:pPr>
            <w:r>
              <w:rPr>
                <w:rFonts w:ascii="Times New Roman" w:hAnsi="Times New Roman" w:eastAsia="宋体" w:cs="Times New Roman"/>
                <w:sz w:val="21"/>
                <w:szCs w:val="24"/>
              </w:rPr>
              <w:t>（4）建设化工园区有毒有害气体预警预报体系,提升预警能力。</w:t>
            </w:r>
          </w:p>
        </w:tc>
        <w:tc>
          <w:tcPr>
            <w:tcW w:w="1533"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园区已制定环境应急预案并备案，定期开展演练，</w:t>
            </w:r>
            <w:r>
              <w:rPr>
                <w:rFonts w:hint="eastAsia" w:ascii="Times New Roman" w:hAnsi="Times New Roman" w:eastAsia="宋体" w:cs="Times New Roman"/>
                <w:sz w:val="21"/>
                <w:szCs w:val="24"/>
              </w:rPr>
              <w:t>提高环境风险防控能力</w:t>
            </w:r>
            <w:r>
              <w:rPr>
                <w:rFonts w:ascii="Times New Roman" w:hAnsi="Times New Roman" w:eastAsia="宋体" w:cs="Times New Roman"/>
                <w:sz w:val="21"/>
                <w:szCs w:val="24"/>
              </w:rPr>
              <w:t>。</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6" w:type="pct"/>
            <w:vMerge w:val="continue"/>
            <w:noWrap/>
            <w:vAlign w:val="center"/>
          </w:tcPr>
          <w:p>
            <w:pPr>
              <w:jc w:val="center"/>
              <w:rPr>
                <w:rFonts w:ascii="Times New Roman" w:hAnsi="Times New Roman" w:eastAsia="宋体" w:cs="Times New Roman"/>
                <w:sz w:val="21"/>
                <w:szCs w:val="24"/>
              </w:rPr>
            </w:pPr>
          </w:p>
        </w:tc>
        <w:tc>
          <w:tcPr>
            <w:tcW w:w="507"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9、监管机制</w:t>
            </w:r>
          </w:p>
        </w:tc>
        <w:tc>
          <w:tcPr>
            <w:tcW w:w="2111"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（1）开展一园一档排污管理；</w:t>
            </w:r>
          </w:p>
          <w:p>
            <w:pPr>
              <w:rPr>
                <w:rFonts w:ascii="Times New Roman" w:hAnsi="Times New Roman" w:eastAsia="宋体" w:cs="Times New Roman"/>
                <w:sz w:val="21"/>
                <w:szCs w:val="24"/>
              </w:rPr>
            </w:pPr>
            <w:r>
              <w:rPr>
                <w:rFonts w:ascii="Times New Roman" w:hAnsi="Times New Roman" w:eastAsia="宋体" w:cs="Times New Roman"/>
                <w:sz w:val="21"/>
                <w:szCs w:val="24"/>
              </w:rPr>
              <w:t>（2）每年至少组织开展两次以上园区环境问题的全面排查；</w:t>
            </w:r>
          </w:p>
          <w:p>
            <w:pPr>
              <w:rPr>
                <w:rFonts w:ascii="Times New Roman" w:hAnsi="Times New Roman" w:eastAsia="宋体" w:cs="Times New Roman"/>
                <w:sz w:val="21"/>
                <w:szCs w:val="24"/>
              </w:rPr>
            </w:pPr>
            <w:r>
              <w:rPr>
                <w:rFonts w:ascii="Times New Roman" w:hAnsi="Times New Roman" w:eastAsia="宋体" w:cs="Times New Roman"/>
                <w:sz w:val="21"/>
                <w:szCs w:val="24"/>
              </w:rPr>
              <w:t>（3）开展园区环境第三方治理（建设园区数字化在线监管平台）；</w:t>
            </w:r>
          </w:p>
          <w:p>
            <w:pPr>
              <w:rPr>
                <w:rFonts w:ascii="Times New Roman" w:hAnsi="Times New Roman" w:eastAsia="宋体" w:cs="Times New Roman"/>
                <w:sz w:val="21"/>
                <w:szCs w:val="24"/>
              </w:rPr>
            </w:pPr>
            <w:r>
              <w:rPr>
                <w:rFonts w:ascii="Times New Roman" w:hAnsi="Times New Roman" w:eastAsia="宋体" w:cs="Times New Roman"/>
                <w:sz w:val="21"/>
                <w:szCs w:val="24"/>
              </w:rPr>
              <w:t>（4）按照要求填写的园区生态环境保护年度总结报告及表格；</w:t>
            </w:r>
          </w:p>
          <w:p>
            <w:pPr>
              <w:rPr>
                <w:rFonts w:ascii="Times New Roman" w:hAnsi="Times New Roman" w:eastAsia="宋体" w:cs="Times New Roman"/>
                <w:sz w:val="21"/>
                <w:szCs w:val="24"/>
              </w:rPr>
            </w:pPr>
            <w:r>
              <w:rPr>
                <w:rFonts w:ascii="Times New Roman" w:hAnsi="Times New Roman" w:eastAsia="宋体" w:cs="Times New Roman"/>
                <w:sz w:val="21"/>
                <w:szCs w:val="24"/>
              </w:rPr>
              <w:t>（5）园区环保信用评价未被评为风险等级。</w:t>
            </w:r>
          </w:p>
        </w:tc>
        <w:tc>
          <w:tcPr>
            <w:tcW w:w="1533" w:type="pct"/>
            <w:vAlign w:val="center"/>
          </w:tcPr>
          <w:p>
            <w:pPr>
              <w:rPr>
                <w:rFonts w:ascii="Times New Roman" w:hAnsi="Times New Roman" w:eastAsia="宋体" w:cs="Times New Roman"/>
                <w:sz w:val="21"/>
                <w:szCs w:val="24"/>
              </w:rPr>
            </w:pPr>
            <w:r>
              <w:rPr>
                <w:rFonts w:ascii="Times New Roman" w:hAnsi="Times New Roman" w:eastAsia="宋体" w:cs="Times New Roman"/>
                <w:sz w:val="21"/>
                <w:szCs w:val="24"/>
              </w:rPr>
              <w:t>园区均已执行，202</w:t>
            </w:r>
            <w:r>
              <w:rPr>
                <w:rFonts w:hint="eastAsia" w:ascii="Times New Roman" w:hAnsi="Times New Roman" w:eastAsia="宋体" w:cs="Times New Roman"/>
                <w:sz w:val="21"/>
                <w:szCs w:val="24"/>
              </w:rPr>
              <w:t>2</w:t>
            </w:r>
            <w:r>
              <w:rPr>
                <w:rFonts w:ascii="Times New Roman" w:hAnsi="Times New Roman" w:eastAsia="宋体" w:cs="Times New Roman"/>
                <w:sz w:val="21"/>
                <w:szCs w:val="24"/>
              </w:rPr>
              <w:t>年度为环保合格园区</w:t>
            </w:r>
          </w:p>
        </w:tc>
        <w:tc>
          <w:tcPr>
            <w:tcW w:w="453" w:type="pct"/>
            <w:vAlign w:val="center"/>
          </w:tcPr>
          <w:p>
            <w:pPr>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bl>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由上表可以看出，</w:t>
      </w:r>
      <w:r>
        <w:rPr>
          <w:rFonts w:hint="eastAsia" w:ascii="Times New Roman" w:hAnsi="Times New Roman" w:eastAsia="宋体" w:cs="Times New Roman"/>
          <w:kern w:val="0"/>
          <w:szCs w:val="20"/>
        </w:rPr>
        <w:t>临湘高新技术产业开发区</w:t>
      </w:r>
      <w:r>
        <w:rPr>
          <w:rFonts w:ascii="Times New Roman" w:hAnsi="Times New Roman" w:eastAsia="宋体" w:cs="Times New Roman"/>
          <w:kern w:val="0"/>
          <w:szCs w:val="20"/>
        </w:rPr>
        <w:t>总体符合《湖南省化工园区认定评估导则》中环境保护要求，建议后需加强体预警预报体系建设，提升预警能力。</w:t>
      </w:r>
    </w:p>
    <w:p>
      <w:pPr>
        <w:pStyle w:val="5"/>
        <w:ind w:firstLine="482"/>
      </w:pPr>
      <w:r>
        <w:rPr>
          <w:rFonts w:hint="eastAsia"/>
        </w:rPr>
        <w:t>3.3.7.3 与《湖南省化工园区污水收集处理规范化建设暂行规定》相符性分析</w:t>
      </w:r>
    </w:p>
    <w:p>
      <w:pPr>
        <w:pStyle w:val="6"/>
      </w:pPr>
      <w:r>
        <w:t>表</w:t>
      </w:r>
      <w:r>
        <w:rPr>
          <w:rFonts w:hint="eastAsia"/>
        </w:rPr>
        <w:t>3</w:t>
      </w:r>
      <w:r>
        <w:t>.3-1</w:t>
      </w:r>
      <w:r>
        <w:rPr>
          <w:rFonts w:hint="eastAsia"/>
        </w:rPr>
        <w:t>9 与《湖南省化工园区污水收集处理规范化建设暂行规定》符合性分析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3867"/>
        <w:gridCol w:w="2977"/>
        <w:gridCol w:w="10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序号</w:t>
            </w:r>
          </w:p>
        </w:tc>
        <w:tc>
          <w:tcPr>
            <w:tcW w:w="2267" w:type="pct"/>
            <w:vAlign w:val="center"/>
          </w:tcPr>
          <w:p>
            <w:pPr>
              <w:adjustRightInd w:val="0"/>
              <w:snapToGrid w:val="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《湖南省化工园区污水收集处理规范化建设暂行规定》</w:t>
            </w:r>
          </w:p>
        </w:tc>
        <w:tc>
          <w:tcPr>
            <w:tcW w:w="1745" w:type="pct"/>
            <w:vAlign w:val="center"/>
          </w:tcPr>
          <w:p>
            <w:pPr>
              <w:adjustRightInd w:val="0"/>
              <w:snapToGrid w:val="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临湘高新技术产业开发区</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1</w:t>
            </w:r>
          </w:p>
        </w:tc>
        <w:tc>
          <w:tcPr>
            <w:tcW w:w="2267" w:type="pct"/>
            <w:vAlign w:val="center"/>
          </w:tcPr>
          <w:p>
            <w:pPr>
              <w:adjustRightInd w:val="0"/>
              <w:snapToGrid w:val="0"/>
              <w:rPr>
                <w:rFonts w:ascii="Times New Roman" w:hAnsi="Times New Roman" w:eastAsia="宋体" w:cs="Times New Roman"/>
                <w:sz w:val="21"/>
                <w:szCs w:val="24"/>
              </w:rPr>
            </w:pPr>
            <w:r>
              <w:rPr>
                <w:rFonts w:ascii="Times New Roman" w:hAnsi="Times New Roman" w:eastAsia="宋体" w:cs="Times New Roman"/>
                <w:sz w:val="21"/>
                <w:szCs w:val="24"/>
              </w:rPr>
              <w:t xml:space="preserve">第一条  </w:t>
            </w:r>
            <w:r>
              <w:rPr>
                <w:rFonts w:hint="eastAsia" w:ascii="Times New Roman" w:hAnsi="Times New Roman" w:eastAsia="宋体" w:cs="Times New Roman"/>
                <w:sz w:val="21"/>
                <w:szCs w:val="24"/>
              </w:rPr>
              <w:t>化工园区均需建设集中式污水处理厂（独立建设或依托骨干企业），且应科学规划，合理布局，完善配套。</w:t>
            </w:r>
          </w:p>
        </w:tc>
        <w:tc>
          <w:tcPr>
            <w:tcW w:w="1745"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临湘高新技术产业开发区滨江片区已建设污水处理厂。处理规模为2万m</w:t>
            </w:r>
            <w:r>
              <w:rPr>
                <w:rFonts w:hint="eastAsia" w:ascii="Times New Roman" w:hAnsi="Times New Roman" w:eastAsia="宋体" w:cs="Times New Roman"/>
                <w:sz w:val="21"/>
                <w:szCs w:val="24"/>
                <w:vertAlign w:val="superscript"/>
              </w:rPr>
              <w:t>3</w:t>
            </w:r>
            <w:r>
              <w:rPr>
                <w:rFonts w:hint="eastAsia" w:ascii="Times New Roman" w:hAnsi="Times New Roman" w:eastAsia="宋体" w:cs="Times New Roman"/>
                <w:sz w:val="21"/>
                <w:szCs w:val="24"/>
              </w:rPr>
              <w:t>/d，后续在化工产业片区开发时，同步配套建设相关管网。</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373" w:type="pct"/>
            <w:vMerge w:val="restar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2</w:t>
            </w: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第二条  现有集中式污水处理厂处理规模需满足化工园区内现有企业排放废水处理要求。同时需根据化工园区产业规划及引进项目的产业类型预留集中式污水处理厂扩容空间，并在项目建成投产前办理入河排污口手续、申领排污许可证并组织自主竣工环保验收。</w:t>
            </w:r>
          </w:p>
        </w:tc>
        <w:tc>
          <w:tcPr>
            <w:tcW w:w="1745" w:type="pct"/>
            <w:vMerge w:val="restar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已建设污水处理厂满足该片区远期排水需求，已办理相关的环保手续，并设置1个污水排放口，取得排污口论证批复。</w:t>
            </w:r>
          </w:p>
        </w:tc>
        <w:tc>
          <w:tcPr>
            <w:tcW w:w="615" w:type="pct"/>
            <w:vMerge w:val="restar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373" w:type="pct"/>
            <w:vMerge w:val="continue"/>
            <w:vAlign w:val="center"/>
          </w:tcPr>
          <w:p>
            <w:pPr>
              <w:adjustRightInd w:val="0"/>
              <w:snapToGrid w:val="0"/>
              <w:jc w:val="center"/>
              <w:rPr>
                <w:rFonts w:ascii="Times New Roman" w:hAnsi="Times New Roman" w:eastAsia="宋体" w:cs="Times New Roman"/>
                <w:sz w:val="21"/>
                <w:szCs w:val="24"/>
              </w:rPr>
            </w:pP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第三十七条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化工园区原则上只设置一个入河排污口。入河排污口应按要求安装相关计量和在线监测装置，并满足入河排污口审批文件等相关要求。</w:t>
            </w:r>
          </w:p>
        </w:tc>
        <w:tc>
          <w:tcPr>
            <w:tcW w:w="1745" w:type="pct"/>
            <w:vMerge w:val="continue"/>
            <w:vAlign w:val="center"/>
          </w:tcPr>
          <w:p>
            <w:pPr>
              <w:adjustRightInd w:val="0"/>
              <w:snapToGrid w:val="0"/>
              <w:rPr>
                <w:rFonts w:ascii="Times New Roman" w:hAnsi="Times New Roman" w:eastAsia="宋体" w:cs="Times New Roman"/>
                <w:sz w:val="21"/>
                <w:szCs w:val="24"/>
              </w:rPr>
            </w:pPr>
          </w:p>
        </w:tc>
        <w:tc>
          <w:tcPr>
            <w:tcW w:w="615" w:type="pct"/>
            <w:vMerge w:val="continue"/>
            <w:vAlign w:val="center"/>
          </w:tcPr>
          <w:p>
            <w:pPr>
              <w:adjustRightInd w:val="0"/>
              <w:snapToGrid w:val="0"/>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373" w:type="pct"/>
            <w:vMerge w:val="restar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3</w:t>
            </w:r>
          </w:p>
        </w:tc>
        <w:tc>
          <w:tcPr>
            <w:tcW w:w="2267" w:type="pct"/>
            <w:vAlign w:val="center"/>
          </w:tcPr>
          <w:p>
            <w:pPr>
              <w:adjustRightInd w:val="0"/>
              <w:snapToGrid w:val="0"/>
              <w:rPr>
                <w:rFonts w:ascii="Times New Roman" w:hAnsi="Times New Roman" w:eastAsia="宋体" w:cs="Times New Roman"/>
                <w:sz w:val="21"/>
                <w:szCs w:val="24"/>
              </w:rPr>
            </w:pPr>
            <w:r>
              <w:rPr>
                <w:rFonts w:ascii="Times New Roman" w:hAnsi="Times New Roman" w:eastAsia="宋体" w:cs="Times New Roman"/>
                <w:sz w:val="21"/>
                <w:szCs w:val="24"/>
              </w:rPr>
              <w:t xml:space="preserve">第三条  </w:t>
            </w:r>
            <w:r>
              <w:rPr>
                <w:rFonts w:hint="eastAsia" w:ascii="Times New Roman" w:hAnsi="Times New Roman" w:eastAsia="宋体" w:cs="Times New Roman"/>
                <w:sz w:val="21"/>
                <w:szCs w:val="24"/>
              </w:rPr>
              <w:t>化工园区及园区企业的废水需做到应纳尽纳，雨污分流，清污分流，污污分流，并建有完善的专管或明管输送的配套管网系统。</w:t>
            </w:r>
          </w:p>
        </w:tc>
        <w:tc>
          <w:tcPr>
            <w:tcW w:w="1745" w:type="pct"/>
            <w:vMerge w:val="restart"/>
            <w:vAlign w:val="center"/>
          </w:tcPr>
          <w:p>
            <w:pPr>
              <w:adjustRightInd w:val="0"/>
              <w:snapToGrid w:val="0"/>
              <w:rPr>
                <w:rFonts w:ascii="Times New Roman" w:hAnsi="Times New Roman" w:eastAsia="宋体" w:cs="Times New Roman"/>
                <w:sz w:val="21"/>
                <w:szCs w:val="24"/>
              </w:rPr>
            </w:pPr>
            <w:r>
              <w:rPr>
                <w:rFonts w:ascii="Times New Roman" w:hAnsi="Times New Roman" w:eastAsia="宋体" w:cs="Times New Roman"/>
                <w:sz w:val="21"/>
                <w:szCs w:val="24"/>
              </w:rPr>
              <w:t>在后续发展过程中</w:t>
            </w:r>
            <w:r>
              <w:rPr>
                <w:rFonts w:hint="eastAsia" w:ascii="Times New Roman" w:hAnsi="Times New Roman" w:eastAsia="宋体" w:cs="Times New Roman"/>
                <w:sz w:val="21"/>
                <w:szCs w:val="24"/>
              </w:rPr>
              <w:t>化工产业片区按照地势条件，实施雨污分流，沿规划道路分别设置雨水管线、污水管线，引入企业工业废水排放需按照“一企一管”和可视可监测要求，带压输送，接入提升泵站收集池</w:t>
            </w:r>
            <w:r>
              <w:rPr>
                <w:rFonts w:ascii="Times New Roman" w:hAnsi="Times New Roman" w:eastAsia="宋体" w:cs="Times New Roman"/>
                <w:sz w:val="21"/>
                <w:szCs w:val="24"/>
              </w:rPr>
              <w:t>。</w:t>
            </w:r>
            <w:r>
              <w:rPr>
                <w:rFonts w:hint="eastAsia" w:ascii="Times New Roman" w:hAnsi="Times New Roman" w:eastAsia="宋体" w:cs="Times New Roman"/>
                <w:sz w:val="21"/>
                <w:szCs w:val="24"/>
              </w:rPr>
              <w:t>企业出水端需配备视频监控设施和独立的流量计、自动控制阀、在线监控设施。</w:t>
            </w:r>
          </w:p>
        </w:tc>
        <w:tc>
          <w:tcPr>
            <w:tcW w:w="615" w:type="pct"/>
            <w:vMerge w:val="restar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373" w:type="pct"/>
            <w:vMerge w:val="continue"/>
            <w:vAlign w:val="center"/>
          </w:tcPr>
          <w:p>
            <w:pPr>
              <w:adjustRightInd w:val="0"/>
              <w:snapToGrid w:val="0"/>
              <w:jc w:val="center"/>
              <w:rPr>
                <w:rFonts w:ascii="Times New Roman" w:hAnsi="Times New Roman" w:eastAsia="宋体" w:cs="Times New Roman"/>
                <w:sz w:val="21"/>
                <w:szCs w:val="24"/>
              </w:rPr>
            </w:pP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第十八条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园区重点化工企业需按照“一企一管”要求在园区内采取地上明管或架空敷设的方式设置管道，带压输送。</w:t>
            </w:r>
          </w:p>
        </w:tc>
        <w:tc>
          <w:tcPr>
            <w:tcW w:w="1745" w:type="pct"/>
            <w:vMerge w:val="continue"/>
            <w:vAlign w:val="center"/>
          </w:tcPr>
          <w:p>
            <w:pPr>
              <w:adjustRightInd w:val="0"/>
              <w:snapToGrid w:val="0"/>
              <w:rPr>
                <w:rFonts w:ascii="Times New Roman" w:hAnsi="Times New Roman" w:eastAsia="宋体" w:cs="Times New Roman"/>
                <w:sz w:val="21"/>
                <w:szCs w:val="24"/>
              </w:rPr>
            </w:pPr>
          </w:p>
        </w:tc>
        <w:tc>
          <w:tcPr>
            <w:tcW w:w="615" w:type="pct"/>
            <w:vMerge w:val="continue"/>
            <w:vAlign w:val="center"/>
          </w:tcPr>
          <w:p>
            <w:pPr>
              <w:adjustRightInd w:val="0"/>
              <w:snapToGrid w:val="0"/>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373" w:type="pct"/>
            <w:vMerge w:val="continue"/>
            <w:vAlign w:val="center"/>
          </w:tcPr>
          <w:p>
            <w:pPr>
              <w:adjustRightInd w:val="0"/>
              <w:snapToGrid w:val="0"/>
              <w:jc w:val="center"/>
              <w:rPr>
                <w:rFonts w:ascii="Times New Roman" w:hAnsi="Times New Roman" w:eastAsia="宋体" w:cs="Times New Roman"/>
                <w:sz w:val="21"/>
                <w:szCs w:val="24"/>
              </w:rPr>
            </w:pP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 xml:space="preserve">第四十一条 </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所有“一企一管”出水端需配备视频监控设施和独立的流量计、自动控制阀、在线监控设施，并通过园区数据管理平台进行数据集成，对各企业排污管路进行实时监测和自动管控。</w:t>
            </w:r>
          </w:p>
        </w:tc>
        <w:tc>
          <w:tcPr>
            <w:tcW w:w="1745" w:type="pct"/>
            <w:vMerge w:val="continue"/>
            <w:vAlign w:val="center"/>
          </w:tcPr>
          <w:p>
            <w:pPr>
              <w:adjustRightInd w:val="0"/>
              <w:snapToGrid w:val="0"/>
              <w:rPr>
                <w:rFonts w:ascii="Times New Roman" w:hAnsi="Times New Roman" w:eastAsia="宋体" w:cs="Times New Roman"/>
                <w:sz w:val="21"/>
                <w:szCs w:val="24"/>
              </w:rPr>
            </w:pPr>
          </w:p>
        </w:tc>
        <w:tc>
          <w:tcPr>
            <w:tcW w:w="615" w:type="pct"/>
            <w:vMerge w:val="continue"/>
            <w:vAlign w:val="center"/>
          </w:tcPr>
          <w:p>
            <w:pPr>
              <w:adjustRightInd w:val="0"/>
              <w:snapToGrid w:val="0"/>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4</w:t>
            </w:r>
          </w:p>
        </w:tc>
        <w:tc>
          <w:tcPr>
            <w:tcW w:w="2267" w:type="pct"/>
            <w:vAlign w:val="center"/>
          </w:tcPr>
          <w:p>
            <w:pPr>
              <w:adjustRightInd w:val="0"/>
              <w:snapToGrid w:val="0"/>
              <w:rPr>
                <w:rFonts w:ascii="Times New Roman" w:hAnsi="Times New Roman" w:eastAsia="宋体" w:cs="Times New Roman"/>
                <w:sz w:val="21"/>
                <w:szCs w:val="24"/>
              </w:rPr>
            </w:pPr>
            <w:r>
              <w:rPr>
                <w:rFonts w:ascii="Times New Roman" w:hAnsi="Times New Roman" w:eastAsia="宋体" w:cs="Times New Roman"/>
                <w:sz w:val="21"/>
                <w:szCs w:val="24"/>
              </w:rPr>
              <w:t xml:space="preserve">第十条  </w:t>
            </w:r>
            <w:r>
              <w:rPr>
                <w:rFonts w:hint="eastAsia" w:ascii="Times New Roman" w:hAnsi="Times New Roman" w:eastAsia="宋体" w:cs="Times New Roman"/>
                <w:sz w:val="21"/>
                <w:szCs w:val="24"/>
              </w:rPr>
              <w:t>化工园区内化工企业均需设置企业初期雨水收集池。企业初期雨水收集后可回用生产，无法回用的经由企业内废水预处理设施处理达到园区集中式污水处理厂纳管标准后纳管处理。</w:t>
            </w:r>
          </w:p>
        </w:tc>
        <w:tc>
          <w:tcPr>
            <w:tcW w:w="1745"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园区内企业设置企业初期雨水收集池，进行初期雨水的收集、处理、回用，无法回用的经由企业内废水预处理设施处理达到园区集中式污水处理厂纳管标准后排入污水处理厂进行处理。</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373" w:type="pct"/>
            <w:vMerge w:val="restar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5</w:t>
            </w:r>
          </w:p>
        </w:tc>
        <w:tc>
          <w:tcPr>
            <w:tcW w:w="2267" w:type="pct"/>
            <w:vAlign w:val="center"/>
          </w:tcPr>
          <w:p>
            <w:pPr>
              <w:adjustRightInd w:val="0"/>
              <w:snapToGrid w:val="0"/>
              <w:rPr>
                <w:rFonts w:ascii="Times New Roman" w:hAnsi="Times New Roman" w:eastAsia="宋体" w:cs="Times New Roman"/>
                <w:sz w:val="21"/>
                <w:szCs w:val="24"/>
              </w:rPr>
            </w:pPr>
            <w:r>
              <w:rPr>
                <w:rFonts w:ascii="Times New Roman" w:hAnsi="Times New Roman" w:eastAsia="宋体" w:cs="Times New Roman"/>
                <w:sz w:val="21"/>
                <w:szCs w:val="24"/>
              </w:rPr>
              <w:t xml:space="preserve">第十三条  </w:t>
            </w:r>
            <w:r>
              <w:rPr>
                <w:rFonts w:hint="eastAsia" w:ascii="Times New Roman" w:hAnsi="Times New Roman" w:eastAsia="宋体" w:cs="Times New Roman"/>
                <w:sz w:val="21"/>
                <w:szCs w:val="24"/>
              </w:rPr>
              <w:t>园区初期雨水可采用环沟、雨水渠、围堰等输送至收集池，并设置截止阀。初期雨水收集池应设置在园区位置标高较低处，初期雨水通过重力流排入收集池。</w:t>
            </w:r>
          </w:p>
        </w:tc>
        <w:tc>
          <w:tcPr>
            <w:tcW w:w="1745" w:type="pct"/>
            <w:vMerge w:val="restar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根据水渠位置、地形、道路等划分汇水区域，通过主干道上的雨水主干管分片收集后排放，仅设置1个雨水排放口。定期对雨水排放水质进行监测。</w:t>
            </w:r>
          </w:p>
        </w:tc>
        <w:tc>
          <w:tcPr>
            <w:tcW w:w="615" w:type="pct"/>
            <w:vMerge w:val="restar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373" w:type="pct"/>
            <w:vMerge w:val="continue"/>
            <w:vAlign w:val="center"/>
          </w:tcPr>
          <w:p>
            <w:pPr>
              <w:adjustRightInd w:val="0"/>
              <w:snapToGrid w:val="0"/>
              <w:jc w:val="center"/>
              <w:rPr>
                <w:rFonts w:ascii="Times New Roman" w:hAnsi="Times New Roman" w:eastAsia="宋体" w:cs="Times New Roman"/>
                <w:sz w:val="21"/>
                <w:szCs w:val="24"/>
              </w:rPr>
            </w:pP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第三十四条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化工园区各企业原则上只设置一个雨水排口。化工园区应根据园区面积和地形尽量整合原有雨水排口数量并全部纳入监管。</w:t>
            </w:r>
          </w:p>
        </w:tc>
        <w:tc>
          <w:tcPr>
            <w:tcW w:w="1745" w:type="pct"/>
            <w:vMerge w:val="continue"/>
            <w:vAlign w:val="center"/>
          </w:tcPr>
          <w:p>
            <w:pPr>
              <w:adjustRightInd w:val="0"/>
              <w:snapToGrid w:val="0"/>
              <w:rPr>
                <w:rFonts w:ascii="Times New Roman" w:hAnsi="Times New Roman" w:eastAsia="宋体" w:cs="Times New Roman"/>
                <w:sz w:val="21"/>
                <w:szCs w:val="24"/>
              </w:rPr>
            </w:pPr>
          </w:p>
        </w:tc>
        <w:tc>
          <w:tcPr>
            <w:tcW w:w="615" w:type="pct"/>
            <w:vMerge w:val="continue"/>
            <w:vAlign w:val="center"/>
          </w:tcPr>
          <w:p>
            <w:pPr>
              <w:adjustRightInd w:val="0"/>
              <w:snapToGrid w:val="0"/>
              <w:jc w:val="center"/>
              <w:rPr>
                <w:rFonts w:ascii="Times New Roman" w:hAnsi="Times New Roman" w:eastAsia="宋体" w:cs="Times New Roman"/>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6</w:t>
            </w: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第十五条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园区初期雨水收集池前设置分流井，将收集池的液位标高与切换阀门开启连锁，通过设定的液位控制阀门开启或关闭，实现初期雨水与后期洁净雨水分流。</w:t>
            </w:r>
          </w:p>
        </w:tc>
        <w:tc>
          <w:tcPr>
            <w:tcW w:w="1745"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本次评价建议园区雨水排口设置电动切换阀，用于切换初期雨水与后期雨水，并设置监控视频。</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7</w:t>
            </w: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第三十八条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化工园区所有涉水企业需按所属行业排污许可证申请与核发技术规范开展自行监测。企业废水预处理设施排口处需按要求设置独立的流量计、在线监测装置、自动控制阀和电力监控设施。</w:t>
            </w:r>
          </w:p>
        </w:tc>
        <w:tc>
          <w:tcPr>
            <w:tcW w:w="1745"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园区企业执行污许可证申请与核发技术规范开展自行监测，安装线监测装置、自动控制阀和电力监控设施。</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8</w:t>
            </w: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第三十九条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化工园区雨水排口需设置标志牌和截止阀，鼓励安装计量装置、在线监测与视频监控设施，并接入园区数据管理平台。</w:t>
            </w:r>
          </w:p>
        </w:tc>
        <w:tc>
          <w:tcPr>
            <w:tcW w:w="1745"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园区只设立1个雨水排放口，并设置监控视频。</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vAlign w:val="center"/>
          </w:tcPr>
          <w:p>
            <w:pPr>
              <w:adjustRightInd w:val="0"/>
              <w:snapToGrid w:val="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9</w:t>
            </w:r>
          </w:p>
        </w:tc>
        <w:tc>
          <w:tcPr>
            <w:tcW w:w="2267"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第四十二条</w:t>
            </w:r>
            <w:r>
              <w:rPr>
                <w:rFonts w:ascii="Times New Roman" w:hAnsi="Times New Roman" w:eastAsia="宋体" w:cs="Times New Roman"/>
                <w:sz w:val="21"/>
                <w:szCs w:val="24"/>
              </w:rPr>
              <w:t xml:space="preserve">  </w:t>
            </w:r>
            <w:r>
              <w:rPr>
                <w:rFonts w:hint="eastAsia" w:ascii="Times New Roman" w:hAnsi="Times New Roman" w:eastAsia="宋体" w:cs="Times New Roman"/>
                <w:sz w:val="21"/>
                <w:szCs w:val="24"/>
              </w:rPr>
              <w:t>化工园区管理机构在化工园区入河排污口上、下游科学设置不少于</w:t>
            </w:r>
            <w:r>
              <w:rPr>
                <w:rFonts w:ascii="Times New Roman" w:hAnsi="Times New Roman" w:eastAsia="宋体" w:cs="Times New Roman"/>
                <w:sz w:val="21"/>
                <w:szCs w:val="24"/>
              </w:rPr>
              <w:t>1</w:t>
            </w:r>
            <w:r>
              <w:rPr>
                <w:rFonts w:hint="eastAsia" w:ascii="Times New Roman" w:hAnsi="Times New Roman" w:eastAsia="宋体" w:cs="Times New Roman"/>
                <w:sz w:val="21"/>
                <w:szCs w:val="24"/>
              </w:rPr>
              <w:t>个水质监测断面，根据实际情况科学制定监测方案后报省级生态环境主管部门备案认可。</w:t>
            </w:r>
          </w:p>
        </w:tc>
        <w:tc>
          <w:tcPr>
            <w:tcW w:w="1745" w:type="pct"/>
            <w:vAlign w:val="center"/>
          </w:tcPr>
          <w:p>
            <w:pPr>
              <w:adjustRightInd w:val="0"/>
              <w:snapToGrid w:val="0"/>
              <w:rPr>
                <w:rFonts w:ascii="Times New Roman" w:hAnsi="Times New Roman" w:eastAsia="宋体" w:cs="Times New Roman"/>
                <w:sz w:val="21"/>
                <w:szCs w:val="24"/>
              </w:rPr>
            </w:pPr>
            <w:r>
              <w:rPr>
                <w:rFonts w:hint="eastAsia" w:ascii="Times New Roman" w:hAnsi="Times New Roman" w:eastAsia="宋体" w:cs="Times New Roman"/>
                <w:sz w:val="21"/>
                <w:szCs w:val="24"/>
              </w:rPr>
              <w:t>园区在入河排污口上、下游科学共设置2个水质监测断面，并定期监测。</w:t>
            </w:r>
          </w:p>
        </w:tc>
        <w:tc>
          <w:tcPr>
            <w:tcW w:w="615" w:type="pct"/>
            <w:vAlign w:val="center"/>
          </w:tcPr>
          <w:p>
            <w:pPr>
              <w:adjustRightInd w:val="0"/>
              <w:snapToGrid w:val="0"/>
              <w:jc w:val="center"/>
              <w:rPr>
                <w:rFonts w:ascii="Times New Roman" w:hAnsi="Times New Roman" w:eastAsia="宋体" w:cs="Times New Roman"/>
                <w:sz w:val="21"/>
                <w:szCs w:val="24"/>
              </w:rPr>
            </w:pPr>
            <w:r>
              <w:rPr>
                <w:rFonts w:ascii="Times New Roman" w:hAnsi="Times New Roman" w:eastAsia="宋体" w:cs="Times New Roman"/>
                <w:sz w:val="21"/>
                <w:szCs w:val="24"/>
              </w:rPr>
              <w:t>相符</w:t>
            </w:r>
          </w:p>
        </w:tc>
      </w:tr>
    </w:tbl>
    <w:p>
      <w:pPr>
        <w:pStyle w:val="4"/>
      </w:pPr>
      <w:bookmarkStart w:id="436" w:name="_Toc146091921"/>
      <w:r>
        <w:rPr>
          <w:rFonts w:hint="eastAsia"/>
        </w:rPr>
        <w:t xml:space="preserve">3.3.8 </w:t>
      </w:r>
      <w:r>
        <w:t>与《洞庭湖生态经济区规划》相符性分析</w:t>
      </w:r>
      <w:bookmarkEnd w:id="436"/>
    </w:p>
    <w:p>
      <w:pPr>
        <w:widowControl/>
        <w:shd w:val="clear" w:color="auto" w:fill="FFFFFF"/>
        <w:spacing w:after="225" w:line="360" w:lineRule="atLeast"/>
        <w:ind w:firstLine="420"/>
        <w:jc w:val="left"/>
        <w:rPr>
          <w:rFonts w:ascii="Times New Roman" w:hAnsi="Times New Roman" w:eastAsia="宋体" w:cs="Times New Roman"/>
          <w:kern w:val="0"/>
          <w:szCs w:val="20"/>
        </w:rPr>
      </w:pPr>
      <w:r>
        <w:rPr>
          <w:rFonts w:ascii="Times New Roman" w:hAnsi="Times New Roman" w:eastAsia="宋体" w:cs="Times New Roman"/>
          <w:kern w:val="0"/>
          <w:szCs w:val="20"/>
        </w:rPr>
        <w:t>2014年4月14日，国务院批复了《</w:t>
      </w:r>
      <w:r>
        <w:rPr>
          <w:rFonts w:ascii="Times New Roman" w:hAnsi="Times New Roman" w:eastAsia="宋体" w:cs="Times New Roman"/>
          <w:bCs/>
          <w:kern w:val="0"/>
          <w:szCs w:val="20"/>
        </w:rPr>
        <w:t>洞庭湖生态经济区规划</w:t>
      </w:r>
      <w:r>
        <w:rPr>
          <w:rFonts w:ascii="Times New Roman" w:hAnsi="Times New Roman" w:eastAsia="宋体" w:cs="Times New Roman"/>
          <w:kern w:val="0"/>
          <w:szCs w:val="20"/>
        </w:rPr>
        <w:t>》。</w:t>
      </w:r>
    </w:p>
    <w:p>
      <w:pPr>
        <w:widowControl/>
        <w:spacing w:line="360" w:lineRule="auto"/>
        <w:ind w:firstLine="480" w:firstLineChars="200"/>
        <w:rPr>
          <w:rFonts w:ascii="Times New Roman" w:hAnsi="Times New Roman" w:eastAsia="宋体" w:cs="Times New Roman"/>
          <w:kern w:val="0"/>
          <w:szCs w:val="24"/>
        </w:rPr>
      </w:pPr>
      <w:r>
        <w:rPr>
          <w:rFonts w:ascii="Times New Roman" w:hAnsi="Times New Roman" w:eastAsia="宋体" w:cs="Times New Roman"/>
          <w:kern w:val="0"/>
          <w:szCs w:val="24"/>
        </w:rPr>
        <w:t>（1）规划概况</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1）规划范围</w:t>
      </w:r>
    </w:p>
    <w:p>
      <w:pPr>
        <w:widowControl/>
        <w:spacing w:line="360" w:lineRule="auto"/>
        <w:ind w:firstLine="480" w:firstLineChars="200"/>
        <w:rPr>
          <w:rFonts w:ascii="Times New Roman" w:hAnsi="Times New Roman" w:eastAsia="宋体" w:cs="Times New Roman"/>
          <w:kern w:val="0"/>
          <w:szCs w:val="24"/>
        </w:rPr>
      </w:pPr>
      <w:r>
        <w:rPr>
          <w:rFonts w:ascii="Times New Roman" w:hAnsi="Times New Roman" w:eastAsia="宋体" w:cs="Times New Roman"/>
          <w:bCs/>
          <w:kern w:val="0"/>
          <w:szCs w:val="24"/>
        </w:rPr>
        <w:t>规划范围包括湖南省岳阳市、常德市、益阳市，长沙市望城区和湖北省荆州市，共</w:t>
      </w:r>
      <w:r>
        <w:rPr>
          <w:rFonts w:ascii="Times New Roman" w:hAnsi="Times New Roman" w:eastAsia="宋体" w:cs="Times New Roman"/>
          <w:kern w:val="0"/>
          <w:szCs w:val="24"/>
        </w:rPr>
        <w:t>33</w:t>
      </w:r>
      <w:r>
        <w:rPr>
          <w:rFonts w:ascii="Times New Roman" w:hAnsi="Times New Roman" w:eastAsia="宋体" w:cs="Times New Roman"/>
          <w:bCs/>
          <w:kern w:val="0"/>
          <w:szCs w:val="24"/>
        </w:rPr>
        <w:t>个县（市、区），规划面积</w:t>
      </w:r>
      <w:r>
        <w:rPr>
          <w:rFonts w:ascii="Times New Roman" w:hAnsi="Times New Roman" w:eastAsia="宋体" w:cs="Times New Roman"/>
          <w:kern w:val="0"/>
          <w:szCs w:val="24"/>
        </w:rPr>
        <w:t>6.05</w:t>
      </w:r>
      <w:r>
        <w:rPr>
          <w:rFonts w:ascii="Times New Roman" w:hAnsi="Times New Roman" w:eastAsia="宋体" w:cs="Times New Roman"/>
          <w:bCs/>
          <w:kern w:val="0"/>
          <w:szCs w:val="24"/>
        </w:rPr>
        <w:t>万平方公里。本规划是指导洞庭湖生态经济区建设的纲领性文件和编制相关专项规划的重要依据。</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2）功能分区</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根据资源禀赋、环境容量、生态状况、人口密度、开发程度与潜力，科学划分区域功能类型，逐步形成功能清晰、导向明确、规范有序的空间开发格局。</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湖体保护区。范围为区内河湖水系、湿地自然保护区等各类天然湿地及具有特殊生态保护价值的地区，面积约</w:t>
      </w:r>
      <w:r>
        <w:rPr>
          <w:rFonts w:ascii="Times New Roman" w:hAnsi="Times New Roman" w:eastAsia="宋体" w:cs="Times New Roman"/>
          <w:kern w:val="0"/>
          <w:szCs w:val="24"/>
        </w:rPr>
        <w:t>7800</w:t>
      </w:r>
      <w:r>
        <w:rPr>
          <w:rFonts w:ascii="Times New Roman" w:hAnsi="Times New Roman" w:eastAsia="宋体" w:cs="Times New Roman"/>
          <w:bCs/>
          <w:kern w:val="0"/>
          <w:szCs w:val="24"/>
        </w:rPr>
        <w:t>平方公里，主要承担维护生态系统安全、保护生物多样性等功能，严格禁止不符合主体功能定位的开发建设。</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控制开发区。范围为最高水位线以外的各类宜农土地，坡度在</w:t>
      </w:r>
      <w:r>
        <w:rPr>
          <w:rFonts w:ascii="Times New Roman" w:hAnsi="Times New Roman" w:eastAsia="宋体" w:cs="Times New Roman"/>
          <w:kern w:val="0"/>
          <w:szCs w:val="24"/>
        </w:rPr>
        <w:t>15°</w:t>
      </w:r>
      <w:r>
        <w:rPr>
          <w:rFonts w:ascii="Times New Roman" w:hAnsi="Times New Roman" w:eastAsia="宋体" w:cs="Times New Roman"/>
          <w:bCs/>
          <w:kern w:val="0"/>
          <w:szCs w:val="24"/>
        </w:rPr>
        <w:t>－</w:t>
      </w:r>
      <w:r>
        <w:rPr>
          <w:rFonts w:ascii="Times New Roman" w:hAnsi="Times New Roman" w:eastAsia="宋体" w:cs="Times New Roman"/>
          <w:kern w:val="0"/>
          <w:szCs w:val="24"/>
        </w:rPr>
        <w:t>25°</w:t>
      </w:r>
      <w:r>
        <w:rPr>
          <w:rFonts w:ascii="Times New Roman" w:hAnsi="Times New Roman" w:eastAsia="宋体" w:cs="Times New Roman"/>
          <w:bCs/>
          <w:kern w:val="0"/>
          <w:szCs w:val="24"/>
        </w:rPr>
        <w:t>之间的丘陵山地以及生态脆弱区等，面积约</w:t>
      </w:r>
      <w:r>
        <w:rPr>
          <w:rFonts w:ascii="Times New Roman" w:hAnsi="Times New Roman" w:eastAsia="宋体" w:cs="Times New Roman"/>
          <w:kern w:val="0"/>
          <w:szCs w:val="24"/>
        </w:rPr>
        <w:t>3.12</w:t>
      </w:r>
      <w:r>
        <w:rPr>
          <w:rFonts w:ascii="Times New Roman" w:hAnsi="Times New Roman" w:eastAsia="宋体" w:cs="Times New Roman"/>
          <w:bCs/>
          <w:kern w:val="0"/>
          <w:szCs w:val="24"/>
        </w:rPr>
        <w:t>万平方公里，主要承担发展生态农业和湖乡文化旅游等功能。生态涵养带。范围包括自然保护区、江河水系源头地区、水源涵养林、重点公益林、风景名胜区、森林公园、景观山体以及坡度</w:t>
      </w:r>
      <w:r>
        <w:rPr>
          <w:rFonts w:ascii="Times New Roman" w:hAnsi="Times New Roman" w:eastAsia="宋体" w:cs="Times New Roman"/>
          <w:kern w:val="0"/>
          <w:szCs w:val="24"/>
        </w:rPr>
        <w:t>25°</w:t>
      </w:r>
      <w:r>
        <w:rPr>
          <w:rFonts w:ascii="Times New Roman" w:hAnsi="Times New Roman" w:eastAsia="宋体" w:cs="Times New Roman"/>
          <w:bCs/>
          <w:kern w:val="0"/>
          <w:szCs w:val="24"/>
        </w:rPr>
        <w:t>以上的高丘山地，面积约</w:t>
      </w:r>
      <w:r>
        <w:rPr>
          <w:rFonts w:ascii="Times New Roman" w:hAnsi="Times New Roman" w:eastAsia="宋体" w:cs="Times New Roman"/>
          <w:kern w:val="0"/>
          <w:szCs w:val="24"/>
        </w:rPr>
        <w:t>1.6</w:t>
      </w:r>
      <w:r>
        <w:rPr>
          <w:rFonts w:ascii="Times New Roman" w:hAnsi="Times New Roman" w:eastAsia="宋体" w:cs="Times New Roman"/>
          <w:bCs/>
          <w:kern w:val="0"/>
          <w:szCs w:val="24"/>
        </w:rPr>
        <w:t>万平方公里，为洞庭湖区绿色生态屏障和水资源涵养保护区。</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集约开发区。范围为区内城镇密集区以及具有开发条件的低丘缓坡，面积约</w:t>
      </w:r>
      <w:r>
        <w:rPr>
          <w:rFonts w:ascii="Times New Roman" w:hAnsi="Times New Roman" w:eastAsia="宋体" w:cs="Times New Roman"/>
          <w:kern w:val="0"/>
          <w:szCs w:val="24"/>
        </w:rPr>
        <w:t>5500</w:t>
      </w:r>
      <w:r>
        <w:rPr>
          <w:rFonts w:ascii="Times New Roman" w:hAnsi="Times New Roman" w:eastAsia="宋体" w:cs="Times New Roman"/>
          <w:bCs/>
          <w:kern w:val="0"/>
          <w:szCs w:val="24"/>
        </w:rPr>
        <w:t>平方公里，主要为新型工业化和新型城镇化的集聚区。</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3）第二节加快推进新型工业化</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坚持“两型”引领，推动产业园区化、园区专业化，构建优势特色新型产业体系，实现工业集聚发展、错位发展和转型升级。</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发展壮大主导产业：以岳阳石油炼化为龙头，建设以化工新材料、精细化工、盐化工为特色的石化产业精深加工基地，打造岳阳</w:t>
      </w:r>
      <w:r>
        <w:rPr>
          <w:rFonts w:ascii="Times New Roman" w:hAnsi="Times New Roman" w:eastAsia="宋体" w:cs="Times New Roman"/>
          <w:kern w:val="0"/>
          <w:szCs w:val="24"/>
        </w:rPr>
        <w:t>—</w:t>
      </w:r>
      <w:r>
        <w:rPr>
          <w:rFonts w:ascii="Times New Roman" w:hAnsi="Times New Roman" w:eastAsia="宋体" w:cs="Times New Roman"/>
          <w:bCs/>
          <w:kern w:val="0"/>
          <w:szCs w:val="24"/>
        </w:rPr>
        <w:t>荆州滨江绿色化工产业带；建设以工程机械、航空装备、特种船舶、汽车及零部件、石化装备、海洋工程装备为重点的现代装备制造业基地。加快发展新材料、生物医药、信息产业等战略性新兴产业。推进荆州、岳阳等老工业基地城市调整改造，促进松滋等资源枯竭城市转型发展，加快城区老工业区搬迁改造和独立工矿区改造搬迁。</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优化提升传统产业。制定湖区产业指导目录，严格行业准入条件，提高环境准入标准，控制高能耗、高排放产业发展。加快推进湖区绿色矿业发展示范区和绿色矿山建设，促进矿业绿色发展和转型升级。制定重点企业清洁生产水平提升计划，推进重点行业清洁生产技术改造…….。</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打造产业集聚平台。依托中心城市和县城，按照土地利用总体规划，统筹规划园区发展，加大整合力度，提高开发管理水平。引导产业向园区集中集聚，鼓励企业建设多层厂房，开展</w:t>
      </w:r>
      <w:r>
        <w:rPr>
          <w:rFonts w:ascii="Times New Roman" w:hAnsi="Times New Roman" w:eastAsia="宋体" w:cs="Times New Roman"/>
          <w:kern w:val="0"/>
          <w:szCs w:val="24"/>
        </w:rPr>
        <w:t>“</w:t>
      </w:r>
      <w:r>
        <w:rPr>
          <w:rFonts w:ascii="Times New Roman" w:hAnsi="Times New Roman" w:eastAsia="宋体" w:cs="Times New Roman"/>
          <w:bCs/>
          <w:kern w:val="0"/>
          <w:szCs w:val="24"/>
        </w:rPr>
        <w:t>零征地</w:t>
      </w:r>
      <w:r>
        <w:rPr>
          <w:rFonts w:ascii="Times New Roman" w:hAnsi="Times New Roman" w:eastAsia="宋体" w:cs="Times New Roman"/>
          <w:kern w:val="0"/>
          <w:szCs w:val="24"/>
        </w:rPr>
        <w:t>”</w:t>
      </w:r>
      <w:r>
        <w:rPr>
          <w:rFonts w:ascii="Times New Roman" w:hAnsi="Times New Roman" w:eastAsia="宋体" w:cs="Times New Roman"/>
          <w:bCs/>
          <w:kern w:val="0"/>
          <w:szCs w:val="24"/>
        </w:rPr>
        <w:t>技术改造，提高园区土地节约集约利用水平和产出效益。加强园区规划环境影响评价，做好环境质量监测监控和环境风险应急。优化园区投资环境，协同建设产业公共服务平台，大力发展特色专业园区，加强招商选资，提升承接产业转移层次。支持符合条件的国家级、省级开发区扩区和调整区位，支持符合条件的省级开发区按程序申请升级为国家级开发区……。</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（2）规划相符性分析</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w:t>
      </w:r>
      <w:r>
        <w:rPr>
          <w:rFonts w:hint="eastAsia" w:ascii="Times New Roman" w:hAnsi="Times New Roman" w:cs="Times New Roman"/>
        </w:rPr>
        <w:t>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p>
      <w:pPr>
        <w:widowControl/>
        <w:spacing w:line="360" w:lineRule="auto"/>
        <w:ind w:firstLine="480" w:firstLineChars="200"/>
        <w:rPr>
          <w:rFonts w:ascii="Times New Roman" w:hAnsi="Times New Roman" w:eastAsia="宋体" w:cs="Times New Roman"/>
          <w:bCs/>
          <w:kern w:val="0"/>
          <w:szCs w:val="24"/>
        </w:rPr>
      </w:pPr>
      <w:r>
        <w:rPr>
          <w:rFonts w:ascii="Times New Roman" w:hAnsi="Times New Roman" w:eastAsia="宋体" w:cs="Times New Roman"/>
          <w:bCs/>
          <w:kern w:val="0"/>
          <w:szCs w:val="24"/>
        </w:rPr>
        <w:t>园区已制定产业指导目录，严格行业准入条件，提高环境准入标准，园</w:t>
      </w:r>
      <w:r>
        <w:rPr>
          <w:rFonts w:ascii="Times New Roman" w:hAnsi="Times New Roman" w:eastAsia="宋体" w:cs="Times New Roman"/>
          <w:kern w:val="0"/>
          <w:szCs w:val="20"/>
        </w:rPr>
        <w:t>区新建、扩建“两高”项目应采用先进适用的工艺技术和装备，单位产品物耗、能耗、水耗等达到清洁生产先进水平。园区应进一步强化公共服务能力和智慧园区建设，提升本质安全和环境风险防控水平，实现安全发展、绿色发展、高质量发展，落实本次评价提出园区环境质量跟综监测计划，了解区域环境质量变化趋势。</w:t>
      </w:r>
    </w:p>
    <w:p>
      <w:pPr>
        <w:pStyle w:val="4"/>
        <w:rPr>
          <w:rFonts w:ascii="Times New Roman" w:hAnsi="Times New Roman" w:cs="Times New Roman"/>
        </w:rPr>
      </w:pPr>
      <w:bookmarkStart w:id="437" w:name="_Toc146091922"/>
      <w:bookmarkStart w:id="438" w:name="_Toc134088489"/>
      <w:r>
        <w:rPr>
          <w:rFonts w:ascii="Times New Roman" w:hAnsi="Times New Roman" w:cs="Times New Roman"/>
        </w:rPr>
        <w:t>3.3.</w:t>
      </w:r>
      <w:r>
        <w:rPr>
          <w:rFonts w:hint="eastAsia" w:ascii="Times New Roman" w:hAnsi="Times New Roman" w:cs="Times New Roman"/>
        </w:rPr>
        <w:t>9</w:t>
      </w:r>
      <w:r>
        <w:rPr>
          <w:rFonts w:ascii="Times New Roman" w:hAnsi="Times New Roman" w:cs="Times New Roman"/>
        </w:rPr>
        <w:t xml:space="preserve"> 小结</w:t>
      </w:r>
      <w:bookmarkEnd w:id="426"/>
      <w:bookmarkEnd w:id="427"/>
      <w:bookmarkEnd w:id="428"/>
      <w:bookmarkEnd w:id="429"/>
      <w:bookmarkEnd w:id="430"/>
      <w:bookmarkEnd w:id="431"/>
      <w:bookmarkEnd w:id="432"/>
      <w:bookmarkEnd w:id="433"/>
      <w:bookmarkEnd w:id="434"/>
      <w:bookmarkEnd w:id="437"/>
      <w:bookmarkEnd w:id="438"/>
    </w:p>
    <w:p>
      <w:pPr>
        <w:spacing w:line="360" w:lineRule="auto"/>
        <w:ind w:firstLine="480" w:firstLineChars="200"/>
        <w:rPr>
          <w:rFonts w:ascii="Times New Roman" w:hAnsi="Times New Roman" w:cs="Times New Roman"/>
        </w:rPr>
      </w:pPr>
      <w:r>
        <w:rPr>
          <w:rFonts w:ascii="Times New Roman" w:hAnsi="Times New Roman" w:cs="Times New Roman"/>
        </w:rPr>
        <w:t>本章从与国家及我省相关政策、功能区划、国民经济发展规划、产业发展规划、城市规划、土地利用规划、相关环保法规/规划等方面分析了临湘高新技术产业开发区规划与其符合性，结果见下表。</w:t>
      </w:r>
    </w:p>
    <w:p>
      <w:pPr>
        <w:pStyle w:val="6"/>
        <w:rPr>
          <w:rFonts w:ascii="Times New Roman" w:hAnsi="Times New Roman" w:cs="Times New Roman"/>
        </w:rPr>
      </w:pPr>
      <w:r>
        <w:rPr>
          <w:rFonts w:ascii="Times New Roman" w:hAnsi="Times New Roman" w:cs="Times New Roman"/>
        </w:rPr>
        <w:t>表3.3-12  规划协调性分析结果</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63"/>
    <w:bookmarkEnd w:id="164"/>
    <w:bookmarkEnd w:id="165"/>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6445"/>
        <w:gridCol w:w="11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shd w:val="clear" w:color="auto" w:fill="auto"/>
            <w:vAlign w:val="center"/>
          </w:tcPr>
          <w:p>
            <w:pPr>
              <w:jc w:val="center"/>
              <w:rPr>
                <w:rFonts w:ascii="Times New Roman" w:hAnsi="Times New Roman" w:cs="Times New Roman"/>
                <w:sz w:val="21"/>
              </w:rPr>
            </w:pPr>
            <w:bookmarkStart w:id="439" w:name="_Toc93071871"/>
            <w:r>
              <w:rPr>
                <w:rFonts w:ascii="Times New Roman" w:hAnsi="Times New Roman" w:cs="Times New Roman"/>
                <w:sz w:val="21"/>
              </w:rPr>
              <w:t>类别</w:t>
            </w: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名称</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湖南省园区政策</w:t>
            </w: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《湖南省关于加快推进产业园区改革和创新发展的实施意见》（湘政办发〔2018〕15号）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《关于进一步规范和加强产业园区生态环境管理的通知》（湘环发[2020]27号）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《湖南省开发区调区扩区和退出管理办法》</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功能区划</w:t>
            </w: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《湖南省主体功能区规划》</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国家发展改革委贯彻落实主体功能区战略推进主体功能区建设若干政策的意见发改规划[2013]1154号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《关于贯彻实施国家主体功能区环境政策的若干意见》环发〔2015〕92号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《水污染防治行动计划》实施区域差别化环境准入的指导意见（环环评[2016]190号）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w:t>
            </w:r>
            <w:r>
              <w:rPr>
                <w:rFonts w:hint="eastAsia" w:ascii="Times New Roman" w:hAnsi="Times New Roman" w:cs="Times New Roman"/>
                <w:sz w:val="21"/>
              </w:rPr>
              <w:t>岳阳市人民政府关于实施岳阳市“三线一单”生态环境分区管控的意见</w:t>
            </w:r>
            <w:r>
              <w:rPr>
                <w:rFonts w:ascii="Times New Roman" w:hAnsi="Times New Roman" w:cs="Times New Roman"/>
                <w:sz w:val="21"/>
              </w:rPr>
              <w:t>》</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eastAsia="宋体" w:cs="Times New Roman"/>
                <w:sz w:val="21"/>
                <w:szCs w:val="21"/>
              </w:rPr>
              <w:t>《岳阳市城市规划区山体水体保护规划（2017-2030）》</w:t>
            </w:r>
          </w:p>
        </w:tc>
        <w:tc>
          <w:tcPr>
            <w:tcW w:w="689" w:type="pct"/>
            <w:vAlign w:val="center"/>
          </w:tcPr>
          <w:p>
            <w:pPr>
              <w:jc w:val="center"/>
              <w:rPr>
                <w:rFonts w:ascii="Times New Roman" w:hAnsi="Times New Roman" w:eastAsia="宋体" w:cs="Times New Roman"/>
                <w:sz w:val="21"/>
                <w:szCs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国民经济发展规划</w:t>
            </w: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eastAsia="宋体" w:cs="Times New Roman"/>
                <w:sz w:val="21"/>
                <w:szCs w:val="21"/>
              </w:rPr>
              <w:t>《岳阳市国民经济和社会发展第十四个五年规划和二〇三五年远景目标纲要》</w:t>
            </w:r>
          </w:p>
        </w:tc>
        <w:tc>
          <w:tcPr>
            <w:tcW w:w="689" w:type="pct"/>
            <w:vAlign w:val="center"/>
          </w:tcPr>
          <w:p>
            <w:pPr>
              <w:jc w:val="center"/>
              <w:rPr>
                <w:rFonts w:ascii="Times New Roman" w:hAnsi="Times New Roman" w:eastAsia="宋体" w:cs="Times New Roman"/>
                <w:sz w:val="21"/>
                <w:szCs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eastAsia="宋体" w:cs="Times New Roman"/>
                <w:sz w:val="21"/>
                <w:szCs w:val="24"/>
              </w:rPr>
              <w:t>《</w:t>
            </w:r>
            <w:r>
              <w:rPr>
                <w:rFonts w:hint="eastAsia" w:ascii="Times New Roman" w:hAnsi="Times New Roman" w:eastAsia="宋体" w:cs="Times New Roman"/>
                <w:sz w:val="21"/>
                <w:szCs w:val="24"/>
              </w:rPr>
              <w:t>临湘市国民经济和社会发展第十四个五年规划纲要</w:t>
            </w:r>
            <w:r>
              <w:rPr>
                <w:rFonts w:ascii="Times New Roman" w:hAnsi="Times New Roman" w:eastAsia="宋体" w:cs="Times New Roman"/>
                <w:sz w:val="21"/>
                <w:szCs w:val="24"/>
              </w:rPr>
              <w:t>》</w:t>
            </w:r>
          </w:p>
        </w:tc>
        <w:tc>
          <w:tcPr>
            <w:tcW w:w="689" w:type="pct"/>
            <w:vAlign w:val="center"/>
          </w:tcPr>
          <w:p>
            <w:pPr>
              <w:jc w:val="center"/>
              <w:rPr>
                <w:rFonts w:ascii="Times New Roman" w:hAnsi="Times New Roman" w:eastAsia="宋体" w:cs="Times New Roman"/>
                <w:sz w:val="21"/>
                <w:szCs w:val="24"/>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sz w:val="21"/>
                <w:szCs w:val="24"/>
              </w:rPr>
              <w:t>国土空间规划</w:t>
            </w: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sz w:val="21"/>
                <w:szCs w:val="24"/>
              </w:rPr>
              <w:t>《</w:t>
            </w:r>
            <w:r>
              <w:rPr>
                <w:rFonts w:ascii="Times New Roman" w:hAnsi="Times New Roman" w:eastAsia="宋体" w:cs="Times New Roman"/>
                <w:sz w:val="21"/>
                <w:szCs w:val="21"/>
              </w:rPr>
              <w:t>临湘市</w:t>
            </w:r>
            <w:r>
              <w:rPr>
                <w:rFonts w:hint="eastAsia" w:ascii="Times New Roman" w:hAnsi="Times New Roman" w:eastAsia="宋体" w:cs="Times New Roman"/>
                <w:sz w:val="21"/>
                <w:szCs w:val="24"/>
              </w:rPr>
              <w:t>国土空间总体规划》（2021-2035年）</w:t>
            </w:r>
          </w:p>
        </w:tc>
        <w:tc>
          <w:tcPr>
            <w:tcW w:w="689" w:type="pct"/>
            <w:vAlign w:val="center"/>
          </w:tcPr>
          <w:p>
            <w:pPr>
              <w:jc w:val="center"/>
              <w:rPr>
                <w:rFonts w:ascii="Times New Roman" w:hAnsi="Times New Roman" w:eastAsia="宋体" w:cs="Times New Roman"/>
                <w:sz w:val="21"/>
                <w:szCs w:val="24"/>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restar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相关环保法规、规划</w:t>
            </w: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《大气污染防治行动计划》（国发〔2013〕37号）、《贯彻落实&lt;大气污染防治行动计划&gt;实施细则》（湘政办发[2013]77号）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《水污染防治行动计划》（国发〔2015〕17号）</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土壤污染防治行动计划及其配套文件的符合性分析</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《湖南省“十四五”生态环境保护规划》</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《长江经济带发展负面清单指南（试行）》、《湖南省长江经济带发展负面清单实施细则（试行）》</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《关于加强高耗能、高排放建设项目生态环境源头防控的指导意见》</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ascii="Times New Roman" w:hAnsi="Times New Roman" w:cs="Times New Roman"/>
                <w:sz w:val="21"/>
              </w:rPr>
              <w:t>水产种质资源保护区管理暂行办法（2016年修正本）</w:t>
            </w:r>
          </w:p>
        </w:tc>
        <w:tc>
          <w:tcPr>
            <w:tcW w:w="689" w:type="pct"/>
            <w:vAlign w:val="center"/>
          </w:tcPr>
          <w:p>
            <w:pPr>
              <w:jc w:val="center"/>
              <w:rPr>
                <w:rFonts w:ascii="Times New Roman" w:hAnsi="Times New Roman" w:cs="Times New Roman"/>
                <w:sz w:val="21"/>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restar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sz w:val="21"/>
                <w:szCs w:val="24"/>
              </w:rPr>
              <w:t>化工园区相关文件</w:t>
            </w: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bCs/>
                <w:sz w:val="21"/>
                <w:szCs w:val="24"/>
              </w:rPr>
              <w:t>《化工园区建设标准和认定管理办法（试行）》</w:t>
            </w:r>
          </w:p>
        </w:tc>
        <w:tc>
          <w:tcPr>
            <w:tcW w:w="689" w:type="pct"/>
            <w:vAlign w:val="center"/>
          </w:tcPr>
          <w:p>
            <w:pPr>
              <w:jc w:val="center"/>
              <w:rPr>
                <w:rFonts w:ascii="Times New Roman" w:hAnsi="Times New Roman" w:eastAsia="宋体" w:cs="Times New Roman"/>
                <w:bCs/>
                <w:sz w:val="21"/>
                <w:szCs w:val="24"/>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bCs/>
                <w:sz w:val="21"/>
                <w:szCs w:val="24"/>
              </w:rPr>
              <w:t>《湖南省化工园区认定评估导则》</w:t>
            </w:r>
          </w:p>
        </w:tc>
        <w:tc>
          <w:tcPr>
            <w:tcW w:w="689" w:type="pct"/>
            <w:vAlign w:val="center"/>
          </w:tcPr>
          <w:p>
            <w:pPr>
              <w:jc w:val="center"/>
              <w:rPr>
                <w:rFonts w:ascii="Times New Roman" w:hAnsi="Times New Roman" w:eastAsia="宋体" w:cs="Times New Roman"/>
                <w:bCs/>
                <w:sz w:val="21"/>
                <w:szCs w:val="24"/>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vMerge w:val="continue"/>
            <w:shd w:val="clear" w:color="auto" w:fill="auto"/>
            <w:vAlign w:val="center"/>
          </w:tcPr>
          <w:p>
            <w:pPr>
              <w:jc w:val="center"/>
              <w:rPr>
                <w:rFonts w:ascii="Times New Roman" w:hAnsi="Times New Roman" w:cs="Times New Roman"/>
                <w:sz w:val="21"/>
              </w:rPr>
            </w:pPr>
          </w:p>
        </w:tc>
        <w:tc>
          <w:tcPr>
            <w:tcW w:w="3778" w:type="pct"/>
            <w:shd w:val="clear" w:color="auto" w:fill="auto"/>
            <w:vAlign w:val="center"/>
          </w:tcPr>
          <w:p>
            <w:pPr>
              <w:jc w:val="center"/>
              <w:rPr>
                <w:rFonts w:ascii="Times New Roman" w:hAnsi="Times New Roman" w:cs="Times New Roman"/>
                <w:sz w:val="21"/>
              </w:rPr>
            </w:pPr>
            <w:r>
              <w:rPr>
                <w:rFonts w:hint="eastAsia" w:ascii="Times New Roman" w:hAnsi="Times New Roman" w:eastAsia="宋体" w:cs="Times New Roman"/>
                <w:bCs/>
                <w:sz w:val="21"/>
                <w:szCs w:val="24"/>
              </w:rPr>
              <w:t>《湖南省化工园区污水收集处理规范化建设暂行规定》</w:t>
            </w:r>
          </w:p>
        </w:tc>
        <w:tc>
          <w:tcPr>
            <w:tcW w:w="689" w:type="pct"/>
            <w:vAlign w:val="center"/>
          </w:tcPr>
          <w:p>
            <w:pPr>
              <w:jc w:val="center"/>
              <w:rPr>
                <w:rFonts w:ascii="Times New Roman" w:hAnsi="Times New Roman" w:eastAsia="宋体" w:cs="Times New Roman"/>
                <w:bCs/>
                <w:sz w:val="21"/>
                <w:szCs w:val="24"/>
              </w:rPr>
            </w:pPr>
            <w:r>
              <w:rPr>
                <w:rFonts w:hint="eastAsia"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33" w:type="pct"/>
            <w:shd w:val="clear" w:color="auto" w:fill="auto"/>
            <w:vAlign w:val="center"/>
          </w:tcPr>
          <w:p>
            <w:pPr>
              <w:jc w:val="center"/>
              <w:rPr>
                <w:rFonts w:ascii="Times New Roman" w:hAnsi="Times New Roman" w:cs="Times New Roman"/>
                <w:sz w:val="21"/>
              </w:rPr>
            </w:pPr>
            <w:r>
              <w:rPr>
                <w:rFonts w:hint="eastAsia" w:ascii="Times New Roman" w:hAnsi="Times New Roman" w:cs="Times New Roman"/>
                <w:sz w:val="21"/>
              </w:rPr>
              <w:t>区域相关规划</w:t>
            </w:r>
          </w:p>
        </w:tc>
        <w:tc>
          <w:tcPr>
            <w:tcW w:w="3778" w:type="pct"/>
            <w:shd w:val="clear" w:color="auto" w:fill="auto"/>
            <w:vAlign w:val="center"/>
          </w:tcPr>
          <w:p>
            <w:pPr>
              <w:jc w:val="center"/>
              <w:rPr>
                <w:rFonts w:ascii="Times New Roman" w:hAnsi="Times New Roman" w:eastAsia="宋体" w:cs="Times New Roman"/>
                <w:bCs/>
                <w:sz w:val="21"/>
                <w:szCs w:val="24"/>
              </w:rPr>
            </w:pPr>
            <w:r>
              <w:rPr>
                <w:rFonts w:hint="eastAsia" w:ascii="Times New Roman" w:hAnsi="Times New Roman" w:eastAsia="宋体" w:cs="Times New Roman"/>
                <w:bCs/>
                <w:sz w:val="21"/>
                <w:szCs w:val="24"/>
              </w:rPr>
              <w:t>《洞庭湖生态经济区规划》</w:t>
            </w:r>
          </w:p>
        </w:tc>
        <w:tc>
          <w:tcPr>
            <w:tcW w:w="689" w:type="pct"/>
            <w:vAlign w:val="center"/>
          </w:tcPr>
          <w:p>
            <w:pPr>
              <w:jc w:val="center"/>
              <w:rPr>
                <w:rFonts w:ascii="Times New Roman" w:hAnsi="Times New Roman" w:eastAsia="宋体" w:cs="Times New Roman"/>
                <w:bCs/>
                <w:sz w:val="21"/>
                <w:szCs w:val="24"/>
              </w:rPr>
            </w:pPr>
            <w:r>
              <w:rPr>
                <w:rFonts w:hint="eastAsia" w:ascii="Times New Roman" w:hAnsi="Times New Roman" w:cs="Times New Roman"/>
                <w:sz w:val="21"/>
              </w:rPr>
              <w:t>符合</w:t>
            </w:r>
          </w:p>
        </w:tc>
      </w:tr>
    </w:tbl>
    <w:p>
      <w:pPr>
        <w:sectPr>
          <w:headerReference r:id="rId13" w:type="first"/>
          <w:footerReference r:id="rId15" w:type="first"/>
          <w:headerReference r:id="rId11" w:type="default"/>
          <w:headerReference r:id="rId12" w:type="even"/>
          <w:footerReference r:id="rId14" w:type="even"/>
          <w:pgSz w:w="11907" w:h="16839"/>
          <w:pgMar w:top="1440" w:right="1797" w:bottom="1440" w:left="1797" w:header="851" w:footer="680" w:gutter="0"/>
          <w:cols w:space="425" w:num="1"/>
          <w:docGrid w:linePitch="326" w:charSpace="0"/>
        </w:sectPr>
      </w:pPr>
    </w:p>
    <w:p>
      <w:pPr>
        <w:keepNext/>
        <w:keepLines/>
        <w:spacing w:before="120" w:beforeLines="50" w:after="120" w:afterLines="50" w:line="360" w:lineRule="auto"/>
        <w:ind w:firstLine="643" w:firstLineChars="200"/>
        <w:jc w:val="center"/>
        <w:outlineLvl w:val="0"/>
        <w:rPr>
          <w:rFonts w:ascii="Times New Roman" w:hAnsi="Times New Roman"/>
          <w:b/>
          <w:bCs/>
          <w:kern w:val="44"/>
          <w:sz w:val="32"/>
          <w:szCs w:val="44"/>
        </w:rPr>
      </w:pPr>
      <w:bookmarkStart w:id="440" w:name="_Toc146091923"/>
      <w:bookmarkStart w:id="441" w:name="_Toc65690477"/>
      <w:bookmarkStart w:id="442" w:name="_Toc134088490"/>
      <w:bookmarkStart w:id="443" w:name="_Toc56066053"/>
      <w:r>
        <w:rPr>
          <w:rFonts w:ascii="Times New Roman" w:hAnsi="Times New Roman"/>
          <w:b/>
          <w:bCs/>
          <w:kern w:val="44"/>
          <w:sz w:val="32"/>
          <w:szCs w:val="44"/>
        </w:rPr>
        <w:t>第4章 区域概况与环境质量现状</w:t>
      </w:r>
      <w:bookmarkEnd w:id="440"/>
    </w:p>
    <w:p>
      <w:pPr>
        <w:keepNext/>
        <w:keepLines/>
        <w:spacing w:line="360" w:lineRule="auto"/>
        <w:outlineLvl w:val="1"/>
        <w:rPr>
          <w:rFonts w:asciiTheme="majorHAnsi" w:hAnsiTheme="majorHAnsi" w:eastAsiaTheme="majorEastAsia" w:cstheme="majorBidi"/>
          <w:b/>
          <w:bCs/>
          <w:sz w:val="30"/>
          <w:szCs w:val="32"/>
        </w:rPr>
      </w:pPr>
      <w:bookmarkStart w:id="444" w:name="_Toc146091924"/>
      <w:r>
        <w:rPr>
          <w:rFonts w:asciiTheme="majorHAnsi" w:hAnsiTheme="majorHAnsi" w:eastAsiaTheme="majorEastAsia" w:cstheme="majorBidi"/>
          <w:b/>
          <w:bCs/>
          <w:sz w:val="30"/>
          <w:szCs w:val="32"/>
        </w:rPr>
        <w:t>4.1 自然环境概况</w:t>
      </w:r>
      <w:bookmarkEnd w:id="444"/>
    </w:p>
    <w:p>
      <w:pPr>
        <w:keepNext/>
        <w:keepLines/>
        <w:spacing w:line="360" w:lineRule="auto"/>
        <w:outlineLvl w:val="2"/>
        <w:rPr>
          <w:rFonts w:ascii="Times New Roman" w:hAnsi="Times New Roman"/>
          <w:b/>
          <w:bCs/>
          <w:sz w:val="28"/>
          <w:szCs w:val="32"/>
        </w:rPr>
      </w:pPr>
      <w:bookmarkStart w:id="445" w:name="_Toc146091925"/>
      <w:r>
        <w:rPr>
          <w:rFonts w:ascii="Times New Roman" w:hAnsi="Times New Roman"/>
          <w:b/>
          <w:bCs/>
          <w:sz w:val="28"/>
          <w:szCs w:val="32"/>
        </w:rPr>
        <w:t>4.1.1 地理位置</w:t>
      </w:r>
      <w:bookmarkEnd w:id="445"/>
    </w:p>
    <w:p>
      <w:pPr>
        <w:spacing w:line="360" w:lineRule="auto"/>
        <w:ind w:firstLine="480" w:firstLineChars="200"/>
        <w:rPr>
          <w:rFonts w:ascii="Times New Roman" w:hAnsi="Times New Roman" w:cs="Times New Roman"/>
          <w:bCs/>
        </w:rPr>
      </w:pPr>
      <w:r>
        <w:rPr>
          <w:rFonts w:hint="eastAsia" w:ascii="Times New Roman" w:hAnsi="Times New Roman" w:cs="Times New Roman"/>
          <w:bCs/>
        </w:rPr>
        <w:t>岳阳市位于湖南省东北部，素称“湘北门户”。地处北纬28°25′31.65″～29°51′6.23″，东经112°18′33.13″～114°09′11.64″之间。东邻江西省宜春市铜鼓县、九江市修水县和湖北省咸宁市通城县；南抵湖南省长沙市浏阳市、长沙市、望城区；西接湖南省益阳市沅江市、南县、常德市安乡县；北接湖北省咸宁市赤壁市、荆州市洪湖市、监利市、石首县。东西长178.185千米，南北宽158.08千米。行政面积14858平方千米。</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临湘市三湾产业园位于临湘市南郊长安镇、城南乡三湾地段。东至京珠高速公路，南止城南乡大岭赵畈、王禾广下、下姚家、郭陈家，西向王铺塘方向延伸，北抵白云湖南端控制线。</w:t>
      </w:r>
    </w:p>
    <w:p>
      <w:pPr>
        <w:spacing w:line="360" w:lineRule="auto"/>
        <w:ind w:firstLine="480" w:firstLineChars="200"/>
        <w:rPr>
          <w:rFonts w:ascii="Times New Roman" w:hAnsi="Times New Roman" w:cs="Times New Roman"/>
          <w:bCs/>
        </w:rPr>
      </w:pPr>
      <w:r>
        <w:rPr>
          <w:rFonts w:ascii="Times New Roman" w:hAnsi="Times New Roman" w:cs="Times New Roman"/>
          <w:bCs/>
        </w:rPr>
        <w:t>滨江片区</w:t>
      </w:r>
      <w:r>
        <w:rPr>
          <w:rFonts w:hint="eastAsia" w:ascii="Times New Roman" w:hAnsi="Times New Roman" w:cs="Times New Roman"/>
          <w:bCs/>
        </w:rPr>
        <w:t>位于临湘市西北部。</w:t>
      </w:r>
      <w:r>
        <w:rPr>
          <w:rFonts w:ascii="Times New Roman" w:hAnsi="Times New Roman" w:cs="Times New Roman"/>
          <w:bCs/>
        </w:rPr>
        <w:t>四至：东至冶湖岸线，南至洋溪村村届，西临长江，北至临湘与云溪交界处。</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临湘市绿色建材</w:t>
      </w:r>
      <w:r>
        <w:rPr>
          <w:rFonts w:ascii="Times New Roman" w:hAnsi="Times New Roman" w:cs="Times New Roman"/>
          <w:bCs/>
        </w:rPr>
        <w:t>产业园</w:t>
      </w:r>
      <w:r>
        <w:rPr>
          <w:rFonts w:hint="eastAsia" w:ascii="Times New Roman" w:hAnsi="Times New Roman" w:cs="Times New Roman"/>
          <w:bCs/>
        </w:rPr>
        <w:t>位于湖南省临湘市长安街道灰山村。</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区域位置见附图。</w:t>
      </w:r>
    </w:p>
    <w:p>
      <w:pPr>
        <w:keepNext/>
        <w:keepLines/>
        <w:spacing w:line="360" w:lineRule="auto"/>
        <w:outlineLvl w:val="2"/>
        <w:rPr>
          <w:rFonts w:ascii="Times New Roman" w:hAnsi="Times New Roman"/>
          <w:b/>
          <w:bCs/>
          <w:sz w:val="28"/>
          <w:szCs w:val="32"/>
        </w:rPr>
      </w:pPr>
      <w:bookmarkStart w:id="446" w:name="_Toc146091926"/>
      <w:r>
        <w:rPr>
          <w:rFonts w:ascii="Times New Roman" w:hAnsi="Times New Roman"/>
          <w:b/>
          <w:bCs/>
          <w:sz w:val="28"/>
          <w:szCs w:val="32"/>
        </w:rPr>
        <w:t>4.1.2 地形地貌地质</w:t>
      </w:r>
      <w:bookmarkEnd w:id="446"/>
    </w:p>
    <w:p>
      <w:pPr>
        <w:spacing w:line="360" w:lineRule="auto"/>
        <w:ind w:firstLine="480" w:firstLineChars="200"/>
        <w:rPr>
          <w:rFonts w:ascii="Times New Roman" w:hAnsi="Times New Roman" w:cs="Times New Roman"/>
        </w:rPr>
      </w:pPr>
      <w:r>
        <w:rPr>
          <w:rFonts w:ascii="Times New Roman" w:hAnsi="Times New Roman" w:cs="Times New Roman"/>
          <w:bCs/>
        </w:rPr>
        <w:t>临湘市以丘陵与岗地为主，丘陵是构造成地貌的基础。地表形态具有南丘北岗的特征，地势自东南向西北倾斜。南部丘陵波状起伏，海拔100～300米，个别峰顶超过500米，呈孤立状，丘体零乱，无明显脉络，丘顶浑圆，坡度一般为15°~25°。西部临湘沿长江右岸及钱粮湖、建新、君山、黄盖湖农场全境，属湘江断裂的下沉地带。地势低平开阔，微向江湖倾斜，海拔25～35米，坡度小于3°。沟渠纵横，湖泊众多，河湖相连，水域广阔。拟建场地现为挖填坪地，高低起伏较小。其最高地面高程为39.92m，最低地面高程为38.43m。</w:t>
      </w:r>
    </w:p>
    <w:p>
      <w:pPr>
        <w:keepNext/>
        <w:keepLines/>
        <w:spacing w:line="360" w:lineRule="auto"/>
        <w:outlineLvl w:val="2"/>
        <w:rPr>
          <w:rFonts w:ascii="Times New Roman" w:hAnsi="Times New Roman"/>
          <w:b/>
          <w:bCs/>
          <w:sz w:val="28"/>
          <w:szCs w:val="32"/>
        </w:rPr>
      </w:pPr>
      <w:bookmarkStart w:id="447" w:name="_Toc146091927"/>
      <w:r>
        <w:rPr>
          <w:rFonts w:ascii="Times New Roman" w:hAnsi="Times New Roman"/>
          <w:b/>
          <w:bCs/>
          <w:sz w:val="28"/>
          <w:szCs w:val="32"/>
        </w:rPr>
        <w:t>4.1.3 气候气象</w:t>
      </w:r>
      <w:bookmarkEnd w:id="447"/>
    </w:p>
    <w:p>
      <w:pPr>
        <w:spacing w:line="360" w:lineRule="auto"/>
        <w:ind w:firstLine="480" w:firstLineChars="200"/>
        <w:rPr>
          <w:rFonts w:ascii="Times New Roman" w:hAnsi="Times New Roman" w:cs="Times New Roman"/>
          <w:bCs/>
        </w:rPr>
      </w:pPr>
      <w:r>
        <w:rPr>
          <w:rFonts w:hint="eastAsia" w:ascii="Times New Roman" w:hAnsi="Times New Roman" w:cs="Times New Roman"/>
          <w:bCs/>
        </w:rPr>
        <w:t xml:space="preserve">临湘市属东亚季风气候区，气候上具有中亚热带向北亚热带过渡性质，属湿润的大陆季风气候。其主要特征是严寒期短，无霜期长，春暖多变，秋寒偏早，雨季明显，夏秋多旱，四季分明，季节性强，光照充足，热能充裕。年平均气温 </w:t>
      </w:r>
      <w:r>
        <w:rPr>
          <w:rFonts w:ascii="Times New Roman" w:hAnsi="Times New Roman" w:cs="Times New Roman"/>
          <w:bCs/>
        </w:rPr>
        <w:t>16.4</w:t>
      </w:r>
      <w:r>
        <w:rPr>
          <w:rFonts w:hint="eastAsia" w:ascii="Times New Roman" w:hAnsi="Times New Roman" w:cs="Times New Roman"/>
          <w:bCs/>
        </w:rPr>
        <w:t xml:space="preserve">℃，绝对最高温度 </w:t>
      </w:r>
      <w:r>
        <w:rPr>
          <w:rFonts w:ascii="Times New Roman" w:hAnsi="Times New Roman" w:cs="Times New Roman"/>
          <w:bCs/>
        </w:rPr>
        <w:t>39.2</w:t>
      </w:r>
      <w:r>
        <w:rPr>
          <w:rFonts w:hint="eastAsia" w:ascii="Times New Roman" w:hAnsi="Times New Roman" w:cs="Times New Roman"/>
          <w:bCs/>
        </w:rPr>
        <w:t>℃，绝对最低温度</w:t>
      </w:r>
      <w:r>
        <w:rPr>
          <w:rFonts w:ascii="Times New Roman" w:hAnsi="Times New Roman" w:cs="Times New Roman"/>
          <w:bCs/>
        </w:rPr>
        <w:t>-7.0</w:t>
      </w:r>
      <w:r>
        <w:rPr>
          <w:rFonts w:hint="eastAsia" w:ascii="Times New Roman" w:hAnsi="Times New Roman" w:cs="Times New Roman"/>
          <w:bCs/>
        </w:rPr>
        <w:t>℃，年平均气压</w:t>
      </w:r>
      <w:r>
        <w:rPr>
          <w:rFonts w:ascii="Times New Roman" w:hAnsi="Times New Roman" w:cs="Times New Roman"/>
          <w:bCs/>
        </w:rPr>
        <w:t>1009.5 hPa</w:t>
      </w:r>
      <w:r>
        <w:rPr>
          <w:rFonts w:hint="eastAsia" w:ascii="Times New Roman" w:hAnsi="Times New Roman" w:cs="Times New Roman"/>
          <w:bCs/>
        </w:rPr>
        <w:t xml:space="preserve">，年主导风向 </w:t>
      </w:r>
      <w:r>
        <w:rPr>
          <w:rFonts w:ascii="Times New Roman" w:hAnsi="Times New Roman" w:cs="Times New Roman"/>
          <w:bCs/>
        </w:rPr>
        <w:t>NNE(18%)(</w:t>
      </w:r>
      <w:r>
        <w:rPr>
          <w:rFonts w:hint="eastAsia" w:ascii="Times New Roman" w:hAnsi="Times New Roman" w:cs="Times New Roman"/>
          <w:bCs/>
        </w:rPr>
        <w:t>北北东</w:t>
      </w:r>
      <w:r>
        <w:rPr>
          <w:rFonts w:ascii="Times New Roman" w:hAnsi="Times New Roman" w:cs="Times New Roman"/>
          <w:bCs/>
        </w:rPr>
        <w:t>)</w:t>
      </w:r>
      <w:r>
        <w:rPr>
          <w:rFonts w:hint="eastAsia" w:ascii="Times New Roman" w:hAnsi="Times New Roman" w:cs="Times New Roman"/>
          <w:bCs/>
        </w:rPr>
        <w:t>，夏季主导风向</w:t>
      </w:r>
      <w:r>
        <w:rPr>
          <w:rFonts w:ascii="Times New Roman" w:hAnsi="Times New Roman" w:cs="Times New Roman"/>
          <w:bCs/>
        </w:rPr>
        <w:t>S(7</w:t>
      </w:r>
      <w:r>
        <w:rPr>
          <w:rFonts w:hint="eastAsia" w:ascii="Times New Roman" w:hAnsi="Times New Roman" w:cs="Times New Roman"/>
          <w:bCs/>
        </w:rPr>
        <w:t>月为</w:t>
      </w:r>
      <w:r>
        <w:rPr>
          <w:rFonts w:ascii="Times New Roman" w:hAnsi="Times New Roman" w:cs="Times New Roman"/>
          <w:bCs/>
        </w:rPr>
        <w:t>16%)</w:t>
      </w:r>
      <w:r>
        <w:rPr>
          <w:rFonts w:hint="eastAsia" w:ascii="Times New Roman" w:hAnsi="Times New Roman" w:cs="Times New Roman"/>
          <w:bCs/>
        </w:rPr>
        <w:t>，年平均风速</w:t>
      </w:r>
      <w:r>
        <w:rPr>
          <w:rFonts w:ascii="Times New Roman" w:hAnsi="Times New Roman" w:cs="Times New Roman"/>
          <w:bCs/>
        </w:rPr>
        <w:t>2.6m/s</w:t>
      </w:r>
      <w:r>
        <w:rPr>
          <w:rFonts w:hint="eastAsia" w:ascii="Times New Roman" w:hAnsi="Times New Roman" w:cs="Times New Roman"/>
          <w:bCs/>
        </w:rPr>
        <w:t>，年平均无霜期</w:t>
      </w:r>
      <w:r>
        <w:rPr>
          <w:rFonts w:ascii="Times New Roman" w:hAnsi="Times New Roman" w:cs="Times New Roman"/>
          <w:bCs/>
        </w:rPr>
        <w:t>258.9d</w:t>
      </w:r>
      <w:r>
        <w:rPr>
          <w:rFonts w:hint="eastAsia" w:ascii="Times New Roman" w:hAnsi="Times New Roman" w:cs="Times New Roman"/>
          <w:bCs/>
        </w:rPr>
        <w:t>，年最大降雨量</w:t>
      </w:r>
      <w:r>
        <w:rPr>
          <w:rFonts w:ascii="Times New Roman" w:hAnsi="Times New Roman" w:cs="Times New Roman"/>
          <w:bCs/>
        </w:rPr>
        <w:t>3064.4mm</w:t>
      </w:r>
      <w:r>
        <w:rPr>
          <w:rFonts w:hint="eastAsia" w:ascii="Times New Roman" w:hAnsi="Times New Roman" w:cs="Times New Roman"/>
          <w:bCs/>
        </w:rPr>
        <w:t>，年最小降雨量</w:t>
      </w:r>
      <w:r>
        <w:rPr>
          <w:rFonts w:ascii="Times New Roman" w:hAnsi="Times New Roman" w:cs="Times New Roman"/>
          <w:bCs/>
        </w:rPr>
        <w:t>850mm</w:t>
      </w:r>
      <w:r>
        <w:rPr>
          <w:rFonts w:hint="eastAsia" w:ascii="Times New Roman" w:hAnsi="Times New Roman" w:cs="Times New Roman"/>
          <w:bCs/>
        </w:rPr>
        <w:t>，年平均降雨量</w:t>
      </w:r>
      <w:r>
        <w:rPr>
          <w:rFonts w:ascii="Times New Roman" w:hAnsi="Times New Roman" w:cs="Times New Roman"/>
          <w:bCs/>
        </w:rPr>
        <w:t>1904.5mm</w:t>
      </w:r>
      <w:r>
        <w:rPr>
          <w:rFonts w:hint="eastAsia" w:ascii="Times New Roman" w:hAnsi="Times New Roman" w:cs="Times New Roman"/>
          <w:bCs/>
        </w:rPr>
        <w:t>，日最大降雨量</w:t>
      </w:r>
      <w:r>
        <w:rPr>
          <w:rFonts w:ascii="Times New Roman" w:hAnsi="Times New Roman" w:cs="Times New Roman"/>
          <w:bCs/>
        </w:rPr>
        <w:t>292.2mm</w:t>
      </w:r>
      <w:r>
        <w:rPr>
          <w:rFonts w:hint="eastAsia" w:ascii="Times New Roman" w:hAnsi="Times New Roman" w:cs="Times New Roman"/>
          <w:bCs/>
        </w:rPr>
        <w:t>，历年最大积雪深度</w:t>
      </w:r>
      <w:r>
        <w:rPr>
          <w:rFonts w:ascii="Times New Roman" w:hAnsi="Times New Roman" w:cs="Times New Roman"/>
          <w:bCs/>
        </w:rPr>
        <w:t>20cm</w:t>
      </w:r>
      <w:r>
        <w:rPr>
          <w:rFonts w:hint="eastAsia" w:ascii="Times New Roman" w:hAnsi="Times New Roman" w:cs="Times New Roman"/>
          <w:bCs/>
        </w:rPr>
        <w:t xml:space="preserve">，历年最多雷暴日数 </w:t>
      </w:r>
      <w:r>
        <w:rPr>
          <w:rFonts w:ascii="Times New Roman" w:hAnsi="Times New Roman" w:cs="Times New Roman"/>
          <w:bCs/>
        </w:rPr>
        <w:t xml:space="preserve">59 </w:t>
      </w:r>
      <w:r>
        <w:rPr>
          <w:rFonts w:hint="eastAsia" w:ascii="Times New Roman" w:hAnsi="Times New Roman" w:cs="Times New Roman"/>
          <w:bCs/>
        </w:rPr>
        <w:t>天，年平均日照数</w:t>
      </w:r>
      <w:r>
        <w:rPr>
          <w:rFonts w:ascii="Times New Roman" w:hAnsi="Times New Roman" w:cs="Times New Roman"/>
          <w:bCs/>
        </w:rPr>
        <w:t>1840h</w:t>
      </w:r>
      <w:r>
        <w:rPr>
          <w:rFonts w:hint="eastAsia" w:ascii="Times New Roman" w:hAnsi="Times New Roman" w:cs="Times New Roman"/>
          <w:bCs/>
        </w:rPr>
        <w:t>。</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w:t>
      </w:r>
      <w:r>
        <w:rPr>
          <w:rFonts w:hint="eastAsia" w:ascii="Times New Roman" w:hAnsi="Times New Roman"/>
          <w:b/>
          <w:bCs/>
          <w:szCs w:val="28"/>
        </w:rPr>
        <w:t>4</w:t>
      </w:r>
      <w:r>
        <w:rPr>
          <w:rFonts w:ascii="Times New Roman" w:hAnsi="Times New Roman"/>
          <w:b/>
          <w:bCs/>
          <w:szCs w:val="28"/>
        </w:rPr>
        <w:t>.1-1  主要气象参数</w:t>
      </w:r>
    </w:p>
    <w:tbl>
      <w:tblPr>
        <w:tblStyle w:val="36"/>
        <w:tblW w:w="84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2110"/>
        <w:gridCol w:w="2110"/>
        <w:gridCol w:w="2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参数</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年平均风速</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2.6m/s</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年平均气压</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1009.5hPa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全年主导风向</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NNE</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全年主导风向频</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年平均降水量</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1904.5mm</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年平均气温</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16.4</w:t>
            </w:r>
            <w:r>
              <w:rPr>
                <w:rFonts w:hint="eastAsia" w:ascii="Times New Roman" w:hAnsi="Times New Roman" w:eastAsia="宋体" w:cs="Times New Roman"/>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极端最高气温</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39.2</w:t>
            </w:r>
            <w:r>
              <w:rPr>
                <w:rFonts w:hint="eastAsia" w:ascii="Times New Roman" w:hAnsi="Times New Roman" w:eastAsia="宋体" w:cs="Times New Roman"/>
                <w:bCs/>
                <w:sz w:val="21"/>
                <w:szCs w:val="21"/>
              </w:rPr>
              <w:t>℃</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极端最低气温</w:t>
            </w:r>
          </w:p>
        </w:tc>
        <w:tc>
          <w:tcPr>
            <w:tcW w:w="211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r>
              <w:rPr>
                <w:rFonts w:hint="eastAsia" w:ascii="Times New Roman" w:hAnsi="Times New Roman" w:eastAsia="宋体" w:cs="Times New Roman"/>
                <w:bCs/>
                <w:sz w:val="21"/>
                <w:szCs w:val="21"/>
              </w:rPr>
              <w:t>℃</w:t>
            </w:r>
          </w:p>
        </w:tc>
      </w:tr>
    </w:tbl>
    <w:p>
      <w:pPr>
        <w:keepNext/>
        <w:keepLines/>
        <w:spacing w:line="360" w:lineRule="auto"/>
        <w:outlineLvl w:val="2"/>
        <w:rPr>
          <w:rFonts w:ascii="Times New Roman" w:hAnsi="Times New Roman"/>
          <w:b/>
          <w:bCs/>
          <w:sz w:val="28"/>
          <w:szCs w:val="32"/>
        </w:rPr>
      </w:pPr>
      <w:bookmarkStart w:id="448" w:name="_Toc146091928"/>
      <w:r>
        <w:rPr>
          <w:rFonts w:ascii="Times New Roman" w:hAnsi="Times New Roman"/>
          <w:b/>
          <w:bCs/>
          <w:sz w:val="28"/>
          <w:szCs w:val="32"/>
        </w:rPr>
        <w:t>4.1.4 水文水系</w:t>
      </w:r>
      <w:bookmarkEnd w:id="448"/>
    </w:p>
    <w:p>
      <w:pPr>
        <w:spacing w:line="360" w:lineRule="auto"/>
        <w:ind w:firstLine="480" w:firstLineChars="200"/>
        <w:rPr>
          <w:rFonts w:ascii="Times New Roman" w:hAnsi="Times New Roman" w:cs="Times New Roman"/>
          <w:bCs/>
        </w:rPr>
      </w:pPr>
      <w:r>
        <w:rPr>
          <w:rFonts w:hint="eastAsia" w:ascii="Times New Roman" w:hAnsi="Times New Roman" w:cs="Times New Roman"/>
          <w:bCs/>
        </w:rPr>
        <w:t>临湘市域内河港纵横，汇集成三大水系：一条是游港河，自药菇山发源，在长塘进岳阳西塘入洞庭湖，干流全长</w:t>
      </w:r>
      <w:r>
        <w:rPr>
          <w:rFonts w:ascii="Times New Roman" w:hAnsi="Times New Roman" w:cs="Times New Roman"/>
          <w:bCs/>
        </w:rPr>
        <w:t xml:space="preserve">74 </w:t>
      </w:r>
      <w:r>
        <w:rPr>
          <w:rFonts w:hint="eastAsia" w:ascii="Times New Roman" w:hAnsi="Times New Roman" w:cs="Times New Roman"/>
          <w:bCs/>
        </w:rPr>
        <w:t>公里，总流域面积为</w:t>
      </w:r>
      <w:r>
        <w:rPr>
          <w:rFonts w:ascii="Times New Roman" w:hAnsi="Times New Roman" w:cs="Times New Roman"/>
          <w:bCs/>
        </w:rPr>
        <w:t xml:space="preserve">738.2 </w:t>
      </w:r>
      <w:r>
        <w:rPr>
          <w:rFonts w:hint="eastAsia" w:ascii="Times New Roman" w:hAnsi="Times New Roman" w:cs="Times New Roman"/>
          <w:bCs/>
        </w:rPr>
        <w:t>平方公里；一条是湘鄂交界的界河坦渡河，发源于药菇山东麓，从羊楼司沿坦渡、定湖进入黄盖湖，干流全长</w:t>
      </w:r>
      <w:r>
        <w:rPr>
          <w:rFonts w:ascii="Times New Roman" w:hAnsi="Times New Roman" w:cs="Times New Roman"/>
          <w:bCs/>
        </w:rPr>
        <w:t>63</w:t>
      </w:r>
      <w:r>
        <w:rPr>
          <w:rFonts w:hint="eastAsia" w:ascii="Times New Roman" w:hAnsi="Times New Roman" w:cs="Times New Roman"/>
          <w:bCs/>
        </w:rPr>
        <w:t>公里，总面积为</w:t>
      </w:r>
      <w:r>
        <w:rPr>
          <w:rFonts w:ascii="Times New Roman" w:hAnsi="Times New Roman" w:cs="Times New Roman"/>
          <w:bCs/>
        </w:rPr>
        <w:t xml:space="preserve">390 </w:t>
      </w:r>
      <w:r>
        <w:rPr>
          <w:rFonts w:hint="eastAsia" w:ascii="Times New Roman" w:hAnsi="Times New Roman" w:cs="Times New Roman"/>
          <w:bCs/>
        </w:rPr>
        <w:t>平方公里；一条是城中长安河，发源于横卜乡坪头村八房冲，经横卜、桃林、城南、长安、五里、聂市、源潭进入黄盖湖，干流全长</w:t>
      </w:r>
      <w:r>
        <w:rPr>
          <w:rFonts w:ascii="Times New Roman" w:hAnsi="Times New Roman" w:cs="Times New Roman"/>
          <w:bCs/>
        </w:rPr>
        <w:t>48</w:t>
      </w:r>
      <w:r>
        <w:rPr>
          <w:rFonts w:hint="eastAsia" w:ascii="Times New Roman" w:hAnsi="Times New Roman" w:cs="Times New Roman"/>
          <w:bCs/>
        </w:rPr>
        <w:t>公里，总集雨面</w:t>
      </w:r>
      <w:r>
        <w:rPr>
          <w:rFonts w:ascii="Times New Roman" w:hAnsi="Times New Roman" w:cs="Times New Roman"/>
          <w:bCs/>
        </w:rPr>
        <w:t>133</w:t>
      </w:r>
      <w:r>
        <w:rPr>
          <w:rFonts w:hint="eastAsia" w:ascii="Times New Roman" w:hAnsi="Times New Roman" w:cs="Times New Roman"/>
          <w:bCs/>
        </w:rPr>
        <w:t>积为</w:t>
      </w:r>
      <w:r>
        <w:rPr>
          <w:rFonts w:ascii="Times New Roman" w:hAnsi="Times New Roman" w:cs="Times New Roman"/>
          <w:bCs/>
        </w:rPr>
        <w:t>405</w:t>
      </w:r>
      <w:r>
        <w:rPr>
          <w:rFonts w:hint="eastAsia" w:ascii="Times New Roman" w:hAnsi="Times New Roman" w:cs="Times New Roman"/>
          <w:bCs/>
        </w:rPr>
        <w:t>平方公里。</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临湘工业园滨江产业区北挨长江，紧邻洋溪湖和冶湖。规划区内入驻企业及小城镇建设组团污水预处理后全部进园区污水处理厂处理后外排于长江</w:t>
      </w:r>
      <w:r>
        <w:rPr>
          <w:rFonts w:ascii="Times New Roman" w:hAnsi="Times New Roman" w:cs="Times New Roman"/>
          <w:bCs/>
        </w:rPr>
        <w:t>(</w:t>
      </w:r>
      <w:r>
        <w:rPr>
          <w:rFonts w:hint="eastAsia" w:ascii="Times New Roman" w:hAnsi="Times New Roman" w:cs="Times New Roman"/>
          <w:bCs/>
        </w:rPr>
        <w:t>城陵矶至黄盖湖段</w:t>
      </w:r>
      <w:r>
        <w:rPr>
          <w:rFonts w:ascii="Times New Roman" w:hAnsi="Times New Roman" w:cs="Times New Roman"/>
          <w:bCs/>
        </w:rPr>
        <w:t>)</w:t>
      </w:r>
      <w:r>
        <w:rPr>
          <w:rFonts w:hint="eastAsia" w:ascii="Times New Roman" w:hAnsi="Times New Roman" w:cs="Times New Roman"/>
          <w:bCs/>
        </w:rPr>
        <w:t>。长江排污口，上距洞庭湖入江口城陵矶</w:t>
      </w:r>
      <w:r>
        <w:rPr>
          <w:rFonts w:ascii="Times New Roman" w:hAnsi="Times New Roman" w:cs="Times New Roman"/>
          <w:bCs/>
        </w:rPr>
        <w:t>30km</w:t>
      </w:r>
      <w:r>
        <w:rPr>
          <w:rFonts w:hint="eastAsia" w:ascii="Times New Roman" w:hAnsi="Times New Roman" w:cs="Times New Roman"/>
          <w:bCs/>
        </w:rPr>
        <w:t>，下距陆水入江口</w:t>
      </w:r>
      <w:r>
        <w:rPr>
          <w:rFonts w:ascii="Times New Roman" w:hAnsi="Times New Roman" w:cs="Times New Roman"/>
          <w:bCs/>
        </w:rPr>
        <w:t>46km</w:t>
      </w:r>
      <w:r>
        <w:rPr>
          <w:rFonts w:hint="eastAsia" w:ascii="Times New Roman" w:hAnsi="Times New Roman" w:cs="Times New Roman"/>
          <w:bCs/>
        </w:rPr>
        <w:t>。</w:t>
      </w:r>
    </w:p>
    <w:p>
      <w:pPr>
        <w:spacing w:line="360" w:lineRule="auto"/>
        <w:ind w:firstLine="480" w:firstLineChars="200"/>
        <w:rPr>
          <w:rFonts w:ascii="Times New Roman" w:hAnsi="Times New Roman" w:cs="Times New Roman"/>
        </w:rPr>
      </w:pPr>
      <w:r>
        <w:rPr>
          <w:rFonts w:hint="eastAsia" w:ascii="Times New Roman" w:hAnsi="Times New Roman" w:cs="Times New Roman"/>
          <w:bCs/>
        </w:rPr>
        <w:t>长江</w:t>
      </w:r>
      <w:r>
        <w:rPr>
          <w:rFonts w:ascii="Times New Roman" w:hAnsi="Times New Roman" w:cs="Times New Roman"/>
          <w:bCs/>
        </w:rPr>
        <w:t>(</w:t>
      </w:r>
      <w:r>
        <w:rPr>
          <w:rFonts w:hint="eastAsia" w:ascii="Times New Roman" w:hAnsi="Times New Roman" w:cs="Times New Roman"/>
          <w:bCs/>
        </w:rPr>
        <w:t>城陵矶至黄盖湖段</w:t>
      </w:r>
      <w:r>
        <w:rPr>
          <w:rFonts w:ascii="Times New Roman" w:hAnsi="Times New Roman" w:cs="Times New Roman"/>
          <w:bCs/>
        </w:rPr>
        <w:t>)</w:t>
      </w:r>
      <w:r>
        <w:rPr>
          <w:rFonts w:hint="eastAsia" w:ascii="Times New Roman" w:hAnsi="Times New Roman" w:cs="Times New Roman"/>
          <w:bCs/>
        </w:rPr>
        <w:t>多年平均流量为</w:t>
      </w:r>
      <w:r>
        <w:rPr>
          <w:rFonts w:ascii="Times New Roman" w:hAnsi="Times New Roman" w:cs="Times New Roman"/>
          <w:bCs/>
        </w:rPr>
        <w:t>20300m</w:t>
      </w:r>
      <w:r>
        <w:rPr>
          <w:rFonts w:ascii="Times New Roman" w:hAnsi="Times New Roman" w:cs="Times New Roman"/>
          <w:bCs/>
          <w:vertAlign w:val="superscript"/>
        </w:rPr>
        <w:t>3</w:t>
      </w:r>
      <w:r>
        <w:rPr>
          <w:rFonts w:ascii="Times New Roman" w:hAnsi="Times New Roman" w:cs="Times New Roman"/>
          <w:bCs/>
        </w:rPr>
        <w:t>/s</w:t>
      </w:r>
      <w:r>
        <w:rPr>
          <w:rFonts w:hint="eastAsia" w:ascii="Times New Roman" w:hAnsi="Times New Roman" w:cs="Times New Roman"/>
          <w:bCs/>
        </w:rPr>
        <w:t>，最大流量为</w:t>
      </w:r>
      <w:r>
        <w:rPr>
          <w:rFonts w:ascii="Times New Roman" w:hAnsi="Times New Roman" w:cs="Times New Roman"/>
          <w:bCs/>
        </w:rPr>
        <w:t>61200m</w:t>
      </w:r>
      <w:r>
        <w:rPr>
          <w:rFonts w:ascii="Times New Roman" w:hAnsi="Times New Roman" w:cs="Times New Roman"/>
          <w:bCs/>
          <w:vertAlign w:val="superscript"/>
        </w:rPr>
        <w:t>3</w:t>
      </w:r>
      <w:r>
        <w:rPr>
          <w:rFonts w:ascii="Times New Roman" w:hAnsi="Times New Roman" w:cs="Times New Roman"/>
          <w:bCs/>
        </w:rPr>
        <w:t>/s</w:t>
      </w:r>
      <w:r>
        <w:rPr>
          <w:rFonts w:hint="eastAsia" w:ascii="Times New Roman" w:hAnsi="Times New Roman" w:cs="Times New Roman"/>
          <w:bCs/>
        </w:rPr>
        <w:t>，最小流量为</w:t>
      </w:r>
      <w:r>
        <w:rPr>
          <w:rFonts w:ascii="Times New Roman" w:hAnsi="Times New Roman" w:cs="Times New Roman"/>
          <w:bCs/>
        </w:rPr>
        <w:t>4160m</w:t>
      </w:r>
      <w:r>
        <w:rPr>
          <w:rFonts w:ascii="Times New Roman" w:hAnsi="Times New Roman" w:cs="Times New Roman"/>
          <w:bCs/>
          <w:vertAlign w:val="superscript"/>
        </w:rPr>
        <w:t>3</w:t>
      </w:r>
      <w:r>
        <w:rPr>
          <w:rFonts w:ascii="Times New Roman" w:hAnsi="Times New Roman" w:cs="Times New Roman"/>
          <w:bCs/>
        </w:rPr>
        <w:t>/s</w:t>
      </w:r>
      <w:r>
        <w:rPr>
          <w:rFonts w:hint="eastAsia" w:ascii="Times New Roman" w:hAnsi="Times New Roman" w:cs="Times New Roman"/>
          <w:bCs/>
        </w:rPr>
        <w:t>。根据长江</w:t>
      </w:r>
      <w:r>
        <w:rPr>
          <w:rFonts w:ascii="Times New Roman" w:hAnsi="Times New Roman" w:cs="Times New Roman"/>
          <w:bCs/>
        </w:rPr>
        <w:t>“</w:t>
      </w:r>
      <w:r>
        <w:rPr>
          <w:rFonts w:hint="eastAsia" w:ascii="Times New Roman" w:hAnsi="Times New Roman" w:cs="Times New Roman"/>
          <w:bCs/>
        </w:rPr>
        <w:t>陆城</w:t>
      </w:r>
      <w:r>
        <w:rPr>
          <w:rFonts w:ascii="Times New Roman" w:hAnsi="Times New Roman" w:cs="Times New Roman"/>
          <w:bCs/>
        </w:rPr>
        <w:t>-</w:t>
      </w:r>
      <w:r>
        <w:rPr>
          <w:rFonts w:hint="eastAsia" w:ascii="Times New Roman" w:hAnsi="Times New Roman" w:cs="Times New Roman"/>
          <w:bCs/>
        </w:rPr>
        <w:t>洪湖</w:t>
      </w:r>
      <w:r>
        <w:rPr>
          <w:rFonts w:ascii="Times New Roman" w:hAnsi="Times New Roman" w:cs="Times New Roman"/>
          <w:bCs/>
        </w:rPr>
        <w:t>”</w:t>
      </w:r>
      <w:r>
        <w:rPr>
          <w:rFonts w:hint="eastAsia" w:ascii="Times New Roman" w:hAnsi="Times New Roman" w:cs="Times New Roman"/>
          <w:bCs/>
        </w:rPr>
        <w:t>江段多年枯水期水文资料，及实测结果分析计算，评价江段</w:t>
      </w:r>
      <w:r>
        <w:rPr>
          <w:rFonts w:ascii="Times New Roman" w:hAnsi="Times New Roman" w:cs="Times New Roman"/>
          <w:bCs/>
        </w:rPr>
        <w:t>1994-2003</w:t>
      </w:r>
      <w:r>
        <w:rPr>
          <w:rFonts w:hint="eastAsia" w:ascii="Times New Roman" w:hAnsi="Times New Roman" w:cs="Times New Roman"/>
          <w:bCs/>
        </w:rPr>
        <w:t xml:space="preserve">年最枯月平均水文参数见表 </w:t>
      </w:r>
      <w:r>
        <w:rPr>
          <w:rFonts w:ascii="Times New Roman" w:hAnsi="Times New Roman" w:cs="Times New Roman"/>
          <w:bCs/>
        </w:rPr>
        <w:t>4.1-2。</w:t>
      </w:r>
    </w:p>
    <w:p>
      <w:pPr>
        <w:keepLines/>
        <w:spacing w:line="360" w:lineRule="auto"/>
        <w:ind w:firstLine="482" w:firstLineChars="200"/>
        <w:jc w:val="center"/>
        <w:outlineLvl w:val="4"/>
        <w:rPr>
          <w:rFonts w:ascii="Times New Roman" w:hAnsi="Times New Roman"/>
          <w:b/>
          <w:color w:val="000000"/>
          <w:szCs w:val="28"/>
        </w:rPr>
      </w:pPr>
      <w:r>
        <w:rPr>
          <w:rFonts w:ascii="Times New Roman" w:hAnsi="Times New Roman"/>
          <w:b/>
          <w:bCs/>
          <w:szCs w:val="28"/>
        </w:rPr>
        <w:t>表</w:t>
      </w:r>
      <w:r>
        <w:rPr>
          <w:rFonts w:hint="eastAsia" w:ascii="Times New Roman" w:hAnsi="Times New Roman"/>
          <w:b/>
          <w:bCs/>
          <w:szCs w:val="28"/>
        </w:rPr>
        <w:t>4</w:t>
      </w:r>
      <w:r>
        <w:rPr>
          <w:rFonts w:ascii="Times New Roman" w:hAnsi="Times New Roman"/>
          <w:b/>
          <w:bCs/>
          <w:szCs w:val="28"/>
        </w:rPr>
        <w:t xml:space="preserve">.1-2  </w:t>
      </w:r>
      <w:r>
        <w:rPr>
          <w:rFonts w:hint="eastAsia" w:ascii="Times New Roman" w:hAnsi="Times New Roman"/>
          <w:b/>
          <w:color w:val="000000"/>
          <w:szCs w:val="28"/>
        </w:rPr>
        <w:t>长江评价江段水文参数</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021"/>
        <w:gridCol w:w="846"/>
        <w:gridCol w:w="1123"/>
        <w:gridCol w:w="1246"/>
        <w:gridCol w:w="1607"/>
        <w:gridCol w:w="660"/>
        <w:gridCol w:w="588"/>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水期</w:t>
            </w:r>
          </w:p>
        </w:tc>
        <w:tc>
          <w:tcPr>
            <w:tcW w:w="0" w:type="auto"/>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流量</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3</w:t>
            </w:r>
            <w:r>
              <w:rPr>
                <w:rFonts w:ascii="Times New Roman" w:hAnsi="Times New Roman" w:eastAsia="宋体" w:cs="Times New Roman"/>
                <w:bCs/>
                <w:sz w:val="21"/>
                <w:szCs w:val="21"/>
              </w:rPr>
              <w:t>/s)</w:t>
            </w:r>
          </w:p>
        </w:tc>
        <w:tc>
          <w:tcPr>
            <w:tcW w:w="0" w:type="auto"/>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河宽</w:t>
            </w:r>
            <w:r>
              <w:rPr>
                <w:rFonts w:ascii="Times New Roman" w:hAnsi="Times New Roman" w:eastAsia="宋体" w:cs="Times New Roman"/>
                <w:bCs/>
                <w:sz w:val="21"/>
                <w:szCs w:val="21"/>
              </w:rPr>
              <w:t>(m)</w:t>
            </w:r>
          </w:p>
        </w:tc>
        <w:tc>
          <w:tcPr>
            <w:tcW w:w="0" w:type="auto"/>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平均水深</w:t>
            </w:r>
            <w:r>
              <w:rPr>
                <w:rFonts w:ascii="Times New Roman" w:hAnsi="Times New Roman" w:eastAsia="宋体" w:cs="Times New Roman"/>
                <w:bCs/>
                <w:sz w:val="21"/>
                <w:szCs w:val="21"/>
              </w:rPr>
              <w:t>(m)</w:t>
            </w:r>
          </w:p>
        </w:tc>
        <w:tc>
          <w:tcPr>
            <w:tcW w:w="0" w:type="auto"/>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平均流速</w:t>
            </w:r>
            <w:r>
              <w:rPr>
                <w:rFonts w:ascii="Times New Roman" w:hAnsi="Times New Roman" w:eastAsia="宋体" w:cs="Times New Roman"/>
                <w:bCs/>
                <w:sz w:val="21"/>
                <w:szCs w:val="21"/>
              </w:rPr>
              <w:t>(m/s)</w:t>
            </w:r>
          </w:p>
        </w:tc>
        <w:tc>
          <w:tcPr>
            <w:tcW w:w="0" w:type="auto"/>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横向混合系数</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/s)</w:t>
            </w:r>
          </w:p>
        </w:tc>
        <w:tc>
          <w:tcPr>
            <w:tcW w:w="0" w:type="auto"/>
            <w:gridSpan w:val="3"/>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K(1/d)*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COD</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枯水期</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6101</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1120</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7.11</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0.77</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0.41</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0.15</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bl>
    <w:p>
      <w:pPr>
        <w:ind w:firstLine="480" w:firstLineChars="200"/>
        <w:rPr>
          <w:rFonts w:ascii="Times New Roman" w:hAnsi="Times New Roman"/>
        </w:rPr>
      </w:pPr>
    </w:p>
    <w:p>
      <w:pPr>
        <w:spacing w:line="360" w:lineRule="auto"/>
        <w:ind w:firstLine="480" w:firstLineChars="200"/>
        <w:rPr>
          <w:rFonts w:ascii="Times New Roman" w:hAnsi="Times New Roman" w:cs="Times New Roman"/>
          <w:bCs/>
        </w:rPr>
      </w:pPr>
      <w:r>
        <w:rPr>
          <w:rFonts w:hint="eastAsia" w:ascii="Times New Roman" w:hAnsi="Times New Roman" w:cs="Times New Roman"/>
          <w:bCs/>
        </w:rPr>
        <w:t>园区污水处理厂出水外排于长江，排污口位于长江城陵矶~螺山河段，该河段长约32km，沿岸受城陵矶、白螺矶~道人矶、杨林矶~龙头山以及螺山~鸭栏等天然节点控制，河床分汊，河道稳定。螺山~新堤港为新堤河段，主要受下游赤壁山节点控制，但因节点间距离较长，对水流的控制作用较弱，水流出螺山后，河道逐渐展宽，主流摆幅较大，河床多呈散乱宽浅河型。</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水文条件：通常情况下，天然河流中枯水季节是对水质最不利时期，河流水质问题一般出现在枯水期。根据长江水文特征，选用枯水期</w:t>
      </w:r>
      <w:r>
        <w:rPr>
          <w:rFonts w:ascii="Times New Roman" w:hAnsi="Times New Roman" w:cs="Times New Roman"/>
          <w:bCs/>
        </w:rPr>
        <w:t>90%</w:t>
      </w:r>
      <w:r>
        <w:rPr>
          <w:rFonts w:hint="eastAsia" w:ascii="Times New Roman" w:hAnsi="Times New Roman" w:cs="Times New Roman"/>
          <w:bCs/>
        </w:rPr>
        <w:t>保证率最小月均流量作为模拟流量。园区排污口上游约</w:t>
      </w:r>
      <w:r>
        <w:rPr>
          <w:rFonts w:ascii="Times New Roman" w:hAnsi="Times New Roman" w:cs="Times New Roman"/>
          <w:bCs/>
        </w:rPr>
        <w:t>30km</w:t>
      </w:r>
      <w:r>
        <w:rPr>
          <w:rFonts w:hint="eastAsia" w:ascii="Times New Roman" w:hAnsi="Times New Roman" w:cs="Times New Roman"/>
          <w:bCs/>
        </w:rPr>
        <w:t>处设有城陵矶水文站（洞庭湖湖区出口），下游约</w:t>
      </w:r>
      <w:r>
        <w:rPr>
          <w:rFonts w:ascii="Times New Roman" w:hAnsi="Times New Roman" w:cs="Times New Roman"/>
          <w:bCs/>
        </w:rPr>
        <w:t>2km</w:t>
      </w:r>
      <w:r>
        <w:rPr>
          <w:rFonts w:hint="eastAsia" w:ascii="Times New Roman" w:hAnsi="Times New Roman" w:cs="Times New Roman"/>
          <w:bCs/>
        </w:rPr>
        <w:t>处设有螺山水文站，由于此区间无较大支流汇入。因此，城陵矶、螺山水文站的实测资料可用于临湘市工业园滨江产业区污水处理厂排污口所在江段的水文频率计算。采用城陵矶、螺山水文站近</w:t>
      </w:r>
      <w:r>
        <w:rPr>
          <w:rFonts w:ascii="Times New Roman" w:hAnsi="Times New Roman" w:cs="Times New Roman"/>
          <w:bCs/>
        </w:rPr>
        <w:t>20</w:t>
      </w:r>
      <w:r>
        <w:rPr>
          <w:rFonts w:hint="eastAsia" w:ascii="Times New Roman" w:hAnsi="Times New Roman" w:cs="Times New Roman"/>
          <w:bCs/>
        </w:rPr>
        <w:t>年的长系列水文资料，计算确定枯水期</w:t>
      </w:r>
      <w:r>
        <w:rPr>
          <w:rFonts w:ascii="Times New Roman" w:hAnsi="Times New Roman" w:cs="Times New Roman"/>
          <w:bCs/>
        </w:rPr>
        <w:t>90</w:t>
      </w:r>
      <w:r>
        <w:rPr>
          <w:rFonts w:hint="eastAsia" w:ascii="Times New Roman" w:hAnsi="Times New Roman" w:cs="Times New Roman"/>
          <w:bCs/>
        </w:rPr>
        <w:t>保证率最小月均流量</w:t>
      </w:r>
      <w:r>
        <w:rPr>
          <w:rFonts w:ascii="Times New Roman" w:hAnsi="Times New Roman" w:cs="Times New Roman"/>
          <w:bCs/>
        </w:rPr>
        <w:t>6101m</w:t>
      </w:r>
      <w:r>
        <w:rPr>
          <w:rFonts w:ascii="Times New Roman" w:hAnsi="Times New Roman" w:cs="Times New Roman"/>
          <w:bCs/>
          <w:vertAlign w:val="superscript"/>
        </w:rPr>
        <w:t>3</w:t>
      </w:r>
      <w:r>
        <w:rPr>
          <w:rFonts w:ascii="Times New Roman" w:hAnsi="Times New Roman" w:cs="Times New Roman"/>
          <w:bCs/>
        </w:rPr>
        <w:t>/s</w:t>
      </w:r>
      <w:r>
        <w:rPr>
          <w:rFonts w:hint="eastAsia" w:ascii="Times New Roman" w:hAnsi="Times New Roman" w:cs="Times New Roman"/>
          <w:bCs/>
        </w:rPr>
        <w:t>，对应的水位为</w:t>
      </w:r>
      <w:r>
        <w:rPr>
          <w:rFonts w:ascii="Times New Roman" w:hAnsi="Times New Roman" w:cs="Times New Roman"/>
          <w:bCs/>
        </w:rPr>
        <w:t>7.11m</w:t>
      </w:r>
      <w:r>
        <w:rPr>
          <w:rFonts w:hint="eastAsia" w:ascii="Times New Roman" w:hAnsi="Times New Roman" w:cs="Times New Roman"/>
          <w:bCs/>
        </w:rPr>
        <w:t xml:space="preserve">（吴淞高程）。 </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冶湖：位于儒溪镇石岭村与儒溪镇洋溪、旗杆、东冶村之间，北为江南镇四合、晓洲两村，集水面积原为</w:t>
      </w:r>
      <w:r>
        <w:rPr>
          <w:rFonts w:ascii="Times New Roman" w:hAnsi="Times New Roman" w:cs="Times New Roman"/>
          <w:bCs/>
        </w:rPr>
        <w:t>153</w:t>
      </w:r>
      <w:r>
        <w:rPr>
          <w:rFonts w:hint="eastAsia" w:ascii="Times New Roman" w:hAnsi="Times New Roman" w:cs="Times New Roman"/>
          <w:bCs/>
        </w:rPr>
        <w:t>平方公里，</w:t>
      </w:r>
      <w:r>
        <w:rPr>
          <w:rFonts w:ascii="Times New Roman" w:hAnsi="Times New Roman" w:cs="Times New Roman"/>
          <w:bCs/>
        </w:rPr>
        <w:t>1975</w:t>
      </w:r>
      <w:r>
        <w:rPr>
          <w:rFonts w:hint="eastAsia" w:ascii="Times New Roman" w:hAnsi="Times New Roman" w:cs="Times New Roman"/>
          <w:bCs/>
        </w:rPr>
        <w:t>年开挖冶湖撇洪渠后，有</w:t>
      </w:r>
      <w:r>
        <w:rPr>
          <w:rFonts w:ascii="Times New Roman" w:hAnsi="Times New Roman" w:cs="Times New Roman"/>
          <w:bCs/>
        </w:rPr>
        <w:t>51.2</w:t>
      </w:r>
      <w:r>
        <w:rPr>
          <w:rFonts w:hint="eastAsia" w:ascii="Times New Roman" w:hAnsi="Times New Roman" w:cs="Times New Roman"/>
          <w:bCs/>
        </w:rPr>
        <w:t>平方公里的水源被撇入长江，现正常情况下集水面积</w:t>
      </w:r>
      <w:r>
        <w:rPr>
          <w:rFonts w:ascii="Times New Roman" w:hAnsi="Times New Roman" w:cs="Times New Roman"/>
          <w:bCs/>
        </w:rPr>
        <w:t>101.8</w:t>
      </w:r>
      <w:r>
        <w:rPr>
          <w:rFonts w:hint="eastAsia" w:ascii="Times New Roman" w:hAnsi="Times New Roman" w:cs="Times New Roman"/>
          <w:bCs/>
        </w:rPr>
        <w:t>平方公里，水位在</w:t>
      </w:r>
      <w:r>
        <w:rPr>
          <w:rFonts w:ascii="Times New Roman" w:hAnsi="Times New Roman" w:cs="Times New Roman"/>
          <w:bCs/>
        </w:rPr>
        <w:t>24.2</w:t>
      </w:r>
      <w:r>
        <w:rPr>
          <w:rFonts w:hint="eastAsia" w:ascii="Times New Roman" w:hAnsi="Times New Roman" w:cs="Times New Roman"/>
          <w:bCs/>
        </w:rPr>
        <w:t>米时，湖水面积为</w:t>
      </w:r>
      <w:r>
        <w:rPr>
          <w:rFonts w:ascii="Times New Roman" w:hAnsi="Times New Roman" w:cs="Times New Roman"/>
          <w:bCs/>
        </w:rPr>
        <w:t>11.3</w:t>
      </w:r>
      <w:r>
        <w:rPr>
          <w:rFonts w:hint="eastAsia" w:ascii="Times New Roman" w:hAnsi="Times New Roman" w:cs="Times New Roman"/>
          <w:bCs/>
        </w:rPr>
        <w:t>平方公里，湖底高程</w:t>
      </w:r>
      <w:r>
        <w:rPr>
          <w:rFonts w:ascii="Times New Roman" w:hAnsi="Times New Roman" w:cs="Times New Roman"/>
          <w:bCs/>
        </w:rPr>
        <w:t>22.2</w:t>
      </w:r>
      <w:r>
        <w:rPr>
          <w:rFonts w:hint="eastAsia" w:ascii="Times New Roman" w:hAnsi="Times New Roman" w:cs="Times New Roman"/>
          <w:bCs/>
        </w:rPr>
        <w:t>米，湖水从新洲脑电排闸排入长江，夏秋两季为江南镇灌溉农田主要水源。</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洋溪湖：位于临湘石子岭农场，与岳阳市云溪区陆城镇和临湘儒溪镇洋溪村交界处，即木鱼山，集水面积</w:t>
      </w:r>
      <w:r>
        <w:rPr>
          <w:rFonts w:ascii="Times New Roman" w:hAnsi="Times New Roman" w:cs="Times New Roman"/>
          <w:bCs/>
        </w:rPr>
        <w:t>12.54</w:t>
      </w:r>
      <w:r>
        <w:rPr>
          <w:rFonts w:hint="eastAsia" w:ascii="Times New Roman" w:hAnsi="Times New Roman" w:cs="Times New Roman"/>
          <w:bCs/>
        </w:rPr>
        <w:t>平方公里，</w:t>
      </w:r>
      <w:r>
        <w:rPr>
          <w:rFonts w:ascii="Times New Roman" w:hAnsi="Times New Roman" w:cs="Times New Roman"/>
          <w:bCs/>
        </w:rPr>
        <w:t>1975</w:t>
      </w:r>
      <w:r>
        <w:rPr>
          <w:rFonts w:hint="eastAsia" w:ascii="Times New Roman" w:hAnsi="Times New Roman" w:cs="Times New Roman"/>
          <w:bCs/>
        </w:rPr>
        <w:t xml:space="preserve">年修建冶湖撇洪工程后为 </w:t>
      </w:r>
      <w:r>
        <w:rPr>
          <w:rFonts w:ascii="Times New Roman" w:hAnsi="Times New Roman" w:cs="Times New Roman"/>
          <w:bCs/>
        </w:rPr>
        <w:t>9.66</w:t>
      </w:r>
      <w:r>
        <w:rPr>
          <w:rFonts w:hint="eastAsia" w:ascii="Times New Roman" w:hAnsi="Times New Roman" w:cs="Times New Roman"/>
          <w:bCs/>
        </w:rPr>
        <w:t>平方公里，水位在</w:t>
      </w:r>
      <w:r>
        <w:rPr>
          <w:rFonts w:ascii="Times New Roman" w:hAnsi="Times New Roman" w:cs="Times New Roman"/>
          <w:bCs/>
        </w:rPr>
        <w:t>24</w:t>
      </w:r>
      <w:r>
        <w:rPr>
          <w:rFonts w:hint="eastAsia" w:ascii="Times New Roman" w:hAnsi="Times New Roman" w:cs="Times New Roman"/>
          <w:bCs/>
        </w:rPr>
        <w:t>米高程时湖面面积为</w:t>
      </w:r>
      <w:r>
        <w:rPr>
          <w:rFonts w:ascii="Times New Roman" w:hAnsi="Times New Roman" w:cs="Times New Roman"/>
          <w:bCs/>
        </w:rPr>
        <w:t>3.31</w:t>
      </w:r>
      <w:r>
        <w:rPr>
          <w:rFonts w:hint="eastAsia" w:ascii="Times New Roman" w:hAnsi="Times New Roman" w:cs="Times New Roman"/>
          <w:bCs/>
        </w:rPr>
        <w:t>平方公里，湖底最低高程</w:t>
      </w:r>
      <w:r>
        <w:rPr>
          <w:rFonts w:ascii="Times New Roman" w:hAnsi="Times New Roman" w:cs="Times New Roman"/>
          <w:bCs/>
        </w:rPr>
        <w:t>22</w:t>
      </w:r>
      <w:r>
        <w:rPr>
          <w:rFonts w:hint="eastAsia" w:ascii="Times New Roman" w:hAnsi="Times New Roman" w:cs="Times New Roman"/>
          <w:bCs/>
        </w:rPr>
        <w:t>米。水位在</w:t>
      </w:r>
      <w:r>
        <w:rPr>
          <w:rFonts w:ascii="Times New Roman" w:hAnsi="Times New Roman" w:cs="Times New Roman"/>
          <w:bCs/>
        </w:rPr>
        <w:t>24.5</w:t>
      </w:r>
      <w:r>
        <w:rPr>
          <w:rFonts w:hint="eastAsia" w:ascii="Times New Roman" w:hAnsi="Times New Roman" w:cs="Times New Roman"/>
          <w:bCs/>
        </w:rPr>
        <w:t>米以上，湖水由鸭栏电排站排往长江，冬春季湖水由鸭栏老闸自流排人长江。整个湖床由洋溪湖渔场经营管理。</w:t>
      </w:r>
      <w:r>
        <w:rPr>
          <w:rFonts w:ascii="Times New Roman" w:hAnsi="Times New Roman" w:cs="Times New Roman"/>
          <w:bCs/>
        </w:rPr>
        <w:t>1993</w:t>
      </w:r>
      <w:r>
        <w:rPr>
          <w:rFonts w:hint="eastAsia" w:ascii="Times New Roman" w:hAnsi="Times New Roman" w:cs="Times New Roman"/>
          <w:bCs/>
        </w:rPr>
        <w:t>年岳阳市政府设立洋溪湖水利工程管理处。</w:t>
      </w:r>
      <w:r>
        <w:rPr>
          <w:rFonts w:ascii="Times New Roman" w:hAnsi="Times New Roman" w:cs="Times New Roman"/>
          <w:bCs/>
        </w:rPr>
        <w:t>1998</w:t>
      </w:r>
      <w:r>
        <w:rPr>
          <w:rFonts w:hint="eastAsia" w:ascii="Times New Roman" w:hAnsi="Times New Roman" w:cs="Times New Roman"/>
          <w:bCs/>
        </w:rPr>
        <w:t>年</w:t>
      </w:r>
      <w:r>
        <w:rPr>
          <w:rFonts w:ascii="Times New Roman" w:hAnsi="Times New Roman" w:cs="Times New Roman"/>
          <w:bCs/>
        </w:rPr>
        <w:t>3</w:t>
      </w:r>
      <w:r>
        <w:rPr>
          <w:rFonts w:hint="eastAsia" w:ascii="Times New Roman" w:hAnsi="Times New Roman" w:cs="Times New Roman"/>
          <w:bCs/>
        </w:rPr>
        <w:t>月，岳阳市政府办公室文件，主要精神是</w:t>
      </w:r>
      <w:r>
        <w:rPr>
          <w:rFonts w:ascii="Times New Roman" w:hAnsi="Times New Roman" w:cs="Times New Roman"/>
          <w:bCs/>
        </w:rPr>
        <w:t>:</w:t>
      </w:r>
      <w:r>
        <w:rPr>
          <w:rFonts w:hint="eastAsia" w:ascii="Times New Roman" w:hAnsi="Times New Roman" w:cs="Times New Roman"/>
          <w:bCs/>
        </w:rPr>
        <w:t>管理处归岳阳市水电局管理，属副处级，定编</w:t>
      </w:r>
      <w:r>
        <w:rPr>
          <w:rFonts w:ascii="Times New Roman" w:hAnsi="Times New Roman" w:cs="Times New Roman"/>
          <w:bCs/>
        </w:rPr>
        <w:t>10</w:t>
      </w:r>
      <w:r>
        <w:rPr>
          <w:rFonts w:hint="eastAsia" w:ascii="Times New Roman" w:hAnsi="Times New Roman" w:cs="Times New Roman"/>
          <w:bCs/>
        </w:rPr>
        <w:t xml:space="preserve">人，管理鸭栏撇洪闸、鸭栏电排闸、鸭栏排水闸，还管理冶湖撇洪渠系和洋溪湖渔场。 </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塘、汊、港、河：鸭栏村有个胡家部塘，水面面积</w:t>
      </w:r>
      <w:r>
        <w:rPr>
          <w:rFonts w:ascii="Times New Roman" w:hAnsi="Times New Roman" w:cs="Times New Roman"/>
          <w:bCs/>
        </w:rPr>
        <w:t>66.67hm</w:t>
      </w:r>
      <w:r>
        <w:rPr>
          <w:rFonts w:ascii="Times New Roman" w:hAnsi="Times New Roman" w:cs="Times New Roman"/>
          <w:bCs/>
          <w:vertAlign w:val="superscript"/>
        </w:rPr>
        <w:t>2</w:t>
      </w:r>
      <w:r>
        <w:rPr>
          <w:rFonts w:hint="eastAsia" w:ascii="Times New Roman" w:hAnsi="Times New Roman" w:cs="Times New Roman"/>
          <w:bCs/>
        </w:rPr>
        <w:t xml:space="preserve">，狗头湖有 </w:t>
      </w:r>
      <w:r>
        <w:rPr>
          <w:rFonts w:ascii="Times New Roman" w:hAnsi="Times New Roman" w:cs="Times New Roman"/>
          <w:bCs/>
        </w:rPr>
        <w:t>53.33hm</w:t>
      </w:r>
      <w:r>
        <w:rPr>
          <w:rFonts w:ascii="Times New Roman" w:hAnsi="Times New Roman" w:cs="Times New Roman"/>
          <w:bCs/>
          <w:vertAlign w:val="superscript"/>
        </w:rPr>
        <w:t>2</w:t>
      </w:r>
      <w:r>
        <w:rPr>
          <w:rFonts w:hint="eastAsia" w:ascii="Times New Roman" w:hAnsi="Times New Roman" w:cs="Times New Roman"/>
          <w:bCs/>
        </w:rPr>
        <w:t>水面。</w:t>
      </w:r>
    </w:p>
    <w:p>
      <w:pPr>
        <w:keepNext/>
        <w:keepLines/>
        <w:spacing w:line="360" w:lineRule="auto"/>
        <w:outlineLvl w:val="2"/>
        <w:rPr>
          <w:rFonts w:ascii="Times New Roman" w:hAnsi="Times New Roman"/>
          <w:b/>
          <w:bCs/>
          <w:sz w:val="28"/>
          <w:szCs w:val="32"/>
        </w:rPr>
      </w:pPr>
      <w:bookmarkStart w:id="449" w:name="_Toc146091929"/>
      <w:r>
        <w:rPr>
          <w:rFonts w:ascii="Times New Roman" w:hAnsi="Times New Roman"/>
          <w:b/>
          <w:bCs/>
          <w:sz w:val="28"/>
          <w:szCs w:val="32"/>
        </w:rPr>
        <w:t>4.1.5 生态环境</w:t>
      </w:r>
      <w:bookmarkEnd w:id="449"/>
    </w:p>
    <w:p>
      <w:pPr>
        <w:spacing w:line="360" w:lineRule="auto"/>
        <w:ind w:firstLine="480" w:firstLineChars="200"/>
        <w:rPr>
          <w:rFonts w:ascii="Times New Roman" w:hAnsi="Times New Roman" w:cs="Times New Roman"/>
        </w:rPr>
      </w:pPr>
      <w:r>
        <w:rPr>
          <w:rFonts w:ascii="Times New Roman" w:hAnsi="Times New Roman" w:cs="Times New Roman"/>
        </w:rPr>
        <w:t>（1）植被</w:t>
      </w:r>
    </w:p>
    <w:p>
      <w:pPr>
        <w:spacing w:line="360" w:lineRule="auto"/>
        <w:ind w:firstLine="480" w:firstLineChars="200"/>
        <w:rPr>
          <w:rFonts w:ascii="Times New Roman" w:hAnsi="Times New Roman" w:cs="Times New Roman"/>
        </w:rPr>
      </w:pPr>
      <w:r>
        <w:rPr>
          <w:rFonts w:hint="eastAsia" w:ascii="Times New Roman" w:hAnsi="Times New Roman" w:cs="Times New Roman"/>
        </w:rPr>
        <w:t>岳阳市属亚热带常绿阔叶林带区，植被种类较多，群落交错，分布混杂。自然分布和引种栽培的约有106科、296属、884种，其中珍稀乡土树种约有40余种。主要植被形态为农作物群落，经济林木和绿化树木。丘岗地主要分布以杉木为主的用材林和以柑橘、李子、油茶为主的果、茶林群落；平原滩地分布以水稻、蔬菜等为主的农作物植被群落和以樟树、广玉兰、红继木、悬铃木为主的城市绿化树木群落。全市活林蓄积量1179.85万m</w:t>
      </w:r>
      <w:r>
        <w:rPr>
          <w:rFonts w:hint="eastAsia" w:ascii="Times New Roman" w:hAnsi="Times New Roman" w:cs="Times New Roman"/>
          <w:vertAlign w:val="superscript"/>
        </w:rPr>
        <w:t>3</w:t>
      </w:r>
      <w:r>
        <w:rPr>
          <w:rFonts w:hint="eastAsia" w:ascii="Times New Roman" w:hAnsi="Times New Roman" w:cs="Times New Roman"/>
        </w:rPr>
        <w:t>。</w:t>
      </w:r>
      <w:r>
        <w:rPr>
          <w:rFonts w:ascii="Times New Roman" w:hAnsi="Times New Roman" w:cs="Times New Roman"/>
        </w:rPr>
        <w:t>经调查，选址内没有天然分布的珍稀濒危植物种类和古树木。</w:t>
      </w:r>
    </w:p>
    <w:p>
      <w:pPr>
        <w:spacing w:line="360" w:lineRule="auto"/>
        <w:ind w:firstLine="480" w:firstLineChars="200"/>
        <w:rPr>
          <w:rFonts w:ascii="Times New Roman" w:hAnsi="Times New Roman" w:cs="Times New Roman"/>
        </w:rPr>
      </w:pPr>
      <w:r>
        <w:rPr>
          <w:rFonts w:ascii="Times New Roman" w:hAnsi="Times New Roman" w:cs="Times New Roman"/>
        </w:rPr>
        <w:t>（2）动物</w:t>
      </w:r>
    </w:p>
    <w:p>
      <w:pPr>
        <w:spacing w:line="360" w:lineRule="auto"/>
        <w:ind w:firstLine="480" w:firstLineChars="200"/>
        <w:rPr>
          <w:rFonts w:ascii="Times New Roman" w:hAnsi="Times New Roman" w:cs="Times New Roman"/>
        </w:rPr>
      </w:pPr>
      <w:r>
        <w:rPr>
          <w:rFonts w:hint="eastAsia" w:ascii="Times New Roman" w:hAnsi="Times New Roman" w:cs="Times New Roman"/>
        </w:rPr>
        <w:t>区域内野生动物主要有蛇、青蛙、壁虎及麻雀等鸟类</w:t>
      </w:r>
      <w:r>
        <w:rPr>
          <w:rFonts w:ascii="Times New Roman" w:hAnsi="Times New Roman" w:cs="Times New Roman"/>
        </w:rPr>
        <w:t>。通过现场踏勘及向当地居民进行调查了解，规划的园区内未发现国家和省级重点保护野生动物，无珍稀保护动物，也未发现其栖息地和迁徙通道。</w:t>
      </w:r>
    </w:p>
    <w:p>
      <w:pPr>
        <w:keepNext/>
        <w:keepLines/>
        <w:spacing w:line="360" w:lineRule="auto"/>
        <w:outlineLvl w:val="1"/>
        <w:rPr>
          <w:rFonts w:asciiTheme="majorHAnsi" w:hAnsiTheme="majorHAnsi" w:eastAsiaTheme="majorEastAsia" w:cstheme="majorBidi"/>
          <w:b/>
          <w:bCs/>
          <w:sz w:val="30"/>
          <w:szCs w:val="32"/>
        </w:rPr>
      </w:pPr>
      <w:bookmarkStart w:id="450" w:name="_Toc146091930"/>
      <w:r>
        <w:rPr>
          <w:rFonts w:asciiTheme="majorHAnsi" w:hAnsiTheme="majorHAnsi" w:eastAsiaTheme="majorEastAsia" w:cstheme="majorBidi"/>
          <w:b/>
          <w:bCs/>
          <w:sz w:val="30"/>
          <w:szCs w:val="32"/>
        </w:rPr>
        <w:t>4.2 社会经济概况</w:t>
      </w:r>
      <w:bookmarkEnd w:id="450"/>
    </w:p>
    <w:p>
      <w:pPr>
        <w:spacing w:line="360" w:lineRule="auto"/>
        <w:ind w:firstLine="480" w:firstLineChars="200"/>
        <w:rPr>
          <w:rFonts w:ascii="Times New Roman" w:hAnsi="Times New Roman" w:cs="Times New Roman"/>
        </w:rPr>
      </w:pPr>
      <w:r>
        <w:rPr>
          <w:rFonts w:ascii="Times New Roman" w:hAnsi="Times New Roman" w:cs="Times New Roman"/>
        </w:rPr>
        <w:t>根据《临湘市2022年国民经济和社会发展统计公报》，临湘市2022年经济概况如下：</w:t>
      </w:r>
    </w:p>
    <w:p>
      <w:pPr>
        <w:keepNext/>
        <w:keepLines/>
        <w:spacing w:line="360" w:lineRule="auto"/>
        <w:outlineLvl w:val="2"/>
        <w:rPr>
          <w:rFonts w:ascii="Times New Roman" w:hAnsi="Times New Roman"/>
          <w:b/>
          <w:bCs/>
          <w:sz w:val="28"/>
          <w:szCs w:val="32"/>
        </w:rPr>
      </w:pPr>
      <w:bookmarkStart w:id="451" w:name="_Toc146091931"/>
      <w:r>
        <w:rPr>
          <w:rFonts w:hint="eastAsia" w:ascii="Times New Roman" w:hAnsi="Times New Roman"/>
          <w:b/>
          <w:bCs/>
          <w:sz w:val="28"/>
          <w:szCs w:val="32"/>
        </w:rPr>
        <w:t>4</w:t>
      </w:r>
      <w:r>
        <w:rPr>
          <w:rFonts w:ascii="Times New Roman" w:hAnsi="Times New Roman"/>
          <w:b/>
          <w:bCs/>
          <w:sz w:val="28"/>
          <w:szCs w:val="32"/>
        </w:rPr>
        <w:t>.2.1 综合</w:t>
      </w:r>
      <w:bookmarkEnd w:id="451"/>
    </w:p>
    <w:p>
      <w:pPr>
        <w:spacing w:line="360" w:lineRule="auto"/>
        <w:ind w:firstLine="480" w:firstLineChars="200"/>
        <w:rPr>
          <w:rFonts w:ascii="Times New Roman" w:hAnsi="Times New Roman" w:cs="Times New Roman"/>
        </w:rPr>
      </w:pPr>
      <w:r>
        <w:rPr>
          <w:rFonts w:ascii="Times New Roman" w:hAnsi="Times New Roman" w:cs="Times New Roman"/>
        </w:rPr>
        <w:t>初步核算，全市地区生产总值332.41亿元，比上年增长6.0%。其中，第一产业增加值43.31亿元，增长3.7%；第二产业增加值133.51亿元，增长7.2%；第三产业增加值155.58亿元，增长4.6%。三次产业结构比为13.0：40.2：46.8。</w:t>
      </w:r>
    </w:p>
    <w:p>
      <w:pPr>
        <w:spacing w:line="360" w:lineRule="auto"/>
        <w:ind w:firstLine="480" w:firstLineChars="200"/>
        <w:rPr>
          <w:rFonts w:ascii="Times New Roman" w:hAnsi="Times New Roman" w:cs="Times New Roman"/>
        </w:rPr>
      </w:pPr>
      <w:r>
        <w:rPr>
          <w:rFonts w:ascii="Times New Roman" w:hAnsi="Times New Roman" w:cs="Times New Roman"/>
        </w:rPr>
        <w:t>分季度看，一季度地区生产总值增长5.5%；上半年增长4.7%；前三季度增长5.5%；全年增长6.0%。</w:t>
      </w:r>
    </w:p>
    <w:p>
      <w:pPr>
        <w:spacing w:line="360" w:lineRule="auto"/>
        <w:ind w:firstLine="480" w:firstLineChars="200"/>
        <w:rPr>
          <w:rFonts w:ascii="Times New Roman" w:hAnsi="Times New Roman" w:cs="Times New Roman"/>
        </w:rPr>
      </w:pPr>
      <w:r>
        <w:rPr>
          <w:rFonts w:ascii="Times New Roman" w:hAnsi="Times New Roman" w:cs="Times New Roman"/>
        </w:rPr>
        <w:t>全年一般公共预算收入14.58亿元，增长6.1%；一般公共预算地方收入9.57亿元，增长17.1%；一般公共预算地方税收收入6.88亿元，增长16.0%。</w:t>
      </w:r>
    </w:p>
    <w:p>
      <w:pPr>
        <w:spacing w:line="360" w:lineRule="auto"/>
        <w:ind w:firstLine="480" w:firstLineChars="200"/>
        <w:rPr>
          <w:rFonts w:ascii="Times New Roman" w:hAnsi="Times New Roman" w:cs="Times New Roman"/>
        </w:rPr>
      </w:pPr>
      <w:r>
        <w:rPr>
          <w:rFonts w:ascii="Times New Roman" w:hAnsi="Times New Roman" w:cs="Times New Roman"/>
        </w:rPr>
        <w:t>全市总人口530036人，其中城镇人口194507人，农业人口335529人，户籍人口城镇化率36.70%，比上年下降0.17个百分点。全市常住人口42.98万人，其中城镇人口25.54万人，农村人口17.44万人，常住人口城镇化率59.42%。全年出生人口3235人，死亡人口3998人。</w:t>
      </w:r>
    </w:p>
    <w:p>
      <w:pPr>
        <w:keepNext/>
        <w:keepLines/>
        <w:spacing w:line="360" w:lineRule="auto"/>
        <w:outlineLvl w:val="2"/>
        <w:rPr>
          <w:rFonts w:ascii="Times New Roman" w:hAnsi="Times New Roman"/>
          <w:b/>
          <w:bCs/>
          <w:sz w:val="28"/>
          <w:szCs w:val="32"/>
        </w:rPr>
      </w:pPr>
      <w:bookmarkStart w:id="452" w:name="_Toc146091932"/>
      <w:r>
        <w:rPr>
          <w:rFonts w:hint="eastAsia" w:ascii="Times New Roman" w:hAnsi="Times New Roman"/>
          <w:b/>
          <w:bCs/>
          <w:sz w:val="28"/>
          <w:szCs w:val="32"/>
        </w:rPr>
        <w:t>4</w:t>
      </w:r>
      <w:r>
        <w:rPr>
          <w:rFonts w:ascii="Times New Roman" w:hAnsi="Times New Roman"/>
          <w:b/>
          <w:bCs/>
          <w:sz w:val="28"/>
          <w:szCs w:val="32"/>
        </w:rPr>
        <w:t>.2.2 农业</w:t>
      </w:r>
      <w:bookmarkEnd w:id="452"/>
    </w:p>
    <w:p>
      <w:pPr>
        <w:spacing w:line="360" w:lineRule="auto"/>
        <w:ind w:firstLine="480" w:firstLineChars="200"/>
        <w:rPr>
          <w:rFonts w:ascii="Times New Roman" w:hAnsi="Times New Roman" w:cs="Times New Roman"/>
        </w:rPr>
      </w:pPr>
      <w:r>
        <w:rPr>
          <w:rFonts w:ascii="Times New Roman" w:hAnsi="Times New Roman" w:cs="Times New Roman"/>
        </w:rPr>
        <w:t>全年实现农林牧渔业总产值70.12亿元，增长3.7%。其中农业产值28.98亿元，增长4.5%；林业产值3.14亿元，增长8.5%；牧业产值21.30亿元，增长1.2%；渔业产值12.40亿元，增长3.5%；农林牧渔服务业产值4.29亿元，增长10.3%。</w:t>
      </w:r>
    </w:p>
    <w:p>
      <w:pPr>
        <w:spacing w:line="360" w:lineRule="auto"/>
        <w:ind w:firstLine="480" w:firstLineChars="200"/>
        <w:rPr>
          <w:rFonts w:ascii="Times New Roman" w:hAnsi="Times New Roman" w:cs="Times New Roman"/>
        </w:rPr>
      </w:pPr>
      <w:r>
        <w:rPr>
          <w:rFonts w:ascii="Times New Roman" w:hAnsi="Times New Roman" w:cs="Times New Roman"/>
        </w:rPr>
        <w:t>全年粮食播种面积84.40万亩，减少0.30%；棉花种植面积1345.79公顷，减少0.4%；油料种植面积15306.73公顷，增长2.5%；蔬菜及食用菌种植面积8298.11公顷。</w:t>
      </w:r>
    </w:p>
    <w:p>
      <w:pPr>
        <w:spacing w:line="360" w:lineRule="auto"/>
        <w:ind w:firstLine="480" w:firstLineChars="200"/>
        <w:rPr>
          <w:rFonts w:ascii="Times New Roman" w:hAnsi="Times New Roman" w:cs="Times New Roman"/>
        </w:rPr>
      </w:pPr>
      <w:r>
        <w:rPr>
          <w:rFonts w:ascii="Times New Roman" w:hAnsi="Times New Roman" w:cs="Times New Roman"/>
        </w:rPr>
        <w:t>全年粮食产量34.94万吨，减少1.27%；棉花产量0.15万吨，减少6.2%；油料产量2.75万吨，增长3.38%；蔬菜及食用菌25.04万吨，增长1.46%；茶叶产量0.47万吨，减少2.08%。</w:t>
      </w:r>
    </w:p>
    <w:p>
      <w:pPr>
        <w:spacing w:line="360" w:lineRule="auto"/>
        <w:ind w:firstLine="480" w:firstLineChars="200"/>
        <w:rPr>
          <w:rFonts w:ascii="Times New Roman" w:hAnsi="Times New Roman" w:cs="Times New Roman"/>
        </w:rPr>
      </w:pPr>
      <w:r>
        <w:rPr>
          <w:rFonts w:ascii="Times New Roman" w:hAnsi="Times New Roman" w:cs="Times New Roman"/>
        </w:rPr>
        <w:t>全年猪、牛、羊总产量4.62万吨，其中：猪肉产量4.43万吨；禽蛋产量0.64万吨。</w:t>
      </w:r>
    </w:p>
    <w:p>
      <w:pPr>
        <w:keepNext/>
        <w:keepLines/>
        <w:spacing w:line="360" w:lineRule="auto"/>
        <w:outlineLvl w:val="2"/>
        <w:rPr>
          <w:rFonts w:ascii="Times New Roman" w:hAnsi="Times New Roman"/>
          <w:b/>
          <w:bCs/>
          <w:sz w:val="28"/>
          <w:szCs w:val="32"/>
        </w:rPr>
      </w:pPr>
      <w:bookmarkStart w:id="453" w:name="_Toc146091933"/>
      <w:r>
        <w:rPr>
          <w:rFonts w:hint="eastAsia" w:ascii="Times New Roman" w:hAnsi="Times New Roman"/>
          <w:b/>
          <w:bCs/>
          <w:sz w:val="28"/>
          <w:szCs w:val="32"/>
        </w:rPr>
        <w:t>4</w:t>
      </w:r>
      <w:r>
        <w:rPr>
          <w:rFonts w:ascii="Times New Roman" w:hAnsi="Times New Roman"/>
          <w:b/>
          <w:bCs/>
          <w:sz w:val="28"/>
          <w:szCs w:val="32"/>
        </w:rPr>
        <w:t>.2.3 工业和建筑业</w:t>
      </w:r>
      <w:bookmarkEnd w:id="453"/>
    </w:p>
    <w:p>
      <w:pPr>
        <w:spacing w:line="360" w:lineRule="auto"/>
        <w:ind w:firstLine="480" w:firstLineChars="200"/>
        <w:rPr>
          <w:rFonts w:ascii="Times New Roman" w:hAnsi="Times New Roman" w:cs="Times New Roman"/>
        </w:rPr>
      </w:pPr>
      <w:r>
        <w:rPr>
          <w:rFonts w:ascii="Times New Roman" w:hAnsi="Times New Roman" w:cs="Times New Roman"/>
        </w:rPr>
        <w:t>全年规模以上工业企业196家，规模以上工业增加值增长8.5%。全年全社会建筑业总产值21.00亿元，增长14.0%。</w:t>
      </w:r>
    </w:p>
    <w:p>
      <w:pPr>
        <w:keepNext/>
        <w:keepLines/>
        <w:spacing w:line="360" w:lineRule="auto"/>
        <w:outlineLvl w:val="2"/>
        <w:rPr>
          <w:rFonts w:ascii="Times New Roman" w:hAnsi="Times New Roman"/>
          <w:b/>
          <w:bCs/>
          <w:sz w:val="28"/>
          <w:szCs w:val="32"/>
        </w:rPr>
      </w:pPr>
      <w:bookmarkStart w:id="454" w:name="_Toc146091934"/>
      <w:r>
        <w:rPr>
          <w:rFonts w:hint="eastAsia" w:ascii="Times New Roman" w:hAnsi="Times New Roman"/>
          <w:b/>
          <w:bCs/>
          <w:sz w:val="28"/>
          <w:szCs w:val="32"/>
        </w:rPr>
        <w:t>4</w:t>
      </w:r>
      <w:r>
        <w:rPr>
          <w:rFonts w:ascii="Times New Roman" w:hAnsi="Times New Roman"/>
          <w:b/>
          <w:bCs/>
          <w:sz w:val="28"/>
          <w:szCs w:val="32"/>
        </w:rPr>
        <w:t>.2.4 固定资产投资</w:t>
      </w:r>
      <w:bookmarkEnd w:id="454"/>
    </w:p>
    <w:p>
      <w:pPr>
        <w:spacing w:line="360" w:lineRule="auto"/>
        <w:ind w:firstLine="480" w:firstLineChars="200"/>
        <w:rPr>
          <w:rFonts w:ascii="Times New Roman" w:hAnsi="Times New Roman" w:cs="Times New Roman"/>
        </w:rPr>
      </w:pPr>
      <w:r>
        <w:rPr>
          <w:rFonts w:ascii="Times New Roman" w:hAnsi="Times New Roman" w:cs="Times New Roman"/>
        </w:rPr>
        <w:t>全年固定资产投资比上年增长12.4%，分投资方向看，工业投资增长15.35%，民生投资增长-48.55%，生态投资增长14.34%，基础设施投资增长50.15%，高新技术产业投资增长189.23%。</w:t>
      </w:r>
    </w:p>
    <w:p>
      <w:pPr>
        <w:spacing w:line="360" w:lineRule="auto"/>
        <w:ind w:firstLine="480" w:firstLineChars="200"/>
        <w:rPr>
          <w:rFonts w:ascii="Times New Roman" w:hAnsi="Times New Roman" w:cs="Times New Roman"/>
        </w:rPr>
      </w:pPr>
      <w:r>
        <w:rPr>
          <w:rFonts w:ascii="Times New Roman" w:hAnsi="Times New Roman" w:cs="Times New Roman"/>
        </w:rPr>
        <w:t>全年完成房地产开发投资比上年增长32.4%。其中住宅投资增长14.13%。商品房销售面积45.01万m2，增长-25.7%；实现商品房销售额24.51亿元，增长-23.49%。</w:t>
      </w:r>
    </w:p>
    <w:p>
      <w:pPr>
        <w:keepNext/>
        <w:keepLines/>
        <w:spacing w:line="360" w:lineRule="auto"/>
        <w:outlineLvl w:val="2"/>
        <w:rPr>
          <w:rFonts w:ascii="Times New Roman" w:hAnsi="Times New Roman"/>
          <w:b/>
          <w:bCs/>
          <w:sz w:val="28"/>
          <w:szCs w:val="32"/>
        </w:rPr>
      </w:pPr>
      <w:bookmarkStart w:id="455" w:name="_Toc146091935"/>
      <w:r>
        <w:rPr>
          <w:rFonts w:hint="eastAsia" w:ascii="Times New Roman" w:hAnsi="Times New Roman"/>
          <w:b/>
          <w:bCs/>
          <w:sz w:val="28"/>
          <w:szCs w:val="32"/>
        </w:rPr>
        <w:t>4</w:t>
      </w:r>
      <w:r>
        <w:rPr>
          <w:rFonts w:ascii="Times New Roman" w:hAnsi="Times New Roman"/>
          <w:b/>
          <w:bCs/>
          <w:sz w:val="28"/>
          <w:szCs w:val="32"/>
        </w:rPr>
        <w:t>.2.5 国内贸易</w:t>
      </w:r>
      <w:bookmarkEnd w:id="455"/>
    </w:p>
    <w:p>
      <w:pPr>
        <w:spacing w:line="360" w:lineRule="auto"/>
        <w:ind w:firstLine="480" w:firstLineChars="200"/>
        <w:rPr>
          <w:rFonts w:ascii="Times New Roman" w:hAnsi="Times New Roman" w:cs="Times New Roman"/>
        </w:rPr>
      </w:pPr>
      <w:r>
        <w:rPr>
          <w:rFonts w:ascii="Times New Roman" w:hAnsi="Times New Roman" w:cs="Times New Roman"/>
        </w:rPr>
        <w:t>全年全市实现社会消费品零售总额108.96亿元，比上年增长2.6%。按经营地分，城镇消费品零售总额96.12亿元，增长2.59%；乡村消费品零售总额12.83亿元，增长2.59%。</w:t>
      </w:r>
    </w:p>
    <w:p>
      <w:pPr>
        <w:spacing w:line="360" w:lineRule="auto"/>
        <w:ind w:firstLine="480" w:firstLineChars="200"/>
        <w:rPr>
          <w:rFonts w:ascii="Times New Roman" w:hAnsi="Times New Roman" w:cs="Times New Roman"/>
        </w:rPr>
      </w:pPr>
      <w:r>
        <w:rPr>
          <w:rFonts w:ascii="Times New Roman" w:hAnsi="Times New Roman" w:cs="Times New Roman"/>
        </w:rPr>
        <w:t>限额以上法人批发零售业商品零售额中，粮油、食品类增长10.5%；饮料类增长18.2%；烟酒类增长30.7%；服装、鞋帽、针纺织品类增长22.1%；化妆品类增长14.8%；日用品类增长26.9%；体育、娱乐用品类增长26.9%；书报杂志类增长11.8%；中西药品类增长20.2%；文化办公用品类增长31.7%；家具类增长17.5%；通讯器材类增长7.2%；石油及制品类增长24.3%；建筑及装潢材料类增长22.4%；汽车类增长10.5%。</w:t>
      </w:r>
    </w:p>
    <w:p>
      <w:pPr>
        <w:keepNext/>
        <w:keepLines/>
        <w:spacing w:line="360" w:lineRule="auto"/>
        <w:outlineLvl w:val="1"/>
        <w:rPr>
          <w:rFonts w:asciiTheme="majorHAnsi" w:hAnsiTheme="majorHAnsi" w:eastAsiaTheme="majorEastAsia" w:cstheme="majorBidi"/>
          <w:b/>
          <w:bCs/>
          <w:sz w:val="30"/>
          <w:szCs w:val="32"/>
        </w:rPr>
      </w:pPr>
      <w:bookmarkStart w:id="456" w:name="_Toc146091936"/>
      <w:r>
        <w:rPr>
          <w:rFonts w:asciiTheme="majorHAnsi" w:hAnsiTheme="majorHAnsi" w:eastAsiaTheme="majorEastAsia" w:cstheme="majorBidi"/>
          <w:b/>
          <w:bCs/>
          <w:sz w:val="30"/>
          <w:szCs w:val="32"/>
        </w:rPr>
        <w:t>4.3 环境质量现状调查与评价</w:t>
      </w:r>
      <w:bookmarkEnd w:id="456"/>
    </w:p>
    <w:p>
      <w:pPr>
        <w:keepNext/>
        <w:keepLines/>
        <w:spacing w:line="360" w:lineRule="auto"/>
        <w:outlineLvl w:val="2"/>
        <w:rPr>
          <w:rFonts w:ascii="Times New Roman" w:hAnsi="Times New Roman"/>
          <w:b/>
          <w:bCs/>
          <w:sz w:val="28"/>
          <w:szCs w:val="32"/>
        </w:rPr>
      </w:pPr>
      <w:bookmarkStart w:id="457" w:name="_Toc146091937"/>
      <w:r>
        <w:rPr>
          <w:rFonts w:ascii="Times New Roman" w:hAnsi="Times New Roman"/>
          <w:b/>
          <w:bCs/>
          <w:sz w:val="28"/>
          <w:szCs w:val="32"/>
        </w:rPr>
        <w:t>4.3.1 环境空气质量现状调查</w:t>
      </w:r>
      <w:bookmarkEnd w:id="457"/>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4.3.1.1 区域常规监测数据</w:t>
      </w:r>
    </w:p>
    <w:p>
      <w:pPr>
        <w:spacing w:line="360" w:lineRule="auto"/>
        <w:ind w:firstLine="480" w:firstLineChars="200"/>
        <w:rPr>
          <w:rFonts w:ascii="Times New Roman" w:hAnsi="Times New Roman" w:cs="Times New Roman"/>
        </w:rPr>
      </w:pPr>
      <w:r>
        <w:rPr>
          <w:rFonts w:ascii="Times New Roman" w:hAnsi="Times New Roman" w:cs="Times New Roman"/>
        </w:rPr>
        <w:t>（1）</w:t>
      </w:r>
      <w:r>
        <w:rPr>
          <w:rFonts w:hint="eastAsia" w:ascii="Times New Roman" w:hAnsi="Times New Roman"/>
          <w:bCs/>
          <w:szCs w:val="24"/>
        </w:rPr>
        <w:t>临湘市</w:t>
      </w:r>
      <w:r>
        <w:rPr>
          <w:rFonts w:ascii="Times New Roman" w:hAnsi="Times New Roman" w:cs="Times New Roman"/>
        </w:rPr>
        <w:t>大气常规监测数据</w:t>
      </w:r>
    </w:p>
    <w:p>
      <w:pPr>
        <w:spacing w:line="360" w:lineRule="auto"/>
        <w:ind w:firstLine="480" w:firstLineChars="200"/>
        <w:rPr>
          <w:rFonts w:ascii="Times New Roman" w:hAnsi="Times New Roman" w:cs="Times New Roman"/>
        </w:rPr>
      </w:pPr>
      <w:r>
        <w:rPr>
          <w:rFonts w:hint="eastAsia" w:ascii="Times New Roman" w:hAnsi="Times New Roman" w:cs="Times New Roman"/>
        </w:rPr>
        <w:t>本评价收集了</w:t>
      </w:r>
      <w:r>
        <w:rPr>
          <w:rFonts w:ascii="Times New Roman" w:hAnsi="Times New Roman" w:cs="Times New Roman"/>
        </w:rPr>
        <w:t>20</w:t>
      </w:r>
      <w:r>
        <w:rPr>
          <w:rFonts w:hint="eastAsia" w:ascii="Times New Roman" w:hAnsi="Times New Roman" w:cs="Times New Roman"/>
        </w:rPr>
        <w:t>18</w:t>
      </w:r>
      <w:r>
        <w:rPr>
          <w:rFonts w:ascii="Times New Roman" w:hAnsi="Times New Roman" w:cs="Times New Roman"/>
        </w:rPr>
        <w:t>~</w:t>
      </w:r>
      <w:r>
        <w:rPr>
          <w:rFonts w:hint="eastAsia" w:ascii="Times New Roman" w:hAnsi="Times New Roman" w:cs="Times New Roman"/>
        </w:rPr>
        <w:t>202</w:t>
      </w:r>
      <w:r>
        <w:rPr>
          <w:rFonts w:ascii="Times New Roman" w:hAnsi="Times New Roman" w:cs="Times New Roman"/>
        </w:rPr>
        <w:t>2</w:t>
      </w:r>
      <w:r>
        <w:rPr>
          <w:rFonts w:hint="eastAsia" w:ascii="Times New Roman" w:hAnsi="Times New Roman" w:cs="Times New Roman"/>
        </w:rPr>
        <w:t>年临湘市环境空气常规监测点位常规监测数据，详见表</w:t>
      </w:r>
      <w:r>
        <w:rPr>
          <w:rFonts w:ascii="Times New Roman" w:hAnsi="Times New Roman" w:cs="Times New Roman"/>
        </w:rPr>
        <w:t>4.3-1</w:t>
      </w:r>
      <w:r>
        <w:rPr>
          <w:rFonts w:hint="eastAsia" w:ascii="Times New Roman" w:hAnsi="Times New Roman" w:cs="Times New Roman"/>
        </w:rPr>
        <w:t>。根据分析可知，2018年临湘市常规监测点中</w:t>
      </w:r>
      <w:r>
        <w:rPr>
          <w:rFonts w:ascii="Times New Roman" w:hAnsi="Times New Roman" w:cs="Times New Roman"/>
        </w:rPr>
        <w:t>PM2.5</w:t>
      </w:r>
      <w:r>
        <w:rPr>
          <w:rFonts w:hint="eastAsia" w:ascii="Times New Roman" w:hAnsi="Times New Roman" w:cs="Times New Roman"/>
        </w:rPr>
        <w:t>出现超标，2019-202</w:t>
      </w:r>
      <w:r>
        <w:rPr>
          <w:rFonts w:ascii="Times New Roman" w:hAnsi="Times New Roman" w:cs="Times New Roman"/>
        </w:rPr>
        <w:t>2</w:t>
      </w:r>
      <w:r>
        <w:rPr>
          <w:rFonts w:hint="eastAsia" w:ascii="Times New Roman" w:hAnsi="Times New Roman" w:cs="Times New Roman"/>
        </w:rPr>
        <w:t>年的</w:t>
      </w:r>
      <w:r>
        <w:rPr>
          <w:rFonts w:ascii="Times New Roman" w:hAnsi="Times New Roman" w:cs="Times New Roman"/>
        </w:rPr>
        <w:t>PM</w:t>
      </w:r>
      <w:r>
        <w:rPr>
          <w:rFonts w:ascii="Times New Roman" w:hAnsi="Times New Roman" w:cs="Times New Roman"/>
          <w:vertAlign w:val="subscript"/>
        </w:rPr>
        <w:t>10</w:t>
      </w:r>
      <w:r>
        <w:rPr>
          <w:rFonts w:hint="eastAsia"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2.5</w:t>
      </w:r>
      <w:r>
        <w:rPr>
          <w:rFonts w:hint="eastAsia"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CO</w:t>
      </w:r>
      <w:r>
        <w:rPr>
          <w:rFonts w:hint="eastAsia" w:ascii="Times New Roman" w:hAnsi="Times New Roman" w:cs="Times New Roman"/>
        </w:rPr>
        <w:t>、</w:t>
      </w:r>
      <w:r>
        <w:rPr>
          <w:rFonts w:ascii="Times New Roman" w:hAnsi="Times New Roman" w:cs="Times New Roman"/>
        </w:rPr>
        <w:t>O</w:t>
      </w:r>
      <w:r>
        <w:rPr>
          <w:rFonts w:ascii="Times New Roman" w:hAnsi="Times New Roman" w:cs="Times New Roman"/>
          <w:vertAlign w:val="subscript"/>
        </w:rPr>
        <w:t>3</w:t>
      </w:r>
      <w:r>
        <w:rPr>
          <w:rFonts w:hint="eastAsia" w:ascii="Times New Roman" w:hAnsi="Times New Roman" w:cs="Times New Roman"/>
        </w:rPr>
        <w:t>监测结果均可达到《环境空气质量标准》（</w:t>
      </w:r>
      <w:r>
        <w:rPr>
          <w:rFonts w:ascii="Times New Roman" w:hAnsi="Times New Roman" w:cs="Times New Roman"/>
        </w:rPr>
        <w:t>GB3095-2012</w:t>
      </w:r>
      <w:r>
        <w:rPr>
          <w:rFonts w:hint="eastAsia" w:ascii="Times New Roman" w:hAnsi="Times New Roman" w:cs="Times New Roman"/>
        </w:rPr>
        <w:t>），</w:t>
      </w:r>
      <w:r>
        <w:rPr>
          <w:rFonts w:ascii="Times New Roman" w:hAnsi="Times New Roman" w:cs="Times New Roman"/>
        </w:rPr>
        <w:t>区域为达标区</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根据趋势</w:t>
      </w:r>
      <w:r>
        <w:rPr>
          <w:rFonts w:ascii="Times New Roman" w:hAnsi="Times New Roman" w:cs="Times New Roman"/>
        </w:rPr>
        <w:t>分析图可知，PM</w:t>
      </w:r>
      <w:r>
        <w:rPr>
          <w:rFonts w:ascii="Times New Roman" w:hAnsi="Times New Roman" w:cs="Times New Roman"/>
          <w:vertAlign w:val="subscript"/>
        </w:rPr>
        <w:t>2.5</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在201</w:t>
      </w:r>
      <w:r>
        <w:rPr>
          <w:rFonts w:ascii="Times New Roman" w:hAnsi="Times New Roman" w:cs="Times New Roman"/>
        </w:rPr>
        <w:t>8</w:t>
      </w:r>
      <w:r>
        <w:rPr>
          <w:rFonts w:hint="eastAsia" w:ascii="Times New Roman" w:hAnsi="Times New Roman" w:cs="Times New Roman"/>
        </w:rPr>
        <w:t>-2022年</w:t>
      </w:r>
      <w:r>
        <w:rPr>
          <w:rFonts w:ascii="Times New Roman" w:hAnsi="Times New Roman" w:cs="Times New Roman"/>
        </w:rPr>
        <w:t>均呈现下降趋势</w:t>
      </w:r>
      <w:r>
        <w:rPr>
          <w:rFonts w:hint="eastAsia"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CO</w:t>
      </w:r>
      <w:r>
        <w:rPr>
          <w:rFonts w:hint="eastAsia" w:ascii="Times New Roman" w:hAnsi="Times New Roman" w:cs="Times New Roman"/>
        </w:rPr>
        <w:t>则呈现</w:t>
      </w:r>
      <w:r>
        <w:rPr>
          <w:rFonts w:ascii="Times New Roman" w:hAnsi="Times New Roman" w:cs="Times New Roman"/>
        </w:rPr>
        <w:t>波动状；</w:t>
      </w:r>
      <w:r>
        <w:rPr>
          <w:rFonts w:hint="eastAsia" w:ascii="Times New Roman" w:hAnsi="Times New Roman" w:cs="Times New Roman"/>
        </w:rPr>
        <w:t>而</w:t>
      </w:r>
      <w:r>
        <w:rPr>
          <w:rFonts w:ascii="Times New Roman" w:hAnsi="Times New Roman" w:cs="Times New Roman"/>
        </w:rPr>
        <w:t>O</w:t>
      </w:r>
      <w:r>
        <w:rPr>
          <w:rFonts w:ascii="Times New Roman" w:hAnsi="Times New Roman" w:cs="Times New Roman"/>
          <w:vertAlign w:val="subscript"/>
        </w:rPr>
        <w:t>3</w:t>
      </w:r>
      <w:r>
        <w:rPr>
          <w:rFonts w:hint="eastAsia" w:ascii="Times New Roman" w:hAnsi="Times New Roman" w:cs="Times New Roman"/>
        </w:rPr>
        <w:t>出现</w:t>
      </w:r>
      <w:r>
        <w:rPr>
          <w:rFonts w:ascii="Times New Roman" w:hAnsi="Times New Roman" w:cs="Times New Roman"/>
        </w:rPr>
        <w:t>了上升趋势</w:t>
      </w:r>
      <w:r>
        <w:rPr>
          <w:rFonts w:hint="eastAsia" w:ascii="Times New Roman" w:hAnsi="Times New Roman" w:cs="Times New Roman"/>
        </w:rPr>
        <w:t>，</w:t>
      </w:r>
      <w:r>
        <w:rPr>
          <w:rFonts w:ascii="Times New Roman" w:hAnsi="Times New Roman" w:cs="Times New Roman"/>
        </w:rPr>
        <w:t>原因可能是主要前体物NOx和VOCs排放量</w:t>
      </w:r>
      <w:r>
        <w:rPr>
          <w:rFonts w:hint="eastAsia" w:ascii="Times New Roman" w:hAnsi="Times New Roman" w:cs="Times New Roman"/>
        </w:rPr>
        <w:t>偏高。</w:t>
      </w:r>
    </w:p>
    <w:p>
      <w:pPr>
        <w:keepLines/>
        <w:spacing w:line="360" w:lineRule="auto"/>
        <w:ind w:firstLine="482" w:firstLineChars="200"/>
        <w:jc w:val="center"/>
        <w:outlineLvl w:val="4"/>
        <w:rPr>
          <w:rFonts w:ascii="Times New Roman" w:hAnsi="Times New Roman" w:cs="Times New Roman"/>
          <w:b/>
          <w:bCs/>
          <w:szCs w:val="28"/>
        </w:rPr>
      </w:pPr>
      <w:r>
        <w:rPr>
          <w:rFonts w:ascii="Times New Roman" w:hAnsi="Times New Roman" w:cs="Times New Roman"/>
          <w:b/>
          <w:bCs/>
          <w:szCs w:val="28"/>
        </w:rPr>
        <w:t>表4.3-1  2018-2022年</w:t>
      </w:r>
      <w:r>
        <w:rPr>
          <w:rFonts w:hint="eastAsia" w:ascii="Times New Roman" w:hAnsi="Times New Roman"/>
          <w:b/>
          <w:szCs w:val="24"/>
        </w:rPr>
        <w:t>临湘市</w:t>
      </w:r>
      <w:r>
        <w:rPr>
          <w:rFonts w:ascii="Times New Roman" w:hAnsi="Times New Roman" w:cs="Times New Roman"/>
          <w:b/>
          <w:bCs/>
          <w:szCs w:val="28"/>
        </w:rPr>
        <w:t>大气常规监测数据  单位：ug/m</w:t>
      </w:r>
      <w:r>
        <w:rPr>
          <w:rFonts w:ascii="Times New Roman" w:hAnsi="Times New Roman" w:cs="Times New Roman"/>
          <w:b/>
          <w:bCs/>
          <w:szCs w:val="28"/>
          <w:vertAlign w:val="superscript"/>
        </w:rPr>
        <w:t>3</w:t>
      </w:r>
      <w:r>
        <w:rPr>
          <w:rFonts w:ascii="Times New Roman" w:hAnsi="Times New Roman" w:cs="Times New Roman"/>
          <w:b/>
          <w:bCs/>
          <w:szCs w:val="28"/>
        </w:rPr>
        <w:t>、COmg/m</w:t>
      </w:r>
      <w:r>
        <w:rPr>
          <w:rFonts w:ascii="Times New Roman" w:hAnsi="Times New Roman" w:cs="Times New Roman"/>
          <w:b/>
          <w:bCs/>
          <w:szCs w:val="28"/>
          <w:vertAlign w:val="superscript"/>
        </w:rPr>
        <w:t>3</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266"/>
        <w:gridCol w:w="1264"/>
        <w:gridCol w:w="1274"/>
        <w:gridCol w:w="1218"/>
        <w:gridCol w:w="1141"/>
        <w:gridCol w:w="1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年份</w:t>
            </w:r>
          </w:p>
        </w:tc>
        <w:tc>
          <w:tcPr>
            <w:tcW w:w="742"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2018</w:t>
            </w:r>
          </w:p>
        </w:tc>
        <w:tc>
          <w:tcPr>
            <w:tcW w:w="74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2019</w:t>
            </w:r>
          </w:p>
        </w:tc>
        <w:tc>
          <w:tcPr>
            <w:tcW w:w="74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2020</w:t>
            </w:r>
          </w:p>
        </w:tc>
        <w:tc>
          <w:tcPr>
            <w:tcW w:w="71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2021</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2.5</w:t>
            </w:r>
          </w:p>
        </w:tc>
        <w:tc>
          <w:tcPr>
            <w:tcW w:w="74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39</w:t>
            </w:r>
          </w:p>
        </w:tc>
        <w:tc>
          <w:tcPr>
            <w:tcW w:w="74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34.5</w:t>
            </w:r>
          </w:p>
        </w:tc>
        <w:tc>
          <w:tcPr>
            <w:tcW w:w="7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29</w:t>
            </w:r>
          </w:p>
        </w:tc>
        <w:tc>
          <w:tcPr>
            <w:tcW w:w="71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35</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35</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p>
        </w:tc>
        <w:tc>
          <w:tcPr>
            <w:tcW w:w="74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68</w:t>
            </w:r>
          </w:p>
        </w:tc>
        <w:tc>
          <w:tcPr>
            <w:tcW w:w="74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7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48</w:t>
            </w:r>
          </w:p>
        </w:tc>
        <w:tc>
          <w:tcPr>
            <w:tcW w:w="71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54</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52</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SO</w:t>
            </w:r>
            <w:r>
              <w:rPr>
                <w:rFonts w:ascii="Times New Roman" w:hAnsi="Times New Roman" w:eastAsia="宋体" w:cs="Times New Roman"/>
                <w:bCs/>
                <w:sz w:val="21"/>
                <w:szCs w:val="21"/>
                <w:vertAlign w:val="subscript"/>
              </w:rPr>
              <w:t>2</w:t>
            </w:r>
          </w:p>
        </w:tc>
        <w:tc>
          <w:tcPr>
            <w:tcW w:w="74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w:t>
            </w:r>
          </w:p>
        </w:tc>
        <w:tc>
          <w:tcPr>
            <w:tcW w:w="74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7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c>
          <w:tcPr>
            <w:tcW w:w="71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NO</w:t>
            </w:r>
            <w:r>
              <w:rPr>
                <w:rFonts w:ascii="Times New Roman" w:hAnsi="Times New Roman" w:eastAsia="宋体" w:cs="Times New Roman"/>
                <w:bCs/>
                <w:sz w:val="21"/>
                <w:szCs w:val="21"/>
                <w:vertAlign w:val="subscript"/>
              </w:rPr>
              <w:t>2</w:t>
            </w:r>
          </w:p>
        </w:tc>
        <w:tc>
          <w:tcPr>
            <w:tcW w:w="74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24</w:t>
            </w:r>
          </w:p>
        </w:tc>
        <w:tc>
          <w:tcPr>
            <w:tcW w:w="74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30</w:t>
            </w:r>
          </w:p>
        </w:tc>
        <w:tc>
          <w:tcPr>
            <w:tcW w:w="7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28</w:t>
            </w:r>
          </w:p>
        </w:tc>
        <w:tc>
          <w:tcPr>
            <w:tcW w:w="71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27</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24</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CO（mg/m</w:t>
            </w:r>
            <w:r>
              <w:rPr>
                <w:rFonts w:ascii="Times New Roman" w:hAnsi="Times New Roman" w:eastAsia="宋体" w:cs="Times New Roman"/>
                <w:bCs/>
                <w:sz w:val="21"/>
                <w:szCs w:val="21"/>
                <w:vertAlign w:val="superscript"/>
              </w:rPr>
              <w:t>3</w:t>
            </w:r>
            <w:r>
              <w:rPr>
                <w:rFonts w:ascii="Times New Roman" w:hAnsi="Times New Roman" w:eastAsia="宋体" w:cs="Times New Roman"/>
                <w:bCs/>
                <w:sz w:val="21"/>
                <w:szCs w:val="21"/>
              </w:rPr>
              <w:t>）</w:t>
            </w:r>
          </w:p>
        </w:tc>
        <w:tc>
          <w:tcPr>
            <w:tcW w:w="74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74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1.4</w:t>
            </w:r>
          </w:p>
        </w:tc>
        <w:tc>
          <w:tcPr>
            <w:tcW w:w="7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71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0.9</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O</w:t>
            </w:r>
            <w:r>
              <w:rPr>
                <w:rFonts w:ascii="Times New Roman" w:hAnsi="Times New Roman" w:eastAsia="宋体" w:cs="Times New Roman"/>
                <w:bCs/>
                <w:sz w:val="21"/>
                <w:szCs w:val="21"/>
                <w:vertAlign w:val="subscript"/>
              </w:rPr>
              <w:t>3</w:t>
            </w:r>
          </w:p>
        </w:tc>
        <w:tc>
          <w:tcPr>
            <w:tcW w:w="74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117</w:t>
            </w:r>
          </w:p>
        </w:tc>
        <w:tc>
          <w:tcPr>
            <w:tcW w:w="74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127</w:t>
            </w:r>
          </w:p>
        </w:tc>
        <w:tc>
          <w:tcPr>
            <w:tcW w:w="7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93</w:t>
            </w:r>
          </w:p>
        </w:tc>
        <w:tc>
          <w:tcPr>
            <w:tcW w:w="71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116</w:t>
            </w:r>
          </w:p>
        </w:tc>
        <w:tc>
          <w:tcPr>
            <w:tcW w:w="66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154</w:t>
            </w:r>
          </w:p>
        </w:tc>
        <w:tc>
          <w:tcPr>
            <w:tcW w:w="59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160</w:t>
            </w:r>
          </w:p>
        </w:tc>
      </w:tr>
    </w:tbl>
    <w:p>
      <w:pPr>
        <w:spacing w:line="360" w:lineRule="auto"/>
        <w:ind w:firstLine="480" w:firstLineChars="200"/>
        <w:rPr>
          <w:rFonts w:ascii="Times New Roman" w:hAnsi="Times New Roman" w:cs="Times New Roman"/>
        </w:rPr>
        <w:sectPr>
          <w:headerReference r:id="rId16" w:type="default"/>
          <w:pgSz w:w="11906" w:h="16838"/>
          <w:pgMar w:top="1389" w:right="1797" w:bottom="1440" w:left="1797" w:header="851" w:footer="992" w:gutter="0"/>
          <w:cols w:space="425" w:num="1"/>
          <w:docGrid w:linePitch="326" w:charSpace="915"/>
        </w:sectPr>
      </w:pP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5"/>
        <w:gridCol w:w="7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ind w:firstLine="428" w:firstLineChars="200"/>
              <w:jc w:val="center"/>
              <w:rPr>
                <w:rFonts w:ascii="Times New Roman" w:hAnsi="Times New Roman" w:eastAsia="宋体" w:cs="Times New Roman"/>
                <w:sz w:val="21"/>
              </w:rPr>
            </w:pPr>
            <w:r>
              <w:rPr>
                <w:rFonts w:ascii="Times New Roman" w:hAnsi="Times New Roman" w:eastAsia="宋体" w:cs="Times New Roman"/>
                <w:sz w:val="21"/>
              </w:rPr>
              <w:drawing>
                <wp:inline distT="0" distB="0" distL="0" distR="0">
                  <wp:extent cx="3526790" cy="2110105"/>
                  <wp:effectExtent l="0" t="0" r="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4"/>
                          <a:stretch>
                            <a:fillRect/>
                          </a:stretch>
                        </pic:blipFill>
                        <pic:spPr>
                          <a:xfrm>
                            <a:off x="0" y="0"/>
                            <a:ext cx="3569045" cy="2135455"/>
                          </a:xfrm>
                          <a:prstGeom prst="rect">
                            <a:avLst/>
                          </a:prstGeom>
                        </pic:spPr>
                      </pic:pic>
                    </a:graphicData>
                  </a:graphic>
                </wp:inline>
              </w:drawing>
            </w:r>
          </w:p>
          <w:p>
            <w:pPr>
              <w:ind w:firstLine="428" w:firstLineChars="200"/>
              <w:jc w:val="center"/>
              <w:rPr>
                <w:rFonts w:ascii="Times New Roman" w:hAnsi="Times New Roman" w:eastAsia="宋体" w:cs="Times New Roman"/>
                <w:b/>
                <w:sz w:val="21"/>
              </w:rPr>
            </w:pPr>
            <w:r>
              <w:rPr>
                <w:rFonts w:hint="eastAsia" w:ascii="Times New Roman" w:hAnsi="Times New Roman" w:eastAsia="宋体" w:cs="Times New Roman"/>
                <w:b/>
                <w:sz w:val="21"/>
              </w:rPr>
              <w:t>PM</w:t>
            </w:r>
            <w:r>
              <w:rPr>
                <w:rFonts w:hint="eastAsia" w:ascii="Times New Roman" w:hAnsi="Times New Roman" w:eastAsia="宋体" w:cs="Times New Roman"/>
                <w:b/>
                <w:sz w:val="21"/>
                <w:vertAlign w:val="subscript"/>
              </w:rPr>
              <w:t>2.5</w:t>
            </w:r>
            <w:r>
              <w:rPr>
                <w:rFonts w:hint="eastAsia" w:ascii="Times New Roman" w:hAnsi="Times New Roman" w:eastAsia="宋体" w:cs="Times New Roman"/>
                <w:b/>
                <w:sz w:val="21"/>
              </w:rPr>
              <w:t>变化趋势图</w:t>
            </w:r>
          </w:p>
        </w:tc>
        <w:tc>
          <w:tcPr>
            <w:tcW w:w="2500" w:type="pct"/>
            <w:vAlign w:val="center"/>
          </w:tcPr>
          <w:p>
            <w:pPr>
              <w:ind w:firstLine="428" w:firstLineChars="200"/>
              <w:jc w:val="center"/>
              <w:rPr>
                <w:rFonts w:ascii="Times New Roman" w:hAnsi="Times New Roman" w:eastAsia="宋体" w:cs="Times New Roman"/>
                <w:sz w:val="21"/>
              </w:rPr>
            </w:pPr>
            <w:r>
              <w:rPr>
                <w:rFonts w:ascii="Times New Roman" w:hAnsi="Times New Roman" w:eastAsia="宋体" w:cs="Times New Roman"/>
                <w:sz w:val="21"/>
              </w:rPr>
              <w:drawing>
                <wp:inline distT="0" distB="0" distL="0" distR="0">
                  <wp:extent cx="3742055" cy="223075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5"/>
                          <a:stretch>
                            <a:fillRect/>
                          </a:stretch>
                        </pic:blipFill>
                        <pic:spPr>
                          <a:xfrm>
                            <a:off x="0" y="0"/>
                            <a:ext cx="3791262" cy="2260478"/>
                          </a:xfrm>
                          <a:prstGeom prst="rect">
                            <a:avLst/>
                          </a:prstGeom>
                        </pic:spPr>
                      </pic:pic>
                    </a:graphicData>
                  </a:graphic>
                </wp:inline>
              </w:drawing>
            </w:r>
          </w:p>
          <w:p>
            <w:pPr>
              <w:ind w:firstLine="428" w:firstLineChars="200"/>
              <w:jc w:val="center"/>
              <w:rPr>
                <w:rFonts w:ascii="Times New Roman" w:hAnsi="Times New Roman" w:eastAsia="宋体" w:cs="Times New Roman"/>
                <w:b/>
                <w:bCs/>
                <w:sz w:val="21"/>
              </w:rPr>
            </w:pPr>
            <w:r>
              <w:rPr>
                <w:rFonts w:hint="eastAsia" w:ascii="Times New Roman" w:hAnsi="Times New Roman" w:eastAsia="宋体" w:cs="Times New Roman"/>
                <w:b/>
                <w:bCs/>
                <w:sz w:val="21"/>
              </w:rPr>
              <w:t>P</w:t>
            </w:r>
            <w:r>
              <w:rPr>
                <w:rFonts w:ascii="Times New Roman" w:hAnsi="Times New Roman" w:eastAsia="宋体" w:cs="Times New Roman"/>
                <w:b/>
                <w:bCs/>
                <w:sz w:val="21"/>
              </w:rPr>
              <w:t>M</w:t>
            </w:r>
            <w:r>
              <w:rPr>
                <w:rFonts w:ascii="Times New Roman" w:hAnsi="Times New Roman" w:eastAsia="宋体" w:cs="Times New Roman"/>
                <w:b/>
                <w:bCs/>
                <w:sz w:val="21"/>
                <w:vertAlign w:val="subscript"/>
              </w:rPr>
              <w:t>10</w:t>
            </w:r>
            <w:r>
              <w:rPr>
                <w:rFonts w:hint="eastAsia" w:ascii="Times New Roman" w:hAnsi="Times New Roman" w:eastAsia="宋体" w:cs="Times New Roman"/>
                <w:b/>
                <w:bCs/>
                <w:sz w:val="21"/>
              </w:rPr>
              <w:t>变化趋势图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ind w:firstLine="428" w:firstLineChars="200"/>
              <w:jc w:val="center"/>
              <w:rPr>
                <w:rFonts w:ascii="Times New Roman" w:hAnsi="Times New Roman" w:eastAsia="宋体" w:cs="Times New Roman"/>
                <w:sz w:val="21"/>
              </w:rPr>
            </w:pPr>
            <w:r>
              <w:rPr>
                <w:rFonts w:ascii="Times New Roman" w:hAnsi="Times New Roman" w:eastAsia="宋体" w:cs="Times New Roman"/>
                <w:sz w:val="21"/>
              </w:rPr>
              <w:drawing>
                <wp:inline distT="0" distB="0" distL="0" distR="0">
                  <wp:extent cx="4140200" cy="2472055"/>
                  <wp:effectExtent l="0" t="0" r="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6"/>
                          <a:stretch>
                            <a:fillRect/>
                          </a:stretch>
                        </pic:blipFill>
                        <pic:spPr>
                          <a:xfrm>
                            <a:off x="0" y="0"/>
                            <a:ext cx="4166946" cy="2487987"/>
                          </a:xfrm>
                          <a:prstGeom prst="rect">
                            <a:avLst/>
                          </a:prstGeom>
                        </pic:spPr>
                      </pic:pic>
                    </a:graphicData>
                  </a:graphic>
                </wp:inline>
              </w:drawing>
            </w:r>
          </w:p>
          <w:p>
            <w:pPr>
              <w:ind w:firstLine="428" w:firstLineChars="200"/>
              <w:jc w:val="center"/>
              <w:rPr>
                <w:rFonts w:ascii="Times New Roman" w:hAnsi="Times New Roman" w:eastAsia="宋体" w:cs="Times New Roman"/>
                <w:b/>
                <w:bCs/>
                <w:sz w:val="21"/>
              </w:rPr>
            </w:pPr>
            <w:r>
              <w:rPr>
                <w:rFonts w:hint="eastAsia" w:ascii="Times New Roman" w:hAnsi="Times New Roman" w:eastAsia="宋体" w:cs="Times New Roman"/>
                <w:b/>
                <w:bCs/>
                <w:sz w:val="21"/>
              </w:rPr>
              <w:t>S</w:t>
            </w:r>
            <w:r>
              <w:rPr>
                <w:rFonts w:ascii="Times New Roman" w:hAnsi="Times New Roman" w:eastAsia="宋体" w:cs="Times New Roman"/>
                <w:b/>
                <w:bCs/>
                <w:sz w:val="21"/>
              </w:rPr>
              <w:t>O</w:t>
            </w:r>
            <w:r>
              <w:rPr>
                <w:rFonts w:ascii="Times New Roman" w:hAnsi="Times New Roman" w:eastAsia="宋体" w:cs="Times New Roman"/>
                <w:b/>
                <w:bCs/>
                <w:sz w:val="21"/>
                <w:vertAlign w:val="subscript"/>
              </w:rPr>
              <w:t>2</w:t>
            </w:r>
            <w:r>
              <w:rPr>
                <w:rFonts w:hint="eastAsia" w:ascii="Times New Roman" w:hAnsi="Times New Roman" w:eastAsia="宋体" w:cs="Times New Roman"/>
                <w:b/>
                <w:bCs/>
                <w:sz w:val="21"/>
              </w:rPr>
              <w:t>变化趋势图</w:t>
            </w:r>
          </w:p>
        </w:tc>
        <w:tc>
          <w:tcPr>
            <w:tcW w:w="2500" w:type="pct"/>
            <w:vAlign w:val="center"/>
          </w:tcPr>
          <w:p>
            <w:pPr>
              <w:ind w:firstLine="428" w:firstLineChars="200"/>
              <w:jc w:val="center"/>
              <w:rPr>
                <w:rFonts w:ascii="Times New Roman" w:hAnsi="Times New Roman" w:eastAsia="宋体" w:cs="Times New Roman"/>
                <w:sz w:val="21"/>
              </w:rPr>
            </w:pPr>
            <w:r>
              <w:rPr>
                <w:rFonts w:ascii="Times New Roman" w:hAnsi="Times New Roman" w:eastAsia="宋体" w:cs="Times New Roman"/>
                <w:sz w:val="21"/>
              </w:rPr>
              <w:drawing>
                <wp:inline distT="0" distB="0" distL="0" distR="0">
                  <wp:extent cx="4140200" cy="247713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7"/>
                          <a:stretch>
                            <a:fillRect/>
                          </a:stretch>
                        </pic:blipFill>
                        <pic:spPr>
                          <a:xfrm>
                            <a:off x="0" y="0"/>
                            <a:ext cx="4159802" cy="2488917"/>
                          </a:xfrm>
                          <a:prstGeom prst="rect">
                            <a:avLst/>
                          </a:prstGeom>
                        </pic:spPr>
                      </pic:pic>
                    </a:graphicData>
                  </a:graphic>
                </wp:inline>
              </w:drawing>
            </w:r>
          </w:p>
          <w:p>
            <w:pPr>
              <w:ind w:firstLine="428" w:firstLineChars="200"/>
              <w:jc w:val="center"/>
              <w:rPr>
                <w:rFonts w:ascii="Times New Roman" w:hAnsi="Times New Roman" w:eastAsia="宋体" w:cs="Times New Roman"/>
                <w:b/>
                <w:bCs/>
                <w:sz w:val="21"/>
              </w:rPr>
            </w:pPr>
            <w:r>
              <w:rPr>
                <w:rFonts w:hint="eastAsia" w:ascii="Times New Roman" w:hAnsi="Times New Roman" w:eastAsia="宋体" w:cs="Times New Roman"/>
                <w:b/>
                <w:bCs/>
                <w:sz w:val="21"/>
              </w:rPr>
              <w:t>N</w:t>
            </w:r>
            <w:r>
              <w:rPr>
                <w:rFonts w:ascii="Times New Roman" w:hAnsi="Times New Roman" w:eastAsia="宋体" w:cs="Times New Roman"/>
                <w:b/>
                <w:bCs/>
                <w:sz w:val="21"/>
              </w:rPr>
              <w:t>O</w:t>
            </w:r>
            <w:r>
              <w:rPr>
                <w:rFonts w:ascii="Times New Roman" w:hAnsi="Times New Roman" w:eastAsia="宋体" w:cs="Times New Roman"/>
                <w:b/>
                <w:bCs/>
                <w:sz w:val="21"/>
                <w:vertAlign w:val="subscript"/>
              </w:rPr>
              <w:t>2</w:t>
            </w:r>
            <w:r>
              <w:rPr>
                <w:rFonts w:hint="eastAsia" w:ascii="Times New Roman" w:hAnsi="Times New Roman" w:eastAsia="宋体" w:cs="Times New Roman"/>
                <w:b/>
                <w:bCs/>
                <w:sz w:val="21"/>
              </w:rPr>
              <w:t>变化趋势图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ind w:firstLine="428" w:firstLineChars="200"/>
              <w:jc w:val="center"/>
              <w:rPr>
                <w:rFonts w:ascii="Times New Roman" w:hAnsi="Times New Roman" w:eastAsia="宋体" w:cs="Times New Roman"/>
                <w:sz w:val="21"/>
              </w:rPr>
            </w:pPr>
            <w:r>
              <w:rPr>
                <w:rFonts w:ascii="Times New Roman" w:hAnsi="Times New Roman" w:eastAsia="宋体" w:cs="Times New Roman"/>
                <w:sz w:val="21"/>
              </w:rPr>
              <w:drawing>
                <wp:inline distT="0" distB="0" distL="0" distR="0">
                  <wp:extent cx="4174490" cy="2667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8"/>
                          <a:stretch>
                            <a:fillRect/>
                          </a:stretch>
                        </pic:blipFill>
                        <pic:spPr>
                          <a:xfrm>
                            <a:off x="0" y="0"/>
                            <a:ext cx="4217167" cy="2694058"/>
                          </a:xfrm>
                          <a:prstGeom prst="rect">
                            <a:avLst/>
                          </a:prstGeom>
                        </pic:spPr>
                      </pic:pic>
                    </a:graphicData>
                  </a:graphic>
                </wp:inline>
              </w:drawing>
            </w:r>
          </w:p>
          <w:p>
            <w:pPr>
              <w:ind w:firstLine="428" w:firstLineChars="200"/>
              <w:jc w:val="center"/>
              <w:rPr>
                <w:rFonts w:ascii="Times New Roman" w:hAnsi="Times New Roman" w:eastAsia="宋体" w:cs="Times New Roman"/>
                <w:b/>
                <w:bCs/>
                <w:sz w:val="21"/>
              </w:rPr>
            </w:pPr>
            <w:r>
              <w:rPr>
                <w:rFonts w:hint="eastAsia" w:ascii="Times New Roman" w:hAnsi="Times New Roman" w:eastAsia="宋体" w:cs="Times New Roman"/>
                <w:b/>
                <w:bCs/>
                <w:sz w:val="21"/>
              </w:rPr>
              <w:t>C</w:t>
            </w:r>
            <w:r>
              <w:rPr>
                <w:rFonts w:ascii="Times New Roman" w:hAnsi="Times New Roman" w:eastAsia="宋体" w:cs="Times New Roman"/>
                <w:b/>
                <w:bCs/>
                <w:sz w:val="21"/>
              </w:rPr>
              <w:t>O</w:t>
            </w:r>
            <w:r>
              <w:rPr>
                <w:rFonts w:hint="eastAsia" w:ascii="Times New Roman" w:hAnsi="Times New Roman" w:eastAsia="宋体" w:cs="Times New Roman"/>
                <w:b/>
                <w:bCs/>
                <w:sz w:val="21"/>
              </w:rPr>
              <w:t>变化趋势图</w:t>
            </w:r>
          </w:p>
        </w:tc>
        <w:tc>
          <w:tcPr>
            <w:tcW w:w="2500" w:type="pct"/>
            <w:vAlign w:val="center"/>
          </w:tcPr>
          <w:p>
            <w:pPr>
              <w:ind w:firstLine="428" w:firstLineChars="200"/>
              <w:jc w:val="center"/>
              <w:rPr>
                <w:rFonts w:ascii="Times New Roman" w:hAnsi="Times New Roman" w:eastAsia="宋体" w:cs="Times New Roman"/>
                <w:sz w:val="21"/>
              </w:rPr>
            </w:pPr>
            <w:r>
              <w:rPr>
                <w:rFonts w:ascii="Times New Roman" w:hAnsi="Times New Roman" w:eastAsia="宋体" w:cs="Times New Roman"/>
                <w:sz w:val="21"/>
              </w:rPr>
              <w:drawing>
                <wp:inline distT="0" distB="0" distL="0" distR="0">
                  <wp:extent cx="4349750" cy="2599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9"/>
                          <a:stretch>
                            <a:fillRect/>
                          </a:stretch>
                        </pic:blipFill>
                        <pic:spPr>
                          <a:xfrm>
                            <a:off x="0" y="0"/>
                            <a:ext cx="4375429" cy="2614252"/>
                          </a:xfrm>
                          <a:prstGeom prst="rect">
                            <a:avLst/>
                          </a:prstGeom>
                        </pic:spPr>
                      </pic:pic>
                    </a:graphicData>
                  </a:graphic>
                </wp:inline>
              </w:drawing>
            </w:r>
          </w:p>
          <w:p>
            <w:pPr>
              <w:ind w:firstLine="428" w:firstLineChars="200"/>
              <w:jc w:val="center"/>
              <w:rPr>
                <w:rFonts w:ascii="Times New Roman" w:hAnsi="Times New Roman" w:eastAsia="宋体" w:cs="Times New Roman"/>
                <w:b/>
                <w:bCs/>
                <w:sz w:val="21"/>
              </w:rPr>
            </w:pPr>
            <w:r>
              <w:rPr>
                <w:rFonts w:hint="eastAsia" w:ascii="Times New Roman" w:hAnsi="Times New Roman" w:eastAsia="宋体" w:cs="Times New Roman"/>
                <w:b/>
                <w:bCs/>
                <w:sz w:val="21"/>
              </w:rPr>
              <w:t>O</w:t>
            </w:r>
            <w:r>
              <w:rPr>
                <w:rFonts w:ascii="Times New Roman" w:hAnsi="Times New Roman" w:eastAsia="宋体" w:cs="Times New Roman"/>
                <w:b/>
                <w:bCs/>
                <w:sz w:val="21"/>
                <w:vertAlign w:val="subscript"/>
              </w:rPr>
              <w:t>3</w:t>
            </w:r>
            <w:r>
              <w:rPr>
                <w:rFonts w:hint="eastAsia" w:ascii="Times New Roman" w:hAnsi="Times New Roman" w:eastAsia="宋体" w:cs="Times New Roman"/>
                <w:b/>
                <w:bCs/>
                <w:sz w:val="21"/>
              </w:rPr>
              <w:t>变化趋势图</w:t>
            </w:r>
          </w:p>
        </w:tc>
      </w:tr>
    </w:tbl>
    <w:p>
      <w:pPr>
        <w:keepLines/>
        <w:spacing w:line="360" w:lineRule="auto"/>
        <w:ind w:firstLine="488" w:firstLineChars="200"/>
        <w:jc w:val="center"/>
        <w:outlineLvl w:val="4"/>
        <w:rPr>
          <w:rFonts w:ascii="Times New Roman" w:hAnsi="Times New Roman"/>
          <w:b/>
          <w:bCs/>
          <w:szCs w:val="28"/>
        </w:rPr>
      </w:pPr>
      <w:r>
        <w:rPr>
          <w:rFonts w:ascii="Times New Roman" w:hAnsi="Times New Roman"/>
          <w:b/>
          <w:bCs/>
          <w:szCs w:val="28"/>
        </w:rPr>
        <w:t>图4.3-1  2018-2022年</w:t>
      </w:r>
      <w:r>
        <w:rPr>
          <w:rFonts w:hint="eastAsia" w:ascii="Times New Roman" w:hAnsi="Times New Roman"/>
          <w:b/>
          <w:bCs/>
          <w:szCs w:val="28"/>
        </w:rPr>
        <w:t>临湘市</w:t>
      </w:r>
      <w:r>
        <w:rPr>
          <w:rFonts w:ascii="Times New Roman" w:hAnsi="Times New Roman"/>
          <w:b/>
          <w:bCs/>
          <w:szCs w:val="28"/>
        </w:rPr>
        <w:t>大气常规监测因子趋势图</w:t>
      </w:r>
    </w:p>
    <w:p>
      <w:pPr>
        <w:spacing w:line="360" w:lineRule="auto"/>
        <w:ind w:firstLine="488" w:firstLineChars="200"/>
        <w:rPr>
          <w:rFonts w:ascii="Times New Roman" w:hAnsi="Times New Roman" w:cs="Times New Roman"/>
        </w:rPr>
        <w:sectPr>
          <w:pgSz w:w="16838" w:h="11906" w:orient="landscape"/>
          <w:pgMar w:top="1797" w:right="1440" w:bottom="1797" w:left="1440" w:header="851" w:footer="992" w:gutter="0"/>
          <w:cols w:space="425" w:num="1"/>
          <w:docGrid w:type="linesAndChars" w:linePitch="326" w:charSpace="915"/>
        </w:sectPr>
      </w:pP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4.3.1.</w:t>
      </w:r>
      <w:r>
        <w:rPr>
          <w:rFonts w:hint="eastAsia" w:asciiTheme="majorHAnsi" w:hAnsiTheme="majorHAnsi" w:eastAsiaTheme="majorEastAsia" w:cstheme="majorBidi"/>
          <w:b/>
          <w:bCs/>
          <w:szCs w:val="28"/>
        </w:rPr>
        <w:t>2</w:t>
      </w:r>
      <w:r>
        <w:rPr>
          <w:rFonts w:asciiTheme="majorHAnsi" w:hAnsiTheme="majorHAnsi" w:eastAsiaTheme="majorEastAsia" w:cstheme="majorBidi"/>
          <w:b/>
          <w:bCs/>
          <w:szCs w:val="28"/>
        </w:rPr>
        <w:t xml:space="preserve"> </w:t>
      </w:r>
      <w:r>
        <w:rPr>
          <w:rFonts w:hint="eastAsia" w:asciiTheme="majorHAnsi" w:hAnsiTheme="majorHAnsi" w:eastAsiaTheme="majorEastAsia" w:cstheme="majorBidi"/>
          <w:b/>
          <w:bCs/>
          <w:szCs w:val="28"/>
        </w:rPr>
        <w:t>本次评价引用数据</w:t>
      </w:r>
    </w:p>
    <w:p>
      <w:pPr>
        <w:spacing w:line="360" w:lineRule="auto"/>
        <w:rPr>
          <w:rFonts w:ascii="Times New Roman" w:hAnsi="Times New Roman" w:cs="Times New Roman"/>
          <w:b/>
        </w:rPr>
      </w:pPr>
      <w:r>
        <w:rPr>
          <w:rFonts w:hint="eastAsia" w:ascii="Times New Roman" w:hAnsi="Times New Roman" w:cs="Times New Roman"/>
          <w:b/>
        </w:rPr>
        <w:t>（1）监测点位</w:t>
      </w:r>
    </w:p>
    <w:p>
      <w:pPr>
        <w:spacing w:line="360" w:lineRule="auto"/>
        <w:ind w:firstLine="480" w:firstLineChars="200"/>
        <w:rPr>
          <w:rFonts w:ascii="Times New Roman" w:hAnsi="Times New Roman" w:cs="Times New Roman"/>
        </w:rPr>
      </w:pPr>
      <w:r>
        <w:rPr>
          <w:rFonts w:ascii="Times New Roman" w:hAnsi="Times New Roman" w:cs="Times New Roman"/>
        </w:rPr>
        <w:t>本次评价收集了2022年到2023年</w:t>
      </w:r>
      <w:r>
        <w:rPr>
          <w:rFonts w:hint="eastAsia" w:ascii="Times New Roman" w:hAnsi="Times New Roman" w:cs="Times New Roman"/>
        </w:rPr>
        <w:t>临湘高新区</w:t>
      </w:r>
      <w:r>
        <w:rPr>
          <w:rFonts w:ascii="Times New Roman" w:hAnsi="Times New Roman" w:cs="Times New Roman"/>
        </w:rPr>
        <w:t>内项目环评报告开展的大气环境质量现状监测工作和园区开展</w:t>
      </w:r>
      <w:r>
        <w:rPr>
          <w:rFonts w:hint="eastAsia" w:ascii="Times New Roman" w:hAnsi="Times New Roman" w:cs="Times New Roman"/>
        </w:rPr>
        <w:t>的</w:t>
      </w:r>
      <w:r>
        <w:rPr>
          <w:rFonts w:ascii="Times New Roman" w:hAnsi="Times New Roman" w:cs="Times New Roman"/>
        </w:rPr>
        <w:t>例行监测数据，引用数据概况见下表。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 </w:t>
      </w:r>
      <w:r>
        <w:rPr>
          <w:rFonts w:hint="eastAsia" w:ascii="Times New Roman" w:hAnsi="Times New Roman"/>
          <w:b/>
          <w:bCs/>
          <w:szCs w:val="28"/>
        </w:rPr>
        <w:t xml:space="preserve"> </w:t>
      </w:r>
      <w:r>
        <w:rPr>
          <w:rFonts w:ascii="Times New Roman" w:hAnsi="Times New Roman" w:cs="Times New Roman"/>
          <w:b/>
          <w:bCs/>
        </w:rPr>
        <w:t>引用数据</w:t>
      </w:r>
      <w:r>
        <w:rPr>
          <w:rFonts w:hint="eastAsia" w:ascii="Times New Roman" w:hAnsi="Times New Roman" w:cs="Times New Roman"/>
          <w:b/>
          <w:bCs/>
        </w:rPr>
        <w:t>监测点位一览表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118"/>
        <w:gridCol w:w="4703"/>
        <w:gridCol w:w="2465"/>
        <w:gridCol w:w="246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39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片区</w:t>
            </w:r>
          </w:p>
        </w:tc>
        <w:tc>
          <w:tcPr>
            <w:tcW w:w="165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86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监测项目</w:t>
            </w:r>
          </w:p>
        </w:tc>
        <w:tc>
          <w:tcPr>
            <w:tcW w:w="86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监测时间</w:t>
            </w:r>
          </w:p>
        </w:tc>
        <w:tc>
          <w:tcPr>
            <w:tcW w:w="84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YA1</w:t>
            </w:r>
          </w:p>
        </w:tc>
        <w:tc>
          <w:tcPr>
            <w:tcW w:w="393"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滨江产业园</w:t>
            </w: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福瑞材料科技有限公司（E:113.3763716N:29.61847850）</w:t>
            </w:r>
          </w:p>
        </w:tc>
        <w:tc>
          <w:tcPr>
            <w:tcW w:w="867"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氟化物、苯胺</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非甲烷总烃、TVOC、氯化氢、甲醇、甲苯、硫酸雾、氨气、硫化氢、二氯甲烷、氰化氢</w:t>
            </w:r>
          </w:p>
        </w:tc>
        <w:tc>
          <w:tcPr>
            <w:tcW w:w="866"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2023.3.4~2023.3.10</w:t>
            </w:r>
          </w:p>
        </w:tc>
        <w:tc>
          <w:tcPr>
            <w:tcW w:w="84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岳阳福瑞材料科技有限公司5000吨/年精细化工新材料建设项目环境影响报告书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YA2</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福瑞材料科技有限公司（E:113.37823N:29.611245）</w:t>
            </w:r>
          </w:p>
        </w:tc>
        <w:tc>
          <w:tcPr>
            <w:tcW w:w="867" w:type="pct"/>
            <w:vMerge w:val="continue"/>
            <w:vAlign w:val="center"/>
          </w:tcPr>
          <w:p>
            <w:pPr>
              <w:jc w:val="center"/>
              <w:rPr>
                <w:rFonts w:ascii="Times New Roman" w:hAnsi="Times New Roman" w:eastAsia="宋体" w:cs="Times New Roman"/>
                <w:bCs/>
                <w:sz w:val="21"/>
                <w:szCs w:val="21"/>
              </w:rPr>
            </w:pPr>
          </w:p>
        </w:tc>
        <w:tc>
          <w:tcPr>
            <w:tcW w:w="866" w:type="pct"/>
            <w:vMerge w:val="continue"/>
            <w:vAlign w:val="center"/>
          </w:tcPr>
          <w:p>
            <w:pPr>
              <w:jc w:val="center"/>
              <w:rPr>
                <w:rFonts w:ascii="Times New Roman" w:hAnsi="Times New Roman" w:eastAsia="宋体" w:cs="Times New Roman"/>
                <w:bCs/>
                <w:sz w:val="21"/>
                <w:szCs w:val="21"/>
              </w:rPr>
            </w:pPr>
          </w:p>
        </w:tc>
        <w:tc>
          <w:tcPr>
            <w:tcW w:w="846"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3</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儒溪中学</w:t>
            </w:r>
          </w:p>
        </w:tc>
        <w:tc>
          <w:tcPr>
            <w:tcW w:w="867"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总挥发性有机物、非甲烷总烃</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氨</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硫化氢</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氯化氢</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氯气</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二氧化硫</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二氧化氮、</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p>
        </w:tc>
        <w:tc>
          <w:tcPr>
            <w:tcW w:w="86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2022.6.7</w:t>
            </w:r>
            <w:r>
              <w:rPr>
                <w:rFonts w:ascii="Times New Roman" w:hAnsi="Times New Roman" w:eastAsia="宋体" w:cs="Times New Roman"/>
                <w:bCs/>
                <w:sz w:val="21"/>
                <w:szCs w:val="21"/>
              </w:rPr>
              <w:t>~2022.6.8</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2022.11.21~2022.11.23</w:t>
            </w:r>
          </w:p>
        </w:tc>
        <w:tc>
          <w:tcPr>
            <w:tcW w:w="84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滨江园区</w:t>
            </w:r>
            <w:r>
              <w:rPr>
                <w:rFonts w:ascii="Times New Roman" w:hAnsi="Times New Roman" w:eastAsia="宋体" w:cs="Times New Roman"/>
                <w:bCs/>
                <w:sz w:val="21"/>
                <w:szCs w:val="21"/>
              </w:rPr>
              <w:t>环境监测报告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4</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杨桥村</w:t>
            </w:r>
          </w:p>
        </w:tc>
        <w:tc>
          <w:tcPr>
            <w:tcW w:w="867" w:type="pct"/>
            <w:vMerge w:val="continue"/>
            <w:vAlign w:val="center"/>
          </w:tcPr>
          <w:p>
            <w:pPr>
              <w:jc w:val="center"/>
              <w:rPr>
                <w:rFonts w:ascii="Times New Roman" w:hAnsi="Times New Roman" w:eastAsia="宋体" w:cs="Times New Roman"/>
                <w:bCs/>
                <w:sz w:val="21"/>
                <w:szCs w:val="21"/>
              </w:rPr>
            </w:pPr>
          </w:p>
        </w:tc>
        <w:tc>
          <w:tcPr>
            <w:tcW w:w="866" w:type="pct"/>
            <w:vMerge w:val="continue"/>
            <w:vAlign w:val="center"/>
          </w:tcPr>
          <w:p>
            <w:pPr>
              <w:jc w:val="center"/>
              <w:rPr>
                <w:rFonts w:ascii="Times New Roman" w:hAnsi="Times New Roman" w:eastAsia="宋体" w:cs="Times New Roman"/>
                <w:bCs/>
                <w:sz w:val="21"/>
                <w:szCs w:val="21"/>
              </w:rPr>
            </w:pPr>
          </w:p>
        </w:tc>
        <w:tc>
          <w:tcPr>
            <w:tcW w:w="846"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5</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新港村</w:t>
            </w:r>
          </w:p>
        </w:tc>
        <w:tc>
          <w:tcPr>
            <w:tcW w:w="867" w:type="pct"/>
            <w:vMerge w:val="continue"/>
            <w:vAlign w:val="center"/>
          </w:tcPr>
          <w:p>
            <w:pPr>
              <w:jc w:val="center"/>
              <w:rPr>
                <w:rFonts w:ascii="Times New Roman" w:hAnsi="Times New Roman" w:eastAsia="宋体" w:cs="Times New Roman"/>
                <w:bCs/>
                <w:sz w:val="21"/>
                <w:szCs w:val="21"/>
              </w:rPr>
            </w:pPr>
          </w:p>
        </w:tc>
        <w:tc>
          <w:tcPr>
            <w:tcW w:w="866" w:type="pct"/>
            <w:vMerge w:val="continue"/>
            <w:vAlign w:val="center"/>
          </w:tcPr>
          <w:p>
            <w:pPr>
              <w:jc w:val="center"/>
              <w:rPr>
                <w:rFonts w:ascii="Times New Roman" w:hAnsi="Times New Roman" w:eastAsia="宋体" w:cs="Times New Roman"/>
                <w:bCs/>
                <w:sz w:val="21"/>
                <w:szCs w:val="21"/>
              </w:rPr>
            </w:pPr>
          </w:p>
        </w:tc>
        <w:tc>
          <w:tcPr>
            <w:tcW w:w="846"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6</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安置区</w:t>
            </w:r>
          </w:p>
        </w:tc>
        <w:tc>
          <w:tcPr>
            <w:tcW w:w="867" w:type="pct"/>
            <w:vMerge w:val="continue"/>
            <w:vAlign w:val="center"/>
          </w:tcPr>
          <w:p>
            <w:pPr>
              <w:jc w:val="center"/>
              <w:rPr>
                <w:rFonts w:ascii="Times New Roman" w:hAnsi="Times New Roman" w:eastAsia="宋体" w:cs="Times New Roman"/>
                <w:bCs/>
                <w:sz w:val="21"/>
                <w:szCs w:val="21"/>
              </w:rPr>
            </w:pPr>
          </w:p>
        </w:tc>
        <w:tc>
          <w:tcPr>
            <w:tcW w:w="866" w:type="pct"/>
            <w:vMerge w:val="continue"/>
            <w:vAlign w:val="center"/>
          </w:tcPr>
          <w:p>
            <w:pPr>
              <w:jc w:val="center"/>
              <w:rPr>
                <w:rFonts w:ascii="Times New Roman" w:hAnsi="Times New Roman" w:eastAsia="宋体" w:cs="Times New Roman"/>
                <w:bCs/>
                <w:sz w:val="21"/>
                <w:szCs w:val="21"/>
              </w:rPr>
            </w:pPr>
          </w:p>
        </w:tc>
        <w:tc>
          <w:tcPr>
            <w:tcW w:w="846"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7</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旗杆小区</w:t>
            </w:r>
          </w:p>
        </w:tc>
        <w:tc>
          <w:tcPr>
            <w:tcW w:w="867" w:type="pct"/>
            <w:vMerge w:val="continue"/>
            <w:vAlign w:val="center"/>
          </w:tcPr>
          <w:p>
            <w:pPr>
              <w:jc w:val="center"/>
              <w:rPr>
                <w:rFonts w:ascii="Times New Roman" w:hAnsi="Times New Roman" w:eastAsia="宋体" w:cs="Times New Roman"/>
                <w:bCs/>
                <w:sz w:val="21"/>
                <w:szCs w:val="21"/>
              </w:rPr>
            </w:pPr>
          </w:p>
        </w:tc>
        <w:tc>
          <w:tcPr>
            <w:tcW w:w="866" w:type="pct"/>
            <w:vMerge w:val="continue"/>
            <w:vAlign w:val="center"/>
          </w:tcPr>
          <w:p>
            <w:pPr>
              <w:jc w:val="center"/>
              <w:rPr>
                <w:rFonts w:ascii="Times New Roman" w:hAnsi="Times New Roman" w:eastAsia="宋体" w:cs="Times New Roman"/>
                <w:bCs/>
                <w:sz w:val="21"/>
                <w:szCs w:val="21"/>
              </w:rPr>
            </w:pPr>
          </w:p>
        </w:tc>
        <w:tc>
          <w:tcPr>
            <w:tcW w:w="846"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8</w:t>
            </w:r>
          </w:p>
        </w:tc>
        <w:tc>
          <w:tcPr>
            <w:tcW w:w="393"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产业园</w:t>
            </w: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赵家大屋</w:t>
            </w:r>
          </w:p>
        </w:tc>
        <w:tc>
          <w:tcPr>
            <w:tcW w:w="867"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二氧化硫、二氧化氮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总悬浮颗粒物</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p>
        </w:tc>
        <w:tc>
          <w:tcPr>
            <w:tcW w:w="86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2022.3.23</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2022.6.9</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2022.8.29</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2022.11.28</w:t>
            </w:r>
          </w:p>
        </w:tc>
        <w:tc>
          <w:tcPr>
            <w:tcW w:w="84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园区环境监测报告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9</w:t>
            </w:r>
          </w:p>
        </w:tc>
        <w:tc>
          <w:tcPr>
            <w:tcW w:w="393" w:type="pct"/>
            <w:vMerge w:val="continue"/>
            <w:vAlign w:val="center"/>
          </w:tcPr>
          <w:p>
            <w:pPr>
              <w:jc w:val="center"/>
              <w:rPr>
                <w:rFonts w:ascii="Times New Roman" w:hAnsi="Times New Roman" w:eastAsia="宋体" w:cs="Times New Roman"/>
                <w:bCs/>
                <w:sz w:val="21"/>
                <w:szCs w:val="21"/>
              </w:rPr>
            </w:pPr>
          </w:p>
        </w:tc>
        <w:tc>
          <w:tcPr>
            <w:tcW w:w="16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园区内派出所</w:t>
            </w:r>
          </w:p>
        </w:tc>
        <w:tc>
          <w:tcPr>
            <w:tcW w:w="867" w:type="pct"/>
            <w:vMerge w:val="continue"/>
            <w:vAlign w:val="center"/>
          </w:tcPr>
          <w:p>
            <w:pPr>
              <w:jc w:val="center"/>
              <w:rPr>
                <w:rFonts w:ascii="Times New Roman" w:hAnsi="Times New Roman" w:eastAsia="宋体" w:cs="Times New Roman"/>
                <w:bCs/>
                <w:sz w:val="21"/>
                <w:szCs w:val="21"/>
              </w:rPr>
            </w:pPr>
          </w:p>
        </w:tc>
        <w:tc>
          <w:tcPr>
            <w:tcW w:w="866" w:type="pct"/>
            <w:vMerge w:val="continue"/>
            <w:vAlign w:val="center"/>
          </w:tcPr>
          <w:p>
            <w:pPr>
              <w:jc w:val="center"/>
              <w:rPr>
                <w:rFonts w:ascii="Times New Roman" w:hAnsi="Times New Roman" w:eastAsia="宋体" w:cs="Times New Roman"/>
                <w:bCs/>
                <w:sz w:val="21"/>
                <w:szCs w:val="21"/>
              </w:rPr>
            </w:pPr>
          </w:p>
        </w:tc>
        <w:tc>
          <w:tcPr>
            <w:tcW w:w="846" w:type="pct"/>
            <w:vMerge w:val="continue"/>
            <w:vAlign w:val="center"/>
          </w:tcPr>
          <w:p>
            <w:pPr>
              <w:jc w:val="center"/>
              <w:rPr>
                <w:rFonts w:ascii="Times New Roman" w:hAnsi="Times New Roman" w:eastAsia="宋体" w:cs="Times New Roman"/>
                <w:bCs/>
                <w:sz w:val="21"/>
                <w:szCs w:val="21"/>
              </w:rPr>
            </w:pPr>
          </w:p>
        </w:tc>
      </w:tr>
    </w:tbl>
    <w:p>
      <w:pPr>
        <w:spacing w:line="360" w:lineRule="auto"/>
        <w:rPr>
          <w:rFonts w:ascii="Times New Roman" w:hAnsi="Times New Roman" w:cs="Times New Roman"/>
          <w:b/>
        </w:rPr>
        <w:sectPr>
          <w:pgSz w:w="16838" w:h="11906" w:orient="landscape"/>
          <w:pgMar w:top="1418" w:right="1418" w:bottom="1701" w:left="1418" w:header="851" w:footer="992" w:gutter="0"/>
          <w:cols w:space="425" w:num="1"/>
          <w:docGrid w:linePitch="326" w:charSpace="915"/>
        </w:sectPr>
      </w:pPr>
    </w:p>
    <w:p>
      <w:pPr>
        <w:spacing w:line="360" w:lineRule="auto"/>
        <w:rPr>
          <w:rFonts w:ascii="Times New Roman" w:hAnsi="Times New Roman" w:cs="Times New Roman"/>
          <w:b/>
        </w:rPr>
      </w:pPr>
      <w:r>
        <w:rPr>
          <w:rFonts w:hint="eastAsia" w:ascii="Times New Roman" w:hAnsi="Times New Roman" w:cs="Times New Roman"/>
          <w:b/>
        </w:rPr>
        <w:t>（2）监测结果分析</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表4.3-3  </w:t>
      </w:r>
      <w:r>
        <w:rPr>
          <w:rFonts w:hint="eastAsia" w:ascii="Times New Roman" w:hAnsi="Times New Roman"/>
          <w:b/>
          <w:bCs/>
          <w:szCs w:val="28"/>
        </w:rPr>
        <w:t>滨江</w:t>
      </w:r>
      <w:r>
        <w:rPr>
          <w:rFonts w:ascii="Times New Roman" w:hAnsi="Times New Roman"/>
          <w:b/>
          <w:bCs/>
          <w:szCs w:val="28"/>
        </w:rPr>
        <w:t>片区引用监测结果表</w:t>
      </w:r>
      <w:r>
        <w:rPr>
          <w:rFonts w:hint="eastAsia" w:ascii="Times New Roman" w:hAnsi="Times New Roman"/>
          <w:b/>
          <w:bCs/>
          <w:szCs w:val="28"/>
        </w:rPr>
        <w:t>（1）</w:t>
      </w:r>
    </w:p>
    <w:tbl>
      <w:tblPr>
        <w:tblStyle w:val="36"/>
        <w:tblW w:w="5000" w:type="pct"/>
        <w:tblInd w:w="0" w:type="dxa"/>
        <w:tblLayout w:type="autofit"/>
        <w:tblCellMar>
          <w:top w:w="0" w:type="dxa"/>
          <w:left w:w="0" w:type="dxa"/>
          <w:bottom w:w="0" w:type="dxa"/>
          <w:right w:w="0" w:type="dxa"/>
        </w:tblCellMar>
      </w:tblPr>
      <w:tblGrid>
        <w:gridCol w:w="752"/>
        <w:gridCol w:w="1213"/>
        <w:gridCol w:w="1137"/>
        <w:gridCol w:w="1139"/>
        <w:gridCol w:w="1213"/>
        <w:gridCol w:w="1137"/>
        <w:gridCol w:w="1141"/>
        <w:gridCol w:w="610"/>
      </w:tblGrid>
      <w:tr>
        <w:tblPrEx>
          <w:tblCellMar>
            <w:top w:w="0" w:type="dxa"/>
            <w:left w:w="0" w:type="dxa"/>
            <w:bottom w:w="0" w:type="dxa"/>
            <w:right w:w="0" w:type="dxa"/>
          </w:tblCellMar>
        </w:tblPrEx>
        <w:trPr>
          <w:trHeight w:val="454" w:hRule="atLeast"/>
        </w:trPr>
        <w:tc>
          <w:tcPr>
            <w:tcW w:w="46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2080" w:type="pct"/>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YA1</w:t>
            </w:r>
          </w:p>
        </w:tc>
        <w:tc>
          <w:tcPr>
            <w:tcW w:w="2081" w:type="pct"/>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YA2</w:t>
            </w:r>
          </w:p>
        </w:tc>
        <w:tc>
          <w:tcPr>
            <w:tcW w:w="377" w:type="pct"/>
            <w:vMerge w:val="restart"/>
            <w:tcBorders>
              <w:top w:val="single" w:color="auto"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CellMar>
            <w:top w:w="0" w:type="dxa"/>
            <w:left w:w="0" w:type="dxa"/>
            <w:bottom w:w="0" w:type="dxa"/>
            <w:right w:w="0" w:type="dxa"/>
          </w:tblCellMar>
        </w:tblPrEx>
        <w:trPr>
          <w:trHeight w:val="454"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377" w:type="pct"/>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氟化物</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0.007</w:t>
            </w:r>
            <w:r>
              <w:rPr>
                <w:rFonts w:ascii="Times New Roman" w:hAnsi="Times New Roman" w:eastAsia="宋体" w:cs="Times New Roman"/>
                <w:bCs/>
                <w:sz w:val="21"/>
                <w:szCs w:val="21"/>
              </w:rPr>
              <w:t>~0.009</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45</w:t>
            </w:r>
            <w:r>
              <w:rPr>
                <w:rFonts w:ascii="Times New Roman" w:hAnsi="Times New Roman" w:eastAsia="宋体" w:cs="Times New Roman"/>
                <w:bCs/>
                <w:sz w:val="21"/>
                <w:szCs w:val="21"/>
              </w:rPr>
              <w:t>%</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0.008~0.009</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45</w:t>
            </w:r>
            <w:r>
              <w:rPr>
                <w:rFonts w:ascii="Times New Roman" w:hAnsi="Times New Roman" w:eastAsia="宋体" w:cs="Times New Roman"/>
                <w:bCs/>
                <w:sz w:val="21"/>
                <w:szCs w:val="21"/>
              </w:rPr>
              <w:t>%</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苯胺</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氰化氢</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二氯甲烷</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r>
              <w:rPr>
                <w:rFonts w:ascii="Times New Roman" w:hAnsi="Times New Roman" w:eastAsia="宋体" w:cs="Times New Roman"/>
                <w:bCs/>
                <w:sz w:val="21"/>
                <w:szCs w:val="21"/>
              </w:rPr>
              <w:t>6.3×10-3</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r>
              <w:rPr>
                <w:rFonts w:ascii="Times New Roman" w:hAnsi="Times New Roman" w:eastAsia="宋体" w:cs="Times New Roman"/>
                <w:bCs/>
                <w:sz w:val="21"/>
                <w:szCs w:val="21"/>
              </w:rPr>
              <w:t>5.9×10-3</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甲苯</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r>
              <w:rPr>
                <w:rFonts w:ascii="Times New Roman" w:hAnsi="Times New Roman" w:eastAsia="宋体" w:cs="Times New Roman"/>
                <w:bCs/>
                <w:sz w:val="21"/>
                <w:szCs w:val="21"/>
              </w:rPr>
              <w:t>5.7×10-3</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r>
              <w:rPr>
                <w:rFonts w:ascii="Times New Roman" w:hAnsi="Times New Roman" w:eastAsia="宋体" w:cs="Times New Roman"/>
                <w:bCs/>
                <w:sz w:val="21"/>
                <w:szCs w:val="21"/>
              </w:rPr>
              <w:t xml:space="preserve"> 1.5×10-2</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甲醇</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氯化氢</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0.03~0.07</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0.06~0.08</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TVOC</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5.9×10-3 ~2.8×10-2</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6.5×10-3~ 6.1×10-2</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硫化氢</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4"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CellMar>
            <w:top w:w="0" w:type="dxa"/>
            <w:left w:w="0" w:type="dxa"/>
            <w:bottom w:w="0" w:type="dxa"/>
            <w:right w:w="0" w:type="dxa"/>
          </w:tblCellMar>
        </w:tblPrEx>
        <w:trPr>
          <w:trHeight w:val="454" w:hRule="atLeast"/>
        </w:trPr>
        <w:tc>
          <w:tcPr>
            <w:tcW w:w="46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硫酸雾</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4"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5"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7"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r>
      <w:tr>
        <w:tblPrEx>
          <w:tblCellMar>
            <w:top w:w="0" w:type="dxa"/>
            <w:left w:w="0" w:type="dxa"/>
            <w:bottom w:w="0" w:type="dxa"/>
            <w:right w:w="0" w:type="dxa"/>
          </w:tblCellMar>
        </w:tblPrEx>
        <w:trPr>
          <w:trHeight w:val="454" w:hRule="atLeast"/>
        </w:trPr>
        <w:tc>
          <w:tcPr>
            <w:tcW w:w="46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非甲烷总烃</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0.33~0.56</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c>
          <w:tcPr>
            <w:tcW w:w="694"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0.24~0.43</w:t>
            </w:r>
          </w:p>
        </w:tc>
        <w:tc>
          <w:tcPr>
            <w:tcW w:w="69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21.5%</w:t>
            </w:r>
          </w:p>
        </w:tc>
        <w:tc>
          <w:tcPr>
            <w:tcW w:w="695"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7"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表4.3-4  </w:t>
      </w:r>
      <w:r>
        <w:rPr>
          <w:rFonts w:hint="eastAsia" w:ascii="Times New Roman" w:hAnsi="Times New Roman"/>
          <w:b/>
          <w:bCs/>
          <w:szCs w:val="28"/>
        </w:rPr>
        <w:t>滨江</w:t>
      </w:r>
      <w:r>
        <w:rPr>
          <w:rFonts w:ascii="Times New Roman" w:hAnsi="Times New Roman"/>
          <w:b/>
          <w:bCs/>
          <w:szCs w:val="28"/>
        </w:rPr>
        <w:t>片区引用监测结果表</w:t>
      </w:r>
      <w:r>
        <w:rPr>
          <w:rFonts w:hint="eastAsia" w:ascii="Times New Roman" w:hAnsi="Times New Roman" w:cs="Times New Roman"/>
          <w:b/>
          <w:bCs/>
        </w:rPr>
        <w:t>（</w:t>
      </w:r>
      <w:r>
        <w:rPr>
          <w:rFonts w:ascii="Times New Roman" w:hAnsi="Times New Roman" w:cs="Times New Roman"/>
          <w:b/>
          <w:bCs/>
        </w:rPr>
        <w:t>2</w:t>
      </w:r>
      <w:r>
        <w:rPr>
          <w:rFonts w:hint="eastAsia" w:ascii="Times New Roman" w:hAnsi="Times New Roman" w:cs="Times New Roman"/>
          <w:b/>
          <w:bCs/>
        </w:rPr>
        <w:t>）</w:t>
      </w:r>
    </w:p>
    <w:tbl>
      <w:tblPr>
        <w:tblStyle w:val="36"/>
        <w:tblW w:w="5000" w:type="pct"/>
        <w:tblInd w:w="0" w:type="dxa"/>
        <w:tblLayout w:type="autofit"/>
        <w:tblCellMar>
          <w:top w:w="0" w:type="dxa"/>
          <w:left w:w="0" w:type="dxa"/>
          <w:bottom w:w="0" w:type="dxa"/>
          <w:right w:w="0" w:type="dxa"/>
        </w:tblCellMar>
      </w:tblPr>
      <w:tblGrid>
        <w:gridCol w:w="734"/>
        <w:gridCol w:w="1936"/>
        <w:gridCol w:w="676"/>
        <w:gridCol w:w="595"/>
        <w:gridCol w:w="2135"/>
        <w:gridCol w:w="758"/>
        <w:gridCol w:w="630"/>
        <w:gridCol w:w="878"/>
      </w:tblGrid>
      <w:tr>
        <w:tblPrEx>
          <w:tblCellMar>
            <w:top w:w="0" w:type="dxa"/>
            <w:left w:w="0" w:type="dxa"/>
            <w:bottom w:w="0" w:type="dxa"/>
            <w:right w:w="0" w:type="dxa"/>
          </w:tblCellMar>
        </w:tblPrEx>
        <w:trPr>
          <w:trHeight w:val="454" w:hRule="atLeast"/>
        </w:trPr>
        <w:tc>
          <w:tcPr>
            <w:tcW w:w="46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1986" w:type="pct"/>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YA3</w:t>
            </w:r>
          </w:p>
        </w:tc>
        <w:tc>
          <w:tcPr>
            <w:tcW w:w="2175" w:type="pct"/>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ind w:firstLine="420" w:firstLineChars="20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YA4</w:t>
            </w:r>
          </w:p>
        </w:tc>
        <w:tc>
          <w:tcPr>
            <w:tcW w:w="378" w:type="pct"/>
            <w:vMerge w:val="restart"/>
            <w:tcBorders>
              <w:top w:val="single" w:color="auto"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pPr>
              <w:ind w:firstLine="420" w:firstLineChars="20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CellMar>
            <w:top w:w="0" w:type="dxa"/>
            <w:left w:w="0" w:type="dxa"/>
            <w:bottom w:w="0" w:type="dxa"/>
            <w:right w:w="0" w:type="dxa"/>
          </w:tblCellMar>
        </w:tblPrEx>
        <w:trPr>
          <w:trHeight w:val="454"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378" w:type="pct"/>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氯化氢</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ind w:firstLine="420" w:firstLineChars="20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ind w:firstLine="420" w:firstLineChars="20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0.05~0.09</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90</w:t>
            </w:r>
            <w:r>
              <w:rPr>
                <w:rFonts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0.05~0.07</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70%</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TVOC</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0.00209~0.188</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31%</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0.00489~0.12</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硫化氢</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0.002~0.003</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0.003~0.004</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40%</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非甲烷总烃</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1~1.18</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59%</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0.87~1.59</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79.5%</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0.0145~0.0681</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0.0328~</w:t>
            </w:r>
            <w:r>
              <w:rPr>
                <w:rFonts w:hint="eastAsia" w:ascii="Times New Roman" w:hAnsi="Times New Roman" w:eastAsia="宋体" w:cs="Times New Roman"/>
                <w:bCs/>
                <w:sz w:val="21"/>
                <w:szCs w:val="21"/>
              </w:rPr>
              <w:t>0.0487</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44.3%</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二甲苯</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0.0209~0.0961</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48.1%</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0.0194</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0.108</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54%</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氯气</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0.03L</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0.03L</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二氧化硫</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0.021~0.026</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17.3%</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0.023~0.025</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16.7%</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二氧化氮</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0.027~0.028</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0.025~0.031</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38.8%</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0.08</w:t>
            </w:r>
          </w:p>
        </w:tc>
      </w:tr>
      <w:tr>
        <w:tblPrEx>
          <w:tblCellMar>
            <w:top w:w="0" w:type="dxa"/>
            <w:left w:w="0" w:type="dxa"/>
            <w:bottom w:w="0" w:type="dxa"/>
            <w:right w:w="0"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可吸入颗粒物PM10</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0.07~0.079</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52.7%</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0.062~0.068</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45.3%</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表4.3-5  </w:t>
      </w:r>
      <w:r>
        <w:rPr>
          <w:rFonts w:hint="eastAsia" w:ascii="Times New Roman" w:hAnsi="Times New Roman"/>
          <w:b/>
          <w:bCs/>
          <w:szCs w:val="28"/>
        </w:rPr>
        <w:t>滨江</w:t>
      </w:r>
      <w:r>
        <w:rPr>
          <w:rFonts w:ascii="Times New Roman" w:hAnsi="Times New Roman"/>
          <w:b/>
          <w:bCs/>
          <w:szCs w:val="28"/>
        </w:rPr>
        <w:t>片区引用监测结果表</w:t>
      </w:r>
      <w:r>
        <w:rPr>
          <w:rFonts w:hint="eastAsia" w:ascii="Times New Roman" w:hAnsi="Times New Roman" w:cs="Times New Roman"/>
          <w:b/>
          <w:bCs/>
        </w:rPr>
        <w:t>（</w:t>
      </w:r>
      <w:r>
        <w:rPr>
          <w:rFonts w:ascii="Times New Roman" w:hAnsi="Times New Roman" w:cs="Times New Roman"/>
          <w:b/>
          <w:bCs/>
        </w:rPr>
        <w:t>3</w:t>
      </w:r>
      <w:r>
        <w:rPr>
          <w:rFonts w:hint="eastAsia" w:ascii="Times New Roman" w:hAnsi="Times New Roman" w:cs="Times New Roman"/>
          <w:b/>
          <w:bCs/>
        </w:rPr>
        <w:t>）</w:t>
      </w:r>
    </w:p>
    <w:tbl>
      <w:tblPr>
        <w:tblStyle w:val="36"/>
        <w:tblW w:w="5000" w:type="pct"/>
        <w:tblInd w:w="0" w:type="dxa"/>
        <w:tblLayout w:type="autofit"/>
        <w:tblCellMar>
          <w:top w:w="0" w:type="dxa"/>
          <w:left w:w="0" w:type="dxa"/>
          <w:bottom w:w="0" w:type="dxa"/>
          <w:right w:w="0" w:type="dxa"/>
        </w:tblCellMar>
      </w:tblPr>
      <w:tblGrid>
        <w:gridCol w:w="770"/>
        <w:gridCol w:w="1972"/>
        <w:gridCol w:w="712"/>
        <w:gridCol w:w="631"/>
        <w:gridCol w:w="2171"/>
        <w:gridCol w:w="794"/>
        <w:gridCol w:w="666"/>
        <w:gridCol w:w="626"/>
      </w:tblGrid>
      <w:tr>
        <w:tblPrEx>
          <w:tblCellMar>
            <w:top w:w="0" w:type="dxa"/>
            <w:left w:w="0" w:type="dxa"/>
            <w:bottom w:w="0" w:type="dxa"/>
            <w:right w:w="0" w:type="dxa"/>
          </w:tblCellMar>
        </w:tblPrEx>
        <w:trPr>
          <w:trHeight w:val="285" w:hRule="atLeast"/>
        </w:trPr>
        <w:tc>
          <w:tcPr>
            <w:tcW w:w="46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1986" w:type="pct"/>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YA5</w:t>
            </w:r>
          </w:p>
        </w:tc>
        <w:tc>
          <w:tcPr>
            <w:tcW w:w="2175" w:type="pct"/>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YA6</w:t>
            </w:r>
          </w:p>
        </w:tc>
        <w:tc>
          <w:tcPr>
            <w:tcW w:w="378" w:type="pct"/>
            <w:vMerge w:val="restart"/>
            <w:tcBorders>
              <w:top w:val="single" w:color="auto"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CellMar>
            <w:top w:w="0" w:type="dxa"/>
            <w:left w:w="0" w:type="dxa"/>
            <w:bottom w:w="0" w:type="dxa"/>
            <w:right w:w="0" w:type="dxa"/>
          </w:tblCellMar>
        </w:tblPrEx>
        <w:trPr>
          <w:trHeight w:val="285"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378" w:type="pct"/>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361"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氯化氢</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0.07~0.1</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0.06~0.12</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TVOC</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0.00515~0.0555</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9.3</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0.00188~0.0806</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13.4</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硫化氢</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0.002</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0.004~0.005</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非甲烷总烃</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0.97~1.76</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88</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0.96~1.48</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74</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0.0165~0.0485</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44.1</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0.0257~0.0524</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47.6</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0.11</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二甲苯</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0.0015</w:t>
            </w:r>
            <w:r>
              <w:rPr>
                <w:rFonts w:ascii="Times New Roman" w:hAnsi="Times New Roman" w:eastAsia="宋体" w:cs="Times New Roman"/>
                <w:bCs/>
                <w:sz w:val="21"/>
                <w:szCs w:val="21"/>
              </w:rPr>
              <w:t>L~0.0974</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48.7</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0.0015L~0.105</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52.5</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氯气</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0.03L</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0.03L</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二氧化硫</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0.029~0.031</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20.7</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0.023~0.024</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r>
        <w:tblPrEx>
          <w:tblCellMar>
            <w:top w:w="0" w:type="dxa"/>
            <w:left w:w="0" w:type="dxa"/>
            <w:bottom w:w="0" w:type="dxa"/>
            <w:right w:w="0" w:type="dxa"/>
          </w:tblCellMar>
        </w:tblPrEx>
        <w:trPr>
          <w:trHeight w:val="285"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二氧化氮</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0.026~0.034</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42.5</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0.023~0.031</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38.8</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0.08</w:t>
            </w:r>
          </w:p>
        </w:tc>
      </w:tr>
      <w:tr>
        <w:tblPrEx>
          <w:tblCellMar>
            <w:top w:w="0" w:type="dxa"/>
            <w:left w:w="0" w:type="dxa"/>
            <w:bottom w:w="0" w:type="dxa"/>
            <w:right w:w="0" w:type="dxa"/>
          </w:tblCellMar>
        </w:tblPrEx>
        <w:trPr>
          <w:trHeight w:val="570" w:hRule="atLeast"/>
        </w:trPr>
        <w:tc>
          <w:tcPr>
            <w:tcW w:w="46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可吸入颗粒物PM10</w:t>
            </w:r>
          </w:p>
        </w:tc>
        <w:tc>
          <w:tcPr>
            <w:tcW w:w="1182"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0.064~0.065</w:t>
            </w:r>
          </w:p>
        </w:tc>
        <w:tc>
          <w:tcPr>
            <w:tcW w:w="42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43.3</w:t>
            </w:r>
            <w:r>
              <w:rPr>
                <w:rFonts w:hint="eastAsia" w:ascii="Times New Roman" w:hAnsi="Times New Roman" w:eastAsia="宋体" w:cs="Times New Roman"/>
                <w:bCs/>
                <w:sz w:val="21"/>
                <w:szCs w:val="21"/>
              </w:rPr>
              <w:t>%</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30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0.072~0.081</w:t>
            </w:r>
          </w:p>
        </w:tc>
        <w:tc>
          <w:tcPr>
            <w:tcW w:w="47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54</w:t>
            </w:r>
            <w:r>
              <w:rPr>
                <w:rFonts w:hint="eastAsia" w:ascii="Times New Roman" w:hAnsi="Times New Roman" w:eastAsia="宋体" w:cs="Times New Roman"/>
                <w:bCs/>
                <w:sz w:val="21"/>
                <w:szCs w:val="21"/>
              </w:rPr>
              <w:t>%</w:t>
            </w:r>
          </w:p>
        </w:tc>
        <w:tc>
          <w:tcPr>
            <w:tcW w:w="399"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37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表4.3-6  </w:t>
      </w:r>
      <w:r>
        <w:rPr>
          <w:rFonts w:hint="eastAsia" w:ascii="Times New Roman" w:hAnsi="Times New Roman"/>
          <w:b/>
          <w:bCs/>
          <w:szCs w:val="28"/>
        </w:rPr>
        <w:t>滨江</w:t>
      </w:r>
      <w:r>
        <w:rPr>
          <w:rFonts w:ascii="Times New Roman" w:hAnsi="Times New Roman"/>
          <w:b/>
          <w:bCs/>
          <w:szCs w:val="28"/>
        </w:rPr>
        <w:t>片区引用监测结果表</w:t>
      </w:r>
      <w:r>
        <w:rPr>
          <w:rFonts w:hint="eastAsia" w:ascii="Times New Roman" w:hAnsi="Times New Roman" w:cs="Times New Roman"/>
          <w:b/>
          <w:bCs/>
        </w:rPr>
        <w:t>（</w:t>
      </w:r>
      <w:r>
        <w:rPr>
          <w:rFonts w:ascii="Times New Roman" w:hAnsi="Times New Roman" w:cs="Times New Roman"/>
          <w:b/>
          <w:bCs/>
        </w:rPr>
        <w:t>4</w:t>
      </w:r>
      <w:r>
        <w:rPr>
          <w:rFonts w:hint="eastAsia" w:ascii="Times New Roman" w:hAnsi="Times New Roman" w:cs="Times New Roman"/>
          <w:b/>
          <w:bCs/>
        </w:rPr>
        <w:t>）</w:t>
      </w:r>
    </w:p>
    <w:tbl>
      <w:tblPr>
        <w:tblStyle w:val="36"/>
        <w:tblW w:w="8914" w:type="dxa"/>
        <w:jc w:val="center"/>
        <w:tblLayout w:type="autofit"/>
        <w:tblCellMar>
          <w:top w:w="0" w:type="dxa"/>
          <w:left w:w="0" w:type="dxa"/>
          <w:bottom w:w="0" w:type="dxa"/>
          <w:right w:w="0" w:type="dxa"/>
        </w:tblCellMar>
      </w:tblPr>
      <w:tblGrid>
        <w:gridCol w:w="2154"/>
        <w:gridCol w:w="3380"/>
        <w:gridCol w:w="1220"/>
        <w:gridCol w:w="1080"/>
        <w:gridCol w:w="1080"/>
      </w:tblGrid>
      <w:tr>
        <w:tblPrEx>
          <w:tblCellMar>
            <w:top w:w="0" w:type="dxa"/>
            <w:left w:w="0" w:type="dxa"/>
            <w:bottom w:w="0" w:type="dxa"/>
            <w:right w:w="0" w:type="dxa"/>
          </w:tblCellMar>
        </w:tblPrEx>
        <w:trPr>
          <w:trHeight w:val="340" w:hRule="atLeast"/>
          <w:jc w:val="center"/>
        </w:trPr>
        <w:tc>
          <w:tcPr>
            <w:tcW w:w="215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5680" w:type="dxa"/>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YA7</w:t>
            </w:r>
          </w:p>
        </w:tc>
        <w:tc>
          <w:tcPr>
            <w:tcW w:w="1080" w:type="dxa"/>
            <w:vMerge w:val="restart"/>
            <w:tcBorders>
              <w:top w:val="single" w:color="auto"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CellMar>
            <w:top w:w="0" w:type="dxa"/>
            <w:left w:w="0" w:type="dxa"/>
            <w:bottom w:w="0" w:type="dxa"/>
            <w:right w:w="0" w:type="dxa"/>
          </w:tblCellMar>
        </w:tblPrEx>
        <w:trPr>
          <w:trHeight w:val="340" w:hRule="atLeast"/>
          <w:jc w:val="center"/>
        </w:trPr>
        <w:tc>
          <w:tcPr>
            <w:tcW w:w="215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0" w:type="auto"/>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氯化氢</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0.05L</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0.07~0.14</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70</w:t>
            </w:r>
            <w:r>
              <w:rPr>
                <w:rFonts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TVOC</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0.00249~0.05</w:t>
            </w:r>
            <w:r>
              <w:rPr>
                <w:rFonts w:ascii="Times New Roman" w:hAnsi="Times New Roman" w:eastAsia="宋体" w:cs="Times New Roman"/>
                <w:bCs/>
                <w:sz w:val="21"/>
                <w:szCs w:val="21"/>
              </w:rPr>
              <w:t>76</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9.6</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硫化氢</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0.002~0.003</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非甲烷总烃</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0.94~1.68</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84</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0.006~0.0434</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39.5</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0.11</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二甲苯</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0.0015L~0.0853</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42.7</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氯气</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0.03L</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二氧化硫</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0.026~0.028</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18.7</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二氧化氮</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0.023~0.028</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0.08</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可吸入颗粒物PM10</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0.071</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47.3</w:t>
            </w: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r>
        <w:tblPrEx>
          <w:tblCellMar>
            <w:top w:w="0" w:type="dxa"/>
            <w:left w:w="0" w:type="dxa"/>
            <w:bottom w:w="0" w:type="dxa"/>
            <w:right w:w="0" w:type="dxa"/>
          </w:tblCellMar>
        </w:tblPrEx>
        <w:trPr>
          <w:trHeight w:val="340" w:hRule="atLeast"/>
          <w:jc w:val="center"/>
        </w:trPr>
        <w:tc>
          <w:tcPr>
            <w:tcW w:w="2154"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总悬浮颗粒物</w:t>
            </w:r>
          </w:p>
        </w:tc>
        <w:tc>
          <w:tcPr>
            <w:tcW w:w="33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2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08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表4.3-7  </w:t>
      </w:r>
      <w:r>
        <w:rPr>
          <w:rFonts w:hint="eastAsia" w:ascii="Times New Roman" w:hAnsi="Times New Roman"/>
          <w:b/>
          <w:bCs/>
          <w:szCs w:val="28"/>
        </w:rPr>
        <w:t>三湾</w:t>
      </w:r>
      <w:r>
        <w:rPr>
          <w:rFonts w:ascii="Times New Roman" w:hAnsi="Times New Roman"/>
          <w:b/>
          <w:bCs/>
          <w:szCs w:val="28"/>
        </w:rPr>
        <w:t>片区引用监测结果表</w:t>
      </w:r>
    </w:p>
    <w:tbl>
      <w:tblPr>
        <w:tblStyle w:val="36"/>
        <w:tblW w:w="0" w:type="auto"/>
        <w:jc w:val="center"/>
        <w:tblLayout w:type="autofit"/>
        <w:tblCellMar>
          <w:top w:w="0" w:type="dxa"/>
          <w:left w:w="0" w:type="dxa"/>
          <w:bottom w:w="0" w:type="dxa"/>
          <w:right w:w="0" w:type="dxa"/>
        </w:tblCellMar>
      </w:tblPr>
      <w:tblGrid>
        <w:gridCol w:w="1707"/>
        <w:gridCol w:w="1089"/>
        <w:gridCol w:w="1022"/>
        <w:gridCol w:w="798"/>
        <w:gridCol w:w="1089"/>
        <w:gridCol w:w="1022"/>
        <w:gridCol w:w="798"/>
        <w:gridCol w:w="817"/>
      </w:tblGrid>
      <w:tr>
        <w:tblPrEx>
          <w:tblCellMar>
            <w:top w:w="0" w:type="dxa"/>
            <w:left w:w="0" w:type="dxa"/>
            <w:bottom w:w="0" w:type="dxa"/>
            <w:right w:w="0" w:type="dxa"/>
          </w:tblCellMar>
        </w:tblPrEx>
        <w:trPr>
          <w:trHeight w:val="340"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0" w:type="auto"/>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YA8</w:t>
            </w:r>
          </w:p>
        </w:tc>
        <w:tc>
          <w:tcPr>
            <w:tcW w:w="0" w:type="auto"/>
            <w:gridSpan w:val="3"/>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YA9</w:t>
            </w:r>
          </w:p>
        </w:tc>
        <w:tc>
          <w:tcPr>
            <w:tcW w:w="0" w:type="auto"/>
            <w:vMerge w:val="restart"/>
            <w:tcBorders>
              <w:top w:val="single" w:color="auto" w:sz="4" w:space="0"/>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CellMar>
            <w:top w:w="0" w:type="dxa"/>
            <w:left w:w="0" w:type="dxa"/>
            <w:bottom w:w="0"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0" w:type="auto"/>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二氧化硫</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0.023~0.033</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0.023~0.031</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20.7</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r>
        <w:tblPrEx>
          <w:tblCellMar>
            <w:top w:w="0" w:type="dxa"/>
            <w:left w:w="0" w:type="dxa"/>
            <w:bottom w:w="0" w:type="dxa"/>
            <w:right w:w="0"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二氧化氮</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0.022~0.027</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33.8</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0.021~0.029</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36.3</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0.08</w:t>
            </w:r>
          </w:p>
        </w:tc>
      </w:tr>
      <w:tr>
        <w:tblPrEx>
          <w:tblCellMar>
            <w:top w:w="0" w:type="dxa"/>
            <w:left w:w="0" w:type="dxa"/>
            <w:bottom w:w="0" w:type="dxa"/>
            <w:right w:w="0"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可吸入颗粒物PM10</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0.042~0.078</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0.051~0.072</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48</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w:t>
            </w:r>
          </w:p>
        </w:tc>
      </w:tr>
      <w:tr>
        <w:tblPrEx>
          <w:tblCellMar>
            <w:top w:w="0" w:type="dxa"/>
            <w:left w:w="0" w:type="dxa"/>
            <w:bottom w:w="0" w:type="dxa"/>
            <w:right w:w="0"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总悬浮颗粒物</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0.098~0.133</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44.3</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0.092~0.146</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48.7</w:t>
            </w:r>
            <w:r>
              <w:rPr>
                <w:rFonts w:hint="eastAsia" w:ascii="Times New Roman" w:hAnsi="Times New Roman" w:eastAsia="宋体" w:cs="Times New Roman"/>
                <w:bCs/>
                <w:sz w:val="21"/>
                <w:szCs w:val="21"/>
              </w:rPr>
              <w:t>%</w:t>
            </w:r>
          </w:p>
        </w:tc>
        <w:tc>
          <w:tcPr>
            <w:tcW w:w="0" w:type="auto"/>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0" w:type="auto"/>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r>
    </w:tbl>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4.3.1.</w:t>
      </w:r>
      <w:r>
        <w:rPr>
          <w:rFonts w:hint="eastAsia" w:asciiTheme="majorHAnsi" w:hAnsiTheme="majorHAnsi" w:eastAsiaTheme="majorEastAsia" w:cstheme="majorBidi"/>
          <w:b/>
          <w:bCs/>
          <w:szCs w:val="28"/>
        </w:rPr>
        <w:t>3</w:t>
      </w:r>
      <w:r>
        <w:rPr>
          <w:rFonts w:asciiTheme="majorHAnsi" w:hAnsiTheme="majorHAnsi" w:eastAsiaTheme="majorEastAsia" w:cstheme="majorBidi"/>
          <w:b/>
          <w:bCs/>
          <w:szCs w:val="28"/>
        </w:rPr>
        <w:t xml:space="preserve"> 本次评价</w:t>
      </w:r>
      <w:r>
        <w:rPr>
          <w:rFonts w:hint="eastAsia" w:asciiTheme="majorHAnsi" w:hAnsiTheme="majorHAnsi" w:eastAsiaTheme="majorEastAsia" w:cstheme="majorBidi"/>
          <w:b/>
          <w:bCs/>
          <w:szCs w:val="28"/>
        </w:rPr>
        <w:t>现状</w:t>
      </w:r>
      <w:r>
        <w:rPr>
          <w:rFonts w:asciiTheme="majorHAnsi" w:hAnsiTheme="majorHAnsi" w:eastAsiaTheme="majorEastAsia" w:cstheme="majorBidi"/>
          <w:b/>
          <w:bCs/>
          <w:szCs w:val="28"/>
        </w:rPr>
        <w:t>监测</w:t>
      </w:r>
    </w:p>
    <w:p>
      <w:pPr>
        <w:spacing w:line="360" w:lineRule="auto"/>
        <w:ind w:firstLine="480" w:firstLineChars="200"/>
        <w:rPr>
          <w:rFonts w:ascii="Times New Roman" w:hAnsi="Times New Roman" w:cs="Times New Roman"/>
        </w:rPr>
      </w:pPr>
      <w:r>
        <w:rPr>
          <w:rFonts w:hint="eastAsia" w:ascii="Times New Roman" w:hAnsi="Times New Roman" w:cs="Times New Roman"/>
        </w:rPr>
        <w:t>（1）</w:t>
      </w: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r>
        <w:rPr>
          <w:rFonts w:hint="eastAsia" w:ascii="Times New Roman" w:hAnsi="Times New Roman" w:cs="Times New Roman"/>
        </w:rPr>
        <w:t>（2）</w:t>
      </w: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4.3.1.4 </w:t>
      </w:r>
      <w:r>
        <w:rPr>
          <w:rFonts w:hint="eastAsia" w:asciiTheme="majorHAnsi" w:hAnsiTheme="majorHAnsi" w:eastAsiaTheme="majorEastAsia" w:cstheme="majorBidi"/>
          <w:b/>
          <w:bCs/>
          <w:szCs w:val="28"/>
        </w:rPr>
        <w:t>大气环境</w:t>
      </w:r>
      <w:r>
        <w:rPr>
          <w:rFonts w:asciiTheme="majorHAnsi" w:hAnsiTheme="majorHAnsi" w:eastAsiaTheme="majorEastAsia" w:cstheme="majorBidi"/>
          <w:b/>
          <w:bCs/>
          <w:szCs w:val="28"/>
        </w:rPr>
        <w:t>质量</w:t>
      </w:r>
      <w:r>
        <w:rPr>
          <w:rFonts w:hint="eastAsia" w:asciiTheme="majorHAnsi" w:hAnsiTheme="majorHAnsi" w:eastAsiaTheme="majorEastAsia" w:cstheme="majorBidi"/>
          <w:b/>
          <w:bCs/>
          <w:szCs w:val="28"/>
        </w:rPr>
        <w:t>数据对比</w:t>
      </w:r>
    </w:p>
    <w:p>
      <w:pPr>
        <w:spacing w:line="360" w:lineRule="auto"/>
        <w:ind w:firstLine="480" w:firstLineChars="200"/>
        <w:rPr>
          <w:rFonts w:ascii="Times New Roman" w:hAnsi="Times New Roman" w:eastAsia="宋体" w:cs="Times New Roman"/>
          <w:szCs w:val="24"/>
          <w:u w:val="single"/>
        </w:rPr>
      </w:pPr>
      <w:r>
        <w:rPr>
          <w:rFonts w:hint="eastAsia" w:ascii="Times New Roman" w:hAnsi="Times New Roman" w:eastAsia="宋体" w:cs="Times New Roman"/>
          <w:szCs w:val="24"/>
          <w:u w:val="single"/>
        </w:rPr>
        <w:t>根据前文大气常规监测数据可知，SO</w:t>
      </w:r>
      <w:r>
        <w:rPr>
          <w:rFonts w:hint="eastAsia" w:ascii="Times New Roman" w:hAnsi="Times New Roman" w:eastAsia="宋体" w:cs="Times New Roman"/>
          <w:szCs w:val="24"/>
          <w:u w:val="single"/>
          <w:vertAlign w:val="subscript"/>
        </w:rPr>
        <w:t>2</w:t>
      </w:r>
      <w:r>
        <w:rPr>
          <w:rFonts w:hint="eastAsia" w:ascii="Times New Roman" w:hAnsi="Times New Roman" w:eastAsia="宋体" w:cs="Times New Roman"/>
          <w:szCs w:val="24"/>
          <w:u w:val="single"/>
        </w:rPr>
        <w:t>、NO</w:t>
      </w:r>
      <w:r>
        <w:rPr>
          <w:rFonts w:hint="eastAsia" w:ascii="Times New Roman" w:hAnsi="Times New Roman" w:eastAsia="宋体" w:cs="Times New Roman"/>
          <w:szCs w:val="24"/>
          <w:u w:val="single"/>
          <w:vertAlign w:val="subscript"/>
        </w:rPr>
        <w:t>2</w:t>
      </w:r>
      <w:r>
        <w:rPr>
          <w:rFonts w:hint="eastAsia" w:ascii="Times New Roman" w:hAnsi="Times New Roman" w:eastAsia="宋体" w:cs="Times New Roman"/>
          <w:szCs w:val="24"/>
          <w:u w:val="single"/>
        </w:rPr>
        <w:t>、PM</w:t>
      </w:r>
      <w:r>
        <w:rPr>
          <w:rFonts w:hint="eastAsia" w:ascii="Times New Roman" w:hAnsi="Times New Roman" w:eastAsia="宋体" w:cs="Times New Roman"/>
          <w:szCs w:val="24"/>
          <w:u w:val="single"/>
          <w:vertAlign w:val="subscript"/>
        </w:rPr>
        <w:t>10</w:t>
      </w:r>
      <w:r>
        <w:rPr>
          <w:rFonts w:hint="eastAsia" w:ascii="Times New Roman" w:hAnsi="Times New Roman" w:eastAsia="宋体" w:cs="Times New Roman"/>
          <w:szCs w:val="24"/>
          <w:u w:val="single"/>
        </w:rPr>
        <w:t>、PM</w:t>
      </w:r>
      <w:r>
        <w:rPr>
          <w:rFonts w:hint="eastAsia" w:ascii="Times New Roman" w:hAnsi="Times New Roman" w:eastAsia="宋体" w:cs="Times New Roman"/>
          <w:szCs w:val="24"/>
          <w:u w:val="single"/>
          <w:vertAlign w:val="subscript"/>
        </w:rPr>
        <w:t>2.5</w:t>
      </w:r>
      <w:r>
        <w:rPr>
          <w:rFonts w:hint="eastAsia" w:ascii="Times New Roman" w:hAnsi="Times New Roman" w:eastAsia="宋体" w:cs="Times New Roman"/>
          <w:szCs w:val="24"/>
          <w:u w:val="single"/>
        </w:rPr>
        <w:t>、CO、O</w:t>
      </w:r>
      <w:r>
        <w:rPr>
          <w:rFonts w:hint="eastAsia" w:ascii="Times New Roman" w:hAnsi="Times New Roman" w:eastAsia="宋体" w:cs="Times New Roman"/>
          <w:szCs w:val="24"/>
          <w:u w:val="single"/>
          <w:vertAlign w:val="subscript"/>
        </w:rPr>
        <w:t>3</w:t>
      </w:r>
      <w:r>
        <w:rPr>
          <w:rFonts w:hint="eastAsia" w:ascii="Times New Roman" w:hAnsi="Times New Roman" w:eastAsia="宋体" w:cs="Times New Roman"/>
          <w:szCs w:val="24"/>
          <w:u w:val="single"/>
        </w:rPr>
        <w:t>基本污染物整体呈减小趋势。本次监测与例行监测数据对比可知，各监测点位污染因子变化量较小，各监测点位均无明显变化。</w:t>
      </w:r>
      <w:r>
        <w:rPr>
          <w:rFonts w:ascii="Times New Roman" w:hAnsi="Times New Roman" w:eastAsia="宋体" w:cs="Times New Roman"/>
          <w:szCs w:val="24"/>
          <w:u w:val="single"/>
        </w:rPr>
        <w:t>因此</w:t>
      </w:r>
      <w:r>
        <w:rPr>
          <w:rFonts w:hint="eastAsia" w:ascii="Times New Roman" w:hAnsi="Times New Roman" w:eastAsia="宋体" w:cs="Times New Roman"/>
          <w:szCs w:val="24"/>
          <w:u w:val="single"/>
        </w:rPr>
        <w:t>园区范围内环境空气质量现状良好。</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表4.3-16  与</w:t>
      </w:r>
      <w:r>
        <w:rPr>
          <w:rFonts w:hint="eastAsia" w:ascii="Times New Roman" w:hAnsi="Times New Roman"/>
          <w:b/>
          <w:bCs/>
          <w:szCs w:val="28"/>
        </w:rPr>
        <w:t>园区例行</w:t>
      </w:r>
      <w:r>
        <w:rPr>
          <w:rFonts w:ascii="Times New Roman" w:hAnsi="Times New Roman"/>
          <w:b/>
          <w:bCs/>
          <w:szCs w:val="28"/>
        </w:rPr>
        <w:t>监测重合的大气环境质量监测点情况汇总表</w:t>
      </w:r>
    </w:p>
    <w:tbl>
      <w:tblPr>
        <w:tblStyle w:val="36"/>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40"/>
        <w:gridCol w:w="1812"/>
        <w:gridCol w:w="1682"/>
        <w:gridCol w:w="1424"/>
        <w:gridCol w:w="15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5" w:type="pct"/>
            <w:vAlign w:val="center"/>
          </w:tcPr>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本次监测</w:t>
            </w:r>
          </w:p>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点位</w:t>
            </w:r>
          </w:p>
        </w:tc>
        <w:tc>
          <w:tcPr>
            <w:tcW w:w="999" w:type="pct"/>
            <w:vAlign w:val="center"/>
          </w:tcPr>
          <w:p>
            <w:pPr>
              <w:ind w:firstLine="420" w:firstLineChars="20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对照点来源</w:t>
            </w:r>
          </w:p>
        </w:tc>
        <w:tc>
          <w:tcPr>
            <w:tcW w:w="927" w:type="pct"/>
            <w:vAlign w:val="center"/>
          </w:tcPr>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与</w:t>
            </w:r>
            <w:r>
              <w:rPr>
                <w:rFonts w:hint="eastAsia" w:ascii="Times New Roman" w:hAnsi="Times New Roman" w:eastAsia="宋体" w:cs="Times New Roman"/>
                <w:bCs/>
                <w:sz w:val="21"/>
                <w:szCs w:val="21"/>
              </w:rPr>
              <w:t>例行监测</w:t>
            </w:r>
          </w:p>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对照点</w:t>
            </w:r>
          </w:p>
        </w:tc>
        <w:tc>
          <w:tcPr>
            <w:tcW w:w="785" w:type="pct"/>
            <w:vAlign w:val="center"/>
          </w:tcPr>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原监测时间</w:t>
            </w:r>
          </w:p>
        </w:tc>
        <w:tc>
          <w:tcPr>
            <w:tcW w:w="834" w:type="pct"/>
            <w:vAlign w:val="center"/>
          </w:tcPr>
          <w:p>
            <w:pPr>
              <w:ind w:firstLine="420" w:firstLineChars="2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与环评重合监测因子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5" w:type="pct"/>
            <w:tcBorders>
              <w:bottom w:val="single" w:color="auto" w:sz="6" w:space="0"/>
            </w:tcBorders>
            <w:vAlign w:val="center"/>
          </w:tcPr>
          <w:p>
            <w:pPr>
              <w:ind w:firstLine="420" w:firstLineChars="200"/>
              <w:jc w:val="center"/>
              <w:rPr>
                <w:rFonts w:ascii="Times New Roman" w:hAnsi="Times New Roman" w:eastAsia="宋体" w:cs="Times New Roman"/>
                <w:bCs/>
                <w:sz w:val="21"/>
                <w:szCs w:val="21"/>
              </w:rPr>
            </w:pPr>
          </w:p>
        </w:tc>
        <w:tc>
          <w:tcPr>
            <w:tcW w:w="999" w:type="pct"/>
            <w:vMerge w:val="restart"/>
            <w:tcBorders>
              <w:bottom w:val="single" w:color="auto" w:sz="6" w:space="0"/>
            </w:tcBorders>
            <w:vAlign w:val="center"/>
          </w:tcPr>
          <w:p>
            <w:pPr>
              <w:ind w:firstLine="420" w:firstLineChars="200"/>
              <w:jc w:val="center"/>
              <w:rPr>
                <w:rFonts w:ascii="Times New Roman" w:hAnsi="Times New Roman" w:eastAsia="宋体" w:cs="Times New Roman"/>
                <w:bCs/>
                <w:sz w:val="21"/>
                <w:szCs w:val="21"/>
              </w:rPr>
            </w:pPr>
          </w:p>
        </w:tc>
        <w:tc>
          <w:tcPr>
            <w:tcW w:w="927" w:type="pct"/>
            <w:tcBorders>
              <w:bottom w:val="single" w:color="auto" w:sz="6" w:space="0"/>
            </w:tcBorders>
            <w:vAlign w:val="center"/>
          </w:tcPr>
          <w:p>
            <w:pPr>
              <w:ind w:firstLine="420" w:firstLineChars="200"/>
              <w:jc w:val="center"/>
              <w:rPr>
                <w:rFonts w:ascii="Times New Roman" w:hAnsi="Times New Roman" w:eastAsia="宋体" w:cs="Times New Roman"/>
                <w:bCs/>
                <w:sz w:val="21"/>
                <w:szCs w:val="21"/>
              </w:rPr>
            </w:pPr>
          </w:p>
        </w:tc>
        <w:tc>
          <w:tcPr>
            <w:tcW w:w="785" w:type="pct"/>
            <w:vMerge w:val="restart"/>
            <w:vAlign w:val="center"/>
          </w:tcPr>
          <w:p>
            <w:pPr>
              <w:ind w:firstLine="420" w:firstLineChars="200"/>
              <w:jc w:val="center"/>
              <w:rPr>
                <w:rFonts w:ascii="Times New Roman" w:hAnsi="Times New Roman" w:eastAsia="宋体" w:cs="Times New Roman"/>
                <w:bCs/>
                <w:sz w:val="21"/>
                <w:szCs w:val="21"/>
              </w:rPr>
            </w:pPr>
          </w:p>
        </w:tc>
        <w:tc>
          <w:tcPr>
            <w:tcW w:w="834" w:type="pct"/>
            <w:vMerge w:val="restart"/>
            <w:vAlign w:val="center"/>
          </w:tcPr>
          <w:p>
            <w:pPr>
              <w:ind w:firstLine="420" w:firstLineChars="200"/>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5" w:type="pct"/>
            <w:vAlign w:val="center"/>
          </w:tcPr>
          <w:p>
            <w:pPr>
              <w:ind w:firstLine="420" w:firstLineChars="200"/>
              <w:jc w:val="center"/>
              <w:rPr>
                <w:rFonts w:ascii="Times New Roman" w:hAnsi="Times New Roman" w:eastAsia="宋体" w:cs="Times New Roman"/>
                <w:bCs/>
                <w:kern w:val="0"/>
                <w:sz w:val="21"/>
                <w:szCs w:val="21"/>
              </w:rPr>
            </w:pPr>
          </w:p>
        </w:tc>
        <w:tc>
          <w:tcPr>
            <w:tcW w:w="999" w:type="pct"/>
            <w:vMerge w:val="continue"/>
            <w:vAlign w:val="center"/>
          </w:tcPr>
          <w:p>
            <w:pPr>
              <w:ind w:firstLine="420" w:firstLineChars="200"/>
              <w:jc w:val="center"/>
              <w:rPr>
                <w:rFonts w:ascii="Times New Roman" w:hAnsi="Times New Roman" w:eastAsia="宋体" w:cs="Times New Roman"/>
                <w:bCs/>
                <w:sz w:val="21"/>
                <w:szCs w:val="21"/>
              </w:rPr>
            </w:pPr>
          </w:p>
        </w:tc>
        <w:tc>
          <w:tcPr>
            <w:tcW w:w="927" w:type="pct"/>
            <w:vAlign w:val="center"/>
          </w:tcPr>
          <w:p>
            <w:pPr>
              <w:ind w:firstLine="420" w:firstLineChars="200"/>
              <w:jc w:val="center"/>
              <w:rPr>
                <w:rFonts w:ascii="Times New Roman" w:hAnsi="Times New Roman" w:eastAsia="宋体" w:cs="Times New Roman"/>
                <w:bCs/>
                <w:kern w:val="0"/>
                <w:sz w:val="21"/>
                <w:szCs w:val="21"/>
              </w:rPr>
            </w:pPr>
          </w:p>
        </w:tc>
        <w:tc>
          <w:tcPr>
            <w:tcW w:w="785" w:type="pct"/>
            <w:vMerge w:val="continue"/>
            <w:vAlign w:val="center"/>
          </w:tcPr>
          <w:p>
            <w:pPr>
              <w:ind w:firstLine="420" w:firstLineChars="200"/>
              <w:jc w:val="center"/>
              <w:rPr>
                <w:rFonts w:ascii="Times New Roman" w:hAnsi="Times New Roman" w:eastAsia="宋体" w:cs="Times New Roman"/>
                <w:bCs/>
                <w:sz w:val="21"/>
                <w:szCs w:val="21"/>
              </w:rPr>
            </w:pPr>
          </w:p>
        </w:tc>
        <w:tc>
          <w:tcPr>
            <w:tcW w:w="834" w:type="pct"/>
            <w:vMerge w:val="continue"/>
            <w:vAlign w:val="center"/>
          </w:tcPr>
          <w:p>
            <w:pPr>
              <w:ind w:firstLine="420" w:firstLineChars="200"/>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5" w:type="pct"/>
            <w:vAlign w:val="center"/>
          </w:tcPr>
          <w:p>
            <w:pPr>
              <w:ind w:firstLine="420" w:firstLineChars="200"/>
              <w:jc w:val="center"/>
              <w:rPr>
                <w:rFonts w:ascii="Times New Roman" w:hAnsi="Times New Roman" w:eastAsia="宋体" w:cs="Times New Roman"/>
                <w:bCs/>
                <w:kern w:val="0"/>
                <w:sz w:val="21"/>
                <w:szCs w:val="21"/>
              </w:rPr>
            </w:pPr>
          </w:p>
        </w:tc>
        <w:tc>
          <w:tcPr>
            <w:tcW w:w="999" w:type="pct"/>
            <w:vMerge w:val="continue"/>
            <w:vAlign w:val="center"/>
          </w:tcPr>
          <w:p>
            <w:pPr>
              <w:ind w:firstLine="420" w:firstLineChars="200"/>
              <w:jc w:val="center"/>
              <w:rPr>
                <w:rFonts w:ascii="Times New Roman" w:hAnsi="Times New Roman" w:eastAsia="宋体" w:cs="Times New Roman"/>
                <w:bCs/>
                <w:sz w:val="21"/>
                <w:szCs w:val="21"/>
              </w:rPr>
            </w:pPr>
          </w:p>
        </w:tc>
        <w:tc>
          <w:tcPr>
            <w:tcW w:w="927" w:type="pct"/>
            <w:vAlign w:val="center"/>
          </w:tcPr>
          <w:p>
            <w:pPr>
              <w:ind w:firstLine="420" w:firstLineChars="200"/>
              <w:jc w:val="center"/>
              <w:rPr>
                <w:rFonts w:ascii="Times New Roman" w:hAnsi="Times New Roman" w:eastAsia="宋体" w:cs="Times New Roman"/>
                <w:bCs/>
                <w:kern w:val="0"/>
                <w:sz w:val="21"/>
                <w:szCs w:val="21"/>
              </w:rPr>
            </w:pPr>
          </w:p>
        </w:tc>
        <w:tc>
          <w:tcPr>
            <w:tcW w:w="785" w:type="pct"/>
            <w:vMerge w:val="continue"/>
            <w:vAlign w:val="center"/>
          </w:tcPr>
          <w:p>
            <w:pPr>
              <w:ind w:firstLine="420" w:firstLineChars="200"/>
              <w:jc w:val="center"/>
              <w:rPr>
                <w:rFonts w:ascii="Times New Roman" w:hAnsi="Times New Roman" w:eastAsia="宋体" w:cs="Times New Roman"/>
                <w:bCs/>
                <w:sz w:val="21"/>
                <w:szCs w:val="21"/>
              </w:rPr>
            </w:pPr>
          </w:p>
        </w:tc>
        <w:tc>
          <w:tcPr>
            <w:tcW w:w="834" w:type="pct"/>
            <w:vMerge w:val="continue"/>
            <w:vAlign w:val="center"/>
          </w:tcPr>
          <w:p>
            <w:pPr>
              <w:ind w:firstLine="420" w:firstLineChars="200"/>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5" w:type="pct"/>
            <w:vAlign w:val="center"/>
          </w:tcPr>
          <w:p>
            <w:pPr>
              <w:ind w:firstLine="420" w:firstLineChars="200"/>
              <w:jc w:val="center"/>
              <w:rPr>
                <w:rFonts w:ascii="Times New Roman" w:hAnsi="Times New Roman" w:eastAsia="宋体" w:cs="Times New Roman"/>
                <w:bCs/>
                <w:kern w:val="0"/>
                <w:sz w:val="21"/>
                <w:szCs w:val="21"/>
              </w:rPr>
            </w:pPr>
          </w:p>
        </w:tc>
        <w:tc>
          <w:tcPr>
            <w:tcW w:w="999" w:type="pct"/>
            <w:vMerge w:val="continue"/>
            <w:vAlign w:val="center"/>
          </w:tcPr>
          <w:p>
            <w:pPr>
              <w:ind w:firstLine="420" w:firstLineChars="200"/>
              <w:jc w:val="center"/>
              <w:rPr>
                <w:rFonts w:ascii="Times New Roman" w:hAnsi="Times New Roman" w:eastAsia="宋体" w:cs="Times New Roman"/>
                <w:bCs/>
                <w:sz w:val="21"/>
                <w:szCs w:val="21"/>
              </w:rPr>
            </w:pPr>
          </w:p>
        </w:tc>
        <w:tc>
          <w:tcPr>
            <w:tcW w:w="927" w:type="pct"/>
            <w:vAlign w:val="center"/>
          </w:tcPr>
          <w:p>
            <w:pPr>
              <w:ind w:firstLine="420" w:firstLineChars="200"/>
              <w:jc w:val="center"/>
              <w:rPr>
                <w:rFonts w:ascii="Times New Roman" w:hAnsi="Times New Roman" w:eastAsia="宋体" w:cs="Times New Roman"/>
                <w:bCs/>
                <w:kern w:val="0"/>
                <w:sz w:val="21"/>
                <w:szCs w:val="21"/>
              </w:rPr>
            </w:pPr>
          </w:p>
        </w:tc>
        <w:tc>
          <w:tcPr>
            <w:tcW w:w="785" w:type="pct"/>
            <w:vMerge w:val="continue"/>
            <w:vAlign w:val="center"/>
          </w:tcPr>
          <w:p>
            <w:pPr>
              <w:ind w:firstLine="420" w:firstLineChars="200"/>
              <w:jc w:val="center"/>
              <w:rPr>
                <w:rFonts w:ascii="Times New Roman" w:hAnsi="Times New Roman" w:eastAsia="宋体" w:cs="Times New Roman"/>
                <w:bCs/>
                <w:sz w:val="21"/>
                <w:szCs w:val="21"/>
              </w:rPr>
            </w:pPr>
          </w:p>
        </w:tc>
        <w:tc>
          <w:tcPr>
            <w:tcW w:w="834" w:type="pct"/>
            <w:vMerge w:val="restart"/>
            <w:vAlign w:val="center"/>
          </w:tcPr>
          <w:p>
            <w:pPr>
              <w:ind w:firstLine="420" w:firstLineChars="200"/>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5" w:type="pct"/>
            <w:vAlign w:val="center"/>
          </w:tcPr>
          <w:p>
            <w:pPr>
              <w:ind w:firstLine="420" w:firstLineChars="200"/>
              <w:jc w:val="center"/>
              <w:rPr>
                <w:rFonts w:ascii="Times New Roman" w:hAnsi="Times New Roman" w:eastAsia="宋体" w:cs="Times New Roman"/>
                <w:bCs/>
                <w:kern w:val="0"/>
                <w:sz w:val="21"/>
                <w:szCs w:val="21"/>
              </w:rPr>
            </w:pPr>
          </w:p>
        </w:tc>
        <w:tc>
          <w:tcPr>
            <w:tcW w:w="999" w:type="pct"/>
            <w:vMerge w:val="continue"/>
            <w:vAlign w:val="center"/>
          </w:tcPr>
          <w:p>
            <w:pPr>
              <w:ind w:firstLine="420" w:firstLineChars="200"/>
              <w:jc w:val="center"/>
              <w:rPr>
                <w:rFonts w:ascii="Times New Roman" w:hAnsi="Times New Roman" w:eastAsia="宋体" w:cs="Times New Roman"/>
                <w:bCs/>
                <w:sz w:val="21"/>
                <w:szCs w:val="21"/>
              </w:rPr>
            </w:pPr>
          </w:p>
        </w:tc>
        <w:tc>
          <w:tcPr>
            <w:tcW w:w="927" w:type="pct"/>
            <w:vAlign w:val="center"/>
          </w:tcPr>
          <w:p>
            <w:pPr>
              <w:ind w:firstLine="420" w:firstLineChars="200"/>
              <w:jc w:val="center"/>
              <w:rPr>
                <w:rFonts w:ascii="Times New Roman" w:hAnsi="Times New Roman" w:eastAsia="宋体" w:cs="Times New Roman"/>
                <w:bCs/>
                <w:kern w:val="0"/>
                <w:sz w:val="21"/>
                <w:szCs w:val="21"/>
              </w:rPr>
            </w:pPr>
          </w:p>
        </w:tc>
        <w:tc>
          <w:tcPr>
            <w:tcW w:w="785"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834" w:type="pct"/>
            <w:vMerge w:val="continue"/>
            <w:vAlign w:val="center"/>
          </w:tcPr>
          <w:p>
            <w:pPr>
              <w:ind w:firstLine="420" w:firstLineChars="200"/>
              <w:jc w:val="center"/>
              <w:rPr>
                <w:rFonts w:ascii="Times New Roman" w:hAnsi="Times New Roman" w:eastAsia="宋体" w:cs="Times New Roman"/>
                <w:bCs/>
                <w:sz w:val="21"/>
                <w:szCs w:val="21"/>
                <w:u w:val="single"/>
              </w:rPr>
            </w:pP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表4.3-17  </w:t>
      </w:r>
      <w:r>
        <w:rPr>
          <w:rFonts w:hint="eastAsia" w:ascii="Times New Roman" w:hAnsi="Times New Roman"/>
          <w:b/>
          <w:bCs/>
          <w:szCs w:val="28"/>
        </w:rPr>
        <w:t>环境</w:t>
      </w:r>
      <w:r>
        <w:rPr>
          <w:rFonts w:ascii="Times New Roman" w:hAnsi="Times New Roman"/>
          <w:b/>
          <w:bCs/>
          <w:szCs w:val="28"/>
        </w:rPr>
        <w:t>空气质量与</w:t>
      </w:r>
      <w:r>
        <w:rPr>
          <w:rFonts w:hint="eastAsia" w:ascii="Times New Roman" w:hAnsi="Times New Roman"/>
          <w:b/>
          <w:bCs/>
          <w:szCs w:val="28"/>
        </w:rPr>
        <w:t>园区例行</w:t>
      </w:r>
      <w:r>
        <w:rPr>
          <w:rFonts w:ascii="Times New Roman" w:hAnsi="Times New Roman"/>
          <w:b/>
          <w:bCs/>
          <w:szCs w:val="28"/>
        </w:rPr>
        <w:t>监测</w:t>
      </w:r>
      <w:r>
        <w:rPr>
          <w:rFonts w:hint="eastAsia" w:ascii="Times New Roman" w:hAnsi="Times New Roman"/>
          <w:b/>
          <w:bCs/>
          <w:szCs w:val="28"/>
        </w:rPr>
        <w:t xml:space="preserve">对比情况 </w:t>
      </w:r>
      <w:r>
        <w:rPr>
          <w:rFonts w:ascii="Times New Roman" w:hAnsi="Times New Roman"/>
          <w:b/>
          <w:bCs/>
          <w:szCs w:val="28"/>
        </w:rPr>
        <w:t>m</w:t>
      </w:r>
      <w:r>
        <w:rPr>
          <w:rFonts w:hint="eastAsia" w:ascii="Times New Roman" w:hAnsi="Times New Roman"/>
          <w:b/>
          <w:bCs/>
          <w:szCs w:val="28"/>
        </w:rPr>
        <w:t>g/m</w:t>
      </w:r>
      <w:r>
        <w:rPr>
          <w:rFonts w:hint="eastAsia" w:ascii="Times New Roman" w:hAnsi="Times New Roman"/>
          <w:b/>
          <w:bCs/>
          <w:szCs w:val="28"/>
          <w:vertAlign w:val="superscript"/>
        </w:rPr>
        <w:t>3</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7"/>
        <w:gridCol w:w="1046"/>
        <w:gridCol w:w="1371"/>
        <w:gridCol w:w="1366"/>
        <w:gridCol w:w="1586"/>
        <w:gridCol w:w="19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Align w:val="center"/>
          </w:tcPr>
          <w:p>
            <w:pPr>
              <w:ind w:firstLine="420" w:firstLineChars="200"/>
              <w:jc w:val="center"/>
              <w:rPr>
                <w:rFonts w:ascii="Times New Roman" w:hAnsi="Times New Roman" w:eastAsia="宋体" w:cs="Arial"/>
                <w:sz w:val="21"/>
                <w:szCs w:val="21"/>
                <w:u w:val="single"/>
              </w:rPr>
            </w:pPr>
            <w:r>
              <w:rPr>
                <w:rFonts w:ascii="Times New Roman" w:hAnsi="Times New Roman" w:eastAsia="宋体" w:cs="Times New Roman"/>
                <w:sz w:val="21"/>
                <w:u w:val="single"/>
              </w:rPr>
              <w:t>监测点位</w:t>
            </w:r>
          </w:p>
        </w:tc>
        <w:tc>
          <w:tcPr>
            <w:tcW w:w="613" w:type="pct"/>
            <w:vAlign w:val="center"/>
          </w:tcPr>
          <w:p>
            <w:pPr>
              <w:ind w:firstLine="420" w:firstLineChars="200"/>
              <w:jc w:val="center"/>
              <w:rPr>
                <w:rFonts w:ascii="Times New Roman" w:hAnsi="Times New Roman" w:eastAsia="宋体" w:cs="Times New Roman"/>
                <w:sz w:val="21"/>
                <w:u w:val="single"/>
              </w:rPr>
            </w:pPr>
            <w:r>
              <w:rPr>
                <w:rFonts w:ascii="Times New Roman" w:hAnsi="Times New Roman" w:eastAsia="宋体" w:cs="Times New Roman"/>
                <w:sz w:val="21"/>
                <w:u w:val="single"/>
              </w:rPr>
              <w:t>监测项目</w:t>
            </w:r>
          </w:p>
        </w:tc>
        <w:tc>
          <w:tcPr>
            <w:tcW w:w="804" w:type="pct"/>
            <w:vAlign w:val="center"/>
          </w:tcPr>
          <w:p>
            <w:pPr>
              <w:ind w:firstLine="420" w:firstLineChars="200"/>
              <w:jc w:val="center"/>
              <w:rPr>
                <w:rFonts w:ascii="Times New Roman" w:hAnsi="Times New Roman" w:eastAsia="宋体" w:cs="Times New Roman"/>
                <w:sz w:val="21"/>
                <w:u w:val="single"/>
              </w:rPr>
            </w:pPr>
            <w:r>
              <w:rPr>
                <w:rFonts w:hint="eastAsia" w:ascii="Times New Roman" w:hAnsi="Times New Roman" w:eastAsia="宋体" w:cs="Times New Roman"/>
                <w:sz w:val="21"/>
                <w:u w:val="single"/>
              </w:rPr>
              <w:t>21年3月</w:t>
            </w:r>
            <w:r>
              <w:rPr>
                <w:rFonts w:ascii="Times New Roman" w:hAnsi="Times New Roman" w:eastAsia="宋体" w:cs="Times New Roman"/>
                <w:sz w:val="21"/>
                <w:u w:val="single"/>
              </w:rPr>
              <w:t>例行监测结果</w:t>
            </w:r>
          </w:p>
        </w:tc>
        <w:tc>
          <w:tcPr>
            <w:tcW w:w="801" w:type="pct"/>
            <w:vAlign w:val="center"/>
          </w:tcPr>
          <w:p>
            <w:pPr>
              <w:ind w:firstLine="420" w:firstLineChars="200"/>
              <w:jc w:val="center"/>
              <w:rPr>
                <w:rFonts w:ascii="Times New Roman" w:hAnsi="Times New Roman" w:eastAsia="宋体" w:cs="Times New Roman"/>
                <w:sz w:val="21"/>
                <w:u w:val="single"/>
              </w:rPr>
            </w:pPr>
            <w:r>
              <w:rPr>
                <w:rFonts w:hint="eastAsia" w:ascii="Times New Roman" w:hAnsi="Times New Roman" w:eastAsia="宋体" w:cs="Times New Roman"/>
                <w:sz w:val="21"/>
                <w:u w:val="single"/>
              </w:rPr>
              <w:t>22年7月</w:t>
            </w:r>
            <w:r>
              <w:rPr>
                <w:rFonts w:ascii="Times New Roman" w:hAnsi="Times New Roman" w:eastAsia="宋体" w:cs="Times New Roman"/>
                <w:sz w:val="21"/>
                <w:u w:val="single"/>
              </w:rPr>
              <w:t>例行监测结果</w:t>
            </w:r>
          </w:p>
        </w:tc>
        <w:tc>
          <w:tcPr>
            <w:tcW w:w="930" w:type="pct"/>
            <w:vAlign w:val="center"/>
          </w:tcPr>
          <w:p>
            <w:pPr>
              <w:ind w:firstLine="420" w:firstLineChars="200"/>
              <w:jc w:val="center"/>
              <w:rPr>
                <w:rFonts w:ascii="Times New Roman" w:hAnsi="Times New Roman" w:eastAsia="宋体" w:cs="Times New Roman"/>
                <w:sz w:val="21"/>
                <w:u w:val="single"/>
              </w:rPr>
            </w:pPr>
            <w:r>
              <w:rPr>
                <w:rFonts w:ascii="Times New Roman" w:hAnsi="Times New Roman" w:eastAsia="宋体" w:cs="Times New Roman"/>
                <w:sz w:val="21"/>
                <w:u w:val="single"/>
              </w:rPr>
              <w:t>本次现状监测结果</w:t>
            </w:r>
            <w:r>
              <w:rPr>
                <w:rFonts w:hint="eastAsia" w:ascii="Times New Roman" w:hAnsi="Times New Roman" w:eastAsia="宋体" w:cs="Times New Roman"/>
                <w:sz w:val="21"/>
                <w:u w:val="single"/>
              </w:rPr>
              <w:t>21年8月</w:t>
            </w:r>
          </w:p>
        </w:tc>
        <w:tc>
          <w:tcPr>
            <w:tcW w:w="1162" w:type="pct"/>
            <w:vAlign w:val="center"/>
          </w:tcPr>
          <w:p>
            <w:pPr>
              <w:ind w:firstLine="420" w:firstLineChars="200"/>
              <w:jc w:val="center"/>
              <w:rPr>
                <w:rFonts w:ascii="Times New Roman" w:hAnsi="Times New Roman" w:eastAsia="宋体" w:cs="Times New Roman"/>
                <w:sz w:val="21"/>
                <w:u w:val="single"/>
              </w:rPr>
            </w:pPr>
            <w:r>
              <w:rPr>
                <w:rFonts w:ascii="Times New Roman" w:hAnsi="Times New Roman" w:eastAsia="宋体" w:cs="Times New Roman"/>
                <w:sz w:val="21"/>
                <w:u w:val="single"/>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restart"/>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restart"/>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restart"/>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restart"/>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restart"/>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restart"/>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restart"/>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restart"/>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restart"/>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restart"/>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 w:type="pct"/>
            <w:vMerge w:val="continue"/>
            <w:vAlign w:val="center"/>
          </w:tcPr>
          <w:p>
            <w:pPr>
              <w:ind w:firstLine="420" w:firstLineChars="200"/>
              <w:jc w:val="center"/>
              <w:rPr>
                <w:rFonts w:ascii="Times New Roman" w:hAnsi="Times New Roman" w:eastAsia="宋体" w:cs="Times New Roman"/>
                <w:bCs/>
                <w:kern w:val="0"/>
                <w:sz w:val="21"/>
                <w:szCs w:val="21"/>
                <w:u w:val="single"/>
              </w:rPr>
            </w:pPr>
          </w:p>
        </w:tc>
        <w:tc>
          <w:tcPr>
            <w:tcW w:w="613" w:type="pct"/>
            <w:vAlign w:val="center"/>
          </w:tcPr>
          <w:p>
            <w:pPr>
              <w:ind w:firstLine="420" w:firstLineChars="200"/>
              <w:jc w:val="center"/>
              <w:rPr>
                <w:rFonts w:ascii="Times New Roman" w:hAnsi="Times New Roman" w:eastAsia="宋体" w:cs="Times New Roman"/>
                <w:sz w:val="21"/>
                <w:u w:val="single"/>
              </w:rPr>
            </w:pPr>
          </w:p>
        </w:tc>
        <w:tc>
          <w:tcPr>
            <w:tcW w:w="804" w:type="pct"/>
            <w:vAlign w:val="center"/>
          </w:tcPr>
          <w:p>
            <w:pPr>
              <w:ind w:firstLine="420" w:firstLineChars="200"/>
              <w:jc w:val="center"/>
              <w:rPr>
                <w:rFonts w:ascii="Times New Roman" w:hAnsi="Times New Roman" w:eastAsia="宋体" w:cs="Times New Roman"/>
                <w:sz w:val="21"/>
                <w:u w:val="single"/>
              </w:rPr>
            </w:pPr>
          </w:p>
        </w:tc>
        <w:tc>
          <w:tcPr>
            <w:tcW w:w="801" w:type="pct"/>
            <w:vAlign w:val="center"/>
          </w:tcPr>
          <w:p>
            <w:pPr>
              <w:ind w:firstLine="420" w:firstLineChars="200"/>
              <w:jc w:val="center"/>
              <w:rPr>
                <w:rFonts w:ascii="Times New Roman" w:hAnsi="Times New Roman" w:eastAsia="宋体" w:cs="Times New Roman"/>
                <w:sz w:val="21"/>
                <w:u w:val="single"/>
              </w:rPr>
            </w:pPr>
          </w:p>
        </w:tc>
        <w:tc>
          <w:tcPr>
            <w:tcW w:w="930" w:type="pct"/>
            <w:vAlign w:val="center"/>
          </w:tcPr>
          <w:p>
            <w:pPr>
              <w:ind w:firstLine="420" w:firstLineChars="200"/>
              <w:jc w:val="center"/>
              <w:rPr>
                <w:rFonts w:ascii="Times New Roman" w:hAnsi="Times New Roman" w:eastAsia="宋体" w:cs="Times New Roman"/>
                <w:sz w:val="21"/>
                <w:u w:val="single"/>
              </w:rPr>
            </w:pPr>
          </w:p>
        </w:tc>
        <w:tc>
          <w:tcPr>
            <w:tcW w:w="1162" w:type="pct"/>
            <w:vMerge w:val="continue"/>
            <w:vAlign w:val="center"/>
          </w:tcPr>
          <w:p>
            <w:pPr>
              <w:ind w:firstLine="420" w:firstLineChars="200"/>
              <w:jc w:val="center"/>
              <w:rPr>
                <w:rFonts w:ascii="Times New Roman" w:hAnsi="Times New Roman" w:eastAsia="宋体" w:cs="Times New Roman"/>
                <w:sz w:val="21"/>
                <w:u w:val="single"/>
              </w:rPr>
            </w:pPr>
          </w:p>
        </w:tc>
      </w:tr>
    </w:tbl>
    <w:p>
      <w:pPr>
        <w:keepNext/>
        <w:keepLines/>
        <w:spacing w:line="360" w:lineRule="auto"/>
        <w:outlineLvl w:val="2"/>
        <w:rPr>
          <w:rFonts w:ascii="Times New Roman" w:hAnsi="Times New Roman"/>
          <w:b/>
          <w:bCs/>
          <w:sz w:val="28"/>
          <w:szCs w:val="32"/>
        </w:rPr>
      </w:pPr>
      <w:bookmarkStart w:id="458" w:name="_Toc146091938"/>
      <w:r>
        <w:rPr>
          <w:rFonts w:ascii="Times New Roman" w:hAnsi="Times New Roman"/>
          <w:b/>
          <w:bCs/>
          <w:sz w:val="28"/>
          <w:szCs w:val="32"/>
        </w:rPr>
        <w:t>4.3.2 地表水质量现状调查</w:t>
      </w:r>
      <w:bookmarkEnd w:id="458"/>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4.3.2.1 区域常规监测数据</w:t>
      </w:r>
    </w:p>
    <w:p>
      <w:pPr>
        <w:spacing w:line="360" w:lineRule="auto"/>
        <w:ind w:firstLine="480" w:firstLineChars="200"/>
        <w:rPr>
          <w:rFonts w:ascii="Times New Roman" w:hAnsi="Times New Roman" w:cs="Times New Roman"/>
        </w:rPr>
      </w:pPr>
      <w:r>
        <w:rPr>
          <w:rFonts w:ascii="Times New Roman" w:hAnsi="Times New Roman" w:cs="Times New Roman"/>
        </w:rPr>
        <w:t>本次评价收集了2020~2022年长江陆城断面、洋溪湖水质监测断面、源潭河长源断面常规监测数据。</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表4.3-17 </w:t>
      </w:r>
      <w:r>
        <w:rPr>
          <w:rFonts w:hint="eastAsia" w:ascii="Times New Roman" w:hAnsi="Times New Roman"/>
          <w:b/>
          <w:bCs/>
          <w:szCs w:val="28"/>
        </w:rPr>
        <w:t xml:space="preserve"> 主要断面水质类别</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1520"/>
        <w:gridCol w:w="1522"/>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断面</w:t>
            </w:r>
            <w:r>
              <w:rPr>
                <w:rFonts w:hint="eastAsia" w:ascii="Times New Roman" w:hAnsi="Times New Roman" w:eastAsia="宋体" w:cs="Times New Roman"/>
                <w:bCs/>
                <w:sz w:val="21"/>
                <w:szCs w:val="21"/>
              </w:rPr>
              <w:t>名称</w:t>
            </w:r>
          </w:p>
        </w:tc>
        <w:tc>
          <w:tcPr>
            <w:tcW w:w="89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r>
              <w:rPr>
                <w:rFonts w:ascii="Times New Roman" w:hAnsi="Times New Roman" w:eastAsia="宋体" w:cs="Times New Roman"/>
                <w:bCs/>
                <w:sz w:val="21"/>
                <w:szCs w:val="21"/>
              </w:rPr>
              <w:t>020</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r>
              <w:rPr>
                <w:rFonts w:ascii="Times New Roman" w:hAnsi="Times New Roman" w:eastAsia="宋体" w:cs="Times New Roman"/>
                <w:bCs/>
                <w:sz w:val="21"/>
                <w:szCs w:val="21"/>
              </w:rPr>
              <w:t>021</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r>
              <w:rPr>
                <w:rFonts w:ascii="Times New Roman" w:hAnsi="Times New Roman" w:eastAsia="宋体" w:cs="Times New Roman"/>
                <w:bCs/>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长江陆城断面</w:t>
            </w:r>
          </w:p>
        </w:tc>
        <w:tc>
          <w:tcPr>
            <w:tcW w:w="89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Ⅱ类</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Ⅱ类</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洋溪湖水质监测断面</w:t>
            </w:r>
          </w:p>
        </w:tc>
        <w:tc>
          <w:tcPr>
            <w:tcW w:w="89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Ⅲ类</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源潭河长源断面</w:t>
            </w:r>
          </w:p>
        </w:tc>
        <w:tc>
          <w:tcPr>
            <w:tcW w:w="89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Ⅲ类</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Ⅲ类</w:t>
            </w:r>
          </w:p>
        </w:tc>
        <w:tc>
          <w:tcPr>
            <w:tcW w:w="892"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Ⅱ类</w:t>
            </w:r>
          </w:p>
        </w:tc>
      </w:tr>
    </w:tbl>
    <w:p>
      <w:pPr>
        <w:spacing w:line="360" w:lineRule="auto"/>
        <w:ind w:firstLine="480" w:firstLineChars="200"/>
        <w:rPr>
          <w:rFonts w:ascii="Times New Roman" w:hAnsi="Times New Roman" w:cs="Times New Roman"/>
        </w:rPr>
        <w:sectPr>
          <w:pgSz w:w="11906" w:h="16838"/>
          <w:pgMar w:top="1440" w:right="1797" w:bottom="1440" w:left="1797" w:header="851" w:footer="992" w:gutter="0"/>
          <w:cols w:space="425" w:num="1"/>
          <w:docGrid w:type="lines" w:linePitch="326" w:charSpace="915"/>
        </w:sectPr>
      </w:pP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4.3.2.2 </w:t>
      </w:r>
      <w:r>
        <w:rPr>
          <w:rFonts w:hint="eastAsia" w:asciiTheme="majorHAnsi" w:hAnsiTheme="majorHAnsi" w:eastAsiaTheme="majorEastAsia" w:cstheme="majorBidi"/>
          <w:b/>
          <w:bCs/>
          <w:szCs w:val="28"/>
        </w:rPr>
        <w:t>本次评价</w:t>
      </w:r>
      <w:r>
        <w:rPr>
          <w:rFonts w:asciiTheme="majorHAnsi" w:hAnsiTheme="majorHAnsi" w:eastAsiaTheme="majorEastAsia" w:cstheme="majorBidi"/>
          <w:b/>
          <w:bCs/>
          <w:szCs w:val="28"/>
        </w:rPr>
        <w:t>引用数据</w:t>
      </w:r>
    </w:p>
    <w:p>
      <w:pPr>
        <w:spacing w:line="360" w:lineRule="auto"/>
        <w:rPr>
          <w:rFonts w:ascii="Times New Roman" w:hAnsi="Times New Roman" w:cs="Times New Roman"/>
          <w:b/>
        </w:rPr>
      </w:pPr>
      <w:r>
        <w:rPr>
          <w:rFonts w:hint="eastAsia" w:ascii="Times New Roman" w:hAnsi="Times New Roman" w:cs="Times New Roman"/>
          <w:b/>
        </w:rPr>
        <w:t>（1）监测点位</w:t>
      </w:r>
    </w:p>
    <w:p>
      <w:pPr>
        <w:spacing w:line="360" w:lineRule="auto"/>
        <w:ind w:firstLine="480" w:firstLineChars="200"/>
        <w:rPr>
          <w:rFonts w:ascii="Times New Roman" w:hAnsi="Times New Roman" w:cs="Times New Roman"/>
        </w:rPr>
      </w:pPr>
      <w:r>
        <w:rPr>
          <w:rFonts w:ascii="Times New Roman" w:hAnsi="Times New Roman" w:cs="Times New Roman"/>
        </w:rPr>
        <w:t>本次评价收集了2022年到2023年</w:t>
      </w:r>
      <w:r>
        <w:rPr>
          <w:rFonts w:hint="eastAsia" w:ascii="Times New Roman" w:hAnsi="Times New Roman" w:cs="Times New Roman"/>
        </w:rPr>
        <w:t>临湘高新区</w:t>
      </w:r>
      <w:r>
        <w:rPr>
          <w:rFonts w:ascii="Times New Roman" w:hAnsi="Times New Roman" w:cs="Times New Roman"/>
        </w:rPr>
        <w:t>内项目环评报告开展的大气环境质量现状监测工作和园区开展</w:t>
      </w:r>
      <w:r>
        <w:rPr>
          <w:rFonts w:hint="eastAsia" w:ascii="Times New Roman" w:hAnsi="Times New Roman" w:cs="Times New Roman"/>
        </w:rPr>
        <w:t>的</w:t>
      </w:r>
      <w:r>
        <w:rPr>
          <w:rFonts w:ascii="Times New Roman" w:hAnsi="Times New Roman" w:cs="Times New Roman"/>
        </w:rPr>
        <w:t>例行监测数据，引用数据概况见下表。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表4.3-22 </w:t>
      </w:r>
      <w:r>
        <w:rPr>
          <w:rFonts w:ascii="Times New Roman" w:hAnsi="Times New Roman" w:cs="Times New Roman"/>
          <w:b/>
          <w:bCs/>
        </w:rPr>
        <w:t>引用数据概况</w:t>
      </w:r>
      <w:r>
        <w:rPr>
          <w:rFonts w:hint="eastAsia" w:ascii="Times New Roman" w:hAnsi="Times New Roman" w:cs="Times New Roman"/>
          <w:b/>
          <w:bCs/>
        </w:rPr>
        <w:t>表</w:t>
      </w:r>
    </w:p>
    <w:tbl>
      <w:tblPr>
        <w:tblStyle w:val="37"/>
        <w:tblW w:w="46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907"/>
        <w:gridCol w:w="2290"/>
        <w:gridCol w:w="2290"/>
        <w:gridCol w:w="3256"/>
        <w:gridCol w:w="126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2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片区</w:t>
            </w:r>
          </w:p>
        </w:tc>
        <w:tc>
          <w:tcPr>
            <w:tcW w:w="72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监测河流名称</w:t>
            </w:r>
          </w:p>
        </w:tc>
        <w:tc>
          <w:tcPr>
            <w:tcW w:w="87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24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监测项目</w:t>
            </w:r>
          </w:p>
        </w:tc>
        <w:tc>
          <w:tcPr>
            <w:tcW w:w="48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监测时间</w:t>
            </w:r>
          </w:p>
        </w:tc>
        <w:tc>
          <w:tcPr>
            <w:tcW w:w="482"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产业园</w:t>
            </w: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1</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长江</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排污口下游500m</w:t>
            </w:r>
          </w:p>
        </w:tc>
        <w:tc>
          <w:tcPr>
            <w:tcW w:w="124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pH值、化学需氧量</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五日生化需氧量</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氨氮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总磷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总氮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高锰酸盐指数</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溶解氧</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氟化物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锌</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悬浮物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氰化物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挥发酚</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石油类</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硫化物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粪大肠菌群</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阴离子表面活性剂</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六价铬</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锡</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钴</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银、苯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苯胺</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滴滴涕</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水温</w:t>
            </w:r>
          </w:p>
        </w:tc>
        <w:tc>
          <w:tcPr>
            <w:tcW w:w="480"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2022.3.23</w:t>
            </w:r>
          </w:p>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2022.6.7</w:t>
            </w:r>
          </w:p>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2022.8.30</w:t>
            </w:r>
          </w:p>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2022.11.22</w:t>
            </w:r>
          </w:p>
        </w:tc>
        <w:tc>
          <w:tcPr>
            <w:tcW w:w="482"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园区环境监测报告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2</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洋溪湖</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洋溪湖</w:t>
            </w:r>
          </w:p>
        </w:tc>
        <w:tc>
          <w:tcPr>
            <w:tcW w:w="1241" w:type="pct"/>
            <w:vMerge w:val="continue"/>
            <w:vAlign w:val="center"/>
          </w:tcPr>
          <w:p>
            <w:pPr>
              <w:jc w:val="center"/>
              <w:rPr>
                <w:rFonts w:ascii="Times New Roman" w:hAnsi="Times New Roman" w:eastAsia="宋体" w:cs="Times New Roman"/>
                <w:bCs/>
                <w:sz w:val="21"/>
                <w:szCs w:val="21"/>
              </w:rPr>
            </w:pPr>
          </w:p>
        </w:tc>
        <w:tc>
          <w:tcPr>
            <w:tcW w:w="480" w:type="pct"/>
            <w:vMerge w:val="continue"/>
            <w:vAlign w:val="center"/>
          </w:tcPr>
          <w:p>
            <w:pPr>
              <w:jc w:val="center"/>
              <w:rPr>
                <w:rFonts w:ascii="Times New Roman" w:hAnsi="Times New Roman" w:eastAsia="宋体" w:cs="Times New Roman"/>
                <w:bCs/>
                <w:sz w:val="21"/>
                <w:szCs w:val="21"/>
              </w:rPr>
            </w:pPr>
          </w:p>
        </w:tc>
        <w:tc>
          <w:tcPr>
            <w:tcW w:w="482"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3</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冶湖</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冶湖</w:t>
            </w:r>
          </w:p>
        </w:tc>
        <w:tc>
          <w:tcPr>
            <w:tcW w:w="1241" w:type="pct"/>
            <w:vMerge w:val="continue"/>
            <w:vAlign w:val="center"/>
          </w:tcPr>
          <w:p>
            <w:pPr>
              <w:jc w:val="center"/>
              <w:rPr>
                <w:rFonts w:ascii="Times New Roman" w:hAnsi="Times New Roman" w:eastAsia="宋体" w:cs="Times New Roman"/>
                <w:bCs/>
                <w:sz w:val="21"/>
                <w:szCs w:val="21"/>
              </w:rPr>
            </w:pPr>
          </w:p>
        </w:tc>
        <w:tc>
          <w:tcPr>
            <w:tcW w:w="480" w:type="pct"/>
            <w:vMerge w:val="continue"/>
            <w:vAlign w:val="center"/>
          </w:tcPr>
          <w:p>
            <w:pPr>
              <w:jc w:val="center"/>
              <w:rPr>
                <w:rFonts w:ascii="Times New Roman" w:hAnsi="Times New Roman" w:eastAsia="宋体" w:cs="Times New Roman"/>
                <w:bCs/>
                <w:sz w:val="21"/>
                <w:szCs w:val="21"/>
              </w:rPr>
            </w:pPr>
          </w:p>
        </w:tc>
        <w:tc>
          <w:tcPr>
            <w:tcW w:w="482"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产业园</w:t>
            </w: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4</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白云湖</w:t>
            </w:r>
          </w:p>
        </w:tc>
        <w:tc>
          <w:tcPr>
            <w:tcW w:w="124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pH值、色度</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化学需氧量</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氨氮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悬浮物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挥发酚</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石油类</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氟化物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p>
        </w:tc>
        <w:tc>
          <w:tcPr>
            <w:tcW w:w="480"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2022.6.9</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2022.11.28</w:t>
            </w:r>
          </w:p>
        </w:tc>
        <w:tc>
          <w:tcPr>
            <w:tcW w:w="482"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园区环境监测报告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5</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大里坡塘</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大里坡塘</w:t>
            </w:r>
          </w:p>
        </w:tc>
        <w:tc>
          <w:tcPr>
            <w:tcW w:w="1241" w:type="pct"/>
            <w:vMerge w:val="continue"/>
            <w:vAlign w:val="center"/>
          </w:tcPr>
          <w:p>
            <w:pPr>
              <w:jc w:val="center"/>
              <w:rPr>
                <w:rFonts w:ascii="Times New Roman" w:hAnsi="Times New Roman" w:eastAsia="宋体" w:cs="Times New Roman"/>
                <w:bCs/>
                <w:sz w:val="21"/>
                <w:szCs w:val="21"/>
              </w:rPr>
            </w:pPr>
          </w:p>
        </w:tc>
        <w:tc>
          <w:tcPr>
            <w:tcW w:w="480" w:type="pct"/>
            <w:vMerge w:val="continue"/>
            <w:vAlign w:val="center"/>
          </w:tcPr>
          <w:p>
            <w:pPr>
              <w:jc w:val="center"/>
              <w:rPr>
                <w:rFonts w:ascii="Times New Roman" w:hAnsi="Times New Roman" w:eastAsia="宋体" w:cs="Times New Roman"/>
                <w:bCs/>
                <w:sz w:val="21"/>
                <w:szCs w:val="21"/>
              </w:rPr>
            </w:pPr>
          </w:p>
        </w:tc>
        <w:tc>
          <w:tcPr>
            <w:tcW w:w="482"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6</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源潭河三湾产业区河段上游500m处</w:t>
            </w:r>
          </w:p>
        </w:tc>
        <w:tc>
          <w:tcPr>
            <w:tcW w:w="1241"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CODCr、BOD5、DO、</w:t>
            </w:r>
            <w:r>
              <w:rPr>
                <w:rFonts w:hint="eastAsia" w:ascii="Times New Roman" w:hAnsi="Times New Roman" w:eastAsia="宋体" w:cs="Times New Roman"/>
                <w:bCs/>
                <w:sz w:val="21"/>
                <w:szCs w:val="21"/>
              </w:rPr>
              <w:t>氨氮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锌</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石油类</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挥发酚</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硫化物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氟化物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粪大肠菌群</w:t>
            </w:r>
          </w:p>
        </w:tc>
        <w:tc>
          <w:tcPr>
            <w:tcW w:w="480"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2022.11.11</w:t>
            </w:r>
            <w:r>
              <w:rPr>
                <w:rFonts w:ascii="Times New Roman" w:hAnsi="Times New Roman" w:eastAsia="宋体" w:cs="Times New Roman"/>
                <w:bCs/>
                <w:sz w:val="21"/>
                <w:szCs w:val="21"/>
              </w:rPr>
              <w:t>~</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2022.11.13</w:t>
            </w:r>
          </w:p>
        </w:tc>
        <w:tc>
          <w:tcPr>
            <w:tcW w:w="482"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三湾园区</w:t>
            </w:r>
            <w:r>
              <w:rPr>
                <w:rFonts w:ascii="Times New Roman" w:hAnsi="Times New Roman" w:eastAsia="宋体" w:cs="Times New Roman"/>
                <w:bCs/>
                <w:sz w:val="21"/>
                <w:szCs w:val="21"/>
              </w:rPr>
              <w:t>跟踪评价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7</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源潭河三湾产业区河段下游500m处</w:t>
            </w:r>
          </w:p>
        </w:tc>
        <w:tc>
          <w:tcPr>
            <w:tcW w:w="1241" w:type="pct"/>
            <w:vMerge w:val="continue"/>
            <w:vAlign w:val="center"/>
          </w:tcPr>
          <w:p>
            <w:pPr>
              <w:ind w:firstLine="420" w:firstLineChars="200"/>
              <w:jc w:val="center"/>
              <w:rPr>
                <w:rFonts w:ascii="Times New Roman" w:hAnsi="Times New Roman" w:eastAsia="宋体" w:cs="Times New Roman"/>
                <w:sz w:val="21"/>
              </w:rPr>
            </w:pPr>
          </w:p>
        </w:tc>
        <w:tc>
          <w:tcPr>
            <w:tcW w:w="480" w:type="pct"/>
            <w:vMerge w:val="continue"/>
            <w:vAlign w:val="center"/>
          </w:tcPr>
          <w:p>
            <w:pPr>
              <w:ind w:firstLine="420" w:firstLineChars="200"/>
              <w:jc w:val="center"/>
              <w:rPr>
                <w:rFonts w:ascii="Times New Roman" w:hAnsi="Times New Roman" w:eastAsia="宋体" w:cs="Times New Roman"/>
                <w:sz w:val="21"/>
              </w:rPr>
            </w:pPr>
          </w:p>
        </w:tc>
        <w:tc>
          <w:tcPr>
            <w:tcW w:w="482"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8</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源潭河临湘市污水净化中心排水口上游1000m</w:t>
            </w:r>
          </w:p>
        </w:tc>
        <w:tc>
          <w:tcPr>
            <w:tcW w:w="1241" w:type="pct"/>
            <w:vMerge w:val="continue"/>
            <w:vAlign w:val="center"/>
          </w:tcPr>
          <w:p>
            <w:pPr>
              <w:ind w:firstLine="420" w:firstLineChars="200"/>
              <w:jc w:val="center"/>
              <w:rPr>
                <w:rFonts w:ascii="Times New Roman" w:hAnsi="Times New Roman" w:eastAsia="宋体" w:cs="Times New Roman"/>
                <w:sz w:val="21"/>
              </w:rPr>
            </w:pPr>
          </w:p>
        </w:tc>
        <w:tc>
          <w:tcPr>
            <w:tcW w:w="480" w:type="pct"/>
            <w:vMerge w:val="continue"/>
            <w:vAlign w:val="center"/>
          </w:tcPr>
          <w:p>
            <w:pPr>
              <w:ind w:firstLine="420" w:firstLineChars="200"/>
              <w:jc w:val="center"/>
              <w:rPr>
                <w:rFonts w:ascii="Times New Roman" w:hAnsi="Times New Roman" w:eastAsia="宋体" w:cs="Times New Roman"/>
                <w:sz w:val="21"/>
              </w:rPr>
            </w:pPr>
          </w:p>
        </w:tc>
        <w:tc>
          <w:tcPr>
            <w:tcW w:w="482"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vAlign w:val="center"/>
          </w:tcPr>
          <w:p>
            <w:pPr>
              <w:jc w:val="center"/>
              <w:rPr>
                <w:rFonts w:ascii="Times New Roman" w:hAnsi="Times New Roman" w:eastAsia="宋体" w:cs="Times New Roman"/>
                <w:bCs/>
                <w:sz w:val="21"/>
                <w:szCs w:val="21"/>
              </w:rPr>
            </w:pPr>
          </w:p>
        </w:tc>
        <w:tc>
          <w:tcPr>
            <w:tcW w:w="7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YA</w:t>
            </w:r>
            <w:r>
              <w:rPr>
                <w:rFonts w:ascii="Times New Roman" w:hAnsi="Times New Roman" w:eastAsia="宋体" w:cs="Times New Roman"/>
                <w:bCs/>
                <w:sz w:val="21"/>
                <w:szCs w:val="21"/>
              </w:rPr>
              <w:t>9</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w:t>
            </w:r>
          </w:p>
        </w:tc>
        <w:tc>
          <w:tcPr>
            <w:tcW w:w="87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源潭河临湘市污水净化中心排水口下游500m处</w:t>
            </w:r>
          </w:p>
        </w:tc>
        <w:tc>
          <w:tcPr>
            <w:tcW w:w="1241" w:type="pct"/>
            <w:vMerge w:val="continue"/>
            <w:vAlign w:val="center"/>
          </w:tcPr>
          <w:p>
            <w:pPr>
              <w:ind w:firstLine="420" w:firstLineChars="200"/>
              <w:jc w:val="center"/>
              <w:rPr>
                <w:rFonts w:ascii="Times New Roman" w:hAnsi="Times New Roman" w:eastAsia="宋体" w:cs="Times New Roman"/>
                <w:sz w:val="21"/>
              </w:rPr>
            </w:pPr>
          </w:p>
        </w:tc>
        <w:tc>
          <w:tcPr>
            <w:tcW w:w="480" w:type="pct"/>
            <w:vMerge w:val="continue"/>
            <w:vAlign w:val="center"/>
          </w:tcPr>
          <w:p>
            <w:pPr>
              <w:ind w:firstLine="420" w:firstLineChars="200"/>
              <w:jc w:val="center"/>
              <w:rPr>
                <w:rFonts w:ascii="Times New Roman" w:hAnsi="Times New Roman" w:eastAsia="宋体" w:cs="Times New Roman"/>
                <w:sz w:val="21"/>
              </w:rPr>
            </w:pPr>
          </w:p>
        </w:tc>
        <w:tc>
          <w:tcPr>
            <w:tcW w:w="482" w:type="pct"/>
            <w:vMerge w:val="continue"/>
            <w:vAlign w:val="center"/>
          </w:tcPr>
          <w:p>
            <w:pPr>
              <w:ind w:firstLine="420" w:firstLineChars="200"/>
              <w:jc w:val="center"/>
              <w:rPr>
                <w:rFonts w:ascii="Times New Roman" w:hAnsi="Times New Roman" w:eastAsia="宋体" w:cs="Times New Roman"/>
                <w:sz w:val="21"/>
              </w:rPr>
            </w:pPr>
          </w:p>
        </w:tc>
      </w:tr>
    </w:tbl>
    <w:p>
      <w:pPr>
        <w:spacing w:line="360" w:lineRule="auto"/>
        <w:rPr>
          <w:rFonts w:ascii="Times New Roman" w:hAnsi="Times New Roman" w:cs="Times New Roman"/>
          <w:b/>
        </w:rPr>
      </w:pPr>
      <w:r>
        <w:rPr>
          <w:rFonts w:hint="eastAsia" w:ascii="Times New Roman" w:hAnsi="Times New Roman" w:cs="Times New Roman"/>
          <w:b/>
        </w:rPr>
        <w:t>（2）监测结果分析</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表4.3-25 </w:t>
      </w:r>
      <w:r>
        <w:rPr>
          <w:rFonts w:hint="eastAsia" w:ascii="Times New Roman" w:hAnsi="Times New Roman"/>
          <w:b/>
          <w:bCs/>
          <w:szCs w:val="28"/>
        </w:rPr>
        <w:t>滨江</w:t>
      </w:r>
      <w:r>
        <w:rPr>
          <w:rFonts w:ascii="Times New Roman" w:hAnsi="Times New Roman"/>
          <w:b/>
          <w:bCs/>
          <w:szCs w:val="28"/>
        </w:rPr>
        <w:t>片区引用监测结果表</w:t>
      </w:r>
    </w:p>
    <w:tbl>
      <w:tblPr>
        <w:tblStyle w:val="36"/>
        <w:tblW w:w="14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3"/>
        <w:gridCol w:w="1580"/>
        <w:gridCol w:w="1113"/>
        <w:gridCol w:w="965"/>
        <w:gridCol w:w="1580"/>
        <w:gridCol w:w="1376"/>
        <w:gridCol w:w="1102"/>
        <w:gridCol w:w="1648"/>
        <w:gridCol w:w="1101"/>
        <w:gridCol w:w="923"/>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1213"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3658"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YS1</w:t>
            </w:r>
          </w:p>
        </w:tc>
        <w:tc>
          <w:tcPr>
            <w:tcW w:w="4058"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YS2</w:t>
            </w:r>
          </w:p>
        </w:tc>
        <w:tc>
          <w:tcPr>
            <w:tcW w:w="3672"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YS3</w:t>
            </w:r>
          </w:p>
        </w:tc>
        <w:tc>
          <w:tcPr>
            <w:tcW w:w="1416"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0" w:type="auto"/>
            <w:vMerge w:val="continue"/>
            <w:vAlign w:val="center"/>
          </w:tcPr>
          <w:p>
            <w:pPr>
              <w:jc w:val="center"/>
              <w:rPr>
                <w:rFonts w:ascii="Times New Roman" w:hAnsi="Times New Roman" w:eastAsia="宋体" w:cs="Times New Roman"/>
                <w:bCs/>
                <w:sz w:val="21"/>
                <w:szCs w:val="21"/>
              </w:rPr>
            </w:pP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416"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6.77~7.45</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6.45~7.19</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6.71~7.29</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化学需氧量</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13~16</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80%</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9~18</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90%</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9~15</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75%</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五日生化需氧量</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2.6~3.3</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82.5%</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1.8~3.7</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92.5%</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1.9~3.1</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77.5%</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0.238~0.326</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32.6%</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0.179~0.389</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38.9%</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0.14~0.317</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31.7%</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总磷</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0.06~0.13</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65%</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0.02~0.05</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25%</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0.02~0.04</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 (湖库0.05)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总氮</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1.18~1.97</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197%</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1.13~1.95</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195%</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1.06~1.91</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191%</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高锰酸盐指数</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1.9~2.6</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43.3%</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1.6~3.1</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51. 7%</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1.1~4.2</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70%</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溶解氧</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5.76~8.94</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5.18~8.85</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5.43~9.15</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氟化物</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0.173~0.258</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25.8%</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0.168~0.32</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32%</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0.17~0.549</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54.9%</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砷</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0.00144~0.00393</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7.86%</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0.00064~0.00508</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10.16%</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0.00091~0.0152</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30.4%</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汞</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ND~0.00033</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6.6%</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ND~0.00033</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6.6%</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ND~0.00024</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4.8%</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0.00075~0.00124</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2.48%</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0.00067~0.00134</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2.68%</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0.00067~0.00116</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2.32%</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铜</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0.0024~0.0136</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1.36%</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0.00202~0.00999</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0.00243~0.017</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1.7%</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ND~0.017</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1.7%</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ND~0.046</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4.6%</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ND~0.018</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1.8%</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悬浮物</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6~11</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6~15</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7~13</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氰化物</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挥发酚</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石油类</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ND~0.02</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ND~0.03</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ND~0.02</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硫化物</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粪大肠菌群</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840~1700</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17%</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840~1100</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840~1100</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阴离子表面活性剂</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六价铬</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锡</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0.00128~0.00351</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0.00074~0.00279</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0.00088~0.00209</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钴</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0.00011~0.00021</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0.021%</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0.00009~0.00018</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0.018%</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0.00007~0.00018</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0.018%</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银</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ND~0.00023</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ND~0.00017</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ND~0.00008</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甲苯</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苯胺</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滴滴涕</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0.0011~0.00501</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25.05%</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0.00069~0.00324</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16.2%</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0.00065~0.00282</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14.1%</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水温</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10.4~27.4</w:t>
            </w:r>
          </w:p>
        </w:tc>
        <w:tc>
          <w:tcPr>
            <w:tcW w:w="1113"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58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10.8~26.8</w:t>
            </w:r>
          </w:p>
        </w:tc>
        <w:tc>
          <w:tcPr>
            <w:tcW w:w="137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0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4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10.7~26.2</w:t>
            </w:r>
          </w:p>
        </w:tc>
        <w:tc>
          <w:tcPr>
            <w:tcW w:w="110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2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41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表4.3-26  </w:t>
      </w:r>
      <w:r>
        <w:rPr>
          <w:rFonts w:hint="eastAsia" w:ascii="Times New Roman" w:hAnsi="Times New Roman"/>
          <w:b/>
          <w:bCs/>
          <w:szCs w:val="28"/>
        </w:rPr>
        <w:t>三湾</w:t>
      </w:r>
      <w:r>
        <w:rPr>
          <w:rFonts w:ascii="Times New Roman" w:hAnsi="Times New Roman"/>
          <w:b/>
          <w:bCs/>
          <w:szCs w:val="28"/>
        </w:rPr>
        <w:t>片区引用监测结果表</w:t>
      </w:r>
      <w:r>
        <w:rPr>
          <w:rFonts w:hint="eastAsia" w:ascii="Times New Roman" w:hAnsi="Times New Roman" w:cs="Times New Roman"/>
          <w:b/>
          <w:bCs/>
        </w:rPr>
        <w:t>（</w:t>
      </w:r>
      <w:r>
        <w:rPr>
          <w:rFonts w:ascii="Times New Roman" w:hAnsi="Times New Roman" w:cs="Times New Roman"/>
          <w:b/>
          <w:bCs/>
        </w:rPr>
        <w:t>1</w:t>
      </w:r>
      <w:r>
        <w:rPr>
          <w:rFonts w:hint="eastAsia" w:ascii="Times New Roman" w:hAnsi="Times New Roman" w:cs="Times New Roman"/>
          <w:b/>
          <w:bCs/>
        </w:rPr>
        <w:t>）</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44"/>
        <w:gridCol w:w="2144"/>
        <w:gridCol w:w="1510"/>
        <w:gridCol w:w="1308"/>
        <w:gridCol w:w="2144"/>
        <w:gridCol w:w="1866"/>
        <w:gridCol w:w="1496"/>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1768"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YS4</w:t>
            </w:r>
          </w:p>
        </w:tc>
        <w:tc>
          <w:tcPr>
            <w:tcW w:w="1961"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YS5</w:t>
            </w:r>
          </w:p>
        </w:tc>
        <w:tc>
          <w:tcPr>
            <w:tcW w:w="68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vMerge w:val="continue"/>
            <w:vAlign w:val="center"/>
          </w:tcPr>
          <w:p>
            <w:pPr>
              <w:jc w:val="center"/>
              <w:rPr>
                <w:rFonts w:ascii="Times New Roman" w:hAnsi="Times New Roman" w:eastAsia="宋体" w:cs="Times New Roman"/>
                <w:bCs/>
                <w:sz w:val="21"/>
                <w:szCs w:val="21"/>
              </w:rPr>
            </w:pP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684"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6.84~7.11</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6.92~7.3</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色度</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ND~5</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10~15</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化学需氧量</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6~16</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80%</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8~18</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90%</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0.076~0.156</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15.6%</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0.09~0.793</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79.3%</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悬浮物</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8~9</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11~16</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挥发酚</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石油类</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0.01~0.01</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0.02~0.03</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氟化物</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0.087~0.231</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23.1%</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0.079~0.366</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36.6%</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0.00012~0.00013</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0.0001~0.0002</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0.00054~0.00215</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4.3%</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0.00081~0.00142</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2.84%</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8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汞</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5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6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7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66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3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68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0.0001</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表4.3-27  </w:t>
      </w:r>
      <w:r>
        <w:rPr>
          <w:rFonts w:hint="eastAsia" w:ascii="Times New Roman" w:hAnsi="Times New Roman"/>
          <w:b/>
          <w:bCs/>
          <w:szCs w:val="28"/>
        </w:rPr>
        <w:t>三湾</w:t>
      </w:r>
      <w:r>
        <w:rPr>
          <w:rFonts w:ascii="Times New Roman" w:hAnsi="Times New Roman"/>
          <w:b/>
          <w:bCs/>
          <w:szCs w:val="28"/>
        </w:rPr>
        <w:t>片区引用监测结果表</w:t>
      </w:r>
      <w:r>
        <w:rPr>
          <w:rFonts w:hint="eastAsia" w:ascii="Times New Roman" w:hAnsi="Times New Roman" w:cs="Times New Roman"/>
          <w:b/>
          <w:bCs/>
        </w:rPr>
        <w:t>（</w:t>
      </w:r>
      <w:r>
        <w:rPr>
          <w:rFonts w:ascii="Times New Roman" w:hAnsi="Times New Roman" w:cs="Times New Roman"/>
          <w:b/>
          <w:bCs/>
        </w:rPr>
        <w:t>2</w:t>
      </w:r>
      <w:r>
        <w:rPr>
          <w:rFonts w:hint="eastAsia" w:ascii="Times New Roman" w:hAnsi="Times New Roman" w:cs="Times New Roman"/>
          <w:b/>
          <w:bCs/>
        </w:rPr>
        <w:t>）</w:t>
      </w:r>
    </w:p>
    <w:tbl>
      <w:tblPr>
        <w:tblStyle w:val="36"/>
        <w:tblW w:w="14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8"/>
        <w:gridCol w:w="1300"/>
        <w:gridCol w:w="922"/>
        <w:gridCol w:w="787"/>
        <w:gridCol w:w="1299"/>
        <w:gridCol w:w="922"/>
        <w:gridCol w:w="787"/>
        <w:gridCol w:w="1279"/>
        <w:gridCol w:w="916"/>
        <w:gridCol w:w="782"/>
        <w:gridCol w:w="1631"/>
        <w:gridCol w:w="950"/>
        <w:gridCol w:w="774"/>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1078"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3009"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YS6</w:t>
            </w:r>
          </w:p>
        </w:tc>
        <w:tc>
          <w:tcPr>
            <w:tcW w:w="3008"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YS7</w:t>
            </w:r>
          </w:p>
        </w:tc>
        <w:tc>
          <w:tcPr>
            <w:tcW w:w="2977"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YS</w:t>
            </w:r>
            <w:r>
              <w:rPr>
                <w:rFonts w:ascii="Times New Roman" w:hAnsi="Times New Roman" w:eastAsia="宋体" w:cs="Times New Roman"/>
                <w:bCs/>
                <w:sz w:val="21"/>
                <w:szCs w:val="21"/>
              </w:rPr>
              <w:t>8</w:t>
            </w:r>
          </w:p>
        </w:tc>
        <w:tc>
          <w:tcPr>
            <w:tcW w:w="3355"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YS</w:t>
            </w:r>
            <w:r>
              <w:rPr>
                <w:rFonts w:ascii="Times New Roman" w:hAnsi="Times New Roman" w:eastAsia="宋体" w:cs="Times New Roman"/>
                <w:bCs/>
                <w:sz w:val="21"/>
                <w:szCs w:val="21"/>
              </w:rPr>
              <w:t>9</w:t>
            </w:r>
          </w:p>
        </w:tc>
        <w:tc>
          <w:tcPr>
            <w:tcW w:w="1040"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0" w:type="auto"/>
            <w:vMerge w:val="continue"/>
            <w:vAlign w:val="center"/>
          </w:tcPr>
          <w:p>
            <w:pPr>
              <w:jc w:val="center"/>
              <w:rPr>
                <w:rFonts w:ascii="Times New Roman" w:hAnsi="Times New Roman" w:eastAsia="宋体" w:cs="Times New Roman"/>
                <w:bCs/>
                <w:sz w:val="21"/>
                <w:szCs w:val="21"/>
              </w:rPr>
            </w:pP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27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63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040"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7.6~7.9</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7.9~8.1</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7.9~8.1</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7.8~8.1</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CODCr</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4~7</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35.0%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9~12</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6~10</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50.0%</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11~13</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65.0%</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BOD5</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2~2.2</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55.0%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1.8~2.3</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57.5%</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1.8~2.4</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60.0%</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52.5%</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DO</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7.9~8.1</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7.9~8.1</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8~8.1</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8~8.2</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0.03~0.035</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3.5%</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0.131~0.137</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13.7%</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0.038~0.043</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4.3%</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0.054~0.059</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5.9%</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铜</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砷</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10-4L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10-3L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石油类</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挥发酚</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0.0043~0.0046</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92.0%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0.0036~0.0041</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82.0%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0.0039~0.0044</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88.0%</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0.0041~0.0046</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92.0%</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硫化物</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0.01L~0.01</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0.01L~0.01</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0.01L</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氟化物</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0.39~0.46</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46.0%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0.64~0.69</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69.0%</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0.48~0.59</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59.0%</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0.61~0.67</w:t>
            </w:r>
          </w:p>
        </w:tc>
        <w:tc>
          <w:tcPr>
            <w:tcW w:w="950"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67.0%</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78"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粪大肠菌群</w:t>
            </w:r>
          </w:p>
        </w:tc>
        <w:tc>
          <w:tcPr>
            <w:tcW w:w="130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9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20L</w:t>
            </w:r>
          </w:p>
        </w:tc>
        <w:tc>
          <w:tcPr>
            <w:tcW w:w="922"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7"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27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20L</w:t>
            </w:r>
          </w:p>
        </w:tc>
        <w:tc>
          <w:tcPr>
            <w:tcW w:w="91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8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63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1.6×104~≥2.4×104</w:t>
            </w:r>
          </w:p>
        </w:tc>
        <w:tc>
          <w:tcPr>
            <w:tcW w:w="95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≥240%</w:t>
            </w:r>
          </w:p>
        </w:tc>
        <w:tc>
          <w:tcPr>
            <w:tcW w:w="77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04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w:t>
            </w:r>
          </w:p>
        </w:tc>
      </w:tr>
    </w:tbl>
    <w:p>
      <w:pPr>
        <w:ind w:firstLine="480" w:firstLineChars="200"/>
        <w:rPr>
          <w:rFonts w:ascii="Times New Roman" w:hAnsi="Times New Roman"/>
        </w:rPr>
      </w:pPr>
    </w:p>
    <w:p>
      <w:pPr>
        <w:spacing w:line="360" w:lineRule="auto"/>
        <w:ind w:firstLine="480" w:firstLineChars="200"/>
        <w:jc w:val="left"/>
        <w:rPr>
          <w:rFonts w:ascii="Times New Roman" w:hAnsi="Times New Roman" w:eastAsia="宋体" w:cs="Times New Roman"/>
          <w:szCs w:val="24"/>
        </w:rPr>
      </w:pPr>
      <w:r>
        <w:rPr>
          <w:rFonts w:hint="eastAsia" w:ascii="Times New Roman" w:hAnsi="Times New Roman" w:eastAsia="宋体" w:cs="Times New Roman"/>
          <w:szCs w:val="24"/>
        </w:rPr>
        <w:t>YS</w:t>
      </w: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YS3</w:t>
      </w:r>
      <w:r>
        <w:rPr>
          <w:rFonts w:hint="eastAsia" w:ascii="Times New Roman" w:hAnsi="Times New Roman" w:eastAsia="宋体" w:cs="Times New Roman"/>
          <w:szCs w:val="24"/>
        </w:rPr>
        <w:t>总氮</w:t>
      </w:r>
      <w:r>
        <w:rPr>
          <w:rFonts w:ascii="Times New Roman" w:hAnsi="Times New Roman" w:eastAsia="宋体" w:cs="Times New Roman"/>
          <w:szCs w:val="24"/>
        </w:rPr>
        <w:t>含量</w:t>
      </w:r>
      <w:r>
        <w:rPr>
          <w:rFonts w:hint="eastAsia" w:ascii="Times New Roman" w:hAnsi="Times New Roman" w:eastAsia="宋体" w:cs="Times New Roman"/>
          <w:szCs w:val="24"/>
        </w:rPr>
        <w:t>超出《地表水环境质量标准》（</w:t>
      </w:r>
      <w:r>
        <w:rPr>
          <w:rFonts w:ascii="Times New Roman" w:hAnsi="Times New Roman" w:eastAsia="宋体" w:cs="Times New Roman"/>
          <w:szCs w:val="24"/>
        </w:rPr>
        <w:t>GB3838-2002</w:t>
      </w:r>
      <w:r>
        <w:rPr>
          <w:rFonts w:hint="eastAsia" w:ascii="Times New Roman" w:hAnsi="Times New Roman" w:eastAsia="宋体" w:cs="Times New Roman"/>
          <w:szCs w:val="24"/>
        </w:rPr>
        <w:t>）中的</w:t>
      </w:r>
      <w:r>
        <w:rPr>
          <w:rFonts w:ascii="Times New Roman" w:hAnsi="Times New Roman" w:eastAsia="宋体" w:cs="Times New Roman"/>
          <w:szCs w:val="24"/>
        </w:rPr>
        <w:t>III</w:t>
      </w:r>
      <w:r>
        <w:rPr>
          <w:rFonts w:hint="eastAsia" w:ascii="Times New Roman" w:hAnsi="Times New Roman" w:eastAsia="宋体" w:cs="Times New Roman"/>
          <w:szCs w:val="24"/>
        </w:rPr>
        <w:t>类标准，其主要原因为YS</w:t>
      </w:r>
      <w:r>
        <w:rPr>
          <w:rFonts w:ascii="Times New Roman" w:hAnsi="Times New Roman" w:eastAsia="宋体" w:cs="Times New Roman"/>
          <w:szCs w:val="24"/>
        </w:rPr>
        <w:t>2</w:t>
      </w:r>
      <w:r>
        <w:rPr>
          <w:rFonts w:hint="eastAsia" w:ascii="Times New Roman" w:hAnsi="Times New Roman" w:eastAsia="宋体" w:cs="Times New Roman"/>
          <w:szCs w:val="24"/>
        </w:rPr>
        <w:t>、</w:t>
      </w:r>
      <w:r>
        <w:rPr>
          <w:rFonts w:ascii="Times New Roman" w:hAnsi="Times New Roman" w:eastAsia="宋体" w:cs="Times New Roman"/>
          <w:szCs w:val="24"/>
        </w:rPr>
        <w:t>YS3</w:t>
      </w:r>
      <w:r>
        <w:rPr>
          <w:rFonts w:hint="eastAsia" w:ascii="Times New Roman" w:hAnsi="Times New Roman" w:eastAsia="宋体" w:cs="Times New Roman"/>
          <w:szCs w:val="24"/>
        </w:rPr>
        <w:t>农业化肥污染，</w:t>
      </w:r>
      <w:r>
        <w:rPr>
          <w:rFonts w:ascii="Times New Roman" w:hAnsi="Times New Roman" w:eastAsia="宋体" w:cs="Times New Roman"/>
          <w:szCs w:val="24"/>
        </w:rPr>
        <w:t>附件存在居民</w:t>
      </w:r>
      <w:r>
        <w:rPr>
          <w:rFonts w:hint="eastAsia" w:ascii="Times New Roman" w:hAnsi="Times New Roman" w:eastAsia="宋体" w:cs="Times New Roman"/>
          <w:szCs w:val="24"/>
        </w:rPr>
        <w:t>田地。YS9源潭河临湘市污水净化中心排水口下游500m处粪大肠菌群超出《地表水环境质量标准》（</w:t>
      </w:r>
      <w:r>
        <w:rPr>
          <w:rFonts w:ascii="Times New Roman" w:hAnsi="Times New Roman" w:eastAsia="宋体" w:cs="Times New Roman"/>
          <w:szCs w:val="24"/>
        </w:rPr>
        <w:t>GB3838-2002</w:t>
      </w:r>
      <w:r>
        <w:rPr>
          <w:rFonts w:hint="eastAsia" w:ascii="Times New Roman" w:hAnsi="Times New Roman" w:eastAsia="宋体" w:cs="Times New Roman"/>
          <w:szCs w:val="24"/>
        </w:rPr>
        <w:t>）中的</w:t>
      </w:r>
      <w:r>
        <w:rPr>
          <w:rFonts w:ascii="Times New Roman" w:hAnsi="Times New Roman" w:eastAsia="宋体" w:cs="Times New Roman"/>
          <w:szCs w:val="24"/>
        </w:rPr>
        <w:t>III</w:t>
      </w:r>
      <w:r>
        <w:rPr>
          <w:rFonts w:hint="eastAsia" w:ascii="Times New Roman" w:hAnsi="Times New Roman" w:eastAsia="宋体" w:cs="Times New Roman"/>
          <w:szCs w:val="24"/>
        </w:rPr>
        <w:t>类标准，最大监测值为≥2</w:t>
      </w:r>
      <w:r>
        <w:rPr>
          <w:rFonts w:ascii="Times New Roman" w:hAnsi="Times New Roman" w:eastAsia="宋体" w:cs="Times New Roman"/>
          <w:szCs w:val="24"/>
        </w:rPr>
        <w:t>.4</w:t>
      </w:r>
      <w:r>
        <w:rPr>
          <w:rFonts w:hint="eastAsia" w:ascii="Times New Roman" w:hAnsi="Times New Roman" w:eastAsia="宋体" w:cs="Times New Roman"/>
          <w:szCs w:val="24"/>
        </w:rPr>
        <w:t>×10</w:t>
      </w:r>
      <w:r>
        <w:rPr>
          <w:rFonts w:hint="eastAsia" w:ascii="Times New Roman" w:hAnsi="Times New Roman" w:eastAsia="宋体" w:cs="Times New Roman"/>
          <w:szCs w:val="24"/>
          <w:vertAlign w:val="superscript"/>
        </w:rPr>
        <w:t>4</w:t>
      </w:r>
      <w:r>
        <w:rPr>
          <w:rFonts w:hint="eastAsia" w:ascii="Times New Roman" w:hAnsi="Times New Roman" w:eastAsia="宋体" w:cs="Times New Roman"/>
          <w:szCs w:val="24"/>
        </w:rPr>
        <w:t>MPN/L，其主要原因为</w:t>
      </w:r>
      <w:r>
        <w:rPr>
          <w:rFonts w:ascii="Times New Roman" w:hAnsi="Times New Roman" w:eastAsia="宋体" w:cs="Times New Roman"/>
          <w:szCs w:val="24"/>
        </w:rPr>
        <w:t>YS8</w:t>
      </w:r>
      <w:r>
        <w:rPr>
          <w:rFonts w:hint="eastAsia" w:ascii="Times New Roman" w:hAnsi="Times New Roman" w:eastAsia="宋体" w:cs="Times New Roman"/>
          <w:szCs w:val="24"/>
        </w:rPr>
        <w:t>~</w:t>
      </w:r>
      <w:r>
        <w:rPr>
          <w:rFonts w:ascii="Times New Roman" w:hAnsi="Times New Roman" w:eastAsia="宋体" w:cs="Times New Roman"/>
          <w:szCs w:val="24"/>
        </w:rPr>
        <w:t>YS9</w:t>
      </w:r>
      <w:r>
        <w:rPr>
          <w:rFonts w:hint="eastAsia" w:ascii="Times New Roman" w:hAnsi="Times New Roman" w:eastAsia="宋体" w:cs="Times New Roman"/>
          <w:szCs w:val="24"/>
        </w:rPr>
        <w:t>河段区域为农村区域，附近存在散排的生活面源和农业面源无组织排放，导致地表水中粪大肠菌群超标。区域后续应加强对散排生活面源和农业面源的治理，加强区域污水截纳污管线建设，尽量收集区域生活污水进入临湘市污水净化中心处理后排放。</w:t>
      </w:r>
    </w:p>
    <w:p>
      <w:pPr>
        <w:ind w:firstLine="480" w:firstLineChars="200"/>
        <w:rPr>
          <w:rFonts w:ascii="Times New Roman" w:hAnsi="Times New Roman"/>
        </w:rPr>
        <w:sectPr>
          <w:pgSz w:w="16838" w:h="11906" w:orient="landscape"/>
          <w:pgMar w:top="1418" w:right="1418" w:bottom="1701" w:left="1418" w:header="851" w:footer="992" w:gutter="0"/>
          <w:cols w:space="425" w:num="1"/>
          <w:docGrid w:linePitch="326" w:charSpace="915"/>
        </w:sectPr>
      </w:pP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4.3.2.3 本次评价</w:t>
      </w:r>
      <w:r>
        <w:rPr>
          <w:rFonts w:ascii="Times New Roman" w:hAnsi="Times New Roman" w:cs="Times New Roman" w:eastAsiaTheme="majorEastAsia"/>
          <w:b/>
          <w:bCs/>
          <w:szCs w:val="28"/>
        </w:rPr>
        <w:t>现状</w:t>
      </w:r>
      <w:r>
        <w:rPr>
          <w:rFonts w:asciiTheme="majorHAnsi" w:hAnsiTheme="majorHAnsi" w:eastAsiaTheme="majorEastAsia" w:cstheme="majorBidi"/>
          <w:b/>
          <w:bCs/>
          <w:szCs w:val="28"/>
        </w:rPr>
        <w:t>监测</w:t>
      </w:r>
    </w:p>
    <w:p>
      <w:pPr>
        <w:spacing w:line="360" w:lineRule="auto"/>
        <w:rPr>
          <w:rFonts w:ascii="Times New Roman" w:hAnsi="Times New Roman" w:cs="Times New Roman"/>
        </w:rPr>
      </w:pPr>
      <w:r>
        <w:rPr>
          <w:rFonts w:ascii="Times New Roman" w:hAnsi="Times New Roman" w:cs="Times New Roman"/>
        </w:rPr>
        <w:t>（1）监测断面、监测因子</w:t>
      </w:r>
    </w:p>
    <w:p>
      <w:pPr>
        <w:spacing w:line="360" w:lineRule="auto"/>
        <w:ind w:firstLine="480" w:firstLineChars="200"/>
        <w:rPr>
          <w:rFonts w:ascii="Times New Roman" w:hAnsi="Times New Roman" w:cs="Times New Roman"/>
        </w:rPr>
      </w:pPr>
      <w:r>
        <w:rPr>
          <w:rFonts w:ascii="Times New Roman" w:hAnsi="Times New Roman" w:cs="Times New Roman"/>
        </w:rPr>
        <w:t>本次地表水现状监测共设4个断面，具体见下表。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表4.3-20  地表水水环境质量现状监测断面</w:t>
      </w:r>
    </w:p>
    <w:tbl>
      <w:tblPr>
        <w:tblStyle w:val="36"/>
        <w:tblW w:w="92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1134"/>
        <w:gridCol w:w="2599"/>
        <w:gridCol w:w="46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6" w:type="dxa"/>
            <w:tcBorders>
              <w:top w:val="single" w:color="auto" w:sz="12" w:space="0"/>
              <w:left w:val="single" w:color="auto" w:sz="12" w:space="0"/>
              <w:bottom w:val="single" w:color="auto" w:sz="6"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1134" w:type="dxa"/>
            <w:tcBorders>
              <w:top w:val="single" w:color="auto" w:sz="12" w:space="0"/>
              <w:bottom w:val="single" w:color="auto" w:sz="6"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监测水体</w:t>
            </w:r>
          </w:p>
        </w:tc>
        <w:tc>
          <w:tcPr>
            <w:tcW w:w="2599" w:type="dxa"/>
            <w:tcBorders>
              <w:top w:val="single" w:color="auto" w:sz="12" w:space="0"/>
              <w:bottom w:val="single" w:color="auto" w:sz="6"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监测断面</w:t>
            </w:r>
          </w:p>
        </w:tc>
        <w:tc>
          <w:tcPr>
            <w:tcW w:w="4658" w:type="dxa"/>
            <w:tcBorders>
              <w:top w:val="single" w:color="auto" w:sz="12" w:space="0"/>
              <w:left w:val="single" w:color="auto" w:sz="4" w:space="0"/>
              <w:bottom w:val="single" w:color="auto" w:sz="6"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监测因子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6" w:type="dxa"/>
            <w:tcBorders>
              <w:top w:val="single" w:color="auto" w:sz="6" w:space="0"/>
              <w:left w:val="single" w:color="auto" w:sz="12" w:space="0"/>
              <w:bottom w:val="single" w:color="auto" w:sz="6"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W1</w:t>
            </w:r>
          </w:p>
        </w:tc>
        <w:tc>
          <w:tcPr>
            <w:tcW w:w="1134" w:type="dxa"/>
            <w:tcBorders>
              <w:top w:val="single" w:color="auto" w:sz="6" w:space="0"/>
              <w:bottom w:val="single" w:color="auto" w:sz="6" w:space="0"/>
            </w:tcBorders>
            <w:vAlign w:val="center"/>
          </w:tcPr>
          <w:p>
            <w:pPr>
              <w:jc w:val="center"/>
              <w:rPr>
                <w:rFonts w:ascii="Times New Roman" w:hAnsi="Times New Roman" w:eastAsia="宋体" w:cs="Times New Roman"/>
                <w:bCs/>
                <w:sz w:val="21"/>
                <w:szCs w:val="21"/>
              </w:rPr>
            </w:pPr>
          </w:p>
        </w:tc>
        <w:tc>
          <w:tcPr>
            <w:tcW w:w="2599" w:type="dxa"/>
            <w:tcBorders>
              <w:top w:val="single" w:color="auto" w:sz="6" w:space="0"/>
              <w:bottom w:val="single" w:color="auto" w:sz="6" w:space="0"/>
              <w:right w:val="single" w:color="auto" w:sz="4" w:space="0"/>
            </w:tcBorders>
            <w:vAlign w:val="center"/>
          </w:tcPr>
          <w:p>
            <w:pPr>
              <w:jc w:val="center"/>
              <w:rPr>
                <w:rFonts w:ascii="Times New Roman" w:hAnsi="Times New Roman" w:eastAsia="宋体" w:cs="Times New Roman"/>
                <w:bCs/>
                <w:sz w:val="21"/>
                <w:szCs w:val="21"/>
              </w:rPr>
            </w:pPr>
          </w:p>
        </w:tc>
        <w:tc>
          <w:tcPr>
            <w:tcW w:w="4658" w:type="dxa"/>
            <w:tcBorders>
              <w:top w:val="single" w:color="auto" w:sz="6" w:space="0"/>
              <w:left w:val="single" w:color="auto" w:sz="4" w:space="0"/>
              <w:bottom w:val="single" w:color="auto" w:sz="6" w:space="0"/>
              <w:right w:val="single" w:color="auto" w:sz="12" w:space="0"/>
            </w:tcBorders>
            <w:shd w:val="clear" w:color="auto" w:fill="auto"/>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836" w:type="dxa"/>
            <w:tcBorders>
              <w:top w:val="single" w:color="auto" w:sz="6" w:space="0"/>
              <w:left w:val="single" w:color="auto" w:sz="12" w:space="0"/>
              <w:bottom w:val="single" w:color="auto" w:sz="6"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W2</w:t>
            </w:r>
          </w:p>
        </w:tc>
        <w:tc>
          <w:tcPr>
            <w:tcW w:w="1134" w:type="dxa"/>
            <w:tcBorders>
              <w:top w:val="single" w:color="auto" w:sz="6" w:space="0"/>
              <w:bottom w:val="single" w:color="auto" w:sz="6" w:space="0"/>
            </w:tcBorders>
            <w:vAlign w:val="center"/>
          </w:tcPr>
          <w:p>
            <w:pPr>
              <w:jc w:val="center"/>
              <w:rPr>
                <w:rFonts w:ascii="Times New Roman" w:hAnsi="Times New Roman" w:eastAsia="宋体" w:cs="Times New Roman"/>
                <w:bCs/>
                <w:sz w:val="21"/>
                <w:szCs w:val="21"/>
              </w:rPr>
            </w:pPr>
          </w:p>
        </w:tc>
        <w:tc>
          <w:tcPr>
            <w:tcW w:w="2599" w:type="dxa"/>
            <w:tcBorders>
              <w:top w:val="single" w:color="auto" w:sz="6" w:space="0"/>
              <w:bottom w:val="single" w:color="auto" w:sz="6" w:space="0"/>
              <w:right w:val="single" w:color="auto" w:sz="4" w:space="0"/>
            </w:tcBorders>
            <w:vAlign w:val="center"/>
          </w:tcPr>
          <w:p>
            <w:pPr>
              <w:jc w:val="center"/>
              <w:rPr>
                <w:rFonts w:ascii="Times New Roman" w:hAnsi="Times New Roman" w:eastAsia="宋体" w:cs="Times New Roman"/>
                <w:bCs/>
                <w:sz w:val="21"/>
                <w:szCs w:val="21"/>
              </w:rPr>
            </w:pPr>
          </w:p>
        </w:tc>
        <w:tc>
          <w:tcPr>
            <w:tcW w:w="4658" w:type="dxa"/>
            <w:vMerge w:val="restart"/>
            <w:tcBorders>
              <w:top w:val="single" w:color="auto" w:sz="6" w:space="0"/>
              <w:left w:val="single" w:color="auto" w:sz="4" w:space="0"/>
              <w:bottom w:val="single" w:color="auto" w:sz="6" w:space="0"/>
              <w:right w:val="single" w:color="auto" w:sz="12" w:space="0"/>
            </w:tcBorders>
            <w:shd w:val="clear" w:color="auto" w:fill="auto"/>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836" w:type="dxa"/>
            <w:tcBorders>
              <w:top w:val="single" w:color="auto" w:sz="6" w:space="0"/>
              <w:left w:val="single" w:color="auto" w:sz="12" w:space="0"/>
              <w:bottom w:val="single" w:color="auto" w:sz="6"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W3</w:t>
            </w:r>
          </w:p>
        </w:tc>
        <w:tc>
          <w:tcPr>
            <w:tcW w:w="1134" w:type="dxa"/>
            <w:tcBorders>
              <w:top w:val="single" w:color="auto" w:sz="6" w:space="0"/>
              <w:bottom w:val="single" w:color="auto" w:sz="6" w:space="0"/>
            </w:tcBorders>
            <w:vAlign w:val="center"/>
          </w:tcPr>
          <w:p>
            <w:pPr>
              <w:jc w:val="center"/>
              <w:rPr>
                <w:rFonts w:ascii="Times New Roman" w:hAnsi="Times New Roman" w:eastAsia="宋体" w:cs="Times New Roman"/>
                <w:bCs/>
                <w:sz w:val="21"/>
                <w:szCs w:val="21"/>
              </w:rPr>
            </w:pPr>
          </w:p>
        </w:tc>
        <w:tc>
          <w:tcPr>
            <w:tcW w:w="2599" w:type="dxa"/>
            <w:tcBorders>
              <w:top w:val="single" w:color="auto" w:sz="6" w:space="0"/>
              <w:bottom w:val="single" w:color="auto" w:sz="6" w:space="0"/>
              <w:right w:val="single" w:color="auto" w:sz="4" w:space="0"/>
            </w:tcBorders>
            <w:vAlign w:val="center"/>
          </w:tcPr>
          <w:p>
            <w:pPr>
              <w:jc w:val="center"/>
              <w:rPr>
                <w:rFonts w:ascii="Times New Roman" w:hAnsi="Times New Roman" w:eastAsia="宋体" w:cs="Times New Roman"/>
                <w:bCs/>
                <w:sz w:val="21"/>
                <w:szCs w:val="21"/>
              </w:rPr>
            </w:pPr>
          </w:p>
        </w:tc>
        <w:tc>
          <w:tcPr>
            <w:tcW w:w="4658" w:type="dxa"/>
            <w:vMerge w:val="continue"/>
            <w:tcBorders>
              <w:top w:val="single" w:color="auto" w:sz="6" w:space="0"/>
              <w:left w:val="single" w:color="auto" w:sz="4" w:space="0"/>
              <w:bottom w:val="single" w:color="auto" w:sz="6" w:space="0"/>
              <w:right w:val="single" w:color="auto" w:sz="12" w:space="0"/>
            </w:tcBorders>
            <w:shd w:val="clear" w:color="auto" w:fill="auto"/>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836" w:type="dxa"/>
            <w:tcBorders>
              <w:top w:val="single" w:color="auto" w:sz="6" w:space="0"/>
              <w:left w:val="single" w:color="auto" w:sz="12" w:space="0"/>
              <w:bottom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W4</w:t>
            </w:r>
          </w:p>
        </w:tc>
        <w:tc>
          <w:tcPr>
            <w:tcW w:w="1134" w:type="dxa"/>
            <w:tcBorders>
              <w:top w:val="single" w:color="auto" w:sz="6" w:space="0"/>
              <w:bottom w:val="single" w:color="auto" w:sz="12" w:space="0"/>
            </w:tcBorders>
            <w:vAlign w:val="center"/>
          </w:tcPr>
          <w:p>
            <w:pPr>
              <w:jc w:val="center"/>
              <w:rPr>
                <w:rFonts w:ascii="Times New Roman" w:hAnsi="Times New Roman" w:eastAsia="宋体" w:cs="Times New Roman"/>
                <w:bCs/>
                <w:sz w:val="21"/>
                <w:szCs w:val="21"/>
              </w:rPr>
            </w:pPr>
          </w:p>
        </w:tc>
        <w:tc>
          <w:tcPr>
            <w:tcW w:w="2599" w:type="dxa"/>
            <w:tcBorders>
              <w:top w:val="single" w:color="auto" w:sz="6"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4658" w:type="dxa"/>
            <w:vMerge w:val="continue"/>
            <w:tcBorders>
              <w:top w:val="single" w:color="auto" w:sz="6" w:space="0"/>
              <w:left w:val="single" w:color="auto" w:sz="4" w:space="0"/>
              <w:bottom w:val="single" w:color="auto" w:sz="12" w:space="0"/>
              <w:right w:val="single" w:color="auto" w:sz="12" w:space="0"/>
            </w:tcBorders>
            <w:shd w:val="clear" w:color="auto" w:fill="auto"/>
            <w:vAlign w:val="center"/>
          </w:tcPr>
          <w:p>
            <w:pPr>
              <w:ind w:firstLine="420" w:firstLineChars="200"/>
              <w:jc w:val="center"/>
              <w:rPr>
                <w:rFonts w:ascii="Times New Roman" w:hAnsi="Times New Roman" w:eastAsia="宋体" w:cs="Times New Roman"/>
                <w:sz w:val="21"/>
              </w:rPr>
            </w:pPr>
          </w:p>
        </w:tc>
      </w:tr>
    </w:tbl>
    <w:p>
      <w:pPr>
        <w:spacing w:line="360" w:lineRule="auto"/>
        <w:rPr>
          <w:rFonts w:ascii="Times New Roman" w:hAnsi="Times New Roman" w:cs="Times New Roman"/>
        </w:rPr>
      </w:pPr>
      <w:r>
        <w:rPr>
          <w:rFonts w:ascii="Times New Roman" w:hAnsi="Times New Roman" w:cs="Times New Roman"/>
        </w:rPr>
        <w:t>（2）监测时间及频率</w:t>
      </w:r>
    </w:p>
    <w:p>
      <w:pPr>
        <w:spacing w:line="360" w:lineRule="auto"/>
        <w:ind w:firstLine="480" w:firstLineChars="200"/>
        <w:rPr>
          <w:rFonts w:ascii="Times New Roman" w:hAnsi="Times New Roman" w:cs="Times New Roman"/>
        </w:rPr>
      </w:pPr>
      <w:r>
        <w:rPr>
          <w:rFonts w:ascii="Times New Roman" w:hAnsi="Times New Roman" w:cs="Times New Roman"/>
        </w:rPr>
        <w:t>2021.8.24-2021.8.26，监测3天，每天采样一次。</w:t>
      </w:r>
    </w:p>
    <w:p>
      <w:pPr>
        <w:spacing w:line="360" w:lineRule="auto"/>
        <w:rPr>
          <w:rFonts w:ascii="Times New Roman" w:hAnsi="Times New Roman" w:cs="Times New Roman"/>
        </w:rPr>
      </w:pPr>
      <w:r>
        <w:rPr>
          <w:rFonts w:ascii="Times New Roman" w:hAnsi="Times New Roman" w:cs="Times New Roman"/>
        </w:rPr>
        <w:t>（3）监测和分析方法</w:t>
      </w:r>
    </w:p>
    <w:p>
      <w:pPr>
        <w:spacing w:line="360" w:lineRule="auto"/>
        <w:ind w:firstLine="480" w:firstLineChars="200"/>
        <w:rPr>
          <w:rFonts w:ascii="Times New Roman" w:hAnsi="Times New Roman" w:cs="Times New Roman"/>
        </w:rPr>
      </w:pPr>
      <w:r>
        <w:rPr>
          <w:rFonts w:ascii="Times New Roman" w:hAnsi="Times New Roman" w:cs="Times New Roman"/>
        </w:rPr>
        <w:t>按国家环保总局颁发的《环境监测技术规范》的有关规定和要求执行。</w:t>
      </w:r>
    </w:p>
    <w:p>
      <w:pPr>
        <w:spacing w:line="360" w:lineRule="auto"/>
        <w:rPr>
          <w:rFonts w:ascii="Times New Roman" w:hAnsi="Times New Roman" w:cs="Times New Roman"/>
        </w:rPr>
      </w:pPr>
      <w:r>
        <w:rPr>
          <w:rFonts w:ascii="Times New Roman" w:hAnsi="Times New Roman" w:cs="Times New Roman"/>
        </w:rPr>
        <w:t>（4）现状监测结果统计与评价</w:t>
      </w:r>
    </w:p>
    <w:p>
      <w:pPr>
        <w:spacing w:line="360" w:lineRule="auto"/>
        <w:ind w:firstLine="480" w:firstLineChars="200"/>
        <w:rPr>
          <w:rFonts w:ascii="Times New Roman" w:hAnsi="Times New Roman" w:cs="Times New Roman"/>
        </w:rPr>
      </w:pPr>
      <w:r>
        <w:rPr>
          <w:rFonts w:ascii="Times New Roman" w:hAnsi="Times New Roman" w:cs="Times New Roman"/>
        </w:rPr>
        <w:t>地表水现状监测结果统计与评价见下表。由下表可知，W1、W2、W3、W4断面中各监测因子均符合《地表水环境质量标准》（GB3838-2002）</w:t>
      </w:r>
      <w:r>
        <w:rPr>
          <w:rFonts w:hint="eastAsia" w:ascii="宋体" w:hAnsi="宋体" w:eastAsia="宋体" w:cs="宋体"/>
        </w:rPr>
        <w:t>Ⅲ</w:t>
      </w:r>
      <w:r>
        <w:rPr>
          <w:rFonts w:ascii="Times New Roman" w:hAnsi="Times New Roman" w:cs="Times New Roman"/>
        </w:rPr>
        <w:t>类水质标准要求。</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表4.3-21  地表水环境现状监测结果统计与评价  单位：mg/L</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801"/>
        <w:gridCol w:w="1567"/>
        <w:gridCol w:w="1061"/>
        <w:gridCol w:w="1622"/>
        <w:gridCol w:w="1151"/>
        <w:gridCol w:w="9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断面</w:t>
            </w: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870" w:type="pct"/>
            <w:shd w:val="clear" w:color="auto" w:fill="auto"/>
            <w:noWrap/>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浓度范围</w:t>
            </w:r>
          </w:p>
        </w:tc>
        <w:tc>
          <w:tcPr>
            <w:tcW w:w="589" w:type="pct"/>
            <w:shd w:val="clear" w:color="auto" w:fill="auto"/>
            <w:noWrap/>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平均值</w:t>
            </w:r>
          </w:p>
        </w:tc>
        <w:tc>
          <w:tcPr>
            <w:tcW w:w="901" w:type="pct"/>
            <w:shd w:val="clear" w:color="auto" w:fill="auto"/>
            <w:noWrap/>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标准指数</w:t>
            </w:r>
          </w:p>
        </w:tc>
        <w:tc>
          <w:tcPr>
            <w:tcW w:w="639"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评价结果</w:t>
            </w:r>
          </w:p>
        </w:tc>
        <w:tc>
          <w:tcPr>
            <w:tcW w:w="522" w:type="pct"/>
            <w:shd w:val="clear" w:color="auto" w:fill="auto"/>
            <w:noWrap/>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restar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W1双塘村北侧</w:t>
            </w: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pH值（无量纲）</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水温</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悬浮物</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氨氮</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（以P计）</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溶解氧</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粪大肠菌群（MNP/L）</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硫化物</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铬（六价）</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870" w:type="pct"/>
            <w:tcBorders>
              <w:tl2br w:val="nil"/>
              <w:tr2bl w:val="nil"/>
            </w:tcBorders>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870" w:type="pct"/>
            <w:tcBorders>
              <w:tl2br w:val="nil"/>
              <w:tr2bl w:val="nil"/>
            </w:tcBorders>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870" w:type="pct"/>
            <w:tcBorders>
              <w:tl2br w:val="nil"/>
              <w:tr2bl w:val="nil"/>
            </w:tcBorders>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870" w:type="pct"/>
            <w:tcBorders>
              <w:tl2br w:val="nil"/>
              <w:tr2bl w:val="nil"/>
            </w:tcBorders>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870" w:type="pct"/>
            <w:tcBorders>
              <w:tl2br w:val="nil"/>
              <w:tr2bl w:val="nil"/>
            </w:tcBorders>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870" w:type="pct"/>
            <w:tcBorders>
              <w:tl2br w:val="nil"/>
              <w:tr2bl w:val="nil"/>
            </w:tcBorders>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氟化物</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8" w:type="pct"/>
            <w:vMerge w:val="continue"/>
            <w:shd w:val="clear" w:color="auto" w:fill="auto"/>
            <w:vAlign w:val="center"/>
          </w:tcPr>
          <w:p>
            <w:pPr>
              <w:jc w:val="center"/>
              <w:rPr>
                <w:rFonts w:ascii="Times New Roman" w:hAnsi="Times New Roman" w:eastAsia="宋体" w:cs="Times New Roman"/>
                <w:bCs/>
                <w:sz w:val="21"/>
                <w:szCs w:val="21"/>
              </w:rPr>
            </w:pPr>
          </w:p>
        </w:tc>
        <w:tc>
          <w:tcPr>
            <w:tcW w:w="100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阴离子表面活性剂</w:t>
            </w:r>
          </w:p>
        </w:tc>
        <w:tc>
          <w:tcPr>
            <w:tcW w:w="870" w:type="pct"/>
            <w:shd w:val="clear" w:color="auto" w:fill="auto"/>
            <w:noWrap/>
            <w:vAlign w:val="center"/>
          </w:tcPr>
          <w:p>
            <w:pPr>
              <w:jc w:val="center"/>
              <w:rPr>
                <w:rFonts w:ascii="Times New Roman" w:hAnsi="Times New Roman" w:eastAsia="宋体" w:cs="Times New Roman"/>
                <w:bCs/>
                <w:sz w:val="21"/>
                <w:szCs w:val="21"/>
              </w:rPr>
            </w:pPr>
          </w:p>
        </w:tc>
        <w:tc>
          <w:tcPr>
            <w:tcW w:w="589" w:type="pct"/>
            <w:shd w:val="clear" w:color="auto" w:fill="auto"/>
            <w:noWrap/>
            <w:vAlign w:val="center"/>
          </w:tcPr>
          <w:p>
            <w:pPr>
              <w:jc w:val="center"/>
              <w:rPr>
                <w:rFonts w:ascii="Times New Roman" w:hAnsi="Times New Roman" w:eastAsia="宋体" w:cs="Times New Roman"/>
                <w:bCs/>
                <w:sz w:val="21"/>
                <w:szCs w:val="21"/>
              </w:rPr>
            </w:pPr>
          </w:p>
        </w:tc>
        <w:tc>
          <w:tcPr>
            <w:tcW w:w="901" w:type="pct"/>
            <w:shd w:val="clear" w:color="auto" w:fill="auto"/>
            <w:noWrap/>
            <w:vAlign w:val="center"/>
          </w:tcPr>
          <w:p>
            <w:pPr>
              <w:jc w:val="center"/>
              <w:rPr>
                <w:rFonts w:ascii="Times New Roman" w:hAnsi="Times New Roman" w:eastAsia="宋体" w:cs="Times New Roman"/>
                <w:bCs/>
                <w:sz w:val="21"/>
                <w:szCs w:val="21"/>
              </w:rPr>
            </w:pPr>
          </w:p>
        </w:tc>
        <w:tc>
          <w:tcPr>
            <w:tcW w:w="639" w:type="pct"/>
            <w:vAlign w:val="center"/>
          </w:tcPr>
          <w:p>
            <w:pPr>
              <w:jc w:val="center"/>
              <w:rPr>
                <w:rFonts w:ascii="Times New Roman" w:hAnsi="Times New Roman" w:eastAsia="宋体" w:cs="Times New Roman"/>
                <w:bCs/>
                <w:sz w:val="21"/>
                <w:szCs w:val="21"/>
              </w:rPr>
            </w:pPr>
          </w:p>
        </w:tc>
        <w:tc>
          <w:tcPr>
            <w:tcW w:w="522"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r>
    </w:tbl>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4.3.2.4 </w:t>
      </w:r>
      <w:r>
        <w:rPr>
          <w:rFonts w:hint="eastAsia" w:asciiTheme="majorHAnsi" w:hAnsiTheme="majorHAnsi" w:eastAsiaTheme="majorEastAsia" w:cstheme="majorBidi"/>
          <w:b/>
          <w:bCs/>
          <w:szCs w:val="28"/>
        </w:rPr>
        <w:t>与例行</w:t>
      </w:r>
      <w:r>
        <w:rPr>
          <w:rFonts w:asciiTheme="majorHAnsi" w:hAnsiTheme="majorHAnsi" w:eastAsiaTheme="majorEastAsia" w:cstheme="majorBidi"/>
          <w:b/>
          <w:bCs/>
          <w:szCs w:val="28"/>
        </w:rPr>
        <w:t>监测数据对比情况</w:t>
      </w:r>
    </w:p>
    <w:p>
      <w:pPr>
        <w:spacing w:line="360" w:lineRule="auto"/>
        <w:ind w:firstLine="480" w:firstLineChars="200"/>
        <w:jc w:val="left"/>
        <w:rPr>
          <w:rFonts w:ascii="Times New Roman" w:hAnsi="Times New Roman" w:eastAsia="宋体" w:cs="Times New Roman"/>
          <w:szCs w:val="24"/>
        </w:rPr>
      </w:pPr>
      <w:r>
        <w:rPr>
          <w:rFonts w:hint="eastAsia" w:ascii="Times New Roman" w:hAnsi="Times New Roman" w:eastAsia="宋体" w:cs="Times New Roman"/>
          <w:szCs w:val="24"/>
        </w:rPr>
        <w:t>本次地表水监测与例行监测对比可知：其余时期各监测断面数据均可达标，各因子变化相对稳定。</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表4.3-28  </w:t>
      </w:r>
      <w:r>
        <w:rPr>
          <w:rFonts w:hint="eastAsia" w:ascii="Times New Roman" w:hAnsi="Times New Roman"/>
          <w:b/>
          <w:bCs/>
          <w:szCs w:val="28"/>
        </w:rPr>
        <w:t>与例行监测</w:t>
      </w:r>
      <w:r>
        <w:rPr>
          <w:rFonts w:ascii="Times New Roman" w:hAnsi="Times New Roman"/>
          <w:b/>
          <w:bCs/>
          <w:szCs w:val="28"/>
        </w:rPr>
        <w:t>重合的地表水环境质量监测点情况汇总表</w:t>
      </w:r>
    </w:p>
    <w:tbl>
      <w:tblPr>
        <w:tblStyle w:val="36"/>
        <w:tblW w:w="48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428"/>
        <w:gridCol w:w="1572"/>
        <w:gridCol w:w="494"/>
        <w:gridCol w:w="2078"/>
        <w:gridCol w:w="2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水体</w:t>
            </w:r>
          </w:p>
        </w:tc>
        <w:tc>
          <w:tcPr>
            <w:tcW w:w="812"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原规划环评断面</w:t>
            </w:r>
          </w:p>
        </w:tc>
        <w:tc>
          <w:tcPr>
            <w:tcW w:w="894"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例行监测</w:t>
            </w:r>
            <w:r>
              <w:rPr>
                <w:rFonts w:ascii="Times New Roman" w:hAnsi="Times New Roman" w:eastAsia="宋体" w:cs="Times New Roman"/>
                <w:bCs/>
                <w:sz w:val="21"/>
                <w:szCs w:val="21"/>
              </w:rPr>
              <w:t>/监测时间</w:t>
            </w:r>
          </w:p>
        </w:tc>
        <w:tc>
          <w:tcPr>
            <w:tcW w:w="1463" w:type="pct"/>
            <w:gridSpan w:val="2"/>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本次监测</w:t>
            </w:r>
            <w:r>
              <w:rPr>
                <w:rFonts w:ascii="Times New Roman" w:hAnsi="Times New Roman" w:eastAsia="宋体" w:cs="Times New Roman"/>
                <w:bCs/>
                <w:sz w:val="21"/>
                <w:szCs w:val="21"/>
              </w:rPr>
              <w:t>断面</w:t>
            </w:r>
          </w:p>
        </w:tc>
        <w:tc>
          <w:tcPr>
            <w:tcW w:w="1415"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对比评价因子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82" w:hRule="atLeast"/>
          <w:jc w:val="center"/>
        </w:trPr>
        <w:tc>
          <w:tcPr>
            <w:tcW w:w="416" w:type="pct"/>
            <w:tcBorders>
              <w:tl2br w:val="nil"/>
              <w:tr2bl w:val="nil"/>
            </w:tcBorders>
            <w:vAlign w:val="center"/>
          </w:tcPr>
          <w:p>
            <w:pPr>
              <w:jc w:val="center"/>
              <w:rPr>
                <w:rFonts w:ascii="Times New Roman" w:hAnsi="Times New Roman" w:eastAsia="宋体" w:cs="Times New Roman"/>
                <w:bCs/>
                <w:sz w:val="21"/>
                <w:szCs w:val="21"/>
              </w:rPr>
            </w:pPr>
          </w:p>
        </w:tc>
        <w:tc>
          <w:tcPr>
            <w:tcW w:w="812" w:type="pct"/>
            <w:tcBorders>
              <w:tl2br w:val="nil"/>
              <w:tr2bl w:val="nil"/>
            </w:tcBorders>
            <w:vAlign w:val="center"/>
          </w:tcPr>
          <w:p>
            <w:pPr>
              <w:jc w:val="center"/>
              <w:rPr>
                <w:rFonts w:ascii="Times New Roman" w:hAnsi="Times New Roman" w:eastAsia="宋体" w:cs="Times New Roman"/>
                <w:bCs/>
                <w:sz w:val="21"/>
                <w:szCs w:val="21"/>
              </w:rPr>
            </w:pPr>
          </w:p>
        </w:tc>
        <w:tc>
          <w:tcPr>
            <w:tcW w:w="894" w:type="pct"/>
            <w:vMerge w:val="restart"/>
            <w:tcBorders>
              <w:tl2br w:val="nil"/>
              <w:tr2bl w:val="nil"/>
            </w:tcBorders>
            <w:vAlign w:val="center"/>
          </w:tcPr>
          <w:p>
            <w:pPr>
              <w:jc w:val="center"/>
              <w:rPr>
                <w:rFonts w:ascii="Times New Roman" w:hAnsi="Times New Roman" w:eastAsia="宋体" w:cs="Times New Roman"/>
                <w:bCs/>
                <w:sz w:val="21"/>
                <w:szCs w:val="21"/>
              </w:rPr>
            </w:pPr>
          </w:p>
        </w:tc>
        <w:tc>
          <w:tcPr>
            <w:tcW w:w="281" w:type="pct"/>
            <w:tcBorders>
              <w:tl2br w:val="nil"/>
              <w:tr2bl w:val="nil"/>
            </w:tcBorders>
            <w:vAlign w:val="center"/>
          </w:tcPr>
          <w:p>
            <w:pPr>
              <w:jc w:val="center"/>
              <w:rPr>
                <w:rFonts w:ascii="Times New Roman" w:hAnsi="Times New Roman" w:eastAsia="宋体" w:cs="Times New Roman"/>
                <w:bCs/>
                <w:sz w:val="21"/>
                <w:szCs w:val="21"/>
              </w:rPr>
            </w:pPr>
          </w:p>
        </w:tc>
        <w:tc>
          <w:tcPr>
            <w:tcW w:w="1182" w:type="pct"/>
            <w:tcBorders>
              <w:tl2br w:val="nil"/>
              <w:tr2bl w:val="nil"/>
            </w:tcBorders>
            <w:vAlign w:val="center"/>
          </w:tcPr>
          <w:p>
            <w:pPr>
              <w:jc w:val="center"/>
              <w:rPr>
                <w:rFonts w:ascii="Times New Roman" w:hAnsi="Times New Roman" w:eastAsia="宋体" w:cs="Times New Roman"/>
                <w:bCs/>
                <w:sz w:val="21"/>
                <w:szCs w:val="21"/>
              </w:rPr>
            </w:pPr>
          </w:p>
        </w:tc>
        <w:tc>
          <w:tcPr>
            <w:tcW w:w="1415" w:type="pct"/>
            <w:vMerge w:val="restart"/>
            <w:tcBorders>
              <w:tl2br w:val="nil"/>
              <w:tr2bl w:val="nil"/>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82" w:hRule="atLeast"/>
          <w:jc w:val="center"/>
        </w:trPr>
        <w:tc>
          <w:tcPr>
            <w:tcW w:w="416" w:type="pct"/>
            <w:vMerge w:val="restart"/>
            <w:tcBorders>
              <w:tl2br w:val="nil"/>
              <w:tr2bl w:val="nil"/>
            </w:tcBorders>
            <w:vAlign w:val="center"/>
          </w:tcPr>
          <w:p>
            <w:pPr>
              <w:jc w:val="center"/>
              <w:rPr>
                <w:rFonts w:ascii="Times New Roman" w:hAnsi="Times New Roman" w:eastAsia="宋体" w:cs="Times New Roman"/>
                <w:bCs/>
                <w:sz w:val="21"/>
                <w:szCs w:val="21"/>
              </w:rPr>
            </w:pPr>
          </w:p>
        </w:tc>
        <w:tc>
          <w:tcPr>
            <w:tcW w:w="812" w:type="pct"/>
            <w:tcBorders>
              <w:tl2br w:val="nil"/>
              <w:tr2bl w:val="nil"/>
            </w:tcBorders>
            <w:vAlign w:val="center"/>
          </w:tcPr>
          <w:p>
            <w:pPr>
              <w:jc w:val="center"/>
              <w:rPr>
                <w:rFonts w:ascii="Times New Roman" w:hAnsi="Times New Roman" w:eastAsia="宋体" w:cs="Times New Roman"/>
                <w:bCs/>
                <w:sz w:val="21"/>
                <w:szCs w:val="21"/>
              </w:rPr>
            </w:pPr>
          </w:p>
        </w:tc>
        <w:tc>
          <w:tcPr>
            <w:tcW w:w="894"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281" w:type="pct"/>
            <w:vMerge w:val="restart"/>
            <w:tcBorders>
              <w:tl2br w:val="nil"/>
              <w:tr2bl w:val="nil"/>
            </w:tcBorders>
            <w:vAlign w:val="center"/>
          </w:tcPr>
          <w:p>
            <w:pPr>
              <w:jc w:val="center"/>
              <w:rPr>
                <w:rFonts w:ascii="Times New Roman" w:hAnsi="Times New Roman" w:eastAsia="宋体" w:cs="Times New Roman"/>
                <w:bCs/>
                <w:sz w:val="21"/>
                <w:szCs w:val="21"/>
              </w:rPr>
            </w:pPr>
          </w:p>
        </w:tc>
        <w:tc>
          <w:tcPr>
            <w:tcW w:w="1182" w:type="pct"/>
            <w:tcBorders>
              <w:tl2br w:val="nil"/>
              <w:tr2bl w:val="nil"/>
            </w:tcBorders>
            <w:vAlign w:val="center"/>
          </w:tcPr>
          <w:p>
            <w:pPr>
              <w:jc w:val="center"/>
              <w:rPr>
                <w:rFonts w:ascii="Times New Roman" w:hAnsi="Times New Roman" w:eastAsia="宋体" w:cs="Times New Roman"/>
                <w:bCs/>
                <w:sz w:val="21"/>
                <w:szCs w:val="21"/>
              </w:rPr>
            </w:pPr>
          </w:p>
        </w:tc>
        <w:tc>
          <w:tcPr>
            <w:tcW w:w="1415" w:type="pct"/>
            <w:vMerge w:val="continue"/>
            <w:tcBorders>
              <w:tl2br w:val="nil"/>
              <w:tr2bl w:val="nil"/>
            </w:tcBorders>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812" w:type="pct"/>
            <w:tcBorders>
              <w:tl2br w:val="nil"/>
              <w:tr2bl w:val="nil"/>
            </w:tcBorders>
            <w:vAlign w:val="center"/>
          </w:tcPr>
          <w:p>
            <w:pPr>
              <w:jc w:val="center"/>
              <w:rPr>
                <w:rFonts w:ascii="Times New Roman" w:hAnsi="Times New Roman" w:eastAsia="宋体" w:cs="Times New Roman"/>
                <w:bCs/>
                <w:sz w:val="21"/>
                <w:szCs w:val="21"/>
              </w:rPr>
            </w:pPr>
          </w:p>
        </w:tc>
        <w:tc>
          <w:tcPr>
            <w:tcW w:w="894"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281"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1182" w:type="pct"/>
            <w:tcBorders>
              <w:tl2br w:val="nil"/>
              <w:tr2bl w:val="nil"/>
            </w:tcBorders>
            <w:vAlign w:val="center"/>
          </w:tcPr>
          <w:p>
            <w:pPr>
              <w:jc w:val="center"/>
              <w:rPr>
                <w:rFonts w:ascii="Times New Roman" w:hAnsi="Times New Roman" w:eastAsia="宋体" w:cs="Times New Roman"/>
                <w:bCs/>
                <w:sz w:val="21"/>
                <w:szCs w:val="21"/>
              </w:rPr>
            </w:pPr>
          </w:p>
        </w:tc>
        <w:tc>
          <w:tcPr>
            <w:tcW w:w="1415" w:type="pct"/>
            <w:vMerge w:val="continue"/>
            <w:tcBorders>
              <w:tl2br w:val="nil"/>
              <w:tr2bl w:val="nil"/>
            </w:tcBorders>
            <w:vAlign w:val="center"/>
          </w:tcPr>
          <w:p>
            <w:pPr>
              <w:ind w:firstLine="420" w:firstLineChars="200"/>
              <w:jc w:val="center"/>
              <w:rPr>
                <w:rFonts w:ascii="Times New Roman" w:hAnsi="Times New Roman" w:eastAsia="宋体" w:cs="Times New Roman"/>
                <w:kern w:val="0"/>
                <w:sz w:val="21"/>
                <w:u w:val="single"/>
              </w:rPr>
            </w:pP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表4.3-29  </w:t>
      </w:r>
      <w:r>
        <w:rPr>
          <w:rFonts w:hint="eastAsia" w:ascii="Times New Roman" w:hAnsi="Times New Roman"/>
          <w:b/>
          <w:bCs/>
          <w:szCs w:val="28"/>
        </w:rPr>
        <w:t>地表水污染物</w:t>
      </w:r>
      <w:r>
        <w:rPr>
          <w:rFonts w:ascii="Times New Roman" w:hAnsi="Times New Roman"/>
          <w:b/>
          <w:bCs/>
          <w:szCs w:val="28"/>
        </w:rPr>
        <w:t>变化对比表</w:t>
      </w:r>
      <w:r>
        <w:rPr>
          <w:rFonts w:hint="eastAsia" w:ascii="Times New Roman" w:hAnsi="Times New Roman"/>
          <w:b/>
          <w:bCs/>
          <w:szCs w:val="28"/>
        </w:rPr>
        <w:t xml:space="preserve">  单位</w:t>
      </w:r>
      <w:r>
        <w:rPr>
          <w:rFonts w:ascii="Times New Roman" w:hAnsi="Times New Roman"/>
          <w:b/>
          <w:bCs/>
          <w:szCs w:val="28"/>
        </w:rPr>
        <w:t>：</w:t>
      </w:r>
      <w:r>
        <w:rPr>
          <w:rFonts w:hint="eastAsia" w:ascii="Times New Roman" w:hAnsi="Times New Roman"/>
          <w:b/>
          <w:bCs/>
          <w:szCs w:val="28"/>
        </w:rPr>
        <w:t>mg/L</w:t>
      </w:r>
    </w:p>
    <w:p>
      <w:pPr>
        <w:ind w:firstLine="480" w:firstLineChars="200"/>
        <w:rPr>
          <w:rFonts w:ascii="Times New Roman" w:hAnsi="Times New Roman"/>
        </w:rPr>
        <w:sectPr>
          <w:pgSz w:w="11906" w:h="16838"/>
          <w:pgMar w:top="1418" w:right="1418" w:bottom="1418" w:left="1701" w:header="851" w:footer="992" w:gutter="0"/>
          <w:cols w:space="425" w:num="1"/>
          <w:docGrid w:linePitch="326" w:charSpace="915"/>
        </w:sectPr>
      </w:pPr>
    </w:p>
    <w:p>
      <w:pPr>
        <w:keepNext/>
        <w:keepLines/>
        <w:spacing w:line="360" w:lineRule="auto"/>
        <w:outlineLvl w:val="2"/>
        <w:rPr>
          <w:rFonts w:ascii="Times New Roman" w:hAnsi="Times New Roman"/>
          <w:b/>
          <w:bCs/>
          <w:sz w:val="28"/>
          <w:szCs w:val="32"/>
        </w:rPr>
      </w:pPr>
      <w:bookmarkStart w:id="459" w:name="_Toc146091939"/>
      <w:r>
        <w:rPr>
          <w:rFonts w:ascii="Times New Roman" w:hAnsi="Times New Roman"/>
          <w:b/>
          <w:bCs/>
          <w:sz w:val="28"/>
          <w:szCs w:val="32"/>
        </w:rPr>
        <w:t>4.3.3 地下水质量现状调查</w:t>
      </w:r>
      <w:bookmarkEnd w:id="459"/>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4.3.3.1 </w:t>
      </w:r>
      <w:r>
        <w:rPr>
          <w:rFonts w:hint="eastAsia" w:asciiTheme="majorHAnsi" w:hAnsiTheme="majorHAnsi" w:eastAsiaTheme="majorEastAsia" w:cstheme="majorBidi"/>
          <w:b/>
          <w:bCs/>
          <w:szCs w:val="28"/>
        </w:rPr>
        <w:t>本次评价引用数据</w:t>
      </w:r>
    </w:p>
    <w:p>
      <w:pPr>
        <w:spacing w:line="360" w:lineRule="auto"/>
        <w:rPr>
          <w:rFonts w:ascii="Times New Roman" w:hAnsi="Times New Roman" w:cs="Times New Roman"/>
          <w:b/>
        </w:rPr>
      </w:pPr>
      <w:r>
        <w:rPr>
          <w:rFonts w:hint="eastAsia" w:ascii="Times New Roman" w:hAnsi="Times New Roman" w:cs="Times New Roman"/>
          <w:b/>
        </w:rPr>
        <w:t>（1）监测点位</w:t>
      </w:r>
    </w:p>
    <w:p>
      <w:pPr>
        <w:spacing w:line="360" w:lineRule="auto"/>
        <w:ind w:firstLine="480" w:firstLineChars="200"/>
        <w:rPr>
          <w:rFonts w:ascii="Times New Roman" w:hAnsi="Times New Roman" w:cs="Times New Roman"/>
        </w:rPr>
      </w:pPr>
      <w:r>
        <w:rPr>
          <w:rFonts w:ascii="Times New Roman" w:hAnsi="Times New Roman" w:cs="Times New Roman"/>
        </w:rPr>
        <w:t>本次评价收集了2022年</w:t>
      </w:r>
      <w:r>
        <w:rPr>
          <w:rFonts w:hint="eastAsia" w:ascii="Times New Roman" w:hAnsi="Times New Roman" w:cs="Times New Roman"/>
        </w:rPr>
        <w:t>临湘高新区</w:t>
      </w:r>
      <w:r>
        <w:rPr>
          <w:rFonts w:ascii="Times New Roman" w:hAnsi="Times New Roman" w:cs="Times New Roman"/>
        </w:rPr>
        <w:t>内项目环评报告开展的</w:t>
      </w:r>
      <w:r>
        <w:rPr>
          <w:rFonts w:hint="eastAsia" w:ascii="Times New Roman" w:hAnsi="Times New Roman" w:cs="Times New Roman"/>
        </w:rPr>
        <w:t>地下水</w:t>
      </w:r>
      <w:r>
        <w:rPr>
          <w:rFonts w:ascii="Times New Roman" w:hAnsi="Times New Roman" w:cs="Times New Roman"/>
        </w:rPr>
        <w:t>环境质量现状监测工作和园区开展</w:t>
      </w:r>
      <w:r>
        <w:rPr>
          <w:rFonts w:hint="eastAsia" w:ascii="Times New Roman" w:hAnsi="Times New Roman" w:cs="Times New Roman"/>
        </w:rPr>
        <w:t>的</w:t>
      </w:r>
      <w:r>
        <w:rPr>
          <w:rFonts w:ascii="Times New Roman" w:hAnsi="Times New Roman" w:cs="Times New Roman"/>
        </w:rPr>
        <w:t>例行监测数据，引用数据概况见下表。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表4.3-32 </w:t>
      </w:r>
      <w:r>
        <w:rPr>
          <w:rFonts w:ascii="Times New Roman" w:hAnsi="Times New Roman" w:cs="Times New Roman"/>
          <w:b/>
          <w:bCs/>
        </w:rPr>
        <w:t>引用数据概况</w:t>
      </w:r>
      <w:r>
        <w:rPr>
          <w:rFonts w:hint="eastAsia" w:ascii="Times New Roman" w:hAnsi="Times New Roman" w:cs="Times New Roman"/>
          <w:b/>
          <w:bCs/>
        </w:rPr>
        <w:t>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789"/>
        <w:gridCol w:w="3806"/>
        <w:gridCol w:w="3487"/>
        <w:gridCol w:w="1823"/>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62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片区</w:t>
            </w:r>
          </w:p>
        </w:tc>
        <w:tc>
          <w:tcPr>
            <w:tcW w:w="1338"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22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监测项目</w:t>
            </w:r>
          </w:p>
        </w:tc>
        <w:tc>
          <w:tcPr>
            <w:tcW w:w="64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监测时间</w:t>
            </w:r>
          </w:p>
        </w:tc>
        <w:tc>
          <w:tcPr>
            <w:tcW w:w="71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D1</w:t>
            </w:r>
          </w:p>
        </w:tc>
        <w:tc>
          <w:tcPr>
            <w:tcW w:w="629"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产业园</w:t>
            </w:r>
          </w:p>
          <w:p>
            <w:pPr>
              <w:jc w:val="center"/>
              <w:rPr>
                <w:rFonts w:ascii="Times New Roman" w:hAnsi="Times New Roman" w:eastAsia="宋体" w:cs="Times New Roman"/>
                <w:bCs/>
                <w:sz w:val="21"/>
                <w:szCs w:val="21"/>
              </w:rPr>
            </w:pPr>
          </w:p>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（化工）</w:t>
            </w: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赵家冲（居民水井）</w:t>
            </w:r>
          </w:p>
        </w:tc>
        <w:tc>
          <w:tcPr>
            <w:tcW w:w="1226"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r>
              <w:rPr>
                <w:rFonts w:hint="eastAsia" w:ascii="Times New Roman" w:hAnsi="Times New Roman" w:eastAsia="宋体" w:cs="Times New Roman"/>
                <w:bCs/>
                <w:sz w:val="21"/>
                <w:szCs w:val="21"/>
              </w:rPr>
              <w:t>、溶解性总固体</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总硬度</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耗氧量（CODMn）</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氨氮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硝酸盐</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亚硝酸盐</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挥发性酚类</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氟化物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硫酸盐</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硫化物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氰化物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铬（六价）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铁</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锰</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锌</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石油类</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总大肠菌群</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铊</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氯苯</w:t>
            </w:r>
            <w:r>
              <w:rPr>
                <w:rFonts w:ascii="Times New Roman" w:hAnsi="Times New Roman" w:eastAsia="宋体" w:cs="Times New Roman"/>
                <w:bCs/>
                <w:sz w:val="21"/>
                <w:szCs w:val="21"/>
              </w:rPr>
              <w:t>、K+、Na+、Ca2+、Mg2+、HCO3-、CO32-、SO42-</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Cl-</w:t>
            </w:r>
          </w:p>
        </w:tc>
        <w:tc>
          <w:tcPr>
            <w:tcW w:w="641"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2022.3.3</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2022.8</w:t>
            </w:r>
          </w:p>
        </w:tc>
        <w:tc>
          <w:tcPr>
            <w:tcW w:w="71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岳阳福瑞材料科技有限公司5000吨/年精细化工新材料建设项目环境影响报告书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D2</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张泥冲（居民水井）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D3</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维摩厂区内东南侧监测井（水文地勘井）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D4</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驰兴西南监测井（水文地勘井）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D5</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驰兴中部监测井（水文地勘井）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D6</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驰兴东北监测井（水文地勘井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D7</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临鸭公路东侧居民井（居民水井）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D8</w:t>
            </w:r>
          </w:p>
        </w:tc>
        <w:tc>
          <w:tcPr>
            <w:tcW w:w="629"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产业园</w:t>
            </w: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石塘冲居民水井</w:t>
            </w:r>
          </w:p>
        </w:tc>
        <w:tc>
          <w:tcPr>
            <w:tcW w:w="122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pH值、色度</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耗氧量</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嗅和味</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浊度</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氨氮</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硝酸盐(以N计)</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肉眼可见物</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挥发酚</w:t>
            </w:r>
          </w:p>
        </w:tc>
        <w:tc>
          <w:tcPr>
            <w:tcW w:w="641"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2022.6.9</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2022.11.28</w:t>
            </w:r>
          </w:p>
        </w:tc>
        <w:tc>
          <w:tcPr>
            <w:tcW w:w="71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园区环境监测报告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D9</w:t>
            </w:r>
          </w:p>
        </w:tc>
        <w:tc>
          <w:tcPr>
            <w:tcW w:w="629" w:type="pct"/>
            <w:vMerge w:val="continue"/>
            <w:vAlign w:val="center"/>
          </w:tcPr>
          <w:p>
            <w:pPr>
              <w:jc w:val="center"/>
              <w:rPr>
                <w:rFonts w:ascii="Times New Roman" w:hAnsi="Times New Roman" w:eastAsia="宋体" w:cs="Times New Roman"/>
                <w:bCs/>
                <w:sz w:val="21"/>
                <w:szCs w:val="21"/>
              </w:rPr>
            </w:pPr>
          </w:p>
        </w:tc>
        <w:tc>
          <w:tcPr>
            <w:tcW w:w="133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赵家组居民水井</w:t>
            </w:r>
          </w:p>
        </w:tc>
        <w:tc>
          <w:tcPr>
            <w:tcW w:w="1226" w:type="pct"/>
            <w:vMerge w:val="continue"/>
            <w:vAlign w:val="center"/>
          </w:tcPr>
          <w:p>
            <w:pPr>
              <w:ind w:firstLine="420" w:firstLineChars="200"/>
              <w:jc w:val="center"/>
              <w:rPr>
                <w:rFonts w:ascii="Times New Roman" w:hAnsi="Times New Roman" w:eastAsia="宋体" w:cs="Times New Roman"/>
                <w:sz w:val="21"/>
              </w:rPr>
            </w:pPr>
          </w:p>
        </w:tc>
        <w:tc>
          <w:tcPr>
            <w:tcW w:w="641" w:type="pct"/>
            <w:vMerge w:val="continue"/>
            <w:vAlign w:val="center"/>
          </w:tcPr>
          <w:p>
            <w:pPr>
              <w:ind w:firstLine="420" w:firstLineChars="200"/>
              <w:jc w:val="center"/>
              <w:rPr>
                <w:rFonts w:ascii="Times New Roman" w:hAnsi="Times New Roman" w:eastAsia="宋体" w:cs="Times New Roman"/>
                <w:sz w:val="21"/>
              </w:rPr>
            </w:pPr>
          </w:p>
        </w:tc>
        <w:tc>
          <w:tcPr>
            <w:tcW w:w="711" w:type="pct"/>
            <w:vMerge w:val="continue"/>
            <w:vAlign w:val="center"/>
          </w:tcPr>
          <w:p>
            <w:pPr>
              <w:ind w:firstLine="420" w:firstLineChars="200"/>
              <w:jc w:val="center"/>
              <w:rPr>
                <w:rFonts w:ascii="Times New Roman" w:hAnsi="Times New Roman" w:eastAsia="宋体" w:cs="Times New Roman"/>
                <w:sz w:val="21"/>
              </w:rPr>
            </w:pPr>
          </w:p>
        </w:tc>
      </w:tr>
    </w:tbl>
    <w:p>
      <w:pPr>
        <w:ind w:firstLine="480" w:firstLineChars="200"/>
        <w:rPr>
          <w:rFonts w:ascii="Times New Roman" w:hAnsi="Times New Roman" w:cs="Times New Roman"/>
        </w:rPr>
      </w:pPr>
    </w:p>
    <w:p>
      <w:pPr>
        <w:ind w:firstLine="480" w:firstLineChars="200"/>
        <w:rPr>
          <w:rFonts w:ascii="Times New Roman" w:hAnsi="Times New Roman" w:cs="Times New Roman"/>
        </w:rPr>
        <w:sectPr>
          <w:pgSz w:w="16838" w:h="11906" w:orient="landscape"/>
          <w:pgMar w:top="1418" w:right="1418" w:bottom="1701" w:left="1418" w:header="851" w:footer="992" w:gutter="0"/>
          <w:cols w:space="425" w:num="1"/>
          <w:docGrid w:linePitch="326" w:charSpace="915"/>
        </w:sectPr>
      </w:pPr>
    </w:p>
    <w:p>
      <w:pPr>
        <w:ind w:firstLine="480" w:firstLineChars="200"/>
        <w:rPr>
          <w:rFonts w:ascii="Times New Roman" w:hAnsi="Times New Roman" w:cs="Times New Roman"/>
        </w:rPr>
      </w:pPr>
    </w:p>
    <w:p>
      <w:pPr>
        <w:spacing w:line="360" w:lineRule="auto"/>
        <w:rPr>
          <w:rFonts w:ascii="Times New Roman" w:hAnsi="Times New Roman" w:cs="Times New Roman"/>
          <w:b/>
        </w:rPr>
      </w:pPr>
      <w:r>
        <w:rPr>
          <w:rFonts w:hint="eastAsia" w:ascii="Times New Roman" w:hAnsi="Times New Roman" w:cs="Times New Roman"/>
          <w:b/>
        </w:rPr>
        <w:t>（2）监测结果分析</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表4.3-35 滨江</w:t>
      </w:r>
      <w:r>
        <w:rPr>
          <w:rFonts w:hint="eastAsia" w:ascii="Times New Roman" w:hAnsi="Times New Roman"/>
          <w:b/>
          <w:bCs/>
          <w:szCs w:val="28"/>
        </w:rPr>
        <w:t>片区</w:t>
      </w:r>
      <w:r>
        <w:rPr>
          <w:rFonts w:ascii="Times New Roman" w:hAnsi="Times New Roman" w:cs="Times New Roman"/>
          <w:b/>
          <w:bCs/>
        </w:rPr>
        <w:t>引用数据</w:t>
      </w:r>
      <w:r>
        <w:rPr>
          <w:rFonts w:hint="eastAsia" w:ascii="Times New Roman" w:hAnsi="Times New Roman" w:cs="Times New Roman"/>
          <w:b/>
          <w:bCs/>
        </w:rPr>
        <w:t>分析表</w:t>
      </w:r>
    </w:p>
    <w:tbl>
      <w:tblPr>
        <w:tblStyle w:val="36"/>
        <w:tblW w:w="14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0"/>
        <w:gridCol w:w="909"/>
        <w:gridCol w:w="1119"/>
        <w:gridCol w:w="946"/>
        <w:gridCol w:w="975"/>
        <w:gridCol w:w="1119"/>
        <w:gridCol w:w="946"/>
        <w:gridCol w:w="962"/>
        <w:gridCol w:w="1117"/>
        <w:gridCol w:w="944"/>
        <w:gridCol w:w="932"/>
        <w:gridCol w:w="1162"/>
        <w:gridCol w:w="9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1210"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2974"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YD1</w:t>
            </w:r>
            <w:r>
              <w:rPr>
                <w:rFonts w:hint="eastAsia" w:ascii="Times New Roman" w:hAnsi="Times New Roman" w:eastAsia="宋体" w:cs="Times New Roman"/>
                <w:bCs/>
                <w:sz w:val="21"/>
                <w:szCs w:val="21"/>
              </w:rPr>
              <w:t>赵家冲（居民水井）</w:t>
            </w:r>
          </w:p>
        </w:tc>
        <w:tc>
          <w:tcPr>
            <w:tcW w:w="3040"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YD2</w:t>
            </w:r>
            <w:r>
              <w:rPr>
                <w:rFonts w:hint="eastAsia" w:ascii="Times New Roman" w:hAnsi="Times New Roman" w:eastAsia="宋体" w:cs="Times New Roman"/>
                <w:bCs/>
                <w:sz w:val="21"/>
                <w:szCs w:val="21"/>
              </w:rPr>
              <w:t>张泥冲（居民水井）</w:t>
            </w:r>
          </w:p>
        </w:tc>
        <w:tc>
          <w:tcPr>
            <w:tcW w:w="3023"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w:t>
            </w:r>
            <w:r>
              <w:rPr>
                <w:rFonts w:hint="eastAsia" w:ascii="Times New Roman" w:hAnsi="Times New Roman" w:eastAsia="宋体" w:cs="Times New Roman"/>
                <w:bCs/>
                <w:sz w:val="21"/>
                <w:szCs w:val="21"/>
              </w:rPr>
              <w:t>3维摩厂区内东南侧监测井（水文地勘井）</w:t>
            </w:r>
          </w:p>
        </w:tc>
        <w:tc>
          <w:tcPr>
            <w:tcW w:w="3029"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w:t>
            </w:r>
            <w:r>
              <w:rPr>
                <w:rFonts w:hint="eastAsia" w:ascii="Times New Roman" w:hAnsi="Times New Roman" w:eastAsia="宋体" w:cs="Times New Roman"/>
                <w:bCs/>
                <w:sz w:val="21"/>
                <w:szCs w:val="21"/>
              </w:rPr>
              <w:t>4驰兴西南监测井（水文地勘井）</w:t>
            </w:r>
          </w:p>
        </w:tc>
        <w:tc>
          <w:tcPr>
            <w:tcW w:w="1191"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0" w:type="auto"/>
            <w:vMerge w:val="continue"/>
            <w:vAlign w:val="center"/>
          </w:tcPr>
          <w:p>
            <w:pPr>
              <w:jc w:val="center"/>
              <w:rPr>
                <w:rFonts w:ascii="Times New Roman" w:hAnsi="Times New Roman" w:eastAsia="宋体" w:cs="Times New Roman"/>
                <w:bCs/>
                <w:sz w:val="21"/>
                <w:szCs w:val="21"/>
              </w:rPr>
            </w:pP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191"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6.73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6.76</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6.86</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溶解性总固体</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12.3%</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9.8%</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13.8%</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188</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18.8%</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总硬度</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19.6%</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13.8%</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107</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23.8%</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91</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耗氧量（</w:t>
            </w:r>
            <w:r>
              <w:rPr>
                <w:rFonts w:ascii="Times New Roman" w:hAnsi="Times New Roman" w:eastAsia="宋体" w:cs="Times New Roman"/>
                <w:bCs/>
                <w:sz w:val="21"/>
                <w:szCs w:val="21"/>
              </w:rPr>
              <w:t>CODMn</w:t>
            </w:r>
            <w:r>
              <w:rPr>
                <w:rFonts w:hint="eastAsia" w:ascii="Times New Roman" w:hAnsi="Times New Roman" w:eastAsia="宋体" w:cs="Times New Roman"/>
                <w:bCs/>
                <w:sz w:val="21"/>
                <w:szCs w:val="21"/>
              </w:rPr>
              <w:t>）</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63.3%</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56.7%</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0.128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25.6%</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0.392</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78.4%</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0.169</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33.8%</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硝酸盐</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亚硝酸盐</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0.084</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8.4%</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挥发性酚类</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氟化物</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5.8%</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0.031</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3.1%</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氯化物</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硫酸盐</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7.7%</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5.5%</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18.8</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7.5%</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12.9</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5.2%</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硫化物</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氰化物</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汞</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铬（六价）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铁</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3.95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1316.7%</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993.3%</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3.52</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1173.3%</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2.43</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810%</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锰</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1.97</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1970%</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0.00012</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铜</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0.305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30.5%</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0.197</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19.7%</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0.458</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45.8%</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1.26</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126%</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0.338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33.8%</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0.172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17.2%</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0.324</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32.4%</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0.188</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18.8%</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石油类</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3.37</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33.7%</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甲苯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二甲苯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总大肠菌群</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33333.3%</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1100</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36666.7%</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1200</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40000%</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1100</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36666.7%</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铊</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二氯甲烷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K+</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16.9</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17.1</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23.5</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Na+</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22.1</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19.6</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27.5</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26.9</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Ca2+</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37.8</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26.9</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Mg2+</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8.11</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HCO3-</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121</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209</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211</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CO32-</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SO42-</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18.8</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12.9</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Cl-</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1.68</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1.69</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3.2</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3.06</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bl>
    <w:p>
      <w:pPr>
        <w:keepNext/>
        <w:ind w:firstLine="482" w:firstLineChars="200"/>
        <w:jc w:val="center"/>
        <w:rPr>
          <w:rFonts w:ascii="Times New Roman" w:hAnsi="Times New Roman"/>
          <w:b/>
          <w:bCs/>
          <w:szCs w:val="28"/>
        </w:rPr>
      </w:pPr>
      <w:r>
        <w:rPr>
          <w:rFonts w:hint="eastAsia" w:ascii="Times New Roman" w:hAnsi="Times New Roman"/>
          <w:b/>
          <w:bCs/>
          <w:szCs w:val="28"/>
        </w:rPr>
        <w:t xml:space="preserve">续表 </w:t>
      </w:r>
      <w:r>
        <w:rPr>
          <w:rFonts w:ascii="Times New Roman" w:hAnsi="Times New Roman"/>
          <w:b/>
          <w:bCs/>
          <w:szCs w:val="28"/>
        </w:rPr>
        <w:t>滨江</w:t>
      </w:r>
      <w:r>
        <w:rPr>
          <w:rFonts w:hint="eastAsia" w:ascii="Times New Roman" w:hAnsi="Times New Roman"/>
          <w:b/>
          <w:bCs/>
          <w:szCs w:val="28"/>
        </w:rPr>
        <w:t>片区</w:t>
      </w:r>
      <w:r>
        <w:rPr>
          <w:rFonts w:ascii="Times New Roman" w:hAnsi="Times New Roman"/>
          <w:b/>
          <w:bCs/>
          <w:szCs w:val="28"/>
        </w:rPr>
        <w:t>引用数据</w:t>
      </w:r>
      <w:r>
        <w:rPr>
          <w:rFonts w:hint="eastAsia" w:ascii="Times New Roman" w:hAnsi="Times New Roman"/>
          <w:b/>
          <w:bCs/>
          <w:szCs w:val="28"/>
        </w:rPr>
        <w:t>分析表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5"/>
        <w:gridCol w:w="1114"/>
        <w:gridCol w:w="1372"/>
        <w:gridCol w:w="1162"/>
        <w:gridCol w:w="1196"/>
        <w:gridCol w:w="1372"/>
        <w:gridCol w:w="1162"/>
        <w:gridCol w:w="1181"/>
        <w:gridCol w:w="1370"/>
        <w:gridCol w:w="1159"/>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529"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1300"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YD5</w:t>
            </w:r>
            <w:r>
              <w:rPr>
                <w:rFonts w:hint="eastAsia" w:ascii="Times New Roman" w:hAnsi="Times New Roman" w:eastAsia="宋体" w:cs="Times New Roman"/>
                <w:bCs/>
                <w:sz w:val="21"/>
                <w:szCs w:val="21"/>
              </w:rPr>
              <w:t>驰兴中部监测井（水文地勘井）</w:t>
            </w:r>
          </w:p>
        </w:tc>
        <w:tc>
          <w:tcPr>
            <w:tcW w:w="1329"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YD6</w:t>
            </w:r>
            <w:r>
              <w:rPr>
                <w:rFonts w:hint="eastAsia" w:ascii="Times New Roman" w:hAnsi="Times New Roman" w:eastAsia="宋体" w:cs="Times New Roman"/>
                <w:bCs/>
                <w:sz w:val="21"/>
                <w:szCs w:val="21"/>
              </w:rPr>
              <w:t>驰兴东北监测井（水文地勘井）</w:t>
            </w:r>
          </w:p>
        </w:tc>
        <w:tc>
          <w:tcPr>
            <w:tcW w:w="1321" w:type="pct"/>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D7</w:t>
            </w:r>
            <w:r>
              <w:rPr>
                <w:rFonts w:hint="eastAsia" w:ascii="Times New Roman" w:hAnsi="Times New Roman" w:eastAsia="宋体" w:cs="Times New Roman"/>
                <w:bCs/>
                <w:sz w:val="21"/>
                <w:szCs w:val="21"/>
              </w:rPr>
              <w:t>临鸭公路东侧居民井（居民水井）</w:t>
            </w:r>
          </w:p>
        </w:tc>
        <w:tc>
          <w:tcPr>
            <w:tcW w:w="521"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529" w:type="pct"/>
            <w:vMerge w:val="continue"/>
            <w:vAlign w:val="center"/>
          </w:tcPr>
          <w:p>
            <w:pPr>
              <w:jc w:val="center"/>
              <w:rPr>
                <w:rFonts w:ascii="Times New Roman" w:hAnsi="Times New Roman" w:eastAsia="宋体" w:cs="Times New Roman"/>
                <w:bCs/>
                <w:sz w:val="21"/>
                <w:szCs w:val="21"/>
              </w:rPr>
            </w:pP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42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521"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6.79</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6.82</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6.95</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溶解性总固体</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216</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21.6%</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260</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163</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16.3%</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总硬度</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23.8%</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130</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28.9%</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11.6%</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耗氧量（</w:t>
            </w:r>
            <w:r>
              <w:rPr>
                <w:rFonts w:ascii="Times New Roman" w:hAnsi="Times New Roman" w:eastAsia="宋体" w:cs="Times New Roman"/>
                <w:bCs/>
                <w:sz w:val="21"/>
                <w:szCs w:val="21"/>
              </w:rPr>
              <w:t>CODMn</w:t>
            </w:r>
            <w:r>
              <w:rPr>
                <w:rFonts w:hint="eastAsia" w:ascii="Times New Roman" w:hAnsi="Times New Roman" w:eastAsia="宋体" w:cs="Times New Roman"/>
                <w:bCs/>
                <w:sz w:val="21"/>
                <w:szCs w:val="21"/>
              </w:rPr>
              <w:t>）</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56.7%</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123.3%</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30.0%</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0.084</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16.8%</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0.104</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20.8%</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0.057</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11.4%</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硝酸盐</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2.08</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10.4%</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亚硝酸盐</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挥发性酚类</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氟化物</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0.113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11.3%</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0.068</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6.8%</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氯化物</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硫酸盐</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7.3%</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16.2</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6.5%</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硫化物</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氰化物</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砷</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汞</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铬（六价）</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铁</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2.84</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946.7%</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4.14</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1380.0%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6.58</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2193.3%</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锰</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230.0%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0.265</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265.0%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1.34</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1340.0%</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铜</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0.78</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78.0%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0.75</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75.0%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0.129</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12.9%</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0.0221</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2.2%</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0.143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14.3%</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0.298</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29.8%</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石油类</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20.0%</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苯</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甲苯</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0.347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1.37</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二甲苯</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总大肠菌群</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1700</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56666.7%</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1400</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46666.7%</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1700</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56666.7%</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超标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铊</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二氯甲烷</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二氯乙烷</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氯苯</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K+</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24.6</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28.9</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6.63</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Na+</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34.7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36.8</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15.3</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Ca2+</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Mg2+</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11.2</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13.7</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4.93</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HCO3-</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239</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245</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72</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CO32-</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ND</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SO42-</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16.2</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2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Cl-</w:t>
            </w:r>
          </w:p>
        </w:tc>
        <w:tc>
          <w:tcPr>
            <w:tcW w:w="39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2.23</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6.65</w:t>
            </w:r>
          </w:p>
        </w:tc>
        <w:tc>
          <w:tcPr>
            <w:tcW w:w="48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6.86</w:t>
            </w:r>
          </w:p>
        </w:tc>
        <w:tc>
          <w:tcPr>
            <w:tcW w:w="488"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413"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2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表4.3-36  三湾</w:t>
      </w:r>
      <w:r>
        <w:rPr>
          <w:rFonts w:hint="eastAsia" w:ascii="Times New Roman" w:hAnsi="Times New Roman"/>
          <w:b/>
          <w:bCs/>
          <w:szCs w:val="28"/>
        </w:rPr>
        <w:t>片区</w:t>
      </w:r>
      <w:r>
        <w:rPr>
          <w:rFonts w:ascii="Times New Roman" w:hAnsi="Times New Roman" w:cs="Times New Roman"/>
          <w:b/>
          <w:bCs/>
        </w:rPr>
        <w:t>引用数据</w:t>
      </w:r>
      <w:r>
        <w:rPr>
          <w:rFonts w:hint="eastAsia" w:ascii="Times New Roman" w:hAnsi="Times New Roman" w:cs="Times New Roman"/>
          <w:b/>
          <w:bCs/>
        </w:rPr>
        <w:t>分析表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1"/>
        <w:gridCol w:w="2632"/>
        <w:gridCol w:w="1583"/>
        <w:gridCol w:w="1322"/>
        <w:gridCol w:w="2548"/>
        <w:gridCol w:w="1583"/>
        <w:gridCol w:w="1409"/>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535"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1973"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YD8石塘冲居民水井</w:t>
            </w:r>
          </w:p>
        </w:tc>
        <w:tc>
          <w:tcPr>
            <w:tcW w:w="1974"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YD9赵家组居民水井</w:t>
            </w:r>
          </w:p>
        </w:tc>
        <w:tc>
          <w:tcPr>
            <w:tcW w:w="518"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535" w:type="pct"/>
            <w:vMerge w:val="continue"/>
            <w:vAlign w:val="center"/>
          </w:tcPr>
          <w:p>
            <w:pPr>
              <w:jc w:val="center"/>
              <w:rPr>
                <w:rFonts w:ascii="Times New Roman" w:hAnsi="Times New Roman" w:eastAsia="宋体" w:cs="Times New Roman"/>
                <w:bCs/>
                <w:sz w:val="21"/>
                <w:szCs w:val="21"/>
              </w:rPr>
            </w:pP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518"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r>
              <w:rPr>
                <w:rFonts w:hint="eastAsia" w:ascii="Times New Roman" w:hAnsi="Times New Roman" w:eastAsia="宋体" w:cs="Times New Roman"/>
                <w:bCs/>
                <w:sz w:val="21"/>
                <w:szCs w:val="21"/>
              </w:rPr>
              <w:t>值</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6.78~6.89</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6.83~6.85</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色度</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5L~15</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5L</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耗氧量</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0.91~2.78</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92.7%</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0.78~1.03</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34.3%</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嗅和味</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浊度</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0.3L~1.8</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60.0%</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0.3L</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氨氮</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0.025L~0.071</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14.2%</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0.033~0.054</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10.8%</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硝酸盐(以</w:t>
            </w:r>
            <w:r>
              <w:rPr>
                <w:rFonts w:ascii="Times New Roman" w:hAnsi="Times New Roman" w:eastAsia="宋体" w:cs="Times New Roman"/>
                <w:bCs/>
                <w:sz w:val="21"/>
                <w:szCs w:val="21"/>
              </w:rPr>
              <w:t>N</w:t>
            </w:r>
            <w:r>
              <w:rPr>
                <w:rFonts w:hint="eastAsia" w:ascii="Times New Roman" w:hAnsi="Times New Roman" w:eastAsia="宋体" w:cs="Times New Roman"/>
                <w:bCs/>
                <w:sz w:val="21"/>
                <w:szCs w:val="21"/>
              </w:rPr>
              <w:t xml:space="preserve">计) </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0.068~0.666</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0.637~4.52</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22.6%</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肉眼可见物</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挥发酚</w:t>
            </w:r>
          </w:p>
        </w:tc>
        <w:tc>
          <w:tcPr>
            <w:tcW w:w="93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0.0003L</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471"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0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0.0003L</w:t>
            </w:r>
          </w:p>
        </w:tc>
        <w:tc>
          <w:tcPr>
            <w:tcW w:w="56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502"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518"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w:t>
            </w:r>
          </w:p>
        </w:tc>
      </w:tr>
    </w:tbl>
    <w:p>
      <w:pPr>
        <w:spacing w:line="360" w:lineRule="auto"/>
        <w:ind w:firstLine="480" w:firstLineChars="200"/>
        <w:jc w:val="left"/>
        <w:rPr>
          <w:rFonts w:ascii="Times New Roman" w:hAnsi="Times New Roman"/>
        </w:rPr>
      </w:pPr>
      <w:r>
        <w:rPr>
          <w:rFonts w:ascii="Times New Roman" w:hAnsi="Times New Roman"/>
        </w:rPr>
        <w:t>根据上表可知，区内地下水还存在一定的铁、锰、</w:t>
      </w:r>
      <w:r>
        <w:rPr>
          <w:rFonts w:hint="eastAsia" w:ascii="Times New Roman" w:hAnsi="Times New Roman"/>
        </w:rPr>
        <w:t>铜</w:t>
      </w:r>
      <w:r>
        <w:rPr>
          <w:rFonts w:ascii="Times New Roman" w:hAnsi="Times New Roman"/>
        </w:rPr>
        <w:t>、总大肠菌群超标的情况，其中YD1至YD7均存在铁超标的情况，</w:t>
      </w:r>
      <w:r>
        <w:rPr>
          <w:rFonts w:hint="eastAsia" w:ascii="Times New Roman" w:hAnsi="Times New Roman"/>
        </w:rPr>
        <w:t>占标率</w:t>
      </w:r>
      <w:r>
        <w:rPr>
          <w:rFonts w:ascii="Times New Roman" w:hAnsi="Times New Roman"/>
        </w:rPr>
        <w:t>分别为1316.7%、993.3%、1173.3%、810%</w:t>
      </w:r>
      <w:r>
        <w:rPr>
          <w:rFonts w:hint="eastAsia" w:ascii="Times New Roman" w:hAnsi="Times New Roman"/>
        </w:rPr>
        <w:t>、</w:t>
      </w:r>
      <w:r>
        <w:rPr>
          <w:rFonts w:ascii="Times New Roman" w:hAnsi="Times New Roman"/>
        </w:rPr>
        <w:t>946.7%、1380%、2193.3%；YD3、YD5、YD6、YD7存在锰超标的情况，</w:t>
      </w:r>
      <w:r>
        <w:rPr>
          <w:rFonts w:hint="eastAsia" w:ascii="Times New Roman" w:hAnsi="Times New Roman"/>
        </w:rPr>
        <w:t>占标率</w:t>
      </w:r>
      <w:r>
        <w:rPr>
          <w:rFonts w:ascii="Times New Roman" w:hAnsi="Times New Roman"/>
        </w:rPr>
        <w:t>分别为1970%、230%、265%、1340%；YD</w:t>
      </w:r>
      <w:r>
        <w:rPr>
          <w:rFonts w:hint="eastAsia" w:ascii="Times New Roman" w:hAnsi="Times New Roman"/>
        </w:rPr>
        <w:t>4存在铜</w:t>
      </w:r>
      <w:r>
        <w:rPr>
          <w:rFonts w:ascii="Times New Roman" w:hAnsi="Times New Roman"/>
        </w:rPr>
        <w:t>超标的情况，</w:t>
      </w:r>
      <w:r>
        <w:rPr>
          <w:rFonts w:hint="eastAsia" w:ascii="Times New Roman" w:hAnsi="Times New Roman"/>
        </w:rPr>
        <w:t>占标率</w:t>
      </w:r>
      <w:r>
        <w:rPr>
          <w:rFonts w:ascii="Times New Roman" w:hAnsi="Times New Roman"/>
        </w:rPr>
        <w:t>为126%</w:t>
      </w:r>
      <w:r>
        <w:rPr>
          <w:rFonts w:hint="eastAsia" w:ascii="Times New Roman" w:hAnsi="Times New Roman"/>
        </w:rPr>
        <w:t>；</w:t>
      </w:r>
      <w:r>
        <w:rPr>
          <w:rFonts w:ascii="Times New Roman" w:hAnsi="Times New Roman"/>
        </w:rPr>
        <w:t>YD1至YD7均存在总大肠菌群超标情况，</w:t>
      </w:r>
      <w:r>
        <w:rPr>
          <w:rFonts w:hint="eastAsia" w:ascii="Times New Roman" w:hAnsi="Times New Roman"/>
        </w:rPr>
        <w:t>占标率</w:t>
      </w:r>
      <w:r>
        <w:rPr>
          <w:rFonts w:ascii="Times New Roman" w:hAnsi="Times New Roman"/>
        </w:rPr>
        <w:t>分别为33333.3%、36666.7%、40000%、36666.7%、56666.7%、46666.7%、56666.7%，其余指标均满足《地下水质量标准》（GB/T14848-2017）</w:t>
      </w:r>
      <w:r>
        <w:rPr>
          <w:rFonts w:hint="eastAsia" w:ascii="宋体" w:hAnsi="宋体" w:eastAsia="宋体" w:cs="宋体"/>
        </w:rPr>
        <w:t>Ⅲ</w:t>
      </w:r>
      <w:r>
        <w:rPr>
          <w:rFonts w:ascii="Times New Roman" w:hAnsi="Times New Roman"/>
        </w:rPr>
        <w:t>类标准。</w:t>
      </w:r>
    </w:p>
    <w:p>
      <w:pPr>
        <w:spacing w:line="360" w:lineRule="auto"/>
        <w:ind w:firstLine="480" w:firstLineChars="200"/>
        <w:jc w:val="left"/>
        <w:rPr>
          <w:rFonts w:ascii="Times New Roman" w:hAnsi="Times New Roman"/>
        </w:rPr>
      </w:pPr>
      <w:r>
        <w:rPr>
          <w:rFonts w:ascii="Times New Roman" w:hAnsi="Times New Roman"/>
        </w:rPr>
        <w:t>根据区域水文地质条件及现场调查情况，地下水中铁、锰</w:t>
      </w:r>
      <w:r>
        <w:rPr>
          <w:rFonts w:hint="eastAsia" w:ascii="Times New Roman" w:hAnsi="Times New Roman"/>
        </w:rPr>
        <w:t>、</w:t>
      </w:r>
      <w:r>
        <w:rPr>
          <w:rFonts w:ascii="Times New Roman" w:hAnsi="Times New Roman"/>
        </w:rPr>
        <w:t>铜超标主要与项目所在地区域岩性有关，项目所在区域下覆强风化板岩，其风化面为褐红色铁、锰质矿物</w:t>
      </w:r>
      <w:r>
        <w:rPr>
          <w:rFonts w:hint="eastAsia" w:ascii="Times New Roman" w:hAnsi="Times New Roman"/>
        </w:rPr>
        <w:t>成分</w:t>
      </w:r>
      <w:r>
        <w:rPr>
          <w:rFonts w:ascii="Times New Roman" w:hAnsi="Times New Roman"/>
        </w:rPr>
        <w:t>，铁、锰含量较高，因此区域地质背景值中铁、锰较高，超出《地下水质量标准》（GB/T14848-2017）</w:t>
      </w:r>
      <w:r>
        <w:rPr>
          <w:rFonts w:hint="eastAsia" w:ascii="宋体" w:hAnsi="宋体" w:eastAsia="宋体" w:cs="宋体"/>
        </w:rPr>
        <w:t>Ⅲ</w:t>
      </w:r>
      <w:r>
        <w:rPr>
          <w:rFonts w:ascii="Times New Roman" w:hAnsi="Times New Roman"/>
        </w:rPr>
        <w:t>类标准，造成区域地下水环境中铁、锰超标；总大肠菌群超标主要原因为由于周边存在自住民房，由于居民居住，同时井口未做防护，冲沟里有多个水塘，水塘有养殖鱼、鸭等牲畜，其排泄物的污染导致地下水污染</w:t>
      </w:r>
      <w:r>
        <w:rPr>
          <w:rFonts w:hint="eastAsia" w:ascii="Times New Roman" w:hAnsi="Times New Roman"/>
        </w:rPr>
        <w:t>。</w:t>
      </w:r>
    </w:p>
    <w:p>
      <w:pPr>
        <w:ind w:firstLine="480" w:firstLineChars="200"/>
        <w:rPr>
          <w:rFonts w:ascii="Times New Roman" w:hAnsi="Times New Roman" w:cs="Times New Roman"/>
        </w:rPr>
      </w:pPr>
    </w:p>
    <w:p>
      <w:pPr>
        <w:ind w:firstLine="480" w:firstLineChars="200"/>
        <w:rPr>
          <w:rFonts w:ascii="Times New Roman" w:hAnsi="Times New Roman" w:cs="Times New Roman"/>
        </w:rPr>
        <w:sectPr>
          <w:pgSz w:w="16838" w:h="11906" w:orient="landscape"/>
          <w:pgMar w:top="1418" w:right="1418" w:bottom="1701" w:left="1418" w:header="851" w:footer="992" w:gutter="0"/>
          <w:cols w:space="425" w:num="1"/>
          <w:docGrid w:linePitch="326" w:charSpace="915"/>
        </w:sectPr>
      </w:pP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4.3.3.2 本次评价监测</w:t>
      </w:r>
    </w:p>
    <w:p>
      <w:pPr>
        <w:spacing w:line="360" w:lineRule="auto"/>
        <w:rPr>
          <w:rFonts w:ascii="Times New Roman" w:hAnsi="Times New Roman" w:cs="Times New Roman"/>
        </w:rPr>
      </w:pPr>
      <w:r>
        <w:rPr>
          <w:rFonts w:ascii="Times New Roman" w:hAnsi="Times New Roman" w:cs="Times New Roman"/>
        </w:rPr>
        <w:t>（1）监测点位及监测因子</w:t>
      </w:r>
    </w:p>
    <w:p>
      <w:pPr>
        <w:spacing w:line="360" w:lineRule="auto"/>
        <w:ind w:firstLine="480" w:firstLineChars="200"/>
        <w:rPr>
          <w:rFonts w:ascii="Times New Roman" w:hAnsi="Times New Roman" w:cs="Times New Roman"/>
        </w:rPr>
      </w:pPr>
      <w:r>
        <w:rPr>
          <w:rFonts w:ascii="Times New Roman" w:hAnsi="Times New Roman" w:cs="Times New Roman"/>
        </w:rPr>
        <w:t>本次评价共布设5个地下水监测点，具体见下表。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表4.3-30  地下水监测点位</w:t>
      </w:r>
    </w:p>
    <w:tbl>
      <w:tblPr>
        <w:tblStyle w:val="36"/>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984"/>
        <w:gridCol w:w="2206"/>
        <w:gridCol w:w="3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1984"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220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与园区</w:t>
            </w:r>
            <w:r>
              <w:rPr>
                <w:rFonts w:ascii="Times New Roman" w:hAnsi="Times New Roman" w:eastAsia="宋体" w:cs="Times New Roman"/>
                <w:bCs/>
                <w:sz w:val="21"/>
                <w:szCs w:val="21"/>
              </w:rPr>
              <w:t>上下游关系</w:t>
            </w:r>
          </w:p>
        </w:tc>
        <w:tc>
          <w:tcPr>
            <w:tcW w:w="371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D1</w:t>
            </w:r>
          </w:p>
        </w:tc>
        <w:tc>
          <w:tcPr>
            <w:tcW w:w="1984" w:type="dxa"/>
            <w:vAlign w:val="center"/>
          </w:tcPr>
          <w:p>
            <w:pPr>
              <w:jc w:val="center"/>
              <w:rPr>
                <w:rFonts w:ascii="Times New Roman" w:hAnsi="Times New Roman" w:eastAsia="宋体" w:cs="Times New Roman"/>
                <w:bCs/>
                <w:sz w:val="21"/>
                <w:szCs w:val="21"/>
              </w:rPr>
            </w:pPr>
          </w:p>
        </w:tc>
        <w:tc>
          <w:tcPr>
            <w:tcW w:w="2206" w:type="dxa"/>
            <w:vAlign w:val="center"/>
          </w:tcPr>
          <w:p>
            <w:pPr>
              <w:jc w:val="center"/>
              <w:rPr>
                <w:rFonts w:ascii="Times New Roman" w:hAnsi="Times New Roman" w:eastAsia="宋体" w:cs="Times New Roman"/>
                <w:bCs/>
                <w:sz w:val="21"/>
                <w:szCs w:val="21"/>
              </w:rPr>
            </w:pPr>
          </w:p>
        </w:tc>
        <w:tc>
          <w:tcPr>
            <w:tcW w:w="3712"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pH、总硬度、溶解性总固体、耗氧量、硫酸盐、氯化物、氰化物、挥发性酚类、氨氮、氟化物、镉、铅、铁、锰、汞、总铬、六价铬、镍、砷、总大肠菌群。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D2</w:t>
            </w:r>
          </w:p>
        </w:tc>
        <w:tc>
          <w:tcPr>
            <w:tcW w:w="1984" w:type="dxa"/>
            <w:vAlign w:val="center"/>
          </w:tcPr>
          <w:p>
            <w:pPr>
              <w:jc w:val="center"/>
              <w:rPr>
                <w:rFonts w:ascii="Times New Roman" w:hAnsi="Times New Roman" w:eastAsia="宋体" w:cs="Times New Roman"/>
                <w:bCs/>
                <w:sz w:val="21"/>
                <w:szCs w:val="21"/>
              </w:rPr>
            </w:pPr>
          </w:p>
        </w:tc>
        <w:tc>
          <w:tcPr>
            <w:tcW w:w="2206" w:type="dxa"/>
            <w:vAlign w:val="center"/>
          </w:tcPr>
          <w:p>
            <w:pPr>
              <w:jc w:val="center"/>
              <w:rPr>
                <w:rFonts w:ascii="Times New Roman" w:hAnsi="Times New Roman" w:eastAsia="宋体" w:cs="Times New Roman"/>
                <w:bCs/>
                <w:sz w:val="21"/>
                <w:szCs w:val="21"/>
              </w:rPr>
            </w:pPr>
          </w:p>
        </w:tc>
        <w:tc>
          <w:tcPr>
            <w:tcW w:w="3712" w:type="dxa"/>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D3</w:t>
            </w:r>
          </w:p>
        </w:tc>
        <w:tc>
          <w:tcPr>
            <w:tcW w:w="1984" w:type="dxa"/>
            <w:vAlign w:val="center"/>
          </w:tcPr>
          <w:p>
            <w:pPr>
              <w:jc w:val="center"/>
              <w:rPr>
                <w:rFonts w:ascii="Times New Roman" w:hAnsi="Times New Roman" w:eastAsia="宋体" w:cs="Times New Roman"/>
                <w:bCs/>
                <w:sz w:val="21"/>
                <w:szCs w:val="21"/>
              </w:rPr>
            </w:pPr>
          </w:p>
        </w:tc>
        <w:tc>
          <w:tcPr>
            <w:tcW w:w="2206" w:type="dxa"/>
            <w:vAlign w:val="center"/>
          </w:tcPr>
          <w:p>
            <w:pPr>
              <w:jc w:val="center"/>
              <w:rPr>
                <w:rFonts w:ascii="Times New Roman" w:hAnsi="Times New Roman" w:eastAsia="宋体" w:cs="Times New Roman"/>
                <w:bCs/>
                <w:sz w:val="21"/>
                <w:szCs w:val="21"/>
              </w:rPr>
            </w:pPr>
          </w:p>
        </w:tc>
        <w:tc>
          <w:tcPr>
            <w:tcW w:w="3712" w:type="dxa"/>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D4</w:t>
            </w:r>
          </w:p>
        </w:tc>
        <w:tc>
          <w:tcPr>
            <w:tcW w:w="1984" w:type="dxa"/>
            <w:vAlign w:val="center"/>
          </w:tcPr>
          <w:p>
            <w:pPr>
              <w:jc w:val="center"/>
              <w:rPr>
                <w:rFonts w:ascii="Times New Roman" w:hAnsi="Times New Roman" w:eastAsia="宋体" w:cs="Times New Roman"/>
                <w:bCs/>
                <w:sz w:val="21"/>
                <w:szCs w:val="21"/>
              </w:rPr>
            </w:pPr>
          </w:p>
        </w:tc>
        <w:tc>
          <w:tcPr>
            <w:tcW w:w="2206" w:type="dxa"/>
            <w:vAlign w:val="center"/>
          </w:tcPr>
          <w:p>
            <w:pPr>
              <w:jc w:val="center"/>
              <w:rPr>
                <w:rFonts w:ascii="Times New Roman" w:hAnsi="Times New Roman" w:eastAsia="宋体" w:cs="Times New Roman"/>
                <w:bCs/>
                <w:sz w:val="21"/>
                <w:szCs w:val="21"/>
              </w:rPr>
            </w:pPr>
          </w:p>
        </w:tc>
        <w:tc>
          <w:tcPr>
            <w:tcW w:w="3712" w:type="dxa"/>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D5</w:t>
            </w:r>
          </w:p>
        </w:tc>
        <w:tc>
          <w:tcPr>
            <w:tcW w:w="1984" w:type="dxa"/>
            <w:vAlign w:val="center"/>
          </w:tcPr>
          <w:p>
            <w:pPr>
              <w:jc w:val="center"/>
              <w:rPr>
                <w:rFonts w:ascii="Times New Roman" w:hAnsi="Times New Roman" w:eastAsia="宋体" w:cs="Times New Roman"/>
                <w:bCs/>
                <w:sz w:val="21"/>
                <w:szCs w:val="21"/>
              </w:rPr>
            </w:pPr>
          </w:p>
        </w:tc>
        <w:tc>
          <w:tcPr>
            <w:tcW w:w="2206" w:type="dxa"/>
            <w:vAlign w:val="center"/>
          </w:tcPr>
          <w:p>
            <w:pPr>
              <w:jc w:val="center"/>
              <w:rPr>
                <w:rFonts w:ascii="Times New Roman" w:hAnsi="Times New Roman" w:eastAsia="宋体" w:cs="Times New Roman"/>
                <w:bCs/>
                <w:sz w:val="21"/>
                <w:szCs w:val="21"/>
              </w:rPr>
            </w:pPr>
          </w:p>
        </w:tc>
        <w:tc>
          <w:tcPr>
            <w:tcW w:w="3712" w:type="dxa"/>
            <w:vMerge w:val="continue"/>
            <w:vAlign w:val="center"/>
          </w:tcPr>
          <w:p>
            <w:pPr>
              <w:ind w:firstLine="420" w:firstLineChars="200"/>
              <w:jc w:val="center"/>
              <w:rPr>
                <w:rFonts w:ascii="Times New Roman" w:hAnsi="Times New Roman" w:eastAsia="宋体" w:cs="Times New Roman"/>
                <w:sz w:val="21"/>
              </w:rPr>
            </w:pPr>
          </w:p>
        </w:tc>
      </w:tr>
    </w:tbl>
    <w:p>
      <w:pPr>
        <w:spacing w:line="360" w:lineRule="auto"/>
        <w:rPr>
          <w:rFonts w:ascii="Times New Roman" w:hAnsi="Times New Roman" w:cs="Times New Roman"/>
        </w:rPr>
      </w:pPr>
      <w:r>
        <w:rPr>
          <w:rFonts w:ascii="Times New Roman" w:hAnsi="Times New Roman" w:cs="Times New Roman"/>
        </w:rPr>
        <w:t>（2）监测时间及频次</w:t>
      </w:r>
    </w:p>
    <w:p>
      <w:pPr>
        <w:spacing w:line="360" w:lineRule="auto"/>
        <w:ind w:firstLine="480" w:firstLineChars="200"/>
        <w:rPr>
          <w:rFonts w:ascii="Times New Roman" w:hAnsi="Times New Roman" w:cs="Times New Roman"/>
        </w:rPr>
      </w:pPr>
      <w:r>
        <w:rPr>
          <w:rFonts w:ascii="Times New Roman" w:hAnsi="Times New Roman" w:cs="Times New Roman"/>
        </w:rPr>
        <w:t>2021年8月24日，监测1天，采样一次。</w:t>
      </w:r>
    </w:p>
    <w:p>
      <w:pPr>
        <w:spacing w:line="360" w:lineRule="auto"/>
        <w:rPr>
          <w:rFonts w:ascii="Times New Roman" w:hAnsi="Times New Roman" w:cs="Times New Roman"/>
        </w:rPr>
      </w:pPr>
      <w:r>
        <w:rPr>
          <w:rFonts w:ascii="Times New Roman" w:hAnsi="Times New Roman" w:cs="Times New Roman"/>
        </w:rPr>
        <w:t>（3）监测和分析方法</w:t>
      </w:r>
    </w:p>
    <w:p>
      <w:pPr>
        <w:spacing w:line="360" w:lineRule="auto"/>
        <w:ind w:firstLine="480" w:firstLineChars="200"/>
        <w:rPr>
          <w:rFonts w:ascii="Times New Roman" w:hAnsi="Times New Roman" w:cs="Times New Roman"/>
        </w:rPr>
      </w:pPr>
      <w:r>
        <w:rPr>
          <w:rFonts w:ascii="Times New Roman" w:hAnsi="Times New Roman" w:cs="Times New Roman"/>
        </w:rPr>
        <w:t>按国家环保总局颁发的《环境监测技术规范》的有关规定和要求执行。</w:t>
      </w:r>
    </w:p>
    <w:p>
      <w:pPr>
        <w:spacing w:line="360" w:lineRule="auto"/>
        <w:rPr>
          <w:rFonts w:ascii="Times New Roman" w:hAnsi="Times New Roman" w:cs="Times New Roman"/>
        </w:rPr>
      </w:pPr>
      <w:r>
        <w:rPr>
          <w:rFonts w:ascii="Times New Roman" w:hAnsi="Times New Roman" w:cs="Times New Roman"/>
        </w:rPr>
        <w:t>（4）监测结果与评价</w:t>
      </w:r>
    </w:p>
    <w:p>
      <w:pPr>
        <w:spacing w:line="360" w:lineRule="auto"/>
        <w:ind w:firstLine="480" w:firstLineChars="200"/>
        <w:rPr>
          <w:rFonts w:ascii="Times New Roman" w:hAnsi="Times New Roman" w:cs="Times New Roman"/>
        </w:rPr>
      </w:pPr>
      <w:r>
        <w:rPr>
          <w:rFonts w:ascii="Times New Roman" w:hAnsi="Times New Roman" w:cs="Times New Roman"/>
        </w:rPr>
        <w:t>由下表可知，D1-D5所有监测因子均满足《地下水质量标准》（GB/T 14848-2017）中</w:t>
      </w:r>
      <w:r>
        <w:rPr>
          <w:rFonts w:ascii="Times New Roman" w:hAnsi="Times New Roman" w:cs="Times New Roman"/>
        </w:rPr>
        <w:fldChar w:fldCharType="begin"/>
      </w:r>
      <w:r>
        <w:rPr>
          <w:rFonts w:ascii="Times New Roman" w:hAnsi="Times New Roman" w:cs="Times New Roman"/>
        </w:rPr>
        <w:instrText xml:space="preserve"> = 3 \* ROMAN </w:instrText>
      </w:r>
      <w:r>
        <w:rPr>
          <w:rFonts w:ascii="Times New Roman" w:hAnsi="Times New Roman" w:cs="Times New Roman"/>
        </w:rPr>
        <w:fldChar w:fldCharType="separate"/>
      </w:r>
      <w:r>
        <w:rPr>
          <w:rFonts w:ascii="Times New Roman" w:hAnsi="Times New Roman" w:cs="Times New Roman"/>
        </w:rPr>
        <w:t>III</w:t>
      </w:r>
      <w:r>
        <w:rPr>
          <w:rFonts w:ascii="Times New Roman" w:hAnsi="Times New Roman" w:cs="Times New Roman"/>
        </w:rPr>
        <w:fldChar w:fldCharType="end"/>
      </w:r>
      <w:r>
        <w:rPr>
          <w:rFonts w:ascii="Times New Roman" w:hAnsi="Times New Roman" w:cs="Times New Roman"/>
        </w:rPr>
        <w:t>类标准要求，区域地下水水质较好。</w:t>
      </w:r>
    </w:p>
    <w:p>
      <w:pPr>
        <w:spacing w:line="360" w:lineRule="auto"/>
        <w:ind w:firstLine="480" w:firstLineChars="200"/>
        <w:rPr>
          <w:rFonts w:ascii="Times New Roman" w:hAnsi="Times New Roman" w:cs="Times New Roman"/>
        </w:rPr>
        <w:sectPr>
          <w:pgSz w:w="11906" w:h="16838"/>
          <w:pgMar w:top="1418" w:right="1418" w:bottom="1418" w:left="1701" w:header="851" w:footer="992" w:gutter="0"/>
          <w:cols w:space="425" w:num="1"/>
          <w:docGrid w:linePitch="326" w:charSpace="915"/>
        </w:sectPr>
      </w:pPr>
    </w:p>
    <w:p>
      <w:pPr>
        <w:keepLines/>
        <w:spacing w:line="360" w:lineRule="auto"/>
        <w:ind w:firstLine="488" w:firstLineChars="200"/>
        <w:jc w:val="center"/>
        <w:outlineLvl w:val="4"/>
        <w:rPr>
          <w:rFonts w:ascii="Times New Roman" w:hAnsi="Times New Roman"/>
          <w:b/>
          <w:bCs/>
          <w:szCs w:val="28"/>
        </w:rPr>
      </w:pPr>
      <w:r>
        <w:rPr>
          <w:rFonts w:ascii="Times New Roman" w:hAnsi="Times New Roman"/>
          <w:b/>
          <w:bCs/>
          <w:szCs w:val="28"/>
        </w:rPr>
        <w:t>表4.3-31  地下水质现状监测结果统计与评价  单位：mg/L（pH除外）</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10"/>
        <w:gridCol w:w="1174"/>
        <w:gridCol w:w="901"/>
        <w:gridCol w:w="1174"/>
        <w:gridCol w:w="899"/>
        <w:gridCol w:w="1182"/>
        <w:gridCol w:w="1038"/>
        <w:gridCol w:w="1182"/>
        <w:gridCol w:w="1040"/>
        <w:gridCol w:w="1182"/>
        <w:gridCol w:w="1043"/>
        <w:gridCol w:w="1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restar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732" w:type="pct"/>
            <w:gridSpan w:val="2"/>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D1</w:t>
            </w:r>
          </w:p>
        </w:tc>
        <w:tc>
          <w:tcPr>
            <w:tcW w:w="731" w:type="pct"/>
            <w:gridSpan w:val="2"/>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D2</w:t>
            </w:r>
          </w:p>
        </w:tc>
        <w:tc>
          <w:tcPr>
            <w:tcW w:w="783" w:type="pct"/>
            <w:gridSpan w:val="2"/>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D3</w:t>
            </w:r>
          </w:p>
        </w:tc>
        <w:tc>
          <w:tcPr>
            <w:tcW w:w="784" w:type="pct"/>
            <w:gridSpan w:val="2"/>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D4</w:t>
            </w:r>
          </w:p>
        </w:tc>
        <w:tc>
          <w:tcPr>
            <w:tcW w:w="785" w:type="pct"/>
            <w:gridSpan w:val="2"/>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D5</w:t>
            </w:r>
          </w:p>
        </w:tc>
        <w:tc>
          <w:tcPr>
            <w:tcW w:w="370" w:type="pct"/>
            <w:vMerge w:val="restar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continue"/>
            <w:vAlign w:val="center"/>
          </w:tcPr>
          <w:p>
            <w:pPr>
              <w:jc w:val="center"/>
              <w:rPr>
                <w:rFonts w:ascii="Times New Roman" w:hAnsi="Times New Roman" w:eastAsia="宋体" w:cs="Times New Roman"/>
                <w:bCs/>
                <w:sz w:val="21"/>
                <w:szCs w:val="21"/>
              </w:rPr>
            </w:pPr>
          </w:p>
        </w:tc>
        <w:tc>
          <w:tcPr>
            <w:tcW w:w="414"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浓度</w:t>
            </w:r>
          </w:p>
        </w:tc>
        <w:tc>
          <w:tcPr>
            <w:tcW w:w="318"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标准指数</w:t>
            </w:r>
          </w:p>
        </w:tc>
        <w:tc>
          <w:tcPr>
            <w:tcW w:w="414"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浓度</w:t>
            </w:r>
          </w:p>
        </w:tc>
        <w:tc>
          <w:tcPr>
            <w:tcW w:w="317"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标准指数</w:t>
            </w:r>
          </w:p>
        </w:tc>
        <w:tc>
          <w:tcPr>
            <w:tcW w:w="417"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浓度</w:t>
            </w:r>
          </w:p>
        </w:tc>
        <w:tc>
          <w:tcPr>
            <w:tcW w:w="366"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标准指数</w:t>
            </w:r>
          </w:p>
        </w:tc>
        <w:tc>
          <w:tcPr>
            <w:tcW w:w="417"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浓度</w:t>
            </w:r>
          </w:p>
        </w:tc>
        <w:tc>
          <w:tcPr>
            <w:tcW w:w="367"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标准指数</w:t>
            </w:r>
          </w:p>
        </w:tc>
        <w:tc>
          <w:tcPr>
            <w:tcW w:w="417"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浓度</w:t>
            </w:r>
          </w:p>
        </w:tc>
        <w:tc>
          <w:tcPr>
            <w:tcW w:w="368"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标准指数</w:t>
            </w:r>
          </w:p>
        </w:tc>
        <w:tc>
          <w:tcPr>
            <w:tcW w:w="370"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pH值（无量纲）</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shd w:val="clear" w:color="auto" w:fill="auto"/>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shd w:val="clear" w:color="auto" w:fill="auto"/>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汞</w:t>
            </w: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砷</w:t>
            </w: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铁</w:t>
            </w: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锰</w:t>
            </w: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tcBorders>
              <w:tl2br w:val="nil"/>
              <w:tr2bl w:val="nil"/>
            </w:tcBorders>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tcBorders>
              <w:tl2br w:val="nil"/>
              <w:tr2bl w:val="nil"/>
            </w:tcBorders>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六价铬</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shd w:val="clear" w:color="auto" w:fill="auto"/>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shd w:val="clear" w:color="auto" w:fill="auto"/>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总硬度（以CaCO3计）</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溶解性总固体</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耗氧量（以O2计）</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氨氮</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氟化物</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氯化物</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硫酸盐</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挥发性酚类（以苯酚计）</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总大肠菌群（MPN/100mL）</w:t>
            </w:r>
          </w:p>
        </w:tc>
        <w:tc>
          <w:tcPr>
            <w:tcW w:w="414" w:type="pct"/>
            <w:vAlign w:val="center"/>
          </w:tcPr>
          <w:p>
            <w:pPr>
              <w:jc w:val="center"/>
              <w:rPr>
                <w:rFonts w:ascii="Times New Roman" w:hAnsi="Times New Roman" w:eastAsia="宋体" w:cs="Times New Roman"/>
                <w:bCs/>
                <w:sz w:val="21"/>
                <w:szCs w:val="21"/>
              </w:rPr>
            </w:pPr>
          </w:p>
        </w:tc>
        <w:tc>
          <w:tcPr>
            <w:tcW w:w="318" w:type="pct"/>
            <w:shd w:val="clear" w:color="auto" w:fill="auto"/>
            <w:vAlign w:val="center"/>
          </w:tcPr>
          <w:p>
            <w:pPr>
              <w:jc w:val="center"/>
              <w:rPr>
                <w:rFonts w:ascii="Times New Roman" w:hAnsi="Times New Roman" w:eastAsia="宋体" w:cs="Times New Roman"/>
                <w:bCs/>
                <w:sz w:val="21"/>
                <w:szCs w:val="21"/>
              </w:rPr>
            </w:pPr>
          </w:p>
        </w:tc>
        <w:tc>
          <w:tcPr>
            <w:tcW w:w="414" w:type="pct"/>
            <w:vAlign w:val="center"/>
          </w:tcPr>
          <w:p>
            <w:pPr>
              <w:jc w:val="center"/>
              <w:rPr>
                <w:rFonts w:ascii="Times New Roman" w:hAnsi="Times New Roman" w:eastAsia="宋体" w:cs="Times New Roman"/>
                <w:bCs/>
                <w:sz w:val="21"/>
                <w:szCs w:val="21"/>
              </w:rPr>
            </w:pPr>
          </w:p>
        </w:tc>
        <w:tc>
          <w:tcPr>
            <w:tcW w:w="31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6"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7" w:type="pct"/>
            <w:shd w:val="clear" w:color="auto" w:fill="auto"/>
            <w:vAlign w:val="center"/>
          </w:tcPr>
          <w:p>
            <w:pPr>
              <w:jc w:val="center"/>
              <w:rPr>
                <w:rFonts w:ascii="Times New Roman" w:hAnsi="Times New Roman" w:eastAsia="宋体" w:cs="Times New Roman"/>
                <w:bCs/>
                <w:sz w:val="21"/>
                <w:szCs w:val="21"/>
              </w:rPr>
            </w:pPr>
          </w:p>
        </w:tc>
        <w:tc>
          <w:tcPr>
            <w:tcW w:w="417" w:type="pct"/>
            <w:vAlign w:val="center"/>
          </w:tcPr>
          <w:p>
            <w:pPr>
              <w:jc w:val="center"/>
              <w:rPr>
                <w:rFonts w:ascii="Times New Roman" w:hAnsi="Times New Roman" w:eastAsia="宋体" w:cs="Times New Roman"/>
                <w:bCs/>
                <w:sz w:val="21"/>
                <w:szCs w:val="21"/>
              </w:rPr>
            </w:pPr>
          </w:p>
        </w:tc>
        <w:tc>
          <w:tcPr>
            <w:tcW w:w="368" w:type="pct"/>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达标情况</w:t>
            </w:r>
          </w:p>
        </w:tc>
        <w:tc>
          <w:tcPr>
            <w:tcW w:w="732" w:type="pct"/>
            <w:gridSpan w:val="2"/>
            <w:shd w:val="clear" w:color="auto" w:fill="auto"/>
            <w:vAlign w:val="center"/>
          </w:tcPr>
          <w:p>
            <w:pPr>
              <w:jc w:val="center"/>
              <w:rPr>
                <w:rFonts w:ascii="Times New Roman" w:hAnsi="Times New Roman" w:eastAsia="宋体" w:cs="Times New Roman"/>
                <w:bCs/>
                <w:sz w:val="21"/>
                <w:szCs w:val="21"/>
              </w:rPr>
            </w:pPr>
          </w:p>
        </w:tc>
        <w:tc>
          <w:tcPr>
            <w:tcW w:w="731" w:type="pct"/>
            <w:gridSpan w:val="2"/>
            <w:shd w:val="clear" w:color="auto" w:fill="auto"/>
            <w:vAlign w:val="center"/>
          </w:tcPr>
          <w:p>
            <w:pPr>
              <w:jc w:val="center"/>
              <w:rPr>
                <w:rFonts w:ascii="Times New Roman" w:hAnsi="Times New Roman" w:eastAsia="宋体" w:cs="Times New Roman"/>
                <w:bCs/>
                <w:sz w:val="21"/>
                <w:szCs w:val="21"/>
              </w:rPr>
            </w:pPr>
          </w:p>
        </w:tc>
        <w:tc>
          <w:tcPr>
            <w:tcW w:w="783" w:type="pct"/>
            <w:gridSpan w:val="2"/>
            <w:shd w:val="clear" w:color="auto" w:fill="auto"/>
            <w:vAlign w:val="center"/>
          </w:tcPr>
          <w:p>
            <w:pPr>
              <w:jc w:val="center"/>
              <w:rPr>
                <w:rFonts w:ascii="Times New Roman" w:hAnsi="Times New Roman" w:eastAsia="宋体" w:cs="Times New Roman"/>
                <w:bCs/>
                <w:sz w:val="21"/>
                <w:szCs w:val="21"/>
              </w:rPr>
            </w:pPr>
          </w:p>
        </w:tc>
        <w:tc>
          <w:tcPr>
            <w:tcW w:w="784" w:type="pct"/>
            <w:gridSpan w:val="2"/>
            <w:shd w:val="clear" w:color="auto" w:fill="auto"/>
            <w:vAlign w:val="center"/>
          </w:tcPr>
          <w:p>
            <w:pPr>
              <w:jc w:val="center"/>
              <w:rPr>
                <w:rFonts w:ascii="Times New Roman" w:hAnsi="Times New Roman" w:eastAsia="宋体" w:cs="Times New Roman"/>
                <w:bCs/>
                <w:sz w:val="21"/>
                <w:szCs w:val="21"/>
              </w:rPr>
            </w:pPr>
          </w:p>
        </w:tc>
        <w:tc>
          <w:tcPr>
            <w:tcW w:w="785" w:type="pct"/>
            <w:gridSpan w:val="2"/>
            <w:shd w:val="clear" w:color="auto" w:fill="auto"/>
            <w:vAlign w:val="center"/>
          </w:tcPr>
          <w:p>
            <w:pPr>
              <w:jc w:val="center"/>
              <w:rPr>
                <w:rFonts w:ascii="Times New Roman" w:hAnsi="Times New Roman" w:eastAsia="宋体" w:cs="Times New Roman"/>
                <w:bCs/>
                <w:sz w:val="21"/>
                <w:szCs w:val="21"/>
              </w:rPr>
            </w:pPr>
          </w:p>
        </w:tc>
        <w:tc>
          <w:tcPr>
            <w:tcW w:w="370"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bl>
    <w:p>
      <w:pPr>
        <w:spacing w:line="360" w:lineRule="auto"/>
        <w:ind w:firstLine="488" w:firstLineChars="200"/>
        <w:rPr>
          <w:rFonts w:ascii="Times New Roman" w:hAnsi="Times New Roman" w:cs="Times New Roman"/>
        </w:rPr>
        <w:sectPr>
          <w:pgSz w:w="16838" w:h="11906" w:orient="landscape"/>
          <w:pgMar w:top="1797" w:right="1440" w:bottom="1797" w:left="1440" w:header="851" w:footer="992" w:gutter="0"/>
          <w:cols w:space="425" w:num="1"/>
          <w:docGrid w:type="linesAndChars" w:linePitch="326" w:charSpace="915"/>
        </w:sectPr>
      </w:pP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4.3.3.3 </w:t>
      </w:r>
      <w:r>
        <w:rPr>
          <w:rFonts w:hint="eastAsia" w:asciiTheme="majorHAnsi" w:hAnsiTheme="majorHAnsi" w:eastAsiaTheme="majorEastAsia" w:cstheme="majorBidi"/>
          <w:b/>
          <w:bCs/>
          <w:szCs w:val="28"/>
        </w:rPr>
        <w:t>与原规划</w:t>
      </w:r>
      <w:r>
        <w:rPr>
          <w:rFonts w:asciiTheme="majorHAnsi" w:hAnsiTheme="majorHAnsi" w:eastAsiaTheme="majorEastAsia" w:cstheme="majorBidi"/>
          <w:b/>
          <w:bCs/>
          <w:szCs w:val="28"/>
        </w:rPr>
        <w:t>环评监测数据对比情况</w:t>
      </w:r>
    </w:p>
    <w:p>
      <w:pPr>
        <w:spacing w:line="360" w:lineRule="auto"/>
        <w:ind w:firstLine="480" w:firstLineChars="200"/>
        <w:jc w:val="left"/>
        <w:rPr>
          <w:rFonts w:ascii="Times New Roman" w:hAnsi="Times New Roman"/>
        </w:rPr>
      </w:pPr>
      <w:r>
        <w:rPr>
          <w:rFonts w:hint="eastAsia" w:ascii="Times New Roman" w:hAnsi="Times New Roman"/>
        </w:rPr>
        <w:t>本次地下水监测与原环评监测对比可知：现状监测点位及原规划环评时期监测因子均可达到《地下水质量标准》Ⅲ类标准。</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表4.3-37  </w:t>
      </w:r>
      <w:r>
        <w:rPr>
          <w:rFonts w:hint="eastAsia" w:ascii="Times New Roman" w:hAnsi="Times New Roman"/>
          <w:b/>
          <w:bCs/>
          <w:szCs w:val="28"/>
        </w:rPr>
        <w:t>与原规划环评</w:t>
      </w:r>
      <w:r>
        <w:rPr>
          <w:rFonts w:ascii="Times New Roman" w:hAnsi="Times New Roman"/>
          <w:b/>
          <w:bCs/>
          <w:szCs w:val="28"/>
        </w:rPr>
        <w:t>重合的地下水环境质量监测点情况汇总表</w:t>
      </w:r>
    </w:p>
    <w:tbl>
      <w:tblPr>
        <w:tblStyle w:val="36"/>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4"/>
        <w:gridCol w:w="2132"/>
        <w:gridCol w:w="1397"/>
        <w:gridCol w:w="1707"/>
        <w:gridCol w:w="24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5"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原规划环评监测点</w:t>
            </w:r>
          </w:p>
        </w:tc>
        <w:tc>
          <w:tcPr>
            <w:tcW w:w="1175"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原规划环评/监测时间</w:t>
            </w:r>
          </w:p>
        </w:tc>
        <w:tc>
          <w:tcPr>
            <w:tcW w:w="770"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本次评价</w:t>
            </w:r>
            <w:r>
              <w:rPr>
                <w:rFonts w:ascii="Times New Roman" w:hAnsi="Times New Roman" w:eastAsia="宋体" w:cs="Times New Roman"/>
                <w:bCs/>
                <w:sz w:val="21"/>
                <w:szCs w:val="21"/>
              </w:rPr>
              <w:t>点位</w:t>
            </w:r>
          </w:p>
        </w:tc>
        <w:tc>
          <w:tcPr>
            <w:tcW w:w="94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与原规划监测点位置关系</w:t>
            </w:r>
          </w:p>
        </w:tc>
        <w:tc>
          <w:tcPr>
            <w:tcW w:w="1329"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对比评价因子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1" w:hRule="atLeast"/>
          <w:jc w:val="center"/>
        </w:trPr>
        <w:tc>
          <w:tcPr>
            <w:tcW w:w="785" w:type="pct"/>
            <w:vAlign w:val="center"/>
          </w:tcPr>
          <w:p>
            <w:pPr>
              <w:jc w:val="center"/>
              <w:rPr>
                <w:rFonts w:ascii="Times New Roman" w:hAnsi="Times New Roman" w:eastAsia="宋体" w:cs="Times New Roman"/>
                <w:bCs/>
                <w:sz w:val="21"/>
                <w:szCs w:val="21"/>
              </w:rPr>
            </w:pPr>
          </w:p>
        </w:tc>
        <w:tc>
          <w:tcPr>
            <w:tcW w:w="1175" w:type="pct"/>
            <w:vAlign w:val="center"/>
          </w:tcPr>
          <w:p>
            <w:pPr>
              <w:jc w:val="center"/>
              <w:rPr>
                <w:rFonts w:ascii="Times New Roman" w:hAnsi="Times New Roman" w:eastAsia="宋体" w:cs="Times New Roman"/>
                <w:bCs/>
                <w:sz w:val="21"/>
                <w:szCs w:val="21"/>
              </w:rPr>
            </w:pPr>
          </w:p>
        </w:tc>
        <w:tc>
          <w:tcPr>
            <w:tcW w:w="770" w:type="pct"/>
            <w:vAlign w:val="center"/>
          </w:tcPr>
          <w:p>
            <w:pPr>
              <w:jc w:val="center"/>
              <w:rPr>
                <w:rFonts w:ascii="Times New Roman" w:hAnsi="Times New Roman" w:eastAsia="宋体" w:cs="Times New Roman"/>
                <w:bCs/>
                <w:sz w:val="21"/>
                <w:szCs w:val="21"/>
              </w:rPr>
            </w:pPr>
          </w:p>
        </w:tc>
        <w:tc>
          <w:tcPr>
            <w:tcW w:w="941" w:type="pct"/>
            <w:vAlign w:val="center"/>
          </w:tcPr>
          <w:p>
            <w:pPr>
              <w:jc w:val="center"/>
              <w:rPr>
                <w:rFonts w:ascii="Times New Roman" w:hAnsi="Times New Roman" w:eastAsia="宋体" w:cs="Times New Roman"/>
                <w:bCs/>
                <w:sz w:val="21"/>
                <w:szCs w:val="21"/>
              </w:rPr>
            </w:pPr>
          </w:p>
        </w:tc>
        <w:tc>
          <w:tcPr>
            <w:tcW w:w="1329" w:type="pct"/>
            <w:vAlign w:val="center"/>
          </w:tcPr>
          <w:p>
            <w:pPr>
              <w:jc w:val="center"/>
              <w:rPr>
                <w:rFonts w:ascii="Times New Roman" w:hAnsi="Times New Roman" w:eastAsia="宋体" w:cs="Times New Roman"/>
                <w:bCs/>
                <w:sz w:val="21"/>
                <w:szCs w:val="21"/>
              </w:rPr>
            </w:pPr>
          </w:p>
        </w:tc>
      </w:tr>
    </w:tbl>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表4.3-38  </w:t>
      </w:r>
      <w:r>
        <w:rPr>
          <w:rFonts w:hint="eastAsia" w:ascii="Times New Roman" w:hAnsi="Times New Roman"/>
          <w:b/>
          <w:bCs/>
          <w:szCs w:val="28"/>
        </w:rPr>
        <w:t>地下水污染物变化</w:t>
      </w:r>
      <w:r>
        <w:rPr>
          <w:rFonts w:ascii="Times New Roman" w:hAnsi="Times New Roman"/>
          <w:b/>
          <w:bCs/>
          <w:szCs w:val="28"/>
        </w:rPr>
        <w:t>对比表</w:t>
      </w:r>
    </w:p>
    <w:tbl>
      <w:tblPr>
        <w:tblStyle w:val="36"/>
        <w:tblW w:w="90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42"/>
        <w:gridCol w:w="1082"/>
        <w:gridCol w:w="1218"/>
        <w:gridCol w:w="1159"/>
        <w:gridCol w:w="1280"/>
        <w:gridCol w:w="28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监测项目</w:t>
            </w:r>
          </w:p>
        </w:tc>
        <w:tc>
          <w:tcPr>
            <w:tcW w:w="2300" w:type="dxa"/>
            <w:gridSpan w:val="2"/>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原规划环评</w:t>
            </w:r>
          </w:p>
        </w:tc>
        <w:tc>
          <w:tcPr>
            <w:tcW w:w="2439" w:type="dxa"/>
            <w:gridSpan w:val="2"/>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本次监测</w:t>
            </w:r>
          </w:p>
        </w:tc>
        <w:tc>
          <w:tcPr>
            <w:tcW w:w="2890"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变化情况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Merge w:val="continue"/>
            <w:vAlign w:val="center"/>
          </w:tcPr>
          <w:p>
            <w:pPr>
              <w:jc w:val="center"/>
              <w:rPr>
                <w:rFonts w:ascii="Times New Roman" w:hAnsi="Times New Roman" w:eastAsia="宋体" w:cs="Times New Roman"/>
                <w:bCs/>
                <w:sz w:val="21"/>
                <w:szCs w:val="21"/>
              </w:rPr>
            </w:pPr>
          </w:p>
        </w:tc>
        <w:tc>
          <w:tcPr>
            <w:tcW w:w="108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w:t>
            </w:r>
          </w:p>
        </w:tc>
        <w:tc>
          <w:tcPr>
            <w:tcW w:w="1218"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w:t>
            </w:r>
          </w:p>
        </w:tc>
        <w:tc>
          <w:tcPr>
            <w:tcW w:w="115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w:t>
            </w:r>
          </w:p>
        </w:tc>
        <w:tc>
          <w:tcPr>
            <w:tcW w:w="1280"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w:t>
            </w:r>
          </w:p>
        </w:tc>
        <w:tc>
          <w:tcPr>
            <w:tcW w:w="2890" w:type="dxa"/>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restart"/>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restart"/>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restart"/>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442" w:type="dxa"/>
            <w:vAlign w:val="center"/>
          </w:tcPr>
          <w:p>
            <w:pPr>
              <w:jc w:val="center"/>
              <w:rPr>
                <w:rFonts w:ascii="Times New Roman" w:hAnsi="Times New Roman" w:eastAsia="宋体" w:cs="Times New Roman"/>
                <w:bCs/>
                <w:sz w:val="21"/>
                <w:szCs w:val="21"/>
              </w:rPr>
            </w:pPr>
          </w:p>
        </w:tc>
        <w:tc>
          <w:tcPr>
            <w:tcW w:w="1082" w:type="dxa"/>
            <w:vMerge w:val="continue"/>
            <w:vAlign w:val="center"/>
          </w:tcPr>
          <w:p>
            <w:pPr>
              <w:jc w:val="center"/>
              <w:rPr>
                <w:rFonts w:ascii="Times New Roman" w:hAnsi="Times New Roman" w:eastAsia="宋体" w:cs="Times New Roman"/>
                <w:bCs/>
                <w:sz w:val="21"/>
                <w:szCs w:val="21"/>
              </w:rPr>
            </w:pPr>
          </w:p>
        </w:tc>
        <w:tc>
          <w:tcPr>
            <w:tcW w:w="1218" w:type="dxa"/>
            <w:vAlign w:val="center"/>
          </w:tcPr>
          <w:p>
            <w:pPr>
              <w:jc w:val="center"/>
              <w:rPr>
                <w:rFonts w:ascii="Times New Roman" w:hAnsi="Times New Roman" w:eastAsia="宋体" w:cs="Times New Roman"/>
                <w:bCs/>
                <w:sz w:val="21"/>
                <w:szCs w:val="21"/>
              </w:rPr>
            </w:pPr>
          </w:p>
        </w:tc>
        <w:tc>
          <w:tcPr>
            <w:tcW w:w="1159" w:type="dxa"/>
            <w:vMerge w:val="continue"/>
            <w:vAlign w:val="center"/>
          </w:tcPr>
          <w:p>
            <w:pPr>
              <w:jc w:val="center"/>
              <w:rPr>
                <w:rFonts w:ascii="Times New Roman" w:hAnsi="Times New Roman" w:eastAsia="宋体" w:cs="Times New Roman"/>
                <w:bCs/>
                <w:sz w:val="21"/>
                <w:szCs w:val="21"/>
              </w:rPr>
            </w:pPr>
          </w:p>
        </w:tc>
        <w:tc>
          <w:tcPr>
            <w:tcW w:w="1280" w:type="dxa"/>
            <w:vAlign w:val="center"/>
          </w:tcPr>
          <w:p>
            <w:pPr>
              <w:jc w:val="center"/>
              <w:rPr>
                <w:rFonts w:ascii="Times New Roman" w:hAnsi="Times New Roman" w:eastAsia="宋体" w:cs="Times New Roman"/>
                <w:bCs/>
                <w:sz w:val="21"/>
                <w:szCs w:val="21"/>
              </w:rPr>
            </w:pPr>
          </w:p>
        </w:tc>
        <w:tc>
          <w:tcPr>
            <w:tcW w:w="2890" w:type="dxa"/>
            <w:vMerge w:val="continue"/>
            <w:vAlign w:val="center"/>
          </w:tcPr>
          <w:p>
            <w:pPr>
              <w:ind w:firstLine="420" w:firstLineChars="200"/>
              <w:jc w:val="center"/>
              <w:rPr>
                <w:rFonts w:ascii="Times New Roman" w:hAnsi="Times New Roman" w:cs="Times New Roman"/>
                <w:bCs/>
                <w:sz w:val="21"/>
                <w:szCs w:val="21"/>
                <w:u w:val="single"/>
              </w:rPr>
            </w:pPr>
          </w:p>
        </w:tc>
      </w:tr>
    </w:tbl>
    <w:p>
      <w:pPr>
        <w:keepNext/>
        <w:keepLines/>
        <w:spacing w:line="360" w:lineRule="auto"/>
        <w:outlineLvl w:val="2"/>
        <w:rPr>
          <w:rFonts w:ascii="Times New Roman" w:hAnsi="Times New Roman"/>
          <w:b/>
          <w:bCs/>
          <w:sz w:val="28"/>
          <w:szCs w:val="32"/>
        </w:rPr>
      </w:pPr>
      <w:bookmarkStart w:id="460" w:name="_Toc146091940"/>
      <w:r>
        <w:rPr>
          <w:rFonts w:ascii="Times New Roman" w:hAnsi="Times New Roman"/>
          <w:b/>
          <w:bCs/>
          <w:sz w:val="28"/>
          <w:szCs w:val="32"/>
        </w:rPr>
        <w:t>4.3.4 声环境质量现状调查</w:t>
      </w:r>
      <w:bookmarkEnd w:id="460"/>
    </w:p>
    <w:p>
      <w:pPr>
        <w:spacing w:line="360" w:lineRule="auto"/>
        <w:rPr>
          <w:rFonts w:ascii="Times New Roman" w:hAnsi="Times New Roman" w:cs="Times New Roman"/>
        </w:rPr>
      </w:pPr>
      <w:r>
        <w:rPr>
          <w:rFonts w:ascii="Times New Roman" w:hAnsi="Times New Roman" w:cs="Times New Roman"/>
        </w:rPr>
        <w:t>（1）监测布点</w:t>
      </w:r>
    </w:p>
    <w:p>
      <w:pPr>
        <w:spacing w:line="360" w:lineRule="auto"/>
        <w:ind w:firstLine="480" w:firstLineChars="200"/>
        <w:rPr>
          <w:rFonts w:ascii="Times New Roman" w:hAnsi="Times New Roman" w:cs="Times New Roman"/>
        </w:rPr>
      </w:pPr>
      <w:r>
        <w:rPr>
          <w:rFonts w:ascii="Times New Roman" w:hAnsi="Times New Roman" w:cs="Times New Roman"/>
        </w:rPr>
        <w:t>本次评价噪声现状监测共布设14个监测点，具体分布见下表。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表4.3-39   噪声监测点分布</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14"/>
        <w:gridCol w:w="4577"/>
        <w:gridCol w:w="32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2542"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78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S1</w:t>
            </w:r>
          </w:p>
        </w:tc>
        <w:tc>
          <w:tcPr>
            <w:tcW w:w="2542" w:type="pct"/>
            <w:vAlign w:val="center"/>
          </w:tcPr>
          <w:p>
            <w:pPr>
              <w:jc w:val="center"/>
              <w:rPr>
                <w:rFonts w:ascii="Times New Roman" w:hAnsi="Times New Roman" w:eastAsia="宋体" w:cs="Times New Roman"/>
                <w:bCs/>
                <w:sz w:val="21"/>
                <w:szCs w:val="21"/>
              </w:rPr>
            </w:pPr>
          </w:p>
        </w:tc>
        <w:tc>
          <w:tcPr>
            <w:tcW w:w="178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等效声级LAeq［dB（A）］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S2</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S3</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S4</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S5</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S6</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S7</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S8</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S9</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S10</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S11</w:t>
            </w:r>
          </w:p>
        </w:tc>
        <w:tc>
          <w:tcPr>
            <w:tcW w:w="2542" w:type="pct"/>
            <w:vAlign w:val="center"/>
          </w:tcPr>
          <w:p>
            <w:pPr>
              <w:jc w:val="center"/>
              <w:rPr>
                <w:rFonts w:ascii="Times New Roman" w:hAnsi="Times New Roman" w:eastAsia="宋体" w:cs="Times New Roman"/>
                <w:bCs/>
                <w:sz w:val="21"/>
                <w:szCs w:val="21"/>
              </w:rPr>
            </w:pPr>
          </w:p>
        </w:tc>
        <w:tc>
          <w:tcPr>
            <w:tcW w:w="1784" w:type="pct"/>
            <w:vMerge w:val="continue"/>
            <w:vAlign w:val="center"/>
          </w:tcPr>
          <w:p>
            <w:pPr>
              <w:ind w:firstLine="420" w:firstLineChars="200"/>
              <w:jc w:val="center"/>
              <w:rPr>
                <w:rFonts w:ascii="Times New Roman" w:hAnsi="Times New Roman" w:eastAsia="宋体" w:cs="Times New Roman"/>
                <w:sz w:val="21"/>
              </w:rPr>
            </w:pPr>
          </w:p>
        </w:tc>
      </w:tr>
    </w:tbl>
    <w:p>
      <w:pPr>
        <w:spacing w:line="360" w:lineRule="auto"/>
        <w:rPr>
          <w:rFonts w:ascii="Times New Roman" w:hAnsi="Times New Roman" w:cs="Times New Roman"/>
        </w:rPr>
      </w:pPr>
      <w:r>
        <w:rPr>
          <w:rFonts w:ascii="Times New Roman" w:hAnsi="Times New Roman" w:cs="Times New Roman"/>
        </w:rPr>
        <w:t>（2）监测时间与频次</w:t>
      </w:r>
    </w:p>
    <w:p>
      <w:pPr>
        <w:spacing w:line="360" w:lineRule="auto"/>
        <w:ind w:firstLine="480" w:firstLineChars="200"/>
        <w:rPr>
          <w:rFonts w:ascii="Times New Roman" w:hAnsi="Times New Roman" w:cs="Times New Roman"/>
        </w:rPr>
      </w:pPr>
      <w:r>
        <w:rPr>
          <w:rFonts w:ascii="Times New Roman" w:hAnsi="Times New Roman" w:cs="Times New Roman"/>
        </w:rPr>
        <w:t>连续监测2天，分昼夜和夜间两个时段，各测一次。</w:t>
      </w:r>
    </w:p>
    <w:p>
      <w:pPr>
        <w:spacing w:line="360" w:lineRule="auto"/>
        <w:rPr>
          <w:rFonts w:ascii="Times New Roman" w:hAnsi="Times New Roman" w:cs="Times New Roman"/>
        </w:rPr>
      </w:pPr>
      <w:r>
        <w:rPr>
          <w:rFonts w:ascii="Times New Roman" w:hAnsi="Times New Roman" w:cs="Times New Roman"/>
        </w:rPr>
        <w:t>（3）监测方法</w:t>
      </w:r>
    </w:p>
    <w:p>
      <w:pPr>
        <w:spacing w:line="360" w:lineRule="auto"/>
        <w:ind w:firstLine="480" w:firstLineChars="200"/>
        <w:rPr>
          <w:rFonts w:ascii="Times New Roman" w:hAnsi="Times New Roman" w:cs="Times New Roman"/>
        </w:rPr>
      </w:pPr>
      <w:r>
        <w:rPr>
          <w:rFonts w:ascii="Times New Roman" w:hAnsi="Times New Roman" w:cs="Times New Roman"/>
        </w:rPr>
        <w:t>按《城市区域环境噪声测量方法》GB/T14623-93规定方法和要求执行。</w:t>
      </w:r>
    </w:p>
    <w:p>
      <w:pPr>
        <w:spacing w:line="360" w:lineRule="auto"/>
        <w:rPr>
          <w:rFonts w:ascii="Times New Roman" w:hAnsi="Times New Roman" w:cs="Times New Roman"/>
        </w:rPr>
      </w:pPr>
      <w:r>
        <w:rPr>
          <w:rFonts w:ascii="Times New Roman" w:hAnsi="Times New Roman" w:cs="Times New Roman"/>
        </w:rPr>
        <w:t>（4）监测结果统计与分析</w:t>
      </w:r>
    </w:p>
    <w:p>
      <w:pPr>
        <w:spacing w:line="360" w:lineRule="auto"/>
        <w:ind w:firstLine="480" w:firstLineChars="200"/>
        <w:rPr>
          <w:rFonts w:ascii="Times New Roman" w:hAnsi="Times New Roman" w:cs="Times New Roman"/>
        </w:rPr>
      </w:pPr>
      <w:r>
        <w:rPr>
          <w:rFonts w:ascii="Times New Roman" w:hAnsi="Times New Roman" w:cs="Times New Roman"/>
        </w:rPr>
        <w:t>声环境现状监测结果统计与评价见下表。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表4.3-40   声环境现状质量监测结果  单位：dB（A）</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47"/>
        <w:gridCol w:w="1197"/>
        <w:gridCol w:w="1199"/>
        <w:gridCol w:w="1197"/>
        <w:gridCol w:w="1500"/>
        <w:gridCol w:w="12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748"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监测时间</w:t>
            </w:r>
          </w:p>
        </w:tc>
        <w:tc>
          <w:tcPr>
            <w:tcW w:w="1331" w:type="pct"/>
            <w:gridSpan w:val="2"/>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w:t>
            </w:r>
          </w:p>
        </w:tc>
        <w:tc>
          <w:tcPr>
            <w:tcW w:w="1498" w:type="pct"/>
            <w:gridSpan w:val="2"/>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标准值</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Merge w:val="continue"/>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昼间</w:t>
            </w:r>
          </w:p>
        </w:tc>
        <w:tc>
          <w:tcPr>
            <w:tcW w:w="66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665"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昼间</w:t>
            </w:r>
          </w:p>
        </w:tc>
        <w:tc>
          <w:tcPr>
            <w:tcW w:w="833"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jc w:val="center"/>
              <w:rPr>
                <w:rFonts w:ascii="Times New Roman" w:hAnsi="Times New Roman" w:eastAsia="宋体" w:cs="Times New Roman"/>
                <w:bCs/>
                <w:sz w:val="21"/>
                <w:szCs w:val="21"/>
              </w:rPr>
            </w:pPr>
          </w:p>
        </w:tc>
        <w:tc>
          <w:tcPr>
            <w:tcW w:w="833" w:type="pct"/>
            <w:vMerge w:val="continue"/>
            <w:vAlign w:val="center"/>
          </w:tcPr>
          <w:p>
            <w:pPr>
              <w:jc w:val="center"/>
              <w:rPr>
                <w:rFonts w:ascii="Times New Roman" w:hAnsi="Times New Roman" w:eastAsia="宋体" w:cs="Times New Roman"/>
                <w:bCs/>
                <w:sz w:val="21"/>
                <w:szCs w:val="21"/>
              </w:rPr>
            </w:pPr>
          </w:p>
        </w:tc>
        <w:tc>
          <w:tcPr>
            <w:tcW w:w="694"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30" w:type="pct"/>
            <w:vMerge w:val="restart"/>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833"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4"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ind w:firstLine="420" w:firstLineChars="200"/>
              <w:jc w:val="center"/>
              <w:rPr>
                <w:rFonts w:ascii="Times New Roman" w:hAnsi="Times New Roman" w:eastAsia="宋体" w:cs="Times New Roman"/>
                <w:sz w:val="21"/>
              </w:rPr>
            </w:pPr>
          </w:p>
        </w:tc>
        <w:tc>
          <w:tcPr>
            <w:tcW w:w="833" w:type="pct"/>
            <w:vMerge w:val="continue"/>
            <w:vAlign w:val="center"/>
          </w:tcPr>
          <w:p>
            <w:pPr>
              <w:ind w:firstLine="420" w:firstLineChars="200"/>
              <w:jc w:val="center"/>
              <w:rPr>
                <w:rFonts w:ascii="Times New Roman" w:hAnsi="Times New Roman" w:eastAsia="宋体" w:cs="Times New Roman"/>
                <w:sz w:val="21"/>
              </w:rPr>
            </w:pPr>
          </w:p>
        </w:tc>
        <w:tc>
          <w:tcPr>
            <w:tcW w:w="694" w:type="pct"/>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vAlign w:val="center"/>
          </w:tcPr>
          <w:p>
            <w:pPr>
              <w:jc w:val="center"/>
              <w:rPr>
                <w:rFonts w:ascii="Times New Roman" w:hAnsi="Times New Roman" w:eastAsia="宋体" w:cs="Times New Roman"/>
                <w:bCs/>
                <w:sz w:val="21"/>
                <w:szCs w:val="21"/>
              </w:rPr>
            </w:pPr>
          </w:p>
        </w:tc>
        <w:tc>
          <w:tcPr>
            <w:tcW w:w="748" w:type="pct"/>
            <w:vAlign w:val="center"/>
          </w:tcPr>
          <w:p>
            <w:pPr>
              <w:jc w:val="center"/>
              <w:rPr>
                <w:rFonts w:ascii="Times New Roman" w:hAnsi="Times New Roman" w:eastAsia="宋体" w:cs="Times New Roman"/>
                <w:bCs/>
                <w:sz w:val="21"/>
                <w:szCs w:val="21"/>
              </w:rPr>
            </w:pPr>
          </w:p>
        </w:tc>
        <w:tc>
          <w:tcPr>
            <w:tcW w:w="665"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665" w:type="pct"/>
            <w:vMerge w:val="continue"/>
            <w:vAlign w:val="center"/>
          </w:tcPr>
          <w:p>
            <w:pPr>
              <w:ind w:firstLine="420" w:firstLineChars="200"/>
              <w:jc w:val="center"/>
              <w:rPr>
                <w:rFonts w:ascii="Times New Roman" w:hAnsi="Times New Roman" w:eastAsia="宋体" w:cs="Times New Roman"/>
                <w:sz w:val="21"/>
              </w:rPr>
            </w:pPr>
          </w:p>
        </w:tc>
        <w:tc>
          <w:tcPr>
            <w:tcW w:w="833" w:type="pct"/>
            <w:vMerge w:val="continue"/>
            <w:vAlign w:val="center"/>
          </w:tcPr>
          <w:p>
            <w:pPr>
              <w:ind w:firstLine="420" w:firstLineChars="200"/>
              <w:jc w:val="center"/>
              <w:rPr>
                <w:rFonts w:ascii="Times New Roman" w:hAnsi="Times New Roman" w:eastAsia="宋体" w:cs="Times New Roman"/>
                <w:sz w:val="21"/>
              </w:rPr>
            </w:pPr>
          </w:p>
        </w:tc>
        <w:tc>
          <w:tcPr>
            <w:tcW w:w="694" w:type="pct"/>
            <w:vMerge w:val="continue"/>
            <w:vAlign w:val="center"/>
          </w:tcPr>
          <w:p>
            <w:pPr>
              <w:ind w:firstLine="420" w:firstLineChars="200"/>
              <w:jc w:val="center"/>
              <w:rPr>
                <w:rFonts w:ascii="Times New Roman" w:hAnsi="Times New Roman" w:eastAsia="宋体" w:cs="Times New Roman"/>
                <w:sz w:val="21"/>
              </w:rPr>
            </w:pPr>
          </w:p>
        </w:tc>
      </w:tr>
    </w:tbl>
    <w:p>
      <w:pPr>
        <w:spacing w:line="360" w:lineRule="auto"/>
        <w:ind w:firstLine="480" w:firstLineChars="200"/>
        <w:rPr>
          <w:rFonts w:ascii="Times New Roman" w:hAnsi="Times New Roman" w:cs="Times New Roman"/>
        </w:rPr>
      </w:pPr>
      <w:r>
        <w:rPr>
          <w:rFonts w:ascii="Times New Roman" w:hAnsi="Times New Roman" w:cs="Times New Roman"/>
        </w:rPr>
        <w:t>由上表可知，本次所有点位噪声监测值均能满足《声环境质量标准》（GB3096-2008）中2类标准。</w:t>
      </w:r>
    </w:p>
    <w:p>
      <w:pPr>
        <w:keepNext/>
        <w:keepLines/>
        <w:spacing w:line="360" w:lineRule="auto"/>
        <w:outlineLvl w:val="2"/>
        <w:rPr>
          <w:rFonts w:ascii="Times New Roman" w:hAnsi="Times New Roman"/>
          <w:b/>
          <w:bCs/>
          <w:sz w:val="28"/>
          <w:szCs w:val="32"/>
        </w:rPr>
      </w:pPr>
      <w:bookmarkStart w:id="461" w:name="_Toc146091941"/>
      <w:r>
        <w:rPr>
          <w:rFonts w:ascii="Times New Roman" w:hAnsi="Times New Roman"/>
          <w:b/>
          <w:bCs/>
          <w:sz w:val="28"/>
          <w:szCs w:val="32"/>
        </w:rPr>
        <w:t xml:space="preserve">4.3.5 </w:t>
      </w:r>
      <w:r>
        <w:rPr>
          <w:rFonts w:hint="eastAsia" w:ascii="Times New Roman" w:hAnsi="Times New Roman"/>
          <w:b/>
          <w:bCs/>
          <w:sz w:val="28"/>
          <w:szCs w:val="32"/>
        </w:rPr>
        <w:t>土壤</w:t>
      </w:r>
      <w:r>
        <w:rPr>
          <w:rFonts w:ascii="Times New Roman" w:hAnsi="Times New Roman"/>
          <w:b/>
          <w:bCs/>
          <w:sz w:val="28"/>
          <w:szCs w:val="32"/>
        </w:rPr>
        <w:t>环境质量现状调查</w:t>
      </w:r>
      <w:bookmarkEnd w:id="461"/>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4.3.5.1 </w:t>
      </w:r>
      <w:r>
        <w:rPr>
          <w:rFonts w:hint="eastAsia" w:asciiTheme="majorHAnsi" w:hAnsiTheme="majorHAnsi" w:eastAsiaTheme="majorEastAsia" w:cstheme="majorBidi"/>
          <w:b/>
          <w:bCs/>
          <w:szCs w:val="28"/>
        </w:rPr>
        <w:t>本次评价引用</w:t>
      </w:r>
      <w:r>
        <w:rPr>
          <w:rFonts w:asciiTheme="majorHAnsi" w:hAnsiTheme="majorHAnsi" w:eastAsiaTheme="majorEastAsia" w:cstheme="majorBidi"/>
          <w:b/>
          <w:bCs/>
          <w:szCs w:val="28"/>
        </w:rPr>
        <w:t>数据</w:t>
      </w:r>
    </w:p>
    <w:p>
      <w:pPr>
        <w:spacing w:line="360" w:lineRule="auto"/>
        <w:rPr>
          <w:rFonts w:ascii="Times New Roman" w:hAnsi="Times New Roman" w:cs="Times New Roman"/>
          <w:b/>
        </w:rPr>
      </w:pPr>
      <w:r>
        <w:rPr>
          <w:rFonts w:hint="eastAsia" w:ascii="Times New Roman" w:hAnsi="Times New Roman" w:cs="Times New Roman"/>
          <w:b/>
        </w:rPr>
        <w:t>（1）监测点位</w:t>
      </w:r>
    </w:p>
    <w:p>
      <w:pPr>
        <w:spacing w:line="360" w:lineRule="auto"/>
        <w:ind w:firstLine="480" w:firstLineChars="200"/>
        <w:rPr>
          <w:rFonts w:ascii="Times New Roman" w:hAnsi="Times New Roman" w:cs="Times New Roman"/>
        </w:rPr>
      </w:pPr>
      <w:r>
        <w:rPr>
          <w:rFonts w:ascii="Times New Roman" w:hAnsi="Times New Roman" w:cs="Times New Roman"/>
        </w:rPr>
        <w:t>本次评价收集了2021年到2022年</w:t>
      </w:r>
      <w:r>
        <w:rPr>
          <w:rFonts w:hint="eastAsia" w:ascii="Times New Roman" w:hAnsi="Times New Roman" w:cs="Times New Roman"/>
        </w:rPr>
        <w:t>临湘高新区</w:t>
      </w:r>
      <w:r>
        <w:rPr>
          <w:rFonts w:ascii="Times New Roman" w:hAnsi="Times New Roman" w:cs="Times New Roman"/>
        </w:rPr>
        <w:t>内项目环评报告开展的大气环境质量现状监测工作和园区开展</w:t>
      </w:r>
      <w:r>
        <w:rPr>
          <w:rFonts w:hint="eastAsia" w:ascii="Times New Roman" w:hAnsi="Times New Roman" w:cs="Times New Roman"/>
        </w:rPr>
        <w:t>的</w:t>
      </w:r>
      <w:r>
        <w:rPr>
          <w:rFonts w:ascii="Times New Roman" w:hAnsi="Times New Roman" w:cs="Times New Roman"/>
        </w:rPr>
        <w:t>例行监测数据，引用数据概况见下表。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w:t>
      </w:r>
      <w:r>
        <w:rPr>
          <w:rFonts w:hint="eastAsia" w:ascii="Times New Roman" w:hAnsi="Times New Roman"/>
          <w:b/>
          <w:bCs/>
          <w:szCs w:val="28"/>
        </w:rPr>
        <w:t>4</w:t>
      </w:r>
      <w:r>
        <w:rPr>
          <w:rFonts w:ascii="Times New Roman" w:hAnsi="Times New Roman"/>
          <w:b/>
          <w:bCs/>
          <w:szCs w:val="28"/>
        </w:rPr>
        <w:t xml:space="preserve">5 </w:t>
      </w:r>
      <w:r>
        <w:rPr>
          <w:rFonts w:ascii="Times New Roman" w:hAnsi="Times New Roman" w:cs="Times New Roman"/>
          <w:b/>
          <w:bCs/>
        </w:rPr>
        <w:t>引用数据概况</w:t>
      </w:r>
      <w:r>
        <w:rPr>
          <w:rFonts w:hint="eastAsia" w:ascii="Times New Roman" w:hAnsi="Times New Roman" w:cs="Times New Roman"/>
          <w:b/>
          <w:bCs/>
        </w:rPr>
        <w:t>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481"/>
        <w:gridCol w:w="2166"/>
        <w:gridCol w:w="3227"/>
        <w:gridCol w:w="115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29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片区</w:t>
            </w:r>
          </w:p>
        </w:tc>
        <w:tc>
          <w:tcPr>
            <w:tcW w:w="122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81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监测项目</w:t>
            </w:r>
          </w:p>
        </w:tc>
        <w:tc>
          <w:tcPr>
            <w:tcW w:w="52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监测时间</w:t>
            </w:r>
          </w:p>
        </w:tc>
        <w:tc>
          <w:tcPr>
            <w:tcW w:w="70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4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T1</w:t>
            </w:r>
            <w:r>
              <w:rPr>
                <w:rFonts w:hint="eastAsia" w:ascii="Times New Roman" w:hAnsi="Times New Roman" w:eastAsia="宋体" w:cs="Times New Roman"/>
                <w:bCs/>
                <w:sz w:val="21"/>
                <w:szCs w:val="21"/>
              </w:rPr>
              <w:t>（厂界内）</w:t>
            </w:r>
          </w:p>
        </w:tc>
        <w:tc>
          <w:tcPr>
            <w:tcW w:w="29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产业园</w:t>
            </w:r>
          </w:p>
        </w:tc>
        <w:tc>
          <w:tcPr>
            <w:tcW w:w="122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113.379728102</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29.614005222</w:t>
            </w:r>
          </w:p>
        </w:tc>
        <w:tc>
          <w:tcPr>
            <w:tcW w:w="1816"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铬、砷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四氯化碳</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氯仿</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顺-1,2-二氯乙烯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反-1,2-二氯乙烯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三氯乙烯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1,2,3-三氯丙烷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氯乙烯、苯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1,4-二氯苯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乙苯</w:t>
            </w:r>
          </w:p>
        </w:tc>
        <w:tc>
          <w:tcPr>
            <w:tcW w:w="52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2022.7</w:t>
            </w:r>
          </w:p>
        </w:tc>
        <w:tc>
          <w:tcPr>
            <w:tcW w:w="70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岳阳福瑞材料科技有限公司5000吨/年精细化工新材料建设项目环境影响报告书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4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T2（厂界外）</w:t>
            </w:r>
          </w:p>
        </w:tc>
        <w:tc>
          <w:tcPr>
            <w:tcW w:w="291" w:type="pct"/>
            <w:vMerge w:val="continue"/>
            <w:vAlign w:val="center"/>
          </w:tcPr>
          <w:p>
            <w:pPr>
              <w:jc w:val="center"/>
              <w:rPr>
                <w:rFonts w:ascii="Times New Roman" w:hAnsi="Times New Roman" w:eastAsia="宋体" w:cs="Times New Roman"/>
                <w:bCs/>
                <w:sz w:val="21"/>
                <w:szCs w:val="21"/>
              </w:rPr>
            </w:pPr>
          </w:p>
        </w:tc>
        <w:tc>
          <w:tcPr>
            <w:tcW w:w="1227"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113.377748632</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29.614423646</w:t>
            </w:r>
          </w:p>
        </w:tc>
        <w:tc>
          <w:tcPr>
            <w:tcW w:w="1816"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六价铬</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四氯化碳</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氯仿</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顺-1,2-二氯乙烯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反-1,2-二氯乙烯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三氯乙烯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1,2,3-三氯丙烷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氯乙烯、苯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1,4-二氯苯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乙苯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间二甲苯+对二甲苯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邻二甲苯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硝基苯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苯胺</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2-氯酚</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苯并[a]蒽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苯并[a]芘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苯并[b]荧蒽、苯并[k]荧蒽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䓛</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二苯并[a,h]蒽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茚并[1,2,3-cd]芘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石油烃C10-C40</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氰化物</w:t>
            </w:r>
          </w:p>
        </w:tc>
        <w:tc>
          <w:tcPr>
            <w:tcW w:w="521"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2021.11.17</w:t>
            </w:r>
          </w:p>
        </w:tc>
        <w:tc>
          <w:tcPr>
            <w:tcW w:w="701" w:type="pct"/>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4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YT</w:t>
            </w:r>
            <w:r>
              <w:rPr>
                <w:rFonts w:ascii="Times New Roman" w:hAnsi="Times New Roman" w:eastAsia="宋体" w:cs="Times New Roman"/>
                <w:bCs/>
                <w:sz w:val="21"/>
                <w:szCs w:val="21"/>
              </w:rPr>
              <w:t>3</w:t>
            </w:r>
          </w:p>
        </w:tc>
        <w:tc>
          <w:tcPr>
            <w:tcW w:w="29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产业园</w:t>
            </w:r>
          </w:p>
        </w:tc>
        <w:tc>
          <w:tcPr>
            <w:tcW w:w="12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兆邦陶瓷附近</w:t>
            </w:r>
          </w:p>
        </w:tc>
        <w:tc>
          <w:tcPr>
            <w:tcW w:w="1816"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铬</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p>
        </w:tc>
        <w:tc>
          <w:tcPr>
            <w:tcW w:w="52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r>
              <w:rPr>
                <w:rFonts w:ascii="Times New Roman" w:hAnsi="Times New Roman" w:eastAsia="宋体" w:cs="Times New Roman"/>
                <w:bCs/>
                <w:sz w:val="21"/>
                <w:szCs w:val="21"/>
              </w:rPr>
              <w:t>022.6.9</w:t>
            </w:r>
          </w:p>
        </w:tc>
        <w:tc>
          <w:tcPr>
            <w:tcW w:w="701" w:type="pct"/>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园区环境监测报告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44"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YT</w:t>
            </w:r>
            <w:r>
              <w:rPr>
                <w:rFonts w:ascii="Times New Roman" w:hAnsi="Times New Roman" w:eastAsia="宋体" w:cs="Times New Roman"/>
                <w:bCs/>
                <w:sz w:val="21"/>
                <w:szCs w:val="21"/>
              </w:rPr>
              <w:t>4</w:t>
            </w:r>
          </w:p>
        </w:tc>
        <w:tc>
          <w:tcPr>
            <w:tcW w:w="291" w:type="pct"/>
            <w:vMerge w:val="continue"/>
            <w:vAlign w:val="center"/>
          </w:tcPr>
          <w:p>
            <w:pPr>
              <w:jc w:val="center"/>
              <w:rPr>
                <w:rFonts w:ascii="Times New Roman" w:hAnsi="Times New Roman" w:eastAsia="宋体" w:cs="Times New Roman"/>
                <w:bCs/>
                <w:sz w:val="21"/>
                <w:szCs w:val="21"/>
              </w:rPr>
            </w:pPr>
          </w:p>
        </w:tc>
        <w:tc>
          <w:tcPr>
            <w:tcW w:w="122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发达陶瓷附近</w:t>
            </w:r>
          </w:p>
        </w:tc>
        <w:tc>
          <w:tcPr>
            <w:tcW w:w="1816" w:type="pct"/>
            <w:vMerge w:val="continue"/>
            <w:vAlign w:val="center"/>
          </w:tcPr>
          <w:p>
            <w:pPr>
              <w:ind w:firstLine="420" w:firstLineChars="200"/>
              <w:jc w:val="center"/>
              <w:rPr>
                <w:rFonts w:ascii="Times New Roman" w:hAnsi="Times New Roman" w:eastAsia="宋体" w:cs="Times New Roman"/>
                <w:sz w:val="21"/>
              </w:rPr>
            </w:pPr>
          </w:p>
        </w:tc>
        <w:tc>
          <w:tcPr>
            <w:tcW w:w="521" w:type="pct"/>
            <w:vMerge w:val="continue"/>
            <w:vAlign w:val="center"/>
          </w:tcPr>
          <w:p>
            <w:pPr>
              <w:ind w:firstLine="420" w:firstLineChars="200"/>
              <w:jc w:val="center"/>
              <w:rPr>
                <w:rFonts w:ascii="Times New Roman" w:hAnsi="Times New Roman" w:eastAsia="宋体" w:cs="Times New Roman"/>
                <w:sz w:val="21"/>
              </w:rPr>
            </w:pPr>
          </w:p>
        </w:tc>
        <w:tc>
          <w:tcPr>
            <w:tcW w:w="701" w:type="pct"/>
            <w:vMerge w:val="continue"/>
            <w:vAlign w:val="center"/>
          </w:tcPr>
          <w:p>
            <w:pPr>
              <w:ind w:firstLine="420" w:firstLineChars="200"/>
              <w:jc w:val="center"/>
              <w:rPr>
                <w:rFonts w:ascii="Times New Roman" w:hAnsi="Times New Roman" w:eastAsia="宋体" w:cs="Times New Roman"/>
                <w:sz w:val="21"/>
              </w:rPr>
            </w:pPr>
          </w:p>
        </w:tc>
      </w:tr>
    </w:tbl>
    <w:p>
      <w:pPr>
        <w:ind w:firstLine="480" w:firstLineChars="200"/>
        <w:rPr>
          <w:rFonts w:ascii="Times New Roman" w:hAnsi="Times New Roman" w:cs="Times New Roman"/>
        </w:rPr>
      </w:pPr>
    </w:p>
    <w:p>
      <w:pPr>
        <w:keepNext/>
        <w:keepLines/>
        <w:spacing w:line="360" w:lineRule="auto"/>
        <w:ind w:firstLine="482" w:firstLineChars="200"/>
        <w:outlineLvl w:val="3"/>
        <w:rPr>
          <w:rFonts w:asciiTheme="majorHAnsi" w:hAnsiTheme="majorHAnsi" w:eastAsiaTheme="majorEastAsia" w:cstheme="majorBidi"/>
          <w:b/>
          <w:bCs/>
          <w:szCs w:val="28"/>
        </w:rPr>
        <w:sectPr>
          <w:pgSz w:w="11906" w:h="16838"/>
          <w:pgMar w:top="1418" w:right="1418" w:bottom="1418" w:left="1701" w:header="851" w:footer="992" w:gutter="0"/>
          <w:cols w:space="425" w:num="1"/>
          <w:docGrid w:linePitch="326" w:charSpace="915"/>
        </w:sectPr>
      </w:pPr>
    </w:p>
    <w:p>
      <w:pPr>
        <w:spacing w:line="360" w:lineRule="auto"/>
        <w:rPr>
          <w:rFonts w:ascii="Times New Roman" w:hAnsi="Times New Roman" w:cs="Times New Roman"/>
          <w:b/>
        </w:rPr>
      </w:pPr>
      <w:r>
        <w:rPr>
          <w:rFonts w:hint="eastAsia" w:ascii="Times New Roman" w:hAnsi="Times New Roman" w:cs="Times New Roman"/>
          <w:b/>
        </w:rPr>
        <w:t>（2）监测结果分析</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表4.3-</w:t>
      </w:r>
      <w:r>
        <w:rPr>
          <w:rFonts w:hint="eastAsia" w:ascii="Times New Roman" w:hAnsi="Times New Roman"/>
          <w:b/>
          <w:bCs/>
          <w:szCs w:val="28"/>
        </w:rPr>
        <w:t>4</w:t>
      </w:r>
      <w:r>
        <w:rPr>
          <w:rFonts w:ascii="Times New Roman" w:hAnsi="Times New Roman"/>
          <w:b/>
          <w:bCs/>
          <w:szCs w:val="28"/>
        </w:rPr>
        <w:t xml:space="preserve">6 </w:t>
      </w:r>
      <w:r>
        <w:rPr>
          <w:rFonts w:ascii="Times New Roman" w:hAnsi="Times New Roman" w:cs="Times New Roman"/>
          <w:b/>
          <w:bCs/>
        </w:rPr>
        <w:t>引用数据</w:t>
      </w:r>
      <w:r>
        <w:rPr>
          <w:rFonts w:hint="eastAsia" w:ascii="Times New Roman" w:hAnsi="Times New Roman"/>
          <w:b/>
          <w:bCs/>
          <w:szCs w:val="28"/>
        </w:rPr>
        <w:t>统计</w:t>
      </w:r>
      <w:r>
        <w:rPr>
          <w:rFonts w:ascii="Times New Roman" w:hAnsi="Times New Roman"/>
          <w:b/>
          <w:bCs/>
          <w:szCs w:val="28"/>
        </w:rPr>
        <w:t>分析</w:t>
      </w:r>
      <w:r>
        <w:rPr>
          <w:rFonts w:hint="eastAsia" w:ascii="Times New Roman" w:hAnsi="Times New Roman" w:cs="Times New Roman"/>
          <w:b/>
          <w:bCs/>
        </w:rPr>
        <w:t>表</w:t>
      </w:r>
    </w:p>
    <w:tbl>
      <w:tblPr>
        <w:tblStyle w:val="36"/>
        <w:tblW w:w="14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0"/>
        <w:gridCol w:w="909"/>
        <w:gridCol w:w="1119"/>
        <w:gridCol w:w="946"/>
        <w:gridCol w:w="975"/>
        <w:gridCol w:w="1119"/>
        <w:gridCol w:w="946"/>
        <w:gridCol w:w="962"/>
        <w:gridCol w:w="1117"/>
        <w:gridCol w:w="944"/>
        <w:gridCol w:w="932"/>
        <w:gridCol w:w="1162"/>
        <w:gridCol w:w="9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blHeader/>
          <w:jc w:val="center"/>
        </w:trPr>
        <w:tc>
          <w:tcPr>
            <w:tcW w:w="1210"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检测因子</w:t>
            </w:r>
          </w:p>
        </w:tc>
        <w:tc>
          <w:tcPr>
            <w:tcW w:w="2974"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YT1</w:t>
            </w:r>
          </w:p>
        </w:tc>
        <w:tc>
          <w:tcPr>
            <w:tcW w:w="3040" w:type="dxa"/>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YT2</w:t>
            </w:r>
          </w:p>
        </w:tc>
        <w:tc>
          <w:tcPr>
            <w:tcW w:w="3023"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T</w:t>
            </w:r>
            <w:r>
              <w:rPr>
                <w:rFonts w:hint="eastAsia" w:ascii="Times New Roman" w:hAnsi="Times New Roman" w:eastAsia="宋体" w:cs="Times New Roman"/>
                <w:bCs/>
                <w:sz w:val="21"/>
                <w:szCs w:val="21"/>
              </w:rPr>
              <w:t>3</w:t>
            </w:r>
          </w:p>
        </w:tc>
        <w:tc>
          <w:tcPr>
            <w:tcW w:w="3029" w:type="dxa"/>
            <w:gridSpan w:val="3"/>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Y</w:t>
            </w:r>
            <w:r>
              <w:rPr>
                <w:rFonts w:ascii="Times New Roman" w:hAnsi="Times New Roman" w:eastAsia="宋体" w:cs="Times New Roman"/>
                <w:bCs/>
                <w:sz w:val="21"/>
                <w:szCs w:val="21"/>
              </w:rPr>
              <w:t>T</w:t>
            </w:r>
            <w:r>
              <w:rPr>
                <w:rFonts w:hint="eastAsia" w:ascii="Times New Roman" w:hAnsi="Times New Roman" w:eastAsia="宋体" w:cs="Times New Roman"/>
                <w:bCs/>
                <w:sz w:val="21"/>
                <w:szCs w:val="21"/>
              </w:rPr>
              <w:t>4</w:t>
            </w:r>
          </w:p>
        </w:tc>
        <w:tc>
          <w:tcPr>
            <w:tcW w:w="1191" w:type="dxa"/>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blHeader/>
          <w:jc w:val="center"/>
        </w:trPr>
        <w:tc>
          <w:tcPr>
            <w:tcW w:w="0" w:type="auto"/>
            <w:vMerge w:val="continue"/>
            <w:vAlign w:val="center"/>
          </w:tcPr>
          <w:p>
            <w:pPr>
              <w:jc w:val="center"/>
              <w:rPr>
                <w:rFonts w:ascii="Times New Roman" w:hAnsi="Times New Roman" w:eastAsia="宋体" w:cs="Times New Roman"/>
                <w:bCs/>
                <w:sz w:val="21"/>
                <w:szCs w:val="21"/>
              </w:rPr>
            </w:pP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检测结果</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最大占标率</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达标情况</w:t>
            </w:r>
          </w:p>
        </w:tc>
        <w:tc>
          <w:tcPr>
            <w:tcW w:w="1191"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7.27</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5.65</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铬</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54</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42.9</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31.4</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27.0%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86.7%</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0.4%</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0.13</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0.8%</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六价铬</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20.1</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0"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3.1%</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44</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5.5%</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21.6</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2.7%</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22.4</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2.8%</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0.0067</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36</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26.2</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2.9%</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3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19.6</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2.2%</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四氯化碳</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氯仿</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氯甲烷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0.6%</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1,1－二氯乙烷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1,2－二氯乙烷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r>
              <w:rPr>
                <w:rFonts w:hint="eastAsia" w:ascii="Times New Roman" w:hAnsi="Times New Roman" w:eastAsia="宋体" w:cs="Times New Roman"/>
                <w:bCs/>
                <w:sz w:val="21"/>
                <w:szCs w:val="21"/>
              </w:rPr>
              <w:t>二氯乙烯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顺－1,2－二氯乙烯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反－1,2－二氯乙烯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二氯甲烷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1,2－二氯丙烷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1,1,1,2－四氯乙烷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1,1,2,2－四氯乙烷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四氯乙烯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1,1,1－三氯乙烷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1,1,2－三氯乙烷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1,2,3－三氯丙烷</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氯苯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1,2－二氯苯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1,4－二氯苯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乙苯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苯乙烯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甲苯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对+间二甲苯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邻二甲苯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硝基苯</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苯胺</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2－氯酚</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苯并[a]蒽</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0.41</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2.7%</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苯并[a]芘</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苯并[b]荧蒽</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苯并[k]荧蒽</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䓛</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二苯并[a，h]蒽</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茚并[1,2,3－镉]芘</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萘</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ND</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1210"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石油烃</w:t>
            </w:r>
            <w:r>
              <w:rPr>
                <w:rFonts w:ascii="Times New Roman" w:hAnsi="Times New Roman" w:eastAsia="宋体" w:cs="Times New Roman"/>
                <w:bCs/>
                <w:sz w:val="21"/>
                <w:szCs w:val="21"/>
              </w:rPr>
              <w:t>C10-C40</w:t>
            </w:r>
          </w:p>
        </w:tc>
        <w:tc>
          <w:tcPr>
            <w:tcW w:w="90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75"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8.6</w:t>
            </w:r>
          </w:p>
        </w:tc>
        <w:tc>
          <w:tcPr>
            <w:tcW w:w="1119"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0.2%</w:t>
            </w:r>
          </w:p>
        </w:tc>
        <w:tc>
          <w:tcPr>
            <w:tcW w:w="946"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达标</w:t>
            </w:r>
          </w:p>
        </w:tc>
        <w:tc>
          <w:tcPr>
            <w:tcW w:w="9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17"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4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6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93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1191" w:type="dxa"/>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4500</w:t>
            </w:r>
          </w:p>
        </w:tc>
      </w:tr>
    </w:tbl>
    <w:p>
      <w:pPr>
        <w:ind w:firstLine="480" w:firstLineChars="200"/>
        <w:rPr>
          <w:rFonts w:ascii="Times New Roman" w:hAnsi="Times New Roman"/>
        </w:rPr>
      </w:pPr>
    </w:p>
    <w:p>
      <w:pPr>
        <w:ind w:firstLine="480" w:firstLineChars="200"/>
        <w:rPr>
          <w:rFonts w:ascii="Times New Roman" w:hAnsi="Times New Roman" w:cs="Times New Roman"/>
        </w:rPr>
      </w:pPr>
    </w:p>
    <w:p>
      <w:pPr>
        <w:ind w:firstLine="199" w:firstLineChars="83"/>
        <w:rPr>
          <w:rFonts w:ascii="Times New Roman" w:hAnsi="Times New Roman"/>
        </w:rPr>
        <w:sectPr>
          <w:pgSz w:w="16838" w:h="11906" w:orient="landscape"/>
          <w:pgMar w:top="1418" w:right="1418" w:bottom="1701" w:left="1418" w:header="851" w:footer="992" w:gutter="0"/>
          <w:cols w:space="425" w:num="1"/>
          <w:docGrid w:linePitch="326" w:charSpace="915"/>
        </w:sectPr>
      </w:pPr>
    </w:p>
    <w:p>
      <w:pPr>
        <w:rPr>
          <w:rFonts w:ascii="Times New Roman" w:hAnsi="Times New Roman"/>
        </w:rPr>
      </w:pPr>
    </w:p>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4.3.5.2 本次评价监测</w:t>
      </w:r>
    </w:p>
    <w:p>
      <w:pPr>
        <w:spacing w:line="360" w:lineRule="auto"/>
        <w:rPr>
          <w:rFonts w:ascii="Times New Roman" w:hAnsi="Times New Roman" w:cs="Times New Roman"/>
        </w:rPr>
      </w:pPr>
      <w:r>
        <w:rPr>
          <w:rFonts w:ascii="Times New Roman" w:hAnsi="Times New Roman" w:cs="Times New Roman"/>
        </w:rPr>
        <w:t>（1）监测布点</w:t>
      </w:r>
    </w:p>
    <w:p>
      <w:pPr>
        <w:spacing w:line="360" w:lineRule="auto"/>
        <w:ind w:firstLine="480" w:firstLineChars="200"/>
        <w:rPr>
          <w:rFonts w:ascii="Times New Roman" w:hAnsi="Times New Roman" w:cs="Times New Roman"/>
        </w:rPr>
      </w:pPr>
      <w:r>
        <w:rPr>
          <w:rFonts w:hint="eastAsia" w:ascii="Times New Roman" w:hAnsi="Times New Roman" w:cs="Times New Roman"/>
        </w:rPr>
        <w:t>共布设7个土壤监测点，监测布点情况详见下表。</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 xml:space="preserve">表4.3-41   </w:t>
      </w:r>
      <w:r>
        <w:rPr>
          <w:rFonts w:hint="eastAsia" w:ascii="Times New Roman" w:hAnsi="Times New Roman"/>
          <w:b/>
          <w:bCs/>
          <w:szCs w:val="28"/>
        </w:rPr>
        <w:t>土壤</w:t>
      </w:r>
      <w:r>
        <w:rPr>
          <w:rFonts w:ascii="Times New Roman" w:hAnsi="Times New Roman"/>
          <w:b/>
          <w:bCs/>
          <w:szCs w:val="28"/>
        </w:rPr>
        <w:t>环境现状质量监测结果</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276"/>
        <w:gridCol w:w="992"/>
        <w:gridCol w:w="1701"/>
        <w:gridCol w:w="3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2268" w:type="dxa"/>
            <w:gridSpan w:val="2"/>
            <w:tcBorders>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采样深度</w:t>
            </w:r>
          </w:p>
        </w:tc>
        <w:tc>
          <w:tcPr>
            <w:tcW w:w="3885" w:type="dxa"/>
            <w:tcBorders>
              <w:left w:val="single" w:color="auto" w:sz="4" w:space="0"/>
              <w:bottom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监测</w:t>
            </w:r>
            <w:r>
              <w:rPr>
                <w:rFonts w:ascii="Times New Roman" w:hAnsi="Times New Roman" w:eastAsia="宋体" w:cs="Times New Roman"/>
                <w:bCs/>
                <w:sz w:val="21"/>
                <w:szCs w:val="21"/>
              </w:rPr>
              <w:t>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T1</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vMerge w:val="restart"/>
            <w:tcBorders>
              <w:top w:val="single" w:color="auto" w:sz="4" w:space="0"/>
              <w:left w:val="single" w:color="auto" w:sz="4"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T2</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vMerge w:val="continue"/>
            <w:tcBorders>
              <w:left w:val="single" w:color="auto" w:sz="4"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6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T3</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tcBorders>
              <w:left w:val="single" w:color="auto" w:sz="4"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6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T4</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vMerge w:val="restart"/>
            <w:tcBorders>
              <w:left w:val="single" w:color="auto" w:sz="4"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T5</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vMerge w:val="continue"/>
            <w:tcBorders>
              <w:left w:val="single" w:color="auto" w:sz="4" w:space="0"/>
            </w:tcBorders>
            <w:vAlign w:val="center"/>
          </w:tcPr>
          <w:p>
            <w:pPr>
              <w:ind w:firstLine="420" w:firstLineChars="200"/>
              <w:jc w:val="center"/>
              <w:rPr>
                <w:rFonts w:ascii="Calibri" w:hAnsi="Calibri"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T6</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vMerge w:val="continue"/>
            <w:tcBorders>
              <w:left w:val="single" w:color="auto" w:sz="4" w:space="0"/>
            </w:tcBorders>
            <w:vAlign w:val="center"/>
          </w:tcPr>
          <w:p>
            <w:pPr>
              <w:ind w:firstLine="420" w:firstLineChars="200"/>
              <w:jc w:val="center"/>
              <w:rPr>
                <w:rFonts w:ascii="Calibri" w:hAnsi="Calibri"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T7</w:t>
            </w:r>
          </w:p>
        </w:tc>
        <w:tc>
          <w:tcPr>
            <w:tcW w:w="1276" w:type="dxa"/>
            <w:tcBorders>
              <w:right w:val="single" w:color="auto" w:sz="4" w:space="0"/>
            </w:tcBorders>
            <w:vAlign w:val="center"/>
          </w:tcPr>
          <w:p>
            <w:pPr>
              <w:jc w:val="center"/>
              <w:rPr>
                <w:rFonts w:ascii="Times New Roman" w:hAnsi="Times New Roman" w:eastAsia="宋体" w:cs="Times New Roman"/>
                <w:bCs/>
                <w:sz w:val="21"/>
                <w:szCs w:val="21"/>
              </w:rPr>
            </w:pPr>
          </w:p>
        </w:tc>
        <w:tc>
          <w:tcPr>
            <w:tcW w:w="992" w:type="dxa"/>
            <w:tcBorders>
              <w:right w:val="single" w:color="auto" w:sz="4" w:space="0"/>
            </w:tcBorders>
            <w:vAlign w:val="center"/>
          </w:tcPr>
          <w:p>
            <w:pPr>
              <w:jc w:val="center"/>
              <w:rPr>
                <w:rFonts w:ascii="Times New Roman" w:hAnsi="Times New Roman" w:eastAsia="宋体" w:cs="Times New Roman"/>
                <w:bCs/>
                <w:sz w:val="21"/>
                <w:szCs w:val="21"/>
              </w:rPr>
            </w:pPr>
          </w:p>
        </w:tc>
        <w:tc>
          <w:tcPr>
            <w:tcW w:w="1701" w:type="dxa"/>
            <w:tcBorders>
              <w:right w:val="single" w:color="auto" w:sz="4" w:space="0"/>
            </w:tcBorders>
            <w:vAlign w:val="center"/>
          </w:tcPr>
          <w:p>
            <w:pPr>
              <w:jc w:val="center"/>
              <w:rPr>
                <w:rFonts w:ascii="Times New Roman" w:hAnsi="Times New Roman" w:eastAsia="宋体" w:cs="Times New Roman"/>
                <w:bCs/>
                <w:sz w:val="21"/>
                <w:szCs w:val="21"/>
              </w:rPr>
            </w:pPr>
          </w:p>
        </w:tc>
        <w:tc>
          <w:tcPr>
            <w:tcW w:w="3885" w:type="dxa"/>
            <w:vMerge w:val="continue"/>
            <w:tcBorders>
              <w:left w:val="single" w:color="auto" w:sz="4" w:space="0"/>
            </w:tcBorders>
            <w:vAlign w:val="center"/>
          </w:tcPr>
          <w:p>
            <w:pPr>
              <w:ind w:firstLine="420" w:firstLineChars="200"/>
              <w:jc w:val="center"/>
              <w:rPr>
                <w:rFonts w:ascii="Calibri" w:hAnsi="Calibri" w:eastAsia="宋体" w:cs="Times New Roman"/>
                <w:sz w:val="21"/>
              </w:rPr>
            </w:pPr>
          </w:p>
        </w:tc>
      </w:tr>
    </w:tbl>
    <w:p>
      <w:pPr>
        <w:spacing w:line="360" w:lineRule="auto"/>
        <w:rPr>
          <w:rFonts w:ascii="Times New Roman" w:hAnsi="Times New Roman" w:cs="Times New Roman"/>
        </w:rPr>
      </w:pPr>
      <w:r>
        <w:rPr>
          <w:rFonts w:hint="eastAsia" w:ascii="Times New Roman" w:hAnsi="Times New Roman" w:cs="Times New Roman"/>
        </w:rPr>
        <w:t>（2）监测</w:t>
      </w:r>
      <w:r>
        <w:rPr>
          <w:rFonts w:ascii="Times New Roman" w:hAnsi="Times New Roman" w:cs="Times New Roman"/>
        </w:rPr>
        <w:t>时间及频率</w:t>
      </w:r>
    </w:p>
    <w:p>
      <w:pPr>
        <w:spacing w:line="360" w:lineRule="auto"/>
        <w:ind w:firstLine="480" w:firstLineChars="200"/>
        <w:rPr>
          <w:rFonts w:ascii="Times New Roman" w:hAnsi="Times New Roman"/>
        </w:rPr>
      </w:pPr>
      <w:r>
        <w:rPr>
          <w:rFonts w:hint="eastAsia" w:ascii="Times New Roman" w:hAnsi="Times New Roman"/>
        </w:rPr>
        <w:t>监测</w:t>
      </w:r>
      <w:r>
        <w:rPr>
          <w:rFonts w:ascii="Times New Roman" w:hAnsi="Times New Roman"/>
        </w:rPr>
        <w:t>时间为</w:t>
      </w:r>
      <w:r>
        <w:rPr>
          <w:rFonts w:hint="eastAsia" w:ascii="Times New Roman" w:hAnsi="Times New Roman"/>
        </w:rPr>
        <w:t>8月24日</w:t>
      </w:r>
      <w:r>
        <w:rPr>
          <w:rFonts w:ascii="Times New Roman" w:hAnsi="Times New Roman"/>
        </w:rPr>
        <w:t>，一次采样。</w:t>
      </w:r>
    </w:p>
    <w:p>
      <w:pPr>
        <w:spacing w:line="360" w:lineRule="auto"/>
        <w:rPr>
          <w:rFonts w:ascii="Times New Roman" w:hAnsi="Times New Roman" w:cs="Times New Roman"/>
        </w:rPr>
      </w:pPr>
      <w:r>
        <w:rPr>
          <w:rFonts w:hint="eastAsia" w:ascii="Times New Roman" w:hAnsi="Times New Roman" w:cs="Times New Roman"/>
        </w:rPr>
        <w:t>（3）现状监测结果</w:t>
      </w:r>
      <w:r>
        <w:rPr>
          <w:rFonts w:ascii="Times New Roman" w:hAnsi="Times New Roman" w:cs="Times New Roman"/>
        </w:rPr>
        <w:t>及评价</w:t>
      </w:r>
    </w:p>
    <w:p>
      <w:pPr>
        <w:spacing w:line="360" w:lineRule="auto"/>
        <w:ind w:firstLine="480" w:firstLineChars="200"/>
        <w:rPr>
          <w:rFonts w:ascii="Times New Roman" w:hAnsi="Times New Roman" w:cs="Times New Roman"/>
        </w:rPr>
      </w:pPr>
      <w:r>
        <w:rPr>
          <w:rFonts w:hint="eastAsia" w:ascii="Times New Roman" w:hAnsi="Times New Roman" w:cs="Times New Roman"/>
        </w:rPr>
        <w:t>土壤现状监测结果统计与评价见下表。由下表可知，各监测点位中，属于建设用地的T1、T3、T4、T5监测因子均符合《土壤环境质量 建设用地土壤污染风险管控标准（试行）》（GB36600-2018）“表1 建设用地土壤污染风险筛选值和管制值（基本项目）中第二类用地筛选值标准；属于农用地的T2、T6、T7点各监测因子均满足《土壤环境质量 农用地土壤污染风险管控标准》（试行）（GB15618-2018）“表1 农用地土壤污染风险筛选值中其他标准”。</w:t>
      </w:r>
    </w:p>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4.3-42</w:t>
      </w:r>
      <w:r>
        <w:rPr>
          <w:rFonts w:hint="eastAsia" w:ascii="Times New Roman" w:hAnsi="Times New Roman"/>
          <w:b/>
          <w:bCs/>
          <w:szCs w:val="28"/>
        </w:rPr>
        <w:t xml:space="preserve">  建设用地土壤检测结果    单位：mg/kg</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134"/>
        <w:gridCol w:w="2126"/>
        <w:gridCol w:w="2835"/>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检测因子</w:t>
            </w:r>
          </w:p>
        </w:tc>
        <w:tc>
          <w:tcPr>
            <w:tcW w:w="1134"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单位</w:t>
            </w:r>
          </w:p>
        </w:tc>
        <w:tc>
          <w:tcPr>
            <w:tcW w:w="6201" w:type="dxa"/>
            <w:gridSpan w:val="3"/>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采样点位及检测结果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vMerge w:val="continue"/>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vMerge w:val="continue"/>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T3</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GB36600-2018二类建设用地标准值</w:t>
            </w:r>
          </w:p>
        </w:tc>
        <w:tc>
          <w:tcPr>
            <w:tcW w:w="1240"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达标判定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vMerge w:val="continue"/>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vMerge w:val="continue"/>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筛选值</w:t>
            </w:r>
          </w:p>
        </w:tc>
        <w:tc>
          <w:tcPr>
            <w:tcW w:w="1240"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8" w:type="dxa"/>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1134"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2126" w:type="dxa"/>
            <w:tcBorders>
              <w:top w:val="single" w:color="auto" w:sz="4" w:space="0"/>
              <w:left w:val="single" w:color="auto" w:sz="4" w:space="0"/>
              <w:bottom w:val="single" w:color="auto" w:sz="12" w:space="0"/>
            </w:tcBorders>
            <w:vAlign w:val="center"/>
          </w:tcPr>
          <w:p>
            <w:pPr>
              <w:jc w:val="center"/>
              <w:rPr>
                <w:rFonts w:ascii="Times New Roman" w:hAnsi="Times New Roman" w:eastAsia="宋体" w:cs="Times New Roman"/>
                <w:bCs/>
                <w:sz w:val="21"/>
                <w:szCs w:val="21"/>
              </w:rPr>
            </w:pPr>
          </w:p>
        </w:tc>
        <w:tc>
          <w:tcPr>
            <w:tcW w:w="2835"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1240"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bCs/>
                <w:sz w:val="21"/>
                <w:szCs w:val="21"/>
              </w:rPr>
            </w:pPr>
          </w:p>
        </w:tc>
      </w:tr>
    </w:tbl>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4.3-43</w:t>
      </w:r>
      <w:r>
        <w:rPr>
          <w:rFonts w:hint="eastAsia" w:ascii="Times New Roman" w:hAnsi="Times New Roman"/>
          <w:b/>
          <w:bCs/>
          <w:szCs w:val="28"/>
        </w:rPr>
        <w:t xml:space="preserve">  建设用地土壤检测结果    单位：mg/kg</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892"/>
        <w:gridCol w:w="875"/>
        <w:gridCol w:w="876"/>
        <w:gridCol w:w="876"/>
        <w:gridCol w:w="876"/>
        <w:gridCol w:w="876"/>
        <w:gridCol w:w="876"/>
        <w:gridCol w:w="843"/>
        <w:gridCol w:w="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监测</w:t>
            </w:r>
            <w:r>
              <w:rPr>
                <w:rFonts w:ascii="Times New Roman" w:hAnsi="Times New Roman" w:eastAsia="宋体" w:cs="Times New Roman"/>
                <w:bCs/>
                <w:sz w:val="21"/>
                <w:szCs w:val="21"/>
              </w:rPr>
              <w:t>点位</w:t>
            </w:r>
          </w:p>
        </w:tc>
        <w:tc>
          <w:tcPr>
            <w:tcW w:w="892"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r>
              <w:rPr>
                <w:rFonts w:hint="eastAsia" w:ascii="Times New Roman" w:hAnsi="Times New Roman" w:eastAsia="宋体" w:cs="Times New Roman"/>
                <w:bCs/>
                <w:sz w:val="21"/>
                <w:szCs w:val="21"/>
              </w:rPr>
              <w:t>值</w:t>
            </w:r>
          </w:p>
        </w:tc>
        <w:tc>
          <w:tcPr>
            <w:tcW w:w="8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铅</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镉</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砷</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铜</w:t>
            </w:r>
          </w:p>
        </w:tc>
        <w:tc>
          <w:tcPr>
            <w:tcW w:w="843"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80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T1</w:t>
            </w:r>
          </w:p>
        </w:tc>
        <w:tc>
          <w:tcPr>
            <w:tcW w:w="892" w:type="dxa"/>
            <w:vAlign w:val="center"/>
          </w:tcPr>
          <w:p>
            <w:pPr>
              <w:jc w:val="center"/>
              <w:rPr>
                <w:rFonts w:ascii="Times New Roman" w:hAnsi="Times New Roman" w:eastAsia="宋体" w:cs="Times New Roman"/>
                <w:bCs/>
                <w:sz w:val="21"/>
                <w:szCs w:val="21"/>
              </w:rPr>
            </w:pPr>
          </w:p>
        </w:tc>
        <w:tc>
          <w:tcPr>
            <w:tcW w:w="875"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43" w:type="dxa"/>
            <w:vAlign w:val="center"/>
          </w:tcPr>
          <w:p>
            <w:pPr>
              <w:jc w:val="center"/>
              <w:rPr>
                <w:rFonts w:ascii="Times New Roman" w:hAnsi="Times New Roman" w:eastAsia="宋体" w:cs="Times New Roman"/>
                <w:bCs/>
                <w:sz w:val="21"/>
                <w:szCs w:val="21"/>
              </w:rPr>
            </w:pPr>
          </w:p>
        </w:tc>
        <w:tc>
          <w:tcPr>
            <w:tcW w:w="805" w:type="dxa"/>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T3（150cm）</w:t>
            </w:r>
          </w:p>
        </w:tc>
        <w:tc>
          <w:tcPr>
            <w:tcW w:w="892" w:type="dxa"/>
            <w:vAlign w:val="center"/>
          </w:tcPr>
          <w:p>
            <w:pPr>
              <w:jc w:val="center"/>
              <w:rPr>
                <w:rFonts w:ascii="Times New Roman" w:hAnsi="Times New Roman" w:eastAsia="宋体" w:cs="Times New Roman"/>
                <w:bCs/>
                <w:sz w:val="21"/>
                <w:szCs w:val="21"/>
              </w:rPr>
            </w:pPr>
          </w:p>
        </w:tc>
        <w:tc>
          <w:tcPr>
            <w:tcW w:w="875"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43" w:type="dxa"/>
            <w:vAlign w:val="center"/>
          </w:tcPr>
          <w:p>
            <w:pPr>
              <w:jc w:val="center"/>
              <w:rPr>
                <w:rFonts w:ascii="Times New Roman" w:hAnsi="Times New Roman" w:eastAsia="宋体" w:cs="Times New Roman"/>
                <w:bCs/>
                <w:sz w:val="21"/>
                <w:szCs w:val="21"/>
              </w:rPr>
            </w:pPr>
          </w:p>
        </w:tc>
        <w:tc>
          <w:tcPr>
            <w:tcW w:w="805" w:type="dxa"/>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T3（300cm）</w:t>
            </w:r>
          </w:p>
        </w:tc>
        <w:tc>
          <w:tcPr>
            <w:tcW w:w="892" w:type="dxa"/>
            <w:vAlign w:val="center"/>
          </w:tcPr>
          <w:p>
            <w:pPr>
              <w:jc w:val="center"/>
              <w:rPr>
                <w:rFonts w:ascii="Times New Roman" w:hAnsi="Times New Roman" w:eastAsia="宋体" w:cs="Times New Roman"/>
                <w:bCs/>
                <w:sz w:val="21"/>
                <w:szCs w:val="21"/>
              </w:rPr>
            </w:pPr>
          </w:p>
        </w:tc>
        <w:tc>
          <w:tcPr>
            <w:tcW w:w="875"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43" w:type="dxa"/>
            <w:vAlign w:val="center"/>
          </w:tcPr>
          <w:p>
            <w:pPr>
              <w:jc w:val="center"/>
              <w:rPr>
                <w:rFonts w:ascii="Times New Roman" w:hAnsi="Times New Roman" w:eastAsia="宋体" w:cs="Times New Roman"/>
                <w:bCs/>
                <w:sz w:val="21"/>
                <w:szCs w:val="21"/>
              </w:rPr>
            </w:pPr>
          </w:p>
        </w:tc>
        <w:tc>
          <w:tcPr>
            <w:tcW w:w="805" w:type="dxa"/>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T4</w:t>
            </w:r>
          </w:p>
        </w:tc>
        <w:tc>
          <w:tcPr>
            <w:tcW w:w="892" w:type="dxa"/>
            <w:vAlign w:val="center"/>
          </w:tcPr>
          <w:p>
            <w:pPr>
              <w:jc w:val="center"/>
              <w:rPr>
                <w:rFonts w:ascii="Times New Roman" w:hAnsi="Times New Roman" w:eastAsia="宋体" w:cs="Times New Roman"/>
                <w:bCs/>
                <w:sz w:val="21"/>
                <w:szCs w:val="21"/>
              </w:rPr>
            </w:pPr>
          </w:p>
        </w:tc>
        <w:tc>
          <w:tcPr>
            <w:tcW w:w="875"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43" w:type="dxa"/>
            <w:vAlign w:val="center"/>
          </w:tcPr>
          <w:p>
            <w:pPr>
              <w:jc w:val="center"/>
              <w:rPr>
                <w:rFonts w:ascii="Times New Roman" w:hAnsi="Times New Roman" w:eastAsia="宋体" w:cs="Times New Roman"/>
                <w:bCs/>
                <w:sz w:val="21"/>
                <w:szCs w:val="21"/>
              </w:rPr>
            </w:pPr>
          </w:p>
        </w:tc>
        <w:tc>
          <w:tcPr>
            <w:tcW w:w="805" w:type="dxa"/>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T5</w:t>
            </w:r>
          </w:p>
        </w:tc>
        <w:tc>
          <w:tcPr>
            <w:tcW w:w="892" w:type="dxa"/>
            <w:vAlign w:val="center"/>
          </w:tcPr>
          <w:p>
            <w:pPr>
              <w:jc w:val="center"/>
              <w:rPr>
                <w:rFonts w:ascii="Times New Roman" w:hAnsi="Times New Roman" w:eastAsia="宋体" w:cs="Times New Roman"/>
                <w:bCs/>
                <w:sz w:val="21"/>
                <w:szCs w:val="21"/>
              </w:rPr>
            </w:pPr>
          </w:p>
        </w:tc>
        <w:tc>
          <w:tcPr>
            <w:tcW w:w="875"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76" w:type="dxa"/>
            <w:vAlign w:val="center"/>
          </w:tcPr>
          <w:p>
            <w:pPr>
              <w:jc w:val="center"/>
              <w:rPr>
                <w:rFonts w:ascii="Times New Roman" w:hAnsi="Times New Roman" w:eastAsia="宋体" w:cs="Times New Roman"/>
                <w:bCs/>
                <w:sz w:val="21"/>
                <w:szCs w:val="21"/>
              </w:rPr>
            </w:pPr>
          </w:p>
        </w:tc>
        <w:tc>
          <w:tcPr>
            <w:tcW w:w="843" w:type="dxa"/>
            <w:vAlign w:val="center"/>
          </w:tcPr>
          <w:p>
            <w:pPr>
              <w:jc w:val="center"/>
              <w:rPr>
                <w:rFonts w:ascii="Times New Roman" w:hAnsi="Times New Roman" w:eastAsia="宋体" w:cs="Times New Roman"/>
                <w:bCs/>
                <w:sz w:val="21"/>
                <w:szCs w:val="21"/>
              </w:rPr>
            </w:pPr>
          </w:p>
        </w:tc>
        <w:tc>
          <w:tcPr>
            <w:tcW w:w="805" w:type="dxa"/>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标准值</w:t>
            </w:r>
          </w:p>
        </w:tc>
        <w:tc>
          <w:tcPr>
            <w:tcW w:w="8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87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800</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65</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900</w:t>
            </w:r>
          </w:p>
        </w:tc>
        <w:tc>
          <w:tcPr>
            <w:tcW w:w="87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18000</w:t>
            </w:r>
          </w:p>
        </w:tc>
        <w:tc>
          <w:tcPr>
            <w:tcW w:w="843"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38</w:t>
            </w:r>
          </w:p>
        </w:tc>
        <w:tc>
          <w:tcPr>
            <w:tcW w:w="80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5.7</w:t>
            </w:r>
          </w:p>
        </w:tc>
      </w:tr>
    </w:tbl>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4.3-44</w:t>
      </w:r>
      <w:r>
        <w:rPr>
          <w:rFonts w:hint="eastAsia" w:ascii="Times New Roman" w:hAnsi="Times New Roman"/>
          <w:b/>
          <w:bCs/>
          <w:szCs w:val="28"/>
        </w:rPr>
        <w:t xml:space="preserve">  农用地土壤检测结果    单位：mg/kg</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133"/>
        <w:gridCol w:w="1133"/>
        <w:gridCol w:w="1199"/>
        <w:gridCol w:w="1855"/>
        <w:gridCol w:w="2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restar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1924" w:type="pct"/>
            <w:gridSpan w:val="3"/>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标准值</w:t>
            </w:r>
          </w:p>
        </w:tc>
        <w:tc>
          <w:tcPr>
            <w:tcW w:w="1276"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shd w:val="clear" w:color="auto" w:fill="auto"/>
            <w:vAlign w:val="center"/>
          </w:tcPr>
          <w:p>
            <w:pPr>
              <w:jc w:val="center"/>
              <w:rPr>
                <w:rFonts w:ascii="Times New Roman" w:hAnsi="Times New Roman" w:eastAsia="宋体" w:cs="Times New Roman"/>
                <w:bCs/>
                <w:sz w:val="21"/>
                <w:szCs w:val="21"/>
              </w:rPr>
            </w:pPr>
          </w:p>
        </w:tc>
        <w:tc>
          <w:tcPr>
            <w:tcW w:w="629" w:type="pct"/>
            <w:shd w:val="clear" w:color="auto" w:fill="auto"/>
            <w:noWrap/>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T2</w:t>
            </w:r>
          </w:p>
        </w:tc>
        <w:tc>
          <w:tcPr>
            <w:tcW w:w="629"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T6</w:t>
            </w:r>
          </w:p>
        </w:tc>
        <w:tc>
          <w:tcPr>
            <w:tcW w:w="666"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T7</w:t>
            </w:r>
          </w:p>
        </w:tc>
        <w:tc>
          <w:tcPr>
            <w:tcW w:w="1030" w:type="pct"/>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5.5＜</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pH≤6.5</w:t>
            </w:r>
          </w:p>
        </w:tc>
        <w:tc>
          <w:tcPr>
            <w:tcW w:w="1276"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Merge w:val="continue"/>
            <w:vAlign w:val="center"/>
          </w:tcPr>
          <w:p>
            <w:pPr>
              <w:jc w:val="center"/>
              <w:rPr>
                <w:rFonts w:ascii="Times New Roman" w:hAnsi="Times New Roman" w:eastAsia="宋体" w:cs="Times New Roman"/>
                <w:bCs/>
                <w:sz w:val="21"/>
                <w:szCs w:val="21"/>
              </w:rPr>
            </w:pPr>
          </w:p>
        </w:tc>
        <w:tc>
          <w:tcPr>
            <w:tcW w:w="1276" w:type="pct"/>
            <w:vMerge w:val="continue"/>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200</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铬</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150</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40</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shd w:val="clear" w:color="auto" w:fill="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629" w:type="pct"/>
            <w:shd w:val="clear" w:color="auto" w:fill="auto"/>
            <w:noWrap/>
            <w:vAlign w:val="center"/>
          </w:tcPr>
          <w:p>
            <w:pPr>
              <w:jc w:val="center"/>
              <w:rPr>
                <w:rFonts w:ascii="Times New Roman" w:hAnsi="Times New Roman" w:eastAsia="宋体" w:cs="Times New Roman"/>
                <w:bCs/>
                <w:sz w:val="21"/>
                <w:szCs w:val="21"/>
              </w:rPr>
            </w:pPr>
          </w:p>
        </w:tc>
        <w:tc>
          <w:tcPr>
            <w:tcW w:w="629" w:type="pct"/>
            <w:vAlign w:val="center"/>
          </w:tcPr>
          <w:p>
            <w:pPr>
              <w:jc w:val="center"/>
              <w:rPr>
                <w:rFonts w:ascii="Times New Roman" w:hAnsi="Times New Roman" w:eastAsia="宋体" w:cs="Times New Roman"/>
                <w:bCs/>
                <w:sz w:val="21"/>
                <w:szCs w:val="21"/>
              </w:rPr>
            </w:pPr>
          </w:p>
        </w:tc>
        <w:tc>
          <w:tcPr>
            <w:tcW w:w="666" w:type="pct"/>
            <w:vAlign w:val="center"/>
          </w:tcPr>
          <w:p>
            <w:pPr>
              <w:jc w:val="center"/>
              <w:rPr>
                <w:rFonts w:ascii="Times New Roman" w:hAnsi="Times New Roman" w:eastAsia="宋体" w:cs="Times New Roman"/>
                <w:bCs/>
                <w:sz w:val="21"/>
                <w:szCs w:val="21"/>
              </w:rPr>
            </w:pPr>
          </w:p>
        </w:tc>
        <w:tc>
          <w:tcPr>
            <w:tcW w:w="103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c>
          <w:tcPr>
            <w:tcW w:w="1276"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bl>
    <w:p>
      <w:pPr>
        <w:keepNext/>
        <w:keepLines/>
        <w:spacing w:line="360" w:lineRule="auto"/>
        <w:outlineLvl w:val="3"/>
        <w:rPr>
          <w:rFonts w:asciiTheme="majorHAnsi" w:hAnsiTheme="majorHAnsi" w:eastAsiaTheme="majorEastAsia" w:cstheme="majorBidi"/>
          <w:b/>
          <w:bCs/>
          <w:szCs w:val="28"/>
        </w:rPr>
      </w:pPr>
      <w:r>
        <w:rPr>
          <w:rFonts w:asciiTheme="majorHAnsi" w:hAnsiTheme="majorHAnsi" w:eastAsiaTheme="majorEastAsia" w:cstheme="majorBidi"/>
          <w:b/>
          <w:bCs/>
          <w:szCs w:val="28"/>
        </w:rPr>
        <w:t xml:space="preserve">4.3.5.3 </w:t>
      </w:r>
      <w:r>
        <w:rPr>
          <w:rFonts w:hint="eastAsia" w:asciiTheme="majorHAnsi" w:hAnsiTheme="majorHAnsi" w:eastAsiaTheme="majorEastAsia" w:cstheme="majorBidi"/>
          <w:b/>
          <w:bCs/>
          <w:szCs w:val="28"/>
        </w:rPr>
        <w:t>与原规划环评</w:t>
      </w:r>
      <w:r>
        <w:rPr>
          <w:rFonts w:asciiTheme="majorHAnsi" w:hAnsiTheme="majorHAnsi" w:eastAsiaTheme="majorEastAsia" w:cstheme="majorBidi"/>
          <w:b/>
          <w:bCs/>
          <w:szCs w:val="28"/>
        </w:rPr>
        <w:t>监测数据对比情况</w:t>
      </w:r>
    </w:p>
    <w:p>
      <w:pPr>
        <w:spacing w:line="360" w:lineRule="auto"/>
        <w:ind w:firstLine="480" w:firstLineChars="200"/>
        <w:jc w:val="left"/>
        <w:rPr>
          <w:rFonts w:ascii="Times New Roman" w:hAnsi="Times New Roman"/>
          <w:u w:val="single"/>
        </w:rPr>
      </w:pPr>
      <w:r>
        <w:rPr>
          <w:rFonts w:hint="eastAsia" w:ascii="Times New Roman" w:hAnsi="Times New Roman"/>
          <w:u w:val="single"/>
        </w:rPr>
        <w:t>原规划环评、</w:t>
      </w:r>
      <w:r>
        <w:rPr>
          <w:rFonts w:ascii="Times New Roman" w:hAnsi="Times New Roman"/>
          <w:u w:val="single"/>
        </w:rPr>
        <w:t>例行监测</w:t>
      </w:r>
      <w:r>
        <w:rPr>
          <w:rFonts w:hint="eastAsia" w:ascii="Times New Roman" w:hAnsi="Times New Roman"/>
          <w:u w:val="single"/>
        </w:rPr>
        <w:t>与本次土壤监测对比一览表见下表。</w:t>
      </w:r>
    </w:p>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4.3-47</w:t>
      </w:r>
      <w:r>
        <w:rPr>
          <w:rFonts w:hint="eastAsia" w:ascii="Times New Roman" w:hAnsi="Times New Roman"/>
          <w:b/>
          <w:bCs/>
          <w:szCs w:val="28"/>
        </w:rPr>
        <w:t xml:space="preserve">  与原规划环评</w:t>
      </w:r>
      <w:r>
        <w:rPr>
          <w:rFonts w:ascii="Times New Roman" w:hAnsi="Times New Roman"/>
          <w:b/>
          <w:bCs/>
          <w:szCs w:val="28"/>
        </w:rPr>
        <w:t>重合的土壤环境</w:t>
      </w:r>
      <w:r>
        <w:rPr>
          <w:rFonts w:hint="eastAsia" w:ascii="Times New Roman" w:hAnsi="Times New Roman"/>
          <w:b/>
          <w:bCs/>
          <w:szCs w:val="28"/>
        </w:rPr>
        <w:t>质量</w:t>
      </w:r>
      <w:r>
        <w:rPr>
          <w:rFonts w:ascii="Times New Roman" w:hAnsi="Times New Roman"/>
          <w:b/>
          <w:bCs/>
          <w:szCs w:val="28"/>
        </w:rPr>
        <w:t>监测点情况汇总表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702"/>
        <w:gridCol w:w="2652"/>
        <w:gridCol w:w="1325"/>
        <w:gridCol w:w="2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gridSpan w:val="2"/>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原规划环评</w:t>
            </w:r>
            <w:r>
              <w:rPr>
                <w:rFonts w:hint="eastAsia" w:ascii="Times New Roman" w:hAnsi="Times New Roman" w:eastAsia="宋体" w:cs="Times New Roman"/>
                <w:bCs/>
                <w:sz w:val="21"/>
                <w:szCs w:val="21"/>
              </w:rPr>
              <w:t>及</w:t>
            </w:r>
            <w:r>
              <w:rPr>
                <w:rFonts w:ascii="Times New Roman" w:hAnsi="Times New Roman" w:eastAsia="宋体" w:cs="Times New Roman"/>
                <w:bCs/>
                <w:sz w:val="21"/>
                <w:szCs w:val="21"/>
              </w:rPr>
              <w:t>例行监测</w:t>
            </w:r>
          </w:p>
        </w:tc>
        <w:tc>
          <w:tcPr>
            <w:tcW w:w="1473" w:type="pct"/>
            <w:vMerge w:val="restar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来源</w:t>
            </w:r>
          </w:p>
        </w:tc>
        <w:tc>
          <w:tcPr>
            <w:tcW w:w="1971" w:type="pct"/>
            <w:gridSpan w:val="2"/>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本次</w:t>
            </w:r>
            <w:r>
              <w:rPr>
                <w:rFonts w:hint="eastAsia" w:ascii="Times New Roman" w:hAnsi="Times New Roman" w:eastAsia="宋体" w:cs="Times New Roman"/>
                <w:bCs/>
                <w:sz w:val="21"/>
                <w:szCs w:val="21"/>
              </w:rPr>
              <w:t>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监测布点</w:t>
            </w:r>
          </w:p>
        </w:tc>
        <w:tc>
          <w:tcPr>
            <w:tcW w:w="945"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c>
          <w:tcPr>
            <w:tcW w:w="1473"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监测布点</w:t>
            </w:r>
          </w:p>
        </w:tc>
        <w:tc>
          <w:tcPr>
            <w:tcW w:w="1235"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p>
        </w:tc>
        <w:tc>
          <w:tcPr>
            <w:tcW w:w="945" w:type="pct"/>
            <w:tcBorders>
              <w:tl2br w:val="nil"/>
              <w:tr2bl w:val="nil"/>
            </w:tcBorders>
            <w:vAlign w:val="center"/>
          </w:tcPr>
          <w:p>
            <w:pPr>
              <w:jc w:val="center"/>
              <w:rPr>
                <w:rFonts w:ascii="Times New Roman" w:hAnsi="Times New Roman" w:eastAsia="宋体" w:cs="Times New Roman"/>
                <w:bCs/>
                <w:sz w:val="21"/>
                <w:szCs w:val="21"/>
              </w:rPr>
            </w:pPr>
          </w:p>
        </w:tc>
        <w:tc>
          <w:tcPr>
            <w:tcW w:w="1473" w:type="pct"/>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p>
        </w:tc>
        <w:tc>
          <w:tcPr>
            <w:tcW w:w="1235" w:type="pct"/>
            <w:tcBorders>
              <w:tl2br w:val="nil"/>
              <w:tr2bl w:val="nil"/>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p>
        </w:tc>
        <w:tc>
          <w:tcPr>
            <w:tcW w:w="945" w:type="pct"/>
            <w:vMerge w:val="restart"/>
            <w:tcBorders>
              <w:tl2br w:val="nil"/>
              <w:tr2bl w:val="nil"/>
            </w:tcBorders>
            <w:vAlign w:val="center"/>
          </w:tcPr>
          <w:p>
            <w:pPr>
              <w:jc w:val="center"/>
              <w:rPr>
                <w:rFonts w:ascii="Times New Roman" w:hAnsi="Times New Roman" w:eastAsia="宋体" w:cs="Times New Roman"/>
                <w:bCs/>
                <w:sz w:val="21"/>
                <w:szCs w:val="21"/>
              </w:rPr>
            </w:pPr>
          </w:p>
        </w:tc>
        <w:tc>
          <w:tcPr>
            <w:tcW w:w="1473" w:type="pct"/>
            <w:vMerge w:val="restart"/>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p>
        </w:tc>
        <w:tc>
          <w:tcPr>
            <w:tcW w:w="1235" w:type="pct"/>
            <w:vMerge w:val="restart"/>
            <w:tcBorders>
              <w:tl2br w:val="nil"/>
              <w:tr2bl w:val="nil"/>
            </w:tcBorders>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p>
        </w:tc>
        <w:tc>
          <w:tcPr>
            <w:tcW w:w="945"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1473"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p>
        </w:tc>
        <w:tc>
          <w:tcPr>
            <w:tcW w:w="1235" w:type="pct"/>
            <w:vMerge w:val="continue"/>
            <w:tcBorders>
              <w:tl2br w:val="nil"/>
              <w:tr2bl w:val="nil"/>
            </w:tcBorders>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p>
        </w:tc>
        <w:tc>
          <w:tcPr>
            <w:tcW w:w="945"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1473"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p>
        </w:tc>
        <w:tc>
          <w:tcPr>
            <w:tcW w:w="1235" w:type="pct"/>
            <w:vMerge w:val="continue"/>
            <w:tcBorders>
              <w:tl2br w:val="nil"/>
              <w:tr2bl w:val="nil"/>
            </w:tcBorders>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p>
        </w:tc>
        <w:tc>
          <w:tcPr>
            <w:tcW w:w="945"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1473" w:type="pct"/>
            <w:vMerge w:val="restart"/>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p>
        </w:tc>
        <w:tc>
          <w:tcPr>
            <w:tcW w:w="1235" w:type="pct"/>
            <w:vMerge w:val="continue"/>
            <w:tcBorders>
              <w:tl2br w:val="nil"/>
              <w:tr2bl w:val="nil"/>
            </w:tcBorders>
            <w:vAlign w:val="center"/>
          </w:tcPr>
          <w:p>
            <w:pPr>
              <w:ind w:firstLine="420" w:firstLineChars="200"/>
              <w:jc w:val="center"/>
              <w:rPr>
                <w:rFonts w:ascii="Times New Roman" w:hAnsi="Times New Roman" w:eastAsia="宋体" w:cs="Times New Roman"/>
                <w:sz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l2br w:val="nil"/>
              <w:tr2bl w:val="nil"/>
            </w:tcBorders>
            <w:vAlign w:val="center"/>
          </w:tcPr>
          <w:p>
            <w:pPr>
              <w:jc w:val="center"/>
              <w:rPr>
                <w:rFonts w:ascii="Times New Roman" w:hAnsi="Times New Roman" w:eastAsia="宋体" w:cs="Times New Roman"/>
                <w:bCs/>
                <w:sz w:val="21"/>
                <w:szCs w:val="21"/>
              </w:rPr>
            </w:pPr>
          </w:p>
        </w:tc>
        <w:tc>
          <w:tcPr>
            <w:tcW w:w="945"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1473" w:type="pct"/>
            <w:vMerge w:val="continue"/>
            <w:tcBorders>
              <w:tl2br w:val="nil"/>
              <w:tr2bl w:val="nil"/>
            </w:tcBorders>
            <w:vAlign w:val="center"/>
          </w:tcPr>
          <w:p>
            <w:pPr>
              <w:jc w:val="center"/>
              <w:rPr>
                <w:rFonts w:ascii="Times New Roman" w:hAnsi="Times New Roman" w:eastAsia="宋体" w:cs="Times New Roman"/>
                <w:bCs/>
                <w:sz w:val="21"/>
                <w:szCs w:val="21"/>
              </w:rPr>
            </w:pPr>
          </w:p>
        </w:tc>
        <w:tc>
          <w:tcPr>
            <w:tcW w:w="736" w:type="pct"/>
            <w:tcBorders>
              <w:tl2br w:val="nil"/>
              <w:tr2bl w:val="nil"/>
            </w:tcBorders>
            <w:vAlign w:val="center"/>
          </w:tcPr>
          <w:p>
            <w:pPr>
              <w:jc w:val="center"/>
              <w:rPr>
                <w:rFonts w:ascii="Times New Roman" w:hAnsi="Times New Roman" w:eastAsia="宋体" w:cs="Times New Roman"/>
                <w:bCs/>
                <w:sz w:val="21"/>
                <w:szCs w:val="21"/>
              </w:rPr>
            </w:pPr>
          </w:p>
        </w:tc>
        <w:tc>
          <w:tcPr>
            <w:tcW w:w="1235" w:type="pct"/>
            <w:vMerge w:val="continue"/>
            <w:tcBorders>
              <w:tl2br w:val="nil"/>
              <w:tr2bl w:val="nil"/>
            </w:tcBorders>
            <w:vAlign w:val="center"/>
          </w:tcPr>
          <w:p>
            <w:pPr>
              <w:ind w:firstLine="420" w:firstLineChars="200"/>
              <w:jc w:val="center"/>
              <w:rPr>
                <w:rFonts w:ascii="Times New Roman" w:hAnsi="Times New Roman" w:eastAsia="宋体" w:cs="Times New Roman"/>
                <w:sz w:val="21"/>
                <w:u w:val="single"/>
              </w:rPr>
            </w:pPr>
          </w:p>
        </w:tc>
      </w:tr>
    </w:tbl>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4.3-48</w:t>
      </w:r>
      <w:r>
        <w:rPr>
          <w:rFonts w:hint="eastAsia" w:ascii="Times New Roman" w:hAnsi="Times New Roman"/>
          <w:b/>
          <w:bCs/>
          <w:szCs w:val="28"/>
        </w:rPr>
        <w:t xml:space="preserve">  土壤污染物变化</w:t>
      </w:r>
      <w:r>
        <w:rPr>
          <w:rFonts w:ascii="Times New Roman" w:hAnsi="Times New Roman"/>
          <w:b/>
          <w:bCs/>
          <w:szCs w:val="28"/>
        </w:rPr>
        <w:t>对比表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056"/>
        <w:gridCol w:w="846"/>
        <w:gridCol w:w="1056"/>
        <w:gridCol w:w="846"/>
        <w:gridCol w:w="1056"/>
        <w:gridCol w:w="1056"/>
        <w:gridCol w:w="1056"/>
        <w:gridCol w:w="153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监测项目</w:t>
            </w:r>
          </w:p>
        </w:tc>
        <w:tc>
          <w:tcPr>
            <w:tcW w:w="0" w:type="auto"/>
            <w:gridSpan w:val="2"/>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原规划环评</w:t>
            </w:r>
          </w:p>
        </w:tc>
        <w:tc>
          <w:tcPr>
            <w:tcW w:w="0" w:type="auto"/>
            <w:gridSpan w:val="2"/>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例行</w:t>
            </w:r>
            <w:r>
              <w:rPr>
                <w:rFonts w:ascii="Times New Roman" w:hAnsi="Times New Roman" w:eastAsia="宋体" w:cs="Times New Roman"/>
                <w:bCs/>
                <w:sz w:val="21"/>
                <w:szCs w:val="21"/>
              </w:rPr>
              <w:t>监测</w:t>
            </w:r>
            <w:r>
              <w:rPr>
                <w:rFonts w:hint="eastAsia" w:ascii="Times New Roman" w:hAnsi="Times New Roman" w:eastAsia="宋体" w:cs="Times New Roman"/>
                <w:bCs/>
                <w:sz w:val="21"/>
                <w:szCs w:val="21"/>
              </w:rPr>
              <w:t>22.7</w:t>
            </w:r>
          </w:p>
        </w:tc>
        <w:tc>
          <w:tcPr>
            <w:tcW w:w="0" w:type="auto"/>
            <w:gridSpan w:val="2"/>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本次评价</w:t>
            </w:r>
          </w:p>
        </w:tc>
        <w:tc>
          <w:tcPr>
            <w:tcW w:w="0" w:type="auto"/>
            <w:vMerge w:val="restart"/>
            <w:vAlign w:val="center"/>
          </w:tcPr>
          <w:p>
            <w:pPr>
              <w:ind w:firstLine="420" w:firstLineChars="200"/>
              <w:jc w:val="center"/>
              <w:rPr>
                <w:rFonts w:ascii="Times New Roman" w:hAnsi="Times New Roman" w:cs="Times New Roman"/>
                <w:bCs/>
                <w:sz w:val="21"/>
                <w:szCs w:val="24"/>
                <w:u w:val="single"/>
              </w:rPr>
            </w:pPr>
            <w:r>
              <w:rPr>
                <w:rFonts w:ascii="Times New Roman" w:hAnsi="Times New Roman" w:cs="Times New Roman"/>
                <w:bCs/>
                <w:sz w:val="21"/>
                <w:szCs w:val="24"/>
                <w:u w:val="single"/>
              </w:rPr>
              <w:t>变化情况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w:t>
            </w:r>
          </w:p>
        </w:tc>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w:t>
            </w: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ind w:firstLine="420" w:firstLineChars="200"/>
              <w:jc w:val="center"/>
              <w:rPr>
                <w:rFonts w:ascii="Times New Roman" w:hAnsi="Times New Roman" w:cs="Times New Roman"/>
                <w:bCs/>
                <w:sz w:val="21"/>
                <w:szCs w:val="24"/>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铬</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监测项目</w:t>
            </w:r>
          </w:p>
        </w:tc>
        <w:tc>
          <w:tcPr>
            <w:tcW w:w="0" w:type="auto"/>
            <w:gridSpan w:val="2"/>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例行监测21.3</w:t>
            </w:r>
          </w:p>
        </w:tc>
        <w:tc>
          <w:tcPr>
            <w:tcW w:w="0" w:type="auto"/>
            <w:gridSpan w:val="2"/>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例行监测22.7</w:t>
            </w:r>
          </w:p>
        </w:tc>
        <w:tc>
          <w:tcPr>
            <w:tcW w:w="0" w:type="auto"/>
            <w:gridSpan w:val="2"/>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本次评价</w:t>
            </w: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六价铬</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铬</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w:t>
            </w:r>
            <w:r>
              <w:rPr>
                <w:rFonts w:ascii="Times New Roman" w:hAnsi="Times New Roman" w:eastAsia="宋体" w:cs="Times New Roman"/>
                <w:bCs/>
                <w:sz w:val="21"/>
                <w:szCs w:val="21"/>
              </w:rPr>
              <w:t>铬</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监测项目</w:t>
            </w:r>
          </w:p>
        </w:tc>
        <w:tc>
          <w:tcPr>
            <w:tcW w:w="0" w:type="auto"/>
            <w:gridSpan w:val="4"/>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例行监测22.7</w:t>
            </w:r>
          </w:p>
        </w:tc>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本次评价</w:t>
            </w: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0" w:type="auto"/>
            <w:gridSpan w:val="3"/>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六价</w:t>
            </w:r>
            <w:r>
              <w:rPr>
                <w:rFonts w:ascii="Times New Roman" w:hAnsi="Times New Roman" w:eastAsia="宋体" w:cs="Times New Roman"/>
                <w:bCs/>
                <w:sz w:val="21"/>
                <w:szCs w:val="21"/>
              </w:rPr>
              <w:t>铬</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0" w:type="auto"/>
            <w:gridSpan w:val="3"/>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restart"/>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铬</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0" w:type="auto"/>
            <w:gridSpan w:val="3"/>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jc w:val="center"/>
              <w:rPr>
                <w:rFonts w:ascii="Times New Roman" w:hAnsi="Times New Roman" w:eastAsia="宋体" w:cs="Times New Roman"/>
                <w:bCs/>
                <w:sz w:val="21"/>
                <w:szCs w:val="21"/>
              </w:rPr>
            </w:pPr>
          </w:p>
        </w:tc>
        <w:tc>
          <w:tcPr>
            <w:tcW w:w="0" w:type="auto"/>
            <w:vAlign w:val="center"/>
          </w:tcPr>
          <w:p>
            <w:pPr>
              <w:jc w:val="center"/>
              <w:rPr>
                <w:rFonts w:ascii="Times New Roman" w:hAnsi="Times New Roman" w:eastAsia="宋体" w:cs="Times New Roman"/>
                <w:bCs/>
                <w:sz w:val="21"/>
                <w:szCs w:val="21"/>
              </w:rPr>
            </w:pPr>
          </w:p>
        </w:tc>
        <w:tc>
          <w:tcPr>
            <w:tcW w:w="0" w:type="auto"/>
            <w:vMerge w:val="continue"/>
            <w:vAlign w:val="center"/>
          </w:tcPr>
          <w:p>
            <w:pPr>
              <w:ind w:firstLine="420" w:firstLineChars="200"/>
              <w:jc w:val="center"/>
              <w:rPr>
                <w:rFonts w:ascii="Times New Roman" w:hAnsi="Times New Roman" w:cs="Times New Roman"/>
                <w:bCs/>
                <w:sz w:val="21"/>
                <w:szCs w:val="21"/>
                <w:u w:val="single"/>
              </w:rPr>
            </w:pPr>
          </w:p>
        </w:tc>
      </w:tr>
    </w:tbl>
    <w:p>
      <w:pPr>
        <w:ind w:firstLine="480" w:firstLineChars="200"/>
        <w:rPr>
          <w:rFonts w:ascii="Times New Roman" w:hAnsi="Times New Roman"/>
        </w:rPr>
      </w:pPr>
    </w:p>
    <w:p>
      <w:pPr>
        <w:keepNext/>
        <w:keepLines/>
        <w:spacing w:line="360" w:lineRule="auto"/>
        <w:outlineLvl w:val="2"/>
        <w:rPr>
          <w:rFonts w:ascii="Times New Roman" w:hAnsi="Times New Roman"/>
          <w:b/>
          <w:bCs/>
          <w:sz w:val="28"/>
          <w:szCs w:val="32"/>
        </w:rPr>
      </w:pPr>
      <w:bookmarkStart w:id="462" w:name="_Toc146091942"/>
      <w:r>
        <w:rPr>
          <w:rFonts w:ascii="Times New Roman" w:hAnsi="Times New Roman"/>
          <w:b/>
          <w:bCs/>
          <w:sz w:val="28"/>
          <w:szCs w:val="32"/>
        </w:rPr>
        <w:t xml:space="preserve">4.3.6 </w:t>
      </w:r>
      <w:r>
        <w:rPr>
          <w:rFonts w:hint="eastAsia" w:ascii="Times New Roman" w:hAnsi="Times New Roman"/>
          <w:b/>
          <w:bCs/>
          <w:sz w:val="28"/>
          <w:szCs w:val="32"/>
        </w:rPr>
        <w:t>底泥</w:t>
      </w:r>
      <w:r>
        <w:rPr>
          <w:rFonts w:ascii="Times New Roman" w:hAnsi="Times New Roman"/>
          <w:b/>
          <w:bCs/>
          <w:sz w:val="28"/>
          <w:szCs w:val="32"/>
        </w:rPr>
        <w:t>环境质量现状调查</w:t>
      </w:r>
      <w:bookmarkEnd w:id="462"/>
    </w:p>
    <w:p>
      <w:pPr>
        <w:spacing w:line="360" w:lineRule="auto"/>
        <w:rPr>
          <w:rFonts w:ascii="Times New Roman" w:hAnsi="Times New Roman" w:cs="Times New Roman"/>
        </w:rPr>
      </w:pPr>
      <w:r>
        <w:rPr>
          <w:rFonts w:ascii="Times New Roman" w:hAnsi="Times New Roman" w:cs="Times New Roman"/>
        </w:rPr>
        <w:t>（1）监测点位、监测项目</w:t>
      </w:r>
    </w:p>
    <w:p>
      <w:pPr>
        <w:spacing w:line="360" w:lineRule="auto"/>
        <w:ind w:firstLine="480" w:firstLineChars="200"/>
        <w:rPr>
          <w:rFonts w:ascii="Times New Roman" w:hAnsi="Times New Roman" w:cs="Times New Roman"/>
        </w:rPr>
      </w:pPr>
      <w:r>
        <w:rPr>
          <w:rFonts w:ascii="Times New Roman" w:hAnsi="Times New Roman" w:cs="Times New Roman"/>
        </w:rPr>
        <w:t>本次评价共布设3个监测点位，具体见下表。</w:t>
      </w:r>
    </w:p>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4.3-49</w:t>
      </w:r>
      <w:r>
        <w:rPr>
          <w:rFonts w:hint="eastAsia" w:ascii="Times New Roman" w:hAnsi="Times New Roman"/>
          <w:b/>
          <w:bCs/>
          <w:szCs w:val="28"/>
        </w:rPr>
        <w:t xml:space="preserve">  底泥环境质量</w:t>
      </w:r>
      <w:r>
        <w:rPr>
          <w:rFonts w:ascii="Times New Roman" w:hAnsi="Times New Roman"/>
          <w:b/>
          <w:bCs/>
          <w:szCs w:val="28"/>
        </w:rPr>
        <w:t>现状</w:t>
      </w:r>
      <w:r>
        <w:rPr>
          <w:rFonts w:hint="eastAsia" w:ascii="Times New Roman" w:hAnsi="Times New Roman"/>
          <w:b/>
          <w:bCs/>
          <w:szCs w:val="28"/>
        </w:rPr>
        <w:t>监测</w:t>
      </w:r>
      <w:r>
        <w:rPr>
          <w:rFonts w:ascii="Times New Roman" w:hAnsi="Times New Roman"/>
          <w:b/>
          <w:bCs/>
          <w:szCs w:val="28"/>
        </w:rPr>
        <w:t>一览表</w:t>
      </w:r>
    </w:p>
    <w:tbl>
      <w:tblPr>
        <w:tblStyle w:val="8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540"/>
        <w:gridCol w:w="4089"/>
        <w:gridCol w:w="2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855"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监测水体</w:t>
            </w:r>
          </w:p>
        </w:tc>
        <w:tc>
          <w:tcPr>
            <w:tcW w:w="2271"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119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D1</w:t>
            </w:r>
          </w:p>
        </w:tc>
        <w:tc>
          <w:tcPr>
            <w:tcW w:w="855" w:type="pct"/>
            <w:vAlign w:val="center"/>
          </w:tcPr>
          <w:p>
            <w:pPr>
              <w:jc w:val="center"/>
              <w:rPr>
                <w:rFonts w:ascii="Times New Roman" w:hAnsi="Times New Roman" w:eastAsia="宋体" w:cs="Times New Roman"/>
                <w:bCs/>
                <w:sz w:val="21"/>
                <w:szCs w:val="21"/>
              </w:rPr>
            </w:pPr>
          </w:p>
        </w:tc>
        <w:tc>
          <w:tcPr>
            <w:tcW w:w="2271" w:type="pct"/>
            <w:vAlign w:val="center"/>
          </w:tcPr>
          <w:p>
            <w:pPr>
              <w:jc w:val="center"/>
              <w:rPr>
                <w:rFonts w:ascii="Times New Roman" w:hAnsi="Times New Roman" w:eastAsia="宋体" w:cs="Times New Roman"/>
                <w:bCs/>
                <w:sz w:val="21"/>
                <w:szCs w:val="21"/>
              </w:rPr>
            </w:pPr>
          </w:p>
        </w:tc>
        <w:tc>
          <w:tcPr>
            <w:tcW w:w="1194" w:type="pct"/>
            <w:vMerge w:val="restart"/>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D2</w:t>
            </w:r>
          </w:p>
        </w:tc>
        <w:tc>
          <w:tcPr>
            <w:tcW w:w="855" w:type="pct"/>
            <w:vAlign w:val="center"/>
          </w:tcPr>
          <w:p>
            <w:pPr>
              <w:jc w:val="center"/>
              <w:rPr>
                <w:rFonts w:ascii="Times New Roman" w:hAnsi="Times New Roman" w:eastAsia="宋体" w:cs="Times New Roman"/>
                <w:bCs/>
                <w:sz w:val="21"/>
                <w:szCs w:val="21"/>
              </w:rPr>
            </w:pPr>
          </w:p>
        </w:tc>
        <w:tc>
          <w:tcPr>
            <w:tcW w:w="2271" w:type="pct"/>
            <w:vAlign w:val="center"/>
          </w:tcPr>
          <w:p>
            <w:pPr>
              <w:jc w:val="center"/>
              <w:rPr>
                <w:rFonts w:ascii="Times New Roman" w:hAnsi="Times New Roman" w:eastAsia="宋体" w:cs="Times New Roman"/>
                <w:bCs/>
                <w:sz w:val="21"/>
                <w:szCs w:val="21"/>
              </w:rPr>
            </w:pPr>
          </w:p>
        </w:tc>
        <w:tc>
          <w:tcPr>
            <w:tcW w:w="1194" w:type="pct"/>
            <w:vMerge w:val="continue"/>
            <w:vAlign w:val="center"/>
          </w:tcPr>
          <w:p>
            <w:pPr>
              <w:ind w:firstLine="420" w:firstLineChars="200"/>
              <w:jc w:val="center"/>
              <w:rPr>
                <w:rFonts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D3</w:t>
            </w:r>
          </w:p>
        </w:tc>
        <w:tc>
          <w:tcPr>
            <w:tcW w:w="855" w:type="pct"/>
            <w:vAlign w:val="center"/>
          </w:tcPr>
          <w:p>
            <w:pPr>
              <w:jc w:val="center"/>
              <w:rPr>
                <w:rFonts w:ascii="Times New Roman" w:hAnsi="Times New Roman" w:eastAsia="宋体" w:cs="Times New Roman"/>
                <w:bCs/>
                <w:sz w:val="21"/>
                <w:szCs w:val="21"/>
              </w:rPr>
            </w:pPr>
          </w:p>
        </w:tc>
        <w:tc>
          <w:tcPr>
            <w:tcW w:w="2271" w:type="pct"/>
            <w:vAlign w:val="center"/>
          </w:tcPr>
          <w:p>
            <w:pPr>
              <w:jc w:val="center"/>
              <w:rPr>
                <w:rFonts w:ascii="Times New Roman" w:hAnsi="Times New Roman" w:eastAsia="宋体" w:cs="Times New Roman"/>
                <w:bCs/>
                <w:sz w:val="21"/>
                <w:szCs w:val="21"/>
              </w:rPr>
            </w:pPr>
          </w:p>
        </w:tc>
        <w:tc>
          <w:tcPr>
            <w:tcW w:w="1194" w:type="pct"/>
            <w:vMerge w:val="continue"/>
            <w:vAlign w:val="center"/>
          </w:tcPr>
          <w:p>
            <w:pPr>
              <w:ind w:firstLine="420" w:firstLineChars="200"/>
              <w:jc w:val="center"/>
              <w:rPr>
                <w:rFonts w:cs="Times New Roman"/>
                <w:sz w:val="21"/>
              </w:rPr>
            </w:pPr>
          </w:p>
        </w:tc>
      </w:tr>
    </w:tbl>
    <w:p>
      <w:pPr>
        <w:spacing w:line="360" w:lineRule="auto"/>
        <w:rPr>
          <w:rFonts w:ascii="Times New Roman" w:hAnsi="Times New Roman" w:cs="Times New Roman"/>
        </w:rPr>
      </w:pPr>
      <w:r>
        <w:rPr>
          <w:rFonts w:ascii="Times New Roman" w:hAnsi="Times New Roman" w:cs="Times New Roman"/>
        </w:rPr>
        <w:t>（2）监测时间</w:t>
      </w:r>
    </w:p>
    <w:p>
      <w:pPr>
        <w:spacing w:line="360" w:lineRule="auto"/>
        <w:ind w:firstLine="480" w:firstLineChars="200"/>
        <w:rPr>
          <w:rFonts w:ascii="Times New Roman" w:hAnsi="Times New Roman" w:cs="Times New Roman"/>
        </w:rPr>
      </w:pPr>
      <w:r>
        <w:rPr>
          <w:rFonts w:ascii="Times New Roman" w:hAnsi="Times New Roman" w:cs="Times New Roman"/>
        </w:rPr>
        <w:t>2021年2月02日，一次采样。</w:t>
      </w:r>
    </w:p>
    <w:p>
      <w:pPr>
        <w:spacing w:line="360" w:lineRule="auto"/>
        <w:rPr>
          <w:rFonts w:ascii="Times New Roman" w:hAnsi="Times New Roman" w:cs="Times New Roman"/>
        </w:rPr>
      </w:pPr>
      <w:r>
        <w:rPr>
          <w:rFonts w:ascii="Times New Roman" w:hAnsi="Times New Roman" w:cs="Times New Roman"/>
        </w:rPr>
        <w:t>（3）监测和分析方法</w:t>
      </w:r>
    </w:p>
    <w:p>
      <w:pPr>
        <w:spacing w:line="360" w:lineRule="auto"/>
        <w:ind w:firstLine="480" w:firstLineChars="200"/>
        <w:rPr>
          <w:rFonts w:ascii="Times New Roman" w:hAnsi="Times New Roman" w:cs="Times New Roman"/>
          <w:kern w:val="10"/>
          <w:szCs w:val="20"/>
        </w:rPr>
      </w:pPr>
      <w:r>
        <w:rPr>
          <w:rFonts w:ascii="Times New Roman" w:hAnsi="Times New Roman" w:cs="Times New Roman"/>
          <w:kern w:val="10"/>
          <w:szCs w:val="20"/>
        </w:rPr>
        <w:t>按国家环保总局颁发的《环境监测技术规范》的有关规定和要求执行。</w:t>
      </w:r>
    </w:p>
    <w:p>
      <w:pPr>
        <w:spacing w:line="360" w:lineRule="auto"/>
        <w:rPr>
          <w:rFonts w:ascii="Times New Roman" w:hAnsi="Times New Roman" w:cs="Times New Roman"/>
        </w:rPr>
      </w:pPr>
      <w:r>
        <w:rPr>
          <w:rFonts w:ascii="Times New Roman" w:hAnsi="Times New Roman" w:cs="Times New Roman"/>
        </w:rPr>
        <w:t>（4）监测结果</w:t>
      </w:r>
    </w:p>
    <w:p>
      <w:pPr>
        <w:spacing w:line="360" w:lineRule="auto"/>
        <w:ind w:firstLine="480" w:firstLineChars="200"/>
        <w:rPr>
          <w:rFonts w:ascii="Times New Roman" w:hAnsi="Times New Roman" w:cs="Times New Roman"/>
        </w:rPr>
      </w:pPr>
      <w:r>
        <w:rPr>
          <w:rFonts w:ascii="Times New Roman" w:hAnsi="Times New Roman" w:cs="Times New Roman"/>
        </w:rPr>
        <w:t>底泥现状监测结果统计见下表。</w:t>
      </w:r>
    </w:p>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表</w:t>
      </w:r>
      <w:r>
        <w:rPr>
          <w:rFonts w:ascii="Times New Roman" w:hAnsi="Times New Roman"/>
          <w:b/>
          <w:bCs/>
          <w:szCs w:val="28"/>
        </w:rPr>
        <w:t>4.3-50</w:t>
      </w:r>
      <w:r>
        <w:rPr>
          <w:rFonts w:hint="eastAsia" w:ascii="Times New Roman" w:hAnsi="Times New Roman"/>
          <w:b/>
          <w:bCs/>
          <w:szCs w:val="28"/>
        </w:rPr>
        <w:t xml:space="preserve">  底泥环境质量</w:t>
      </w:r>
      <w:r>
        <w:rPr>
          <w:rFonts w:ascii="Times New Roman" w:hAnsi="Times New Roman"/>
          <w:b/>
          <w:bCs/>
          <w:szCs w:val="28"/>
        </w:rPr>
        <w:t>现状</w:t>
      </w:r>
      <w:r>
        <w:rPr>
          <w:rFonts w:hint="eastAsia" w:ascii="Times New Roman" w:hAnsi="Times New Roman"/>
          <w:b/>
          <w:bCs/>
          <w:szCs w:val="28"/>
        </w:rPr>
        <w:t>监测结果</w:t>
      </w:r>
      <w:r>
        <w:rPr>
          <w:rFonts w:ascii="Times New Roman" w:hAnsi="Times New Roman"/>
          <w:b/>
          <w:bCs/>
          <w:szCs w:val="28"/>
        </w:rPr>
        <w:t>一览表</w:t>
      </w:r>
      <w:r>
        <w:rPr>
          <w:rFonts w:hint="eastAsia" w:ascii="Times New Roman" w:hAnsi="Times New Roman"/>
          <w:b/>
          <w:bCs/>
          <w:szCs w:val="28"/>
        </w:rPr>
        <w:t xml:space="preserve"> 单位</w:t>
      </w:r>
      <w:r>
        <w:rPr>
          <w:rFonts w:ascii="Times New Roman" w:hAnsi="Times New Roman"/>
          <w:b/>
          <w:bCs/>
          <w:szCs w:val="28"/>
        </w:rPr>
        <w:t>：</w:t>
      </w:r>
      <w:r>
        <w:rPr>
          <w:rFonts w:hint="eastAsia" w:ascii="Times New Roman" w:hAnsi="Times New Roman"/>
          <w:b/>
          <w:bCs/>
          <w:szCs w:val="28"/>
        </w:rPr>
        <w:t>mg/kg</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90"/>
        <w:gridCol w:w="890"/>
        <w:gridCol w:w="890"/>
        <w:gridCol w:w="891"/>
        <w:gridCol w:w="891"/>
        <w:gridCol w:w="891"/>
        <w:gridCol w:w="891"/>
        <w:gridCol w:w="892"/>
        <w:gridCol w:w="8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监测</w:t>
            </w:r>
            <w:r>
              <w:rPr>
                <w:rFonts w:ascii="Times New Roman" w:hAnsi="Times New Roman" w:eastAsia="宋体" w:cs="Times New Roman"/>
                <w:bCs/>
                <w:sz w:val="21"/>
                <w:szCs w:val="21"/>
              </w:rPr>
              <w:t>点位</w:t>
            </w:r>
          </w:p>
        </w:tc>
        <w:tc>
          <w:tcPr>
            <w:tcW w:w="494"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pH值</w:t>
            </w:r>
          </w:p>
        </w:tc>
        <w:tc>
          <w:tcPr>
            <w:tcW w:w="494"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494"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495" w:type="pct"/>
            <w:tcBorders>
              <w:tl2br w:val="nil"/>
              <w:tr2bl w:val="nil"/>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49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锌</w:t>
            </w:r>
          </w:p>
        </w:tc>
        <w:tc>
          <w:tcPr>
            <w:tcW w:w="49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镍</w:t>
            </w:r>
          </w:p>
        </w:tc>
        <w:tc>
          <w:tcPr>
            <w:tcW w:w="49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铜</w:t>
            </w:r>
          </w:p>
        </w:tc>
        <w:tc>
          <w:tcPr>
            <w:tcW w:w="49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汞</w:t>
            </w:r>
          </w:p>
        </w:tc>
        <w:tc>
          <w:tcPr>
            <w:tcW w:w="495" w:type="pct"/>
            <w:tcBorders>
              <w:tl2br w:val="nil"/>
              <w:tr2bl w:val="nil"/>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D1</w:t>
            </w:r>
          </w:p>
        </w:tc>
        <w:tc>
          <w:tcPr>
            <w:tcW w:w="494" w:type="pct"/>
            <w:vAlign w:val="center"/>
          </w:tcPr>
          <w:p>
            <w:pPr>
              <w:jc w:val="center"/>
              <w:rPr>
                <w:rFonts w:ascii="Times New Roman" w:hAnsi="Times New Roman" w:eastAsia="宋体" w:cs="Times New Roman"/>
                <w:bCs/>
                <w:sz w:val="21"/>
                <w:szCs w:val="21"/>
              </w:rPr>
            </w:pPr>
          </w:p>
        </w:tc>
        <w:tc>
          <w:tcPr>
            <w:tcW w:w="494" w:type="pct"/>
            <w:vAlign w:val="center"/>
          </w:tcPr>
          <w:p>
            <w:pPr>
              <w:jc w:val="center"/>
              <w:rPr>
                <w:rFonts w:ascii="Times New Roman" w:hAnsi="Times New Roman" w:eastAsia="宋体" w:cs="Times New Roman"/>
                <w:bCs/>
                <w:sz w:val="21"/>
                <w:szCs w:val="21"/>
              </w:rPr>
            </w:pPr>
          </w:p>
        </w:tc>
        <w:tc>
          <w:tcPr>
            <w:tcW w:w="494"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D2</w:t>
            </w:r>
          </w:p>
        </w:tc>
        <w:tc>
          <w:tcPr>
            <w:tcW w:w="494" w:type="pct"/>
            <w:vAlign w:val="center"/>
          </w:tcPr>
          <w:p>
            <w:pPr>
              <w:jc w:val="center"/>
              <w:rPr>
                <w:rFonts w:ascii="Times New Roman" w:hAnsi="Times New Roman" w:eastAsia="宋体" w:cs="Times New Roman"/>
                <w:bCs/>
                <w:sz w:val="21"/>
                <w:szCs w:val="21"/>
              </w:rPr>
            </w:pPr>
          </w:p>
        </w:tc>
        <w:tc>
          <w:tcPr>
            <w:tcW w:w="494" w:type="pct"/>
            <w:vAlign w:val="center"/>
          </w:tcPr>
          <w:p>
            <w:pPr>
              <w:jc w:val="center"/>
              <w:rPr>
                <w:rFonts w:ascii="Times New Roman" w:hAnsi="Times New Roman" w:eastAsia="宋体" w:cs="Times New Roman"/>
                <w:bCs/>
                <w:sz w:val="21"/>
                <w:szCs w:val="21"/>
              </w:rPr>
            </w:pPr>
          </w:p>
        </w:tc>
        <w:tc>
          <w:tcPr>
            <w:tcW w:w="494"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7" w:type="pc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D3</w:t>
            </w:r>
          </w:p>
        </w:tc>
        <w:tc>
          <w:tcPr>
            <w:tcW w:w="494" w:type="pct"/>
            <w:vAlign w:val="center"/>
          </w:tcPr>
          <w:p>
            <w:pPr>
              <w:jc w:val="center"/>
              <w:rPr>
                <w:rFonts w:ascii="Times New Roman" w:hAnsi="Times New Roman" w:eastAsia="宋体" w:cs="Times New Roman"/>
                <w:bCs/>
                <w:sz w:val="21"/>
                <w:szCs w:val="21"/>
              </w:rPr>
            </w:pPr>
          </w:p>
        </w:tc>
        <w:tc>
          <w:tcPr>
            <w:tcW w:w="494" w:type="pct"/>
            <w:vAlign w:val="center"/>
          </w:tcPr>
          <w:p>
            <w:pPr>
              <w:jc w:val="center"/>
              <w:rPr>
                <w:rFonts w:ascii="Times New Roman" w:hAnsi="Times New Roman" w:eastAsia="宋体" w:cs="Times New Roman"/>
                <w:bCs/>
                <w:sz w:val="21"/>
                <w:szCs w:val="21"/>
              </w:rPr>
            </w:pPr>
          </w:p>
        </w:tc>
        <w:tc>
          <w:tcPr>
            <w:tcW w:w="494"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c>
          <w:tcPr>
            <w:tcW w:w="495" w:type="pct"/>
            <w:vAlign w:val="center"/>
          </w:tcPr>
          <w:p>
            <w:pPr>
              <w:jc w:val="center"/>
              <w:rPr>
                <w:rFonts w:ascii="Times New Roman" w:hAnsi="Times New Roman" w:eastAsia="宋体" w:cs="Times New Roman"/>
                <w:bCs/>
                <w:sz w:val="21"/>
                <w:szCs w:val="21"/>
              </w:rPr>
            </w:pPr>
          </w:p>
        </w:tc>
      </w:tr>
    </w:tbl>
    <w:p>
      <w:pPr>
        <w:keepNext/>
        <w:keepLines/>
        <w:spacing w:line="360" w:lineRule="auto"/>
        <w:outlineLvl w:val="1"/>
        <w:rPr>
          <w:rFonts w:asciiTheme="majorHAnsi" w:hAnsiTheme="majorHAnsi" w:eastAsiaTheme="majorEastAsia" w:cstheme="majorBidi"/>
          <w:b/>
          <w:bCs/>
          <w:sz w:val="30"/>
          <w:szCs w:val="32"/>
          <w:u w:val="single"/>
        </w:rPr>
      </w:pPr>
      <w:bookmarkStart w:id="463" w:name="_Toc146091943"/>
      <w:r>
        <w:rPr>
          <w:rFonts w:asciiTheme="majorHAnsi" w:hAnsiTheme="majorHAnsi" w:eastAsiaTheme="majorEastAsia" w:cstheme="majorBidi"/>
          <w:b/>
          <w:bCs/>
          <w:sz w:val="30"/>
          <w:szCs w:val="32"/>
          <w:u w:val="single"/>
        </w:rPr>
        <w:t>4.4生态系统结构与功能变化趋势分析</w:t>
      </w:r>
      <w:bookmarkEnd w:id="463"/>
    </w:p>
    <w:p>
      <w:pPr>
        <w:spacing w:line="360" w:lineRule="auto"/>
        <w:ind w:firstLine="480" w:firstLineChars="200"/>
        <w:rPr>
          <w:rFonts w:ascii="Times New Roman" w:hAnsi="Times New Roman" w:cs="Times New Roman"/>
        </w:rPr>
      </w:pPr>
      <w:r>
        <w:rPr>
          <w:rFonts w:hint="eastAsia" w:ascii="Times New Roman" w:hAnsi="Times New Roman" w:cs="Times New Roman"/>
        </w:rPr>
        <w:t>临湘</w:t>
      </w:r>
      <w:r>
        <w:rPr>
          <w:rFonts w:ascii="Times New Roman" w:hAnsi="Times New Roman" w:cs="Times New Roman"/>
        </w:rPr>
        <w:t>工业园规划范围不占用基本农田，园区生态结构变化主要为可开发农林用地变化为建设用地。根据园区土地开发规划与指标，土地利用情况变化见下表。</w:t>
      </w:r>
    </w:p>
    <w:p>
      <w:pPr>
        <w:keepLines/>
        <w:spacing w:line="360" w:lineRule="auto"/>
        <w:ind w:firstLine="482" w:firstLineChars="200"/>
        <w:jc w:val="center"/>
        <w:outlineLvl w:val="4"/>
        <w:rPr>
          <w:rFonts w:ascii="Times New Roman" w:hAnsi="Times New Roman"/>
          <w:b/>
          <w:bCs/>
          <w:szCs w:val="28"/>
        </w:rPr>
        <w:sectPr>
          <w:pgSz w:w="11906" w:h="16838"/>
          <w:pgMar w:top="1418" w:right="1418" w:bottom="1418" w:left="1701" w:header="851" w:footer="992" w:gutter="0"/>
          <w:cols w:space="425" w:num="1"/>
          <w:docGrid w:linePitch="326" w:charSpace="915"/>
        </w:sectPr>
      </w:pP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表4.4-1  园区土地利用现状</w:t>
      </w:r>
    </w:p>
    <w:tbl>
      <w:tblPr>
        <w:tblStyle w:val="36"/>
        <w:tblW w:w="5000" w:type="pct"/>
        <w:jc w:val="center"/>
        <w:tblLayout w:type="autofit"/>
        <w:tblCellMar>
          <w:top w:w="0" w:type="dxa"/>
          <w:left w:w="0" w:type="dxa"/>
          <w:bottom w:w="0" w:type="dxa"/>
          <w:right w:w="0" w:type="dxa"/>
        </w:tblCellMar>
      </w:tblPr>
      <w:tblGrid>
        <w:gridCol w:w="1044"/>
        <w:gridCol w:w="1058"/>
        <w:gridCol w:w="2085"/>
        <w:gridCol w:w="1305"/>
        <w:gridCol w:w="1476"/>
        <w:gridCol w:w="1173"/>
        <w:gridCol w:w="1434"/>
        <w:gridCol w:w="1434"/>
        <w:gridCol w:w="1563"/>
        <w:gridCol w:w="1460"/>
      </w:tblGrid>
      <w:tr>
        <w:tblPrEx>
          <w:tblCellMar>
            <w:top w:w="0" w:type="dxa"/>
            <w:left w:w="0" w:type="dxa"/>
            <w:bottom w:w="0" w:type="dxa"/>
            <w:right w:w="0" w:type="dxa"/>
          </w:tblCellMar>
        </w:tblPrEx>
        <w:trPr>
          <w:trHeight w:val="499" w:hRule="atLeast"/>
          <w:jc w:val="center"/>
        </w:trPr>
        <w:tc>
          <w:tcPr>
            <w:tcW w:w="748" w:type="pct"/>
            <w:gridSpan w:val="2"/>
            <w:vMerge w:val="restart"/>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用地代码</w:t>
            </w:r>
          </w:p>
        </w:tc>
        <w:tc>
          <w:tcPr>
            <w:tcW w:w="4252" w:type="pct"/>
            <w:gridSpan w:val="8"/>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现状用地</w:t>
            </w:r>
          </w:p>
        </w:tc>
      </w:tr>
      <w:tr>
        <w:tblPrEx>
          <w:tblCellMar>
            <w:top w:w="0" w:type="dxa"/>
            <w:left w:w="0" w:type="dxa"/>
            <w:bottom w:w="0" w:type="dxa"/>
            <w:right w:w="0" w:type="dxa"/>
          </w:tblCellMar>
        </w:tblPrEx>
        <w:trPr>
          <w:trHeight w:val="499" w:hRule="atLeast"/>
          <w:jc w:val="center"/>
        </w:trPr>
        <w:tc>
          <w:tcPr>
            <w:tcW w:w="748" w:type="pct"/>
            <w:gridSpan w:val="2"/>
            <w:vMerge w:val="continue"/>
            <w:tcBorders>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743"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用地名称</w:t>
            </w:r>
          </w:p>
        </w:tc>
        <w:tc>
          <w:tcPr>
            <w:tcW w:w="465"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用地面积</w:t>
            </w:r>
            <w:r>
              <w:rPr>
                <w:rFonts w:ascii="Times New Roman" w:hAnsi="Times New Roman" w:eastAsia="宋体" w:cs="Times New Roman"/>
                <w:bCs/>
                <w:sz w:val="21"/>
                <w:szCs w:val="21"/>
              </w:rPr>
              <w:t>(hm²)</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557"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三湾产业园</w:t>
            </w:r>
          </w:p>
        </w:tc>
        <w:tc>
          <w:tcPr>
            <w:tcW w:w="521"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绿色建材产业园</w:t>
            </w:r>
          </w:p>
        </w:tc>
      </w:tr>
      <w:tr>
        <w:tblPrEx>
          <w:tblCellMar>
            <w:top w:w="0" w:type="dxa"/>
            <w:left w:w="0" w:type="dxa"/>
            <w:bottom w:w="0" w:type="dxa"/>
            <w:right w:w="0" w:type="dxa"/>
          </w:tblCellMar>
        </w:tblPrEx>
        <w:trPr>
          <w:trHeight w:val="499" w:hRule="atLeast"/>
          <w:jc w:val="center"/>
        </w:trPr>
        <w:tc>
          <w:tcPr>
            <w:tcW w:w="37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大类</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中类</w:t>
            </w:r>
          </w:p>
        </w:tc>
        <w:tc>
          <w:tcPr>
            <w:tcW w:w="743"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c>
          <w:tcPr>
            <w:tcW w:w="465"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中非工贸产业园</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鸭栏地块</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加工制造产业园</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绿色化工产业园</w:t>
            </w:r>
          </w:p>
        </w:tc>
        <w:tc>
          <w:tcPr>
            <w:tcW w:w="557"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c>
          <w:tcPr>
            <w:tcW w:w="5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499" w:hRule="atLeast"/>
          <w:jc w:val="center"/>
        </w:trPr>
        <w:tc>
          <w:tcPr>
            <w:tcW w:w="372" w:type="pct"/>
            <w:tcBorders>
              <w:top w:val="nil"/>
              <w:left w:val="single" w:color="auto" w:sz="4" w:space="0"/>
              <w:bottom w:val="nil"/>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R</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居住用地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7.21</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7.21</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CellMar>
            <w:top w:w="0" w:type="dxa"/>
            <w:left w:w="0" w:type="dxa"/>
            <w:bottom w:w="0" w:type="dxa"/>
            <w:right w:w="0" w:type="dxa"/>
          </w:tblCellMar>
        </w:tblPrEx>
        <w:trPr>
          <w:trHeight w:val="499" w:hRule="atLeast"/>
          <w:jc w:val="center"/>
        </w:trPr>
        <w:tc>
          <w:tcPr>
            <w:tcW w:w="3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公共管理与公共服务设施用地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4.85</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4.54</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0.31</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CellMar>
            <w:top w:w="0" w:type="dxa"/>
            <w:left w:w="0" w:type="dxa"/>
            <w:bottom w:w="0" w:type="dxa"/>
            <w:right w:w="0" w:type="dxa"/>
          </w:tblCellMar>
        </w:tblPrEx>
        <w:trPr>
          <w:trHeight w:val="499" w:hRule="atLeast"/>
          <w:jc w:val="center"/>
        </w:trPr>
        <w:tc>
          <w:tcPr>
            <w:tcW w:w="372" w:type="pct"/>
            <w:vMerge w:val="restar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工业用地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356.06</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139.39</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18.59</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161.34</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33.49</w:t>
            </w:r>
          </w:p>
        </w:tc>
      </w:tr>
      <w:tr>
        <w:tblPrEx>
          <w:tblCellMar>
            <w:top w:w="0" w:type="dxa"/>
            <w:left w:w="0" w:type="dxa"/>
            <w:bottom w:w="0" w:type="dxa"/>
            <w:right w:w="0" w:type="dxa"/>
          </w:tblCellMar>
        </w:tblPrEx>
        <w:trPr>
          <w:trHeight w:val="499" w:hRule="atLeast"/>
          <w:jc w:val="center"/>
        </w:trPr>
        <w:tc>
          <w:tcPr>
            <w:tcW w:w="372"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M1</w:t>
            </w: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一类工业用地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13.3</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13.3</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499" w:hRule="atLeast"/>
          <w:jc w:val="center"/>
        </w:trPr>
        <w:tc>
          <w:tcPr>
            <w:tcW w:w="372"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M2</w:t>
            </w: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二类工业用地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141.4</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2.94</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18.59</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83.13</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33.49</w:t>
            </w:r>
          </w:p>
        </w:tc>
      </w:tr>
      <w:tr>
        <w:tblPrEx>
          <w:tblCellMar>
            <w:top w:w="0" w:type="dxa"/>
            <w:left w:w="0" w:type="dxa"/>
            <w:bottom w:w="0" w:type="dxa"/>
            <w:right w:w="0" w:type="dxa"/>
          </w:tblCellMar>
        </w:tblPrEx>
        <w:trPr>
          <w:trHeight w:val="499" w:hRule="atLeast"/>
          <w:jc w:val="center"/>
        </w:trPr>
        <w:tc>
          <w:tcPr>
            <w:tcW w:w="372"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sz w:val="21"/>
                <w:szCs w:val="21"/>
              </w:rPr>
            </w:pP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M3</w:t>
            </w: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三类工业用地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201.36</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136.45</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64.91</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499" w:hRule="atLeast"/>
          <w:jc w:val="center"/>
        </w:trPr>
        <w:tc>
          <w:tcPr>
            <w:tcW w:w="37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w:t>
            </w:r>
          </w:p>
        </w:tc>
        <w:tc>
          <w:tcPr>
            <w:tcW w:w="37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道路与交通设施用地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77.04</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45.96</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7.44</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23.64</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CellMar>
            <w:top w:w="0" w:type="dxa"/>
            <w:left w:w="0" w:type="dxa"/>
            <w:bottom w:w="0" w:type="dxa"/>
            <w:right w:w="0" w:type="dxa"/>
          </w:tblCellMar>
        </w:tblPrEx>
        <w:trPr>
          <w:trHeight w:val="499" w:hRule="atLeast"/>
          <w:jc w:val="center"/>
        </w:trPr>
        <w:tc>
          <w:tcPr>
            <w:tcW w:w="372" w:type="pct"/>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w:t>
            </w:r>
          </w:p>
        </w:tc>
        <w:tc>
          <w:tcPr>
            <w:tcW w:w="377" w:type="pct"/>
            <w:tcBorders>
              <w:top w:val="nil"/>
              <w:left w:val="nil"/>
              <w:bottom w:val="nil"/>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公用设施用地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19.82</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19.03</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0.79</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CellMar>
            <w:top w:w="0" w:type="dxa"/>
            <w:left w:w="0" w:type="dxa"/>
            <w:bottom w:w="0" w:type="dxa"/>
            <w:right w:w="0" w:type="dxa"/>
          </w:tblCellMar>
        </w:tblPrEx>
        <w:trPr>
          <w:trHeight w:val="499" w:hRule="atLeast"/>
          <w:jc w:val="center"/>
        </w:trPr>
        <w:tc>
          <w:tcPr>
            <w:tcW w:w="748" w:type="pct"/>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H11</w:t>
            </w:r>
          </w:p>
        </w:tc>
        <w:tc>
          <w:tcPr>
            <w:tcW w:w="743"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城市建设用地</w:t>
            </w:r>
          </w:p>
        </w:tc>
        <w:tc>
          <w:tcPr>
            <w:tcW w:w="465"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464.98</w:t>
            </w:r>
          </w:p>
        </w:tc>
        <w:tc>
          <w:tcPr>
            <w:tcW w:w="526"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208.92</w:t>
            </w:r>
          </w:p>
        </w:tc>
        <w:tc>
          <w:tcPr>
            <w:tcW w:w="418"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7.44</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18.59</w:t>
            </w:r>
          </w:p>
        </w:tc>
        <w:tc>
          <w:tcPr>
            <w:tcW w:w="51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57"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193.29</w:t>
            </w:r>
          </w:p>
        </w:tc>
        <w:tc>
          <w:tcPr>
            <w:tcW w:w="521" w:type="pct"/>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33.49</w:t>
            </w:r>
          </w:p>
        </w:tc>
      </w:tr>
    </w:tbl>
    <w:p>
      <w:pPr>
        <w:ind w:firstLine="480" w:firstLineChars="200"/>
        <w:rPr>
          <w:rFonts w:ascii="Times New Roman" w:hAnsi="Times New Roman"/>
        </w:rPr>
      </w:pPr>
    </w:p>
    <w:p>
      <w:pPr>
        <w:keepLines/>
        <w:spacing w:line="360" w:lineRule="auto"/>
        <w:ind w:firstLine="482" w:firstLineChars="200"/>
        <w:jc w:val="center"/>
        <w:outlineLvl w:val="4"/>
        <w:rPr>
          <w:rFonts w:ascii="Times New Roman" w:hAnsi="Times New Roman"/>
          <w:b/>
          <w:bCs/>
          <w:szCs w:val="28"/>
        </w:rPr>
      </w:pPr>
      <w:r>
        <w:rPr>
          <w:rFonts w:ascii="Times New Roman" w:hAnsi="Times New Roman"/>
          <w:b/>
          <w:bCs/>
          <w:szCs w:val="28"/>
        </w:rPr>
        <w:t>表4.4-1  园区土地利用开发规划</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2"/>
        <w:gridCol w:w="438"/>
        <w:gridCol w:w="446"/>
        <w:gridCol w:w="2652"/>
        <w:gridCol w:w="1277"/>
        <w:gridCol w:w="2085"/>
        <w:gridCol w:w="1423"/>
        <w:gridCol w:w="1414"/>
        <w:gridCol w:w="1423"/>
        <w:gridCol w:w="1030"/>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468" w:type="pct"/>
            <w:gridSpan w:val="3"/>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用地代码</w:t>
            </w:r>
          </w:p>
        </w:tc>
        <w:tc>
          <w:tcPr>
            <w:tcW w:w="945"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用地名称</w:t>
            </w:r>
          </w:p>
        </w:tc>
        <w:tc>
          <w:tcPr>
            <w:tcW w:w="455"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用地面积</w:t>
            </w:r>
            <w:r>
              <w:rPr>
                <w:rFonts w:ascii="Times New Roman" w:hAnsi="Times New Roman" w:eastAsia="宋体" w:cs="Times New Roman"/>
                <w:bCs/>
                <w:sz w:val="21"/>
                <w:szCs w:val="21"/>
              </w:rPr>
              <w:t>(hm²)</w:t>
            </w:r>
          </w:p>
        </w:tc>
        <w:tc>
          <w:tcPr>
            <w:tcW w:w="743"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占城市建设用地比例</w:t>
            </w:r>
            <w:r>
              <w:rPr>
                <w:rFonts w:ascii="Times New Roman" w:hAnsi="Times New Roman" w:eastAsia="宋体" w:cs="Times New Roman"/>
                <w:bCs/>
                <w:sz w:val="21"/>
                <w:szCs w:val="21"/>
              </w:rPr>
              <w:t>(%)</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滨江片区</w:t>
            </w:r>
          </w:p>
        </w:tc>
        <w:tc>
          <w:tcPr>
            <w:tcW w:w="367"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三湾产业园</w:t>
            </w:r>
          </w:p>
        </w:tc>
        <w:tc>
          <w:tcPr>
            <w:tcW w:w="50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绿色建材产业园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大类</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中类</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小类</w:t>
            </w:r>
          </w:p>
        </w:tc>
        <w:tc>
          <w:tcPr>
            <w:tcW w:w="945" w:type="pct"/>
            <w:vMerge w:val="continue"/>
            <w:shd w:val="clear" w:color="auto" w:fill="auto"/>
            <w:vAlign w:val="center"/>
          </w:tcPr>
          <w:p>
            <w:pPr>
              <w:jc w:val="center"/>
              <w:rPr>
                <w:rFonts w:ascii="Times New Roman" w:hAnsi="Times New Roman" w:eastAsia="宋体" w:cs="Times New Roman"/>
                <w:bCs/>
                <w:sz w:val="21"/>
                <w:szCs w:val="21"/>
              </w:rPr>
            </w:pPr>
          </w:p>
        </w:tc>
        <w:tc>
          <w:tcPr>
            <w:tcW w:w="455" w:type="pct"/>
            <w:vMerge w:val="continue"/>
            <w:shd w:val="clear" w:color="auto" w:fill="auto"/>
            <w:vAlign w:val="center"/>
          </w:tcPr>
          <w:p>
            <w:pPr>
              <w:jc w:val="center"/>
              <w:rPr>
                <w:rFonts w:ascii="Times New Roman" w:hAnsi="Times New Roman" w:eastAsia="宋体" w:cs="Times New Roman"/>
                <w:bCs/>
                <w:sz w:val="21"/>
                <w:szCs w:val="21"/>
              </w:rPr>
            </w:pPr>
          </w:p>
        </w:tc>
        <w:tc>
          <w:tcPr>
            <w:tcW w:w="743" w:type="pct"/>
            <w:vMerge w:val="continue"/>
            <w:shd w:val="clear" w:color="auto" w:fill="auto"/>
            <w:vAlign w:val="center"/>
          </w:tcPr>
          <w:p>
            <w:pPr>
              <w:jc w:val="center"/>
              <w:rPr>
                <w:rFonts w:ascii="Times New Roman" w:hAnsi="Times New Roman" w:eastAsia="宋体" w:cs="Times New Roman"/>
                <w:bCs/>
                <w:sz w:val="21"/>
                <w:szCs w:val="21"/>
              </w:rPr>
            </w:pP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中非工贸产业园</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加工制造产业园</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绿色化工产业园</w:t>
            </w:r>
          </w:p>
        </w:tc>
        <w:tc>
          <w:tcPr>
            <w:tcW w:w="367" w:type="pct"/>
            <w:vMerge w:val="continue"/>
            <w:shd w:val="clear" w:color="auto" w:fill="auto"/>
            <w:vAlign w:val="center"/>
          </w:tcPr>
          <w:p>
            <w:pPr>
              <w:jc w:val="center"/>
              <w:rPr>
                <w:rFonts w:ascii="Times New Roman" w:hAnsi="Times New Roman" w:eastAsia="宋体" w:cs="Times New Roman"/>
                <w:bCs/>
                <w:sz w:val="21"/>
                <w:szCs w:val="21"/>
              </w:rPr>
            </w:pPr>
          </w:p>
        </w:tc>
        <w:tc>
          <w:tcPr>
            <w:tcW w:w="504" w:type="pct"/>
            <w:vMerge w:val="continue"/>
            <w:shd w:val="clear" w:color="auto" w:fill="auto"/>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R</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居住用地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9.66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0.97</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9.66</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R2</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二类居住用地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0.97</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9.66</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公共管理与公共服务设施用地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4.35</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0.44</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2.53</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A1</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行政办公用地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1.82</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0.18</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A2</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文化设施用地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1.17</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A5</w:t>
            </w:r>
          </w:p>
        </w:tc>
        <w:tc>
          <w:tcPr>
            <w:tcW w:w="159"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医疗卫生用地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1.14</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0.11</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1.14</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A9</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宗教用地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商业服务业设施用地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20.26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2.04</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0.73</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19.53</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B1</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商业用地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12.24</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1.23</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12.24</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B2</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商务用地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7.29</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0.73</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7.29</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B4</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公用设施营业网点用地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0.73</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0.07</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0.73</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工业用地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783.8</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78.99</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194.97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32.56</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425.32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97.46</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M1</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一类工业用地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97.46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9.82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97.46</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M2</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二类工业用地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296.52</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29.88</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194.97</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32.56</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35.5</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M3</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三类工业用地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389.82</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39.28</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389.82</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道路与交通设施用地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118.44</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11.94</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26.57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1.34</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67.64</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22.64</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S1</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城市道路用地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111.08</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11.19</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25.65</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1.34</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62.43</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21.41</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S4</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交通场站用地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7.36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0.74</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0.92</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5.21</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1.23</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S42</w:t>
            </w:r>
          </w:p>
        </w:tc>
        <w:tc>
          <w:tcPr>
            <w:tcW w:w="945"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社会停车场用地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7.36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0.74</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0.92</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5.21</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1.23</w:t>
            </w:r>
          </w:p>
        </w:tc>
        <w:tc>
          <w:tcPr>
            <w:tcW w:w="504"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公用设施用地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24.36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2.46</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14.45</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8.24</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U1</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供应设施用地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0.7</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4.78</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1.08</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U11</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供水用地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1.75</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0.18</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1.75</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U12</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供电用地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2.18</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1.08</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U13</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供燃气用地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0.53</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0.53</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U14</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供热用地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0.25</w:t>
            </w: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U2</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环境设施用地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15.26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1.54</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9.67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U21</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排水用地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14.1</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9.08</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5.02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U22</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环卫用地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0.59</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U3</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安全设施用地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2.14</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2.14</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vMerge w:val="continue"/>
            <w:shd w:val="clear" w:color="auto" w:fill="auto"/>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U31</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消防用地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2.14</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2.14</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restar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G</w:t>
            </w: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绿地与广场用地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31.43</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3.17</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19.92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4.84</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G1</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公园绿地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1.87</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0.19</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367"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54" w:type="pct"/>
            <w:vMerge w:val="continue"/>
            <w:shd w:val="clear" w:color="auto" w:fill="auto"/>
            <w:vAlign w:val="center"/>
          </w:tcPr>
          <w:p>
            <w:pPr>
              <w:jc w:val="center"/>
              <w:rPr>
                <w:rFonts w:ascii="Times New Roman" w:hAnsi="Times New Roman" w:eastAsia="宋体" w:cs="Times New Roman"/>
                <w:bCs/>
                <w:sz w:val="21"/>
                <w:szCs w:val="21"/>
              </w:rPr>
            </w:pPr>
          </w:p>
        </w:tc>
        <w:tc>
          <w:tcPr>
            <w:tcW w:w="156"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G2</w:t>
            </w:r>
          </w:p>
        </w:tc>
        <w:tc>
          <w:tcPr>
            <w:tcW w:w="159"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防护绿地</w:t>
            </w:r>
          </w:p>
        </w:tc>
        <w:tc>
          <w:tcPr>
            <w:tcW w:w="45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29.56</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2.98</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19.92</w:t>
            </w: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2.97</w:t>
            </w: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468" w:type="pct"/>
            <w:gridSpan w:val="3"/>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H11</w:t>
            </w:r>
          </w:p>
        </w:tc>
        <w:tc>
          <w:tcPr>
            <w:tcW w:w="945"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城市建设用地</w:t>
            </w:r>
          </w:p>
        </w:tc>
        <w:tc>
          <w:tcPr>
            <w:tcW w:w="455"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992.3</w:t>
            </w:r>
          </w:p>
        </w:tc>
        <w:tc>
          <w:tcPr>
            <w:tcW w:w="743" w:type="pct"/>
            <w:shd w:val="clear" w:color="auto" w:fill="auto"/>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w:t>
            </w: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367"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504" w:type="pct"/>
            <w:shd w:val="clear" w:color="auto" w:fill="auto"/>
            <w:noWrap/>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r>
    </w:tbl>
    <w:p>
      <w:pPr>
        <w:rPr>
          <w:rFonts w:ascii="Times New Roman" w:hAnsi="Times New Roman"/>
        </w:rPr>
        <w:sectPr>
          <w:pgSz w:w="16838" w:h="11906" w:orient="landscape"/>
          <w:pgMar w:top="1418" w:right="1418" w:bottom="1701" w:left="1418" w:header="851" w:footer="992" w:gutter="0"/>
          <w:cols w:space="425" w:num="1"/>
          <w:docGrid w:linePitch="326" w:charSpace="915"/>
        </w:sectPr>
      </w:pPr>
    </w:p>
    <w:p>
      <w:pPr>
        <w:spacing w:line="360" w:lineRule="auto"/>
        <w:ind w:firstLine="480" w:firstLineChars="200"/>
        <w:rPr>
          <w:rFonts w:ascii="Times New Roman" w:hAnsi="Times New Roman" w:cs="Times New Roman"/>
        </w:rPr>
      </w:pPr>
      <w:r>
        <w:rPr>
          <w:rFonts w:ascii="Times New Roman" w:hAnsi="Times New Roman" w:cs="Times New Roman"/>
        </w:rPr>
        <w:t>由上表可见，随着园区的继续开发，</w:t>
      </w:r>
      <w:r>
        <w:rPr>
          <w:rFonts w:hint="eastAsia" w:ascii="Times New Roman" w:hAnsi="Times New Roman" w:cs="Times New Roman"/>
        </w:rPr>
        <w:t>工业</w:t>
      </w:r>
      <w:r>
        <w:rPr>
          <w:rFonts w:ascii="Times New Roman" w:hAnsi="Times New Roman" w:cs="Times New Roman"/>
        </w:rPr>
        <w:t>用地将由开发前的356.06公顷增加到783.8公顷，非建设用地将几乎完全消亡，园区将以生态防护绿地和企事业单位绿地取代原有农林生产绿地系统。景观格局上将彻底改变现有面貌。</w:t>
      </w:r>
    </w:p>
    <w:p>
      <w:pPr>
        <w:spacing w:line="360" w:lineRule="auto"/>
        <w:ind w:firstLine="480" w:firstLineChars="200"/>
        <w:rPr>
          <w:rFonts w:ascii="Times New Roman" w:hAnsi="Times New Roman" w:cs="Times New Roman"/>
        </w:rPr>
      </w:pPr>
      <w:r>
        <w:rPr>
          <w:rFonts w:hint="eastAsia" w:ascii="Times New Roman" w:hAnsi="Times New Roman" w:cs="Times New Roman"/>
        </w:rPr>
        <w:t>历史影像</w:t>
      </w:r>
      <w:r>
        <w:rPr>
          <w:rFonts w:ascii="Times New Roman" w:hAnsi="Times New Roman" w:cs="Times New Roman"/>
        </w:rPr>
        <w:t>图：</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1"/>
        <w:gridCol w:w="42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09" w:type="dxa"/>
            <w:vAlign w:val="center"/>
          </w:tcPr>
          <w:p>
            <w:pPr>
              <w:ind w:firstLine="420" w:firstLineChars="200"/>
              <w:jc w:val="center"/>
              <w:rPr>
                <w:rFonts w:ascii="Times New Roman" w:hAnsi="Times New Roman" w:eastAsia="宋体" w:cs="Times New Roman"/>
                <w:sz w:val="21"/>
              </w:rPr>
            </w:pPr>
          </w:p>
        </w:tc>
        <w:tc>
          <w:tcPr>
            <w:tcW w:w="4494" w:type="dxa"/>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09" w:type="dxa"/>
            <w:vAlign w:val="center"/>
          </w:tcPr>
          <w:p>
            <w:pPr>
              <w:ind w:firstLine="420" w:firstLineChars="200"/>
              <w:jc w:val="center"/>
              <w:rPr>
                <w:rFonts w:ascii="Times New Roman" w:hAnsi="Times New Roman" w:eastAsia="宋体" w:cs="Times New Roman"/>
                <w:sz w:val="21"/>
              </w:rPr>
            </w:pPr>
            <w:r>
              <w:rPr>
                <w:rFonts w:hint="eastAsia" w:ascii="Times New Roman" w:hAnsi="Times New Roman" w:eastAsia="宋体" w:cs="Times New Roman"/>
                <w:sz w:val="21"/>
              </w:rPr>
              <w:t>2022年</w:t>
            </w:r>
          </w:p>
        </w:tc>
        <w:tc>
          <w:tcPr>
            <w:tcW w:w="4494" w:type="dxa"/>
            <w:vAlign w:val="center"/>
          </w:tcPr>
          <w:p>
            <w:pPr>
              <w:ind w:firstLine="420" w:firstLineChars="200"/>
              <w:jc w:val="center"/>
              <w:rPr>
                <w:rFonts w:ascii="Times New Roman" w:hAnsi="Times New Roman" w:eastAsia="宋体" w:cs="Times New Roman"/>
                <w:sz w:val="21"/>
              </w:rPr>
            </w:pPr>
            <w:r>
              <w:rPr>
                <w:rFonts w:hint="eastAsia" w:ascii="Times New Roman" w:hAnsi="Times New Roman" w:eastAsia="宋体" w:cs="Times New Roman"/>
                <w:sz w:val="21"/>
              </w:rPr>
              <w:t>2019年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09" w:type="dxa"/>
            <w:vAlign w:val="center"/>
          </w:tcPr>
          <w:p>
            <w:pPr>
              <w:ind w:firstLine="420" w:firstLineChars="200"/>
              <w:jc w:val="center"/>
              <w:rPr>
                <w:rFonts w:ascii="Times New Roman" w:hAnsi="Times New Roman" w:eastAsia="宋体" w:cs="Times New Roman"/>
                <w:sz w:val="21"/>
              </w:rPr>
            </w:pPr>
          </w:p>
        </w:tc>
        <w:tc>
          <w:tcPr>
            <w:tcW w:w="4494" w:type="dxa"/>
            <w:vAlign w:val="center"/>
          </w:tcPr>
          <w:p>
            <w:pPr>
              <w:ind w:firstLine="420" w:firstLineChars="200"/>
              <w:jc w:val="center"/>
              <w:rPr>
                <w:rFonts w:ascii="Times New Roman" w:hAnsi="Times New Roman" w:eastAsia="宋体"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09" w:type="dxa"/>
            <w:vAlign w:val="center"/>
          </w:tcPr>
          <w:p>
            <w:pPr>
              <w:ind w:firstLine="420" w:firstLineChars="200"/>
              <w:jc w:val="center"/>
              <w:rPr>
                <w:rFonts w:ascii="Times New Roman" w:hAnsi="Times New Roman" w:eastAsia="宋体" w:cs="Times New Roman"/>
                <w:sz w:val="21"/>
              </w:rPr>
            </w:pPr>
            <w:r>
              <w:rPr>
                <w:rFonts w:hint="eastAsia" w:ascii="Times New Roman" w:hAnsi="Times New Roman" w:eastAsia="宋体" w:cs="Times New Roman"/>
                <w:sz w:val="21"/>
              </w:rPr>
              <w:t>2016年</w:t>
            </w:r>
          </w:p>
        </w:tc>
        <w:tc>
          <w:tcPr>
            <w:tcW w:w="4494" w:type="dxa"/>
            <w:vAlign w:val="center"/>
          </w:tcPr>
          <w:p>
            <w:pPr>
              <w:ind w:firstLine="420" w:firstLineChars="200"/>
              <w:jc w:val="center"/>
              <w:rPr>
                <w:rFonts w:ascii="Times New Roman" w:hAnsi="Times New Roman" w:eastAsia="宋体" w:cs="Times New Roman"/>
                <w:sz w:val="21"/>
              </w:rPr>
            </w:pPr>
            <w:r>
              <w:rPr>
                <w:rFonts w:hint="eastAsia" w:ascii="Times New Roman" w:hAnsi="Times New Roman" w:eastAsia="宋体" w:cs="Times New Roman"/>
                <w:sz w:val="21"/>
              </w:rPr>
              <w:t>2011年</w:t>
            </w:r>
          </w:p>
        </w:tc>
      </w:tr>
    </w:tbl>
    <w:p>
      <w:pPr>
        <w:keepLines/>
        <w:spacing w:line="360" w:lineRule="auto"/>
        <w:ind w:firstLine="482" w:firstLineChars="200"/>
        <w:jc w:val="center"/>
        <w:outlineLvl w:val="4"/>
        <w:rPr>
          <w:rFonts w:ascii="Times New Roman" w:hAnsi="Times New Roman"/>
          <w:b/>
          <w:bCs/>
          <w:szCs w:val="28"/>
        </w:rPr>
      </w:pPr>
      <w:r>
        <w:rPr>
          <w:rFonts w:hint="eastAsia" w:ascii="Times New Roman" w:hAnsi="Times New Roman"/>
          <w:b/>
          <w:bCs/>
          <w:szCs w:val="28"/>
        </w:rPr>
        <w:t>图</w:t>
      </w:r>
      <w:r>
        <w:rPr>
          <w:rFonts w:ascii="Times New Roman" w:hAnsi="Times New Roman"/>
          <w:b/>
          <w:bCs/>
          <w:szCs w:val="28"/>
        </w:rPr>
        <w:t>4.4-1  园区</w:t>
      </w:r>
      <w:r>
        <w:rPr>
          <w:rFonts w:hint="eastAsia" w:ascii="Times New Roman" w:hAnsi="Times New Roman"/>
          <w:b/>
          <w:bCs/>
          <w:szCs w:val="28"/>
        </w:rPr>
        <w:t>历史影像图</w:t>
      </w:r>
    </w:p>
    <w:p>
      <w:pPr>
        <w:ind w:firstLine="480" w:firstLineChars="200"/>
        <w:rPr>
          <w:rFonts w:ascii="Times New Roman" w:hAnsi="Times New Roman"/>
        </w:rPr>
        <w:sectPr>
          <w:pgSz w:w="11907" w:h="16839"/>
          <w:pgMar w:top="1440" w:right="1797" w:bottom="1440" w:left="1797" w:header="851" w:footer="680" w:gutter="0"/>
          <w:cols w:space="425" w:num="1"/>
          <w:docGrid w:linePitch="326" w:charSpace="0"/>
        </w:sectPr>
      </w:pPr>
    </w:p>
    <w:bookmarkEnd w:id="441"/>
    <w:bookmarkEnd w:id="442"/>
    <w:bookmarkEnd w:id="443"/>
    <w:p>
      <w:pPr>
        <w:pStyle w:val="2"/>
        <w:spacing w:before="120" w:after="120"/>
        <w:rPr>
          <w:rFonts w:ascii="Times New Roman" w:hAnsi="Times New Roman" w:cs="Times New Roman"/>
        </w:rPr>
      </w:pPr>
      <w:bookmarkStart w:id="464" w:name="_Toc146091944"/>
      <w:r>
        <w:rPr>
          <w:rFonts w:ascii="Times New Roman" w:hAnsi="Times New Roman" w:cs="Times New Roman"/>
        </w:rPr>
        <w:t>第5章 环境影响识别与评价指标体系构建</w:t>
      </w:r>
      <w:bookmarkEnd w:id="439"/>
      <w:bookmarkEnd w:id="464"/>
    </w:p>
    <w:p>
      <w:pPr>
        <w:pStyle w:val="3"/>
        <w:rPr>
          <w:rFonts w:ascii="Times New Roman" w:hAnsi="Times New Roman" w:cs="Times New Roman"/>
        </w:rPr>
      </w:pPr>
      <w:bookmarkStart w:id="465" w:name="_Toc87965226"/>
      <w:bookmarkStart w:id="466" w:name="_Toc85989305"/>
      <w:bookmarkStart w:id="467" w:name="_Toc521835628"/>
      <w:bookmarkStart w:id="468" w:name="_Toc93071872"/>
      <w:bookmarkStart w:id="469" w:name="_Toc79700766"/>
      <w:bookmarkStart w:id="470" w:name="_Toc1552364"/>
      <w:bookmarkStart w:id="471" w:name="_Toc47380211"/>
      <w:bookmarkStart w:id="472" w:name="_Toc146091945"/>
      <w:r>
        <w:rPr>
          <w:rFonts w:ascii="Times New Roman" w:hAnsi="Times New Roman" w:cs="Times New Roman"/>
        </w:rPr>
        <w:t>5.1 环境影响识别</w:t>
      </w:r>
      <w:bookmarkEnd w:id="465"/>
      <w:bookmarkEnd w:id="466"/>
      <w:bookmarkEnd w:id="467"/>
      <w:bookmarkEnd w:id="468"/>
      <w:bookmarkEnd w:id="469"/>
      <w:bookmarkEnd w:id="470"/>
      <w:bookmarkEnd w:id="471"/>
      <w:bookmarkEnd w:id="472"/>
    </w:p>
    <w:p>
      <w:pPr>
        <w:pStyle w:val="4"/>
        <w:rPr>
          <w:rFonts w:ascii="Times New Roman" w:hAnsi="Times New Roman" w:cs="Times New Roman"/>
        </w:rPr>
      </w:pPr>
      <w:bookmarkStart w:id="473" w:name="_Toc484421110"/>
      <w:bookmarkStart w:id="474" w:name="_Toc146091946"/>
      <w:r>
        <w:rPr>
          <w:rFonts w:ascii="Times New Roman" w:hAnsi="Times New Roman" w:cs="Times New Roman"/>
        </w:rPr>
        <w:t>5.1.1 宏观规划层次的环境影响识别</w:t>
      </w:r>
      <w:bookmarkEnd w:id="473"/>
      <w:bookmarkEnd w:id="474"/>
    </w:p>
    <w:p>
      <w:pPr>
        <w:spacing w:line="360" w:lineRule="auto"/>
        <w:ind w:firstLine="480" w:firstLineChars="200"/>
        <w:rPr>
          <w:rFonts w:ascii="Times New Roman" w:hAnsi="Times New Roman" w:cs="Times New Roman"/>
        </w:rPr>
      </w:pPr>
      <w:r>
        <w:rPr>
          <w:rFonts w:ascii="Times New Roman" w:hAnsi="Times New Roman" w:cs="Times New Roman"/>
        </w:rPr>
        <w:t>规划层次的环境影响主要是关注土地利用、水资源开采、能源利用、环境功能区布局、人口规模及布局、环境容量和承载力、公用工程布局及选址、产业结构调整及布局、绿化景观、经济增长速度等。</w:t>
      </w:r>
    </w:p>
    <w:p>
      <w:pPr>
        <w:spacing w:line="360" w:lineRule="auto"/>
        <w:ind w:firstLine="480" w:firstLineChars="200"/>
        <w:rPr>
          <w:rFonts w:ascii="Times New Roman" w:hAnsi="Times New Roman" w:cs="Times New Roman"/>
        </w:rPr>
      </w:pPr>
      <w:r>
        <w:rPr>
          <w:rFonts w:ascii="Times New Roman" w:hAnsi="Times New Roman" w:cs="Times New Roman"/>
        </w:rPr>
        <w:t>（1）环境质量方面</w:t>
      </w:r>
    </w:p>
    <w:p>
      <w:pPr>
        <w:spacing w:line="360" w:lineRule="auto"/>
        <w:ind w:firstLine="480" w:firstLineChars="200"/>
        <w:rPr>
          <w:rFonts w:ascii="Times New Roman" w:hAnsi="Times New Roman" w:cs="Times New Roman"/>
        </w:rPr>
      </w:pPr>
      <w:r>
        <w:rPr>
          <w:rFonts w:ascii="Times New Roman" w:hAnsi="Times New Roman" w:cs="Times New Roman"/>
        </w:rPr>
        <w:t>土地开发和工业等规划项目及大面积土地利用开发活动等，将通过不同的途径向大气、水体等环境排放多种污染物，使其受到不同程度的污染，使环境质量发生变化。</w:t>
      </w:r>
    </w:p>
    <w:p>
      <w:pPr>
        <w:spacing w:line="360" w:lineRule="auto"/>
        <w:ind w:firstLine="480" w:firstLineChars="200"/>
        <w:rPr>
          <w:rFonts w:ascii="Times New Roman" w:hAnsi="Times New Roman" w:cs="Times New Roman"/>
        </w:rPr>
      </w:pPr>
      <w:r>
        <w:rPr>
          <w:rFonts w:ascii="Times New Roman" w:hAnsi="Times New Roman" w:cs="Times New Roman"/>
        </w:rPr>
        <w:t>（2）生态环境方面</w:t>
      </w:r>
    </w:p>
    <w:p>
      <w:pPr>
        <w:spacing w:line="360" w:lineRule="auto"/>
        <w:ind w:firstLine="480" w:firstLineChars="200"/>
        <w:rPr>
          <w:rFonts w:ascii="Times New Roman" w:hAnsi="Times New Roman" w:cs="Times New Roman"/>
        </w:rPr>
      </w:pPr>
      <w:r>
        <w:rPr>
          <w:rFonts w:ascii="Times New Roman" w:hAnsi="Times New Roman" w:cs="Times New Roman"/>
        </w:rPr>
        <w:t>规划方案实施，区域生态系统将由原来的农业生态系统逐渐向城市生态系统演变。根据园区用地规划，本次新扩进来的云溪片区北部、东部和长岭片区北部及临湘片区，在规划前基本上为农村用地，园区规划方案的实施，将使范围内用地类型由农用地和农村建设用地转变为城镇建设用地，引起生态系统的类型发生变化，使区域景观生态环境由规划前的农村村落、农田生态等拼块组成的农业生态系统演变为以城市社区、企业拼块组成的城市景观生态系统，对生态环境产生一定影响。</w:t>
      </w:r>
    </w:p>
    <w:p>
      <w:pPr>
        <w:spacing w:line="360" w:lineRule="auto"/>
        <w:ind w:firstLine="480" w:firstLineChars="200"/>
        <w:rPr>
          <w:rFonts w:ascii="Times New Roman" w:hAnsi="Times New Roman" w:cs="Times New Roman"/>
        </w:rPr>
      </w:pPr>
      <w:r>
        <w:rPr>
          <w:rFonts w:ascii="Times New Roman" w:hAnsi="Times New Roman" w:cs="Times New Roman"/>
        </w:rPr>
        <w:t>（3）环境风险方面</w:t>
      </w:r>
    </w:p>
    <w:p>
      <w:pPr>
        <w:spacing w:line="360" w:lineRule="auto"/>
        <w:ind w:firstLine="480" w:firstLineChars="200"/>
        <w:rPr>
          <w:rFonts w:ascii="Times New Roman" w:hAnsi="Times New Roman" w:cs="Times New Roman"/>
        </w:rPr>
      </w:pPr>
      <w:r>
        <w:rPr>
          <w:rFonts w:ascii="Times New Roman" w:hAnsi="Times New Roman" w:cs="Times New Roman"/>
        </w:rPr>
        <w:t>工业项目的建设可能引起泄漏、污染防治措施非正常工作等事故，从而导致水和大气环境的污染风险。</w:t>
      </w:r>
    </w:p>
    <w:p>
      <w:pPr>
        <w:spacing w:line="360" w:lineRule="auto"/>
        <w:ind w:firstLine="480" w:firstLineChars="200"/>
        <w:rPr>
          <w:rFonts w:ascii="Times New Roman" w:hAnsi="Times New Roman" w:cs="Times New Roman"/>
        </w:rPr>
      </w:pPr>
      <w:r>
        <w:rPr>
          <w:rFonts w:ascii="Times New Roman" w:hAnsi="Times New Roman" w:cs="Times New Roman"/>
        </w:rPr>
        <w:t>（4）资源能源方面</w:t>
      </w:r>
    </w:p>
    <w:p>
      <w:pPr>
        <w:spacing w:line="360" w:lineRule="auto"/>
        <w:ind w:firstLine="480" w:firstLineChars="200"/>
        <w:rPr>
          <w:rFonts w:ascii="Times New Roman" w:hAnsi="Times New Roman" w:cs="Times New Roman"/>
        </w:rPr>
      </w:pPr>
      <w:r>
        <w:rPr>
          <w:rFonts w:ascii="Times New Roman" w:hAnsi="Times New Roman" w:cs="Times New Roman"/>
        </w:rPr>
        <w:t>土地资源：各类产业项目建设将占用部分土地，甚至与耕地保有产生竞争。</w:t>
      </w:r>
    </w:p>
    <w:p>
      <w:pPr>
        <w:spacing w:line="360" w:lineRule="auto"/>
        <w:ind w:firstLine="480" w:firstLineChars="200"/>
        <w:rPr>
          <w:rFonts w:ascii="Times New Roman" w:hAnsi="Times New Roman" w:cs="Times New Roman"/>
        </w:rPr>
      </w:pPr>
      <w:r>
        <w:rPr>
          <w:rFonts w:ascii="Times New Roman" w:hAnsi="Times New Roman" w:cs="Times New Roman"/>
        </w:rPr>
        <w:t>水资源：工业企业发展需消耗一定量水资源，给区域水资源利用造成一定压力。</w:t>
      </w:r>
    </w:p>
    <w:p>
      <w:pPr>
        <w:spacing w:line="360" w:lineRule="auto"/>
        <w:ind w:firstLine="480" w:firstLineChars="200"/>
        <w:rPr>
          <w:rFonts w:ascii="Times New Roman" w:hAnsi="Times New Roman" w:cs="Times New Roman"/>
        </w:rPr>
      </w:pPr>
      <w:r>
        <w:rPr>
          <w:rFonts w:ascii="Times New Roman" w:hAnsi="Times New Roman" w:cs="Times New Roman"/>
        </w:rPr>
        <w:t>能源：工业企业的发展将消耗电、液化石油气、天然气等能源。</w:t>
      </w:r>
    </w:p>
    <w:p>
      <w:pPr>
        <w:spacing w:line="360" w:lineRule="auto"/>
        <w:ind w:firstLine="480" w:firstLineChars="200"/>
        <w:rPr>
          <w:rFonts w:ascii="Times New Roman" w:hAnsi="Times New Roman" w:cs="Times New Roman"/>
        </w:rPr>
      </w:pPr>
      <w:r>
        <w:rPr>
          <w:rFonts w:ascii="Times New Roman" w:hAnsi="Times New Roman" w:cs="Times New Roman"/>
        </w:rPr>
        <w:t>（5）社会经济方面</w:t>
      </w:r>
    </w:p>
    <w:p>
      <w:pPr>
        <w:spacing w:line="360" w:lineRule="auto"/>
        <w:ind w:firstLine="480" w:firstLineChars="200"/>
        <w:rPr>
          <w:rFonts w:ascii="Times New Roman" w:hAnsi="Times New Roman" w:cs="Times New Roman"/>
        </w:rPr>
      </w:pPr>
      <w:r>
        <w:rPr>
          <w:rFonts w:ascii="Times New Roman" w:hAnsi="Times New Roman" w:cs="Times New Roman"/>
        </w:rPr>
        <w:t>产业结构：规划园区建成，将使区域国民经济结构比例发生变化，工业比重提高。</w:t>
      </w:r>
    </w:p>
    <w:p>
      <w:pPr>
        <w:spacing w:line="360" w:lineRule="auto"/>
        <w:ind w:firstLine="480" w:firstLineChars="200"/>
        <w:rPr>
          <w:rFonts w:ascii="Times New Roman" w:hAnsi="Times New Roman" w:cs="Times New Roman"/>
        </w:rPr>
      </w:pPr>
      <w:r>
        <w:rPr>
          <w:rFonts w:ascii="Times New Roman" w:hAnsi="Times New Roman" w:cs="Times New Roman"/>
        </w:rPr>
        <w:t>交通：园区的建设使交通运输能力明显提升，区域的发展将带动城市道路、公路等交通基础设施的建设，加强地区间的联系，缩短节点间的通达时间。</w:t>
      </w:r>
    </w:p>
    <w:p>
      <w:pPr>
        <w:spacing w:line="360" w:lineRule="auto"/>
        <w:ind w:firstLine="480" w:firstLineChars="200"/>
        <w:rPr>
          <w:rFonts w:ascii="Times New Roman" w:hAnsi="Times New Roman" w:cs="Times New Roman"/>
        </w:rPr>
      </w:pPr>
      <w:r>
        <w:rPr>
          <w:rFonts w:ascii="Times New Roman" w:hAnsi="Times New Roman" w:cs="Times New Roman"/>
        </w:rPr>
        <w:t>区域经济发展：产业的发展、城市的建设、工业项目的落地都将提高城市的工业化水平，提高居民的经济收入，促进经济发展。</w:t>
      </w:r>
    </w:p>
    <w:p>
      <w:pPr>
        <w:spacing w:line="360" w:lineRule="auto"/>
        <w:ind w:firstLine="480" w:firstLineChars="200"/>
        <w:rPr>
          <w:rFonts w:ascii="Times New Roman" w:hAnsi="Times New Roman" w:cs="Times New Roman"/>
        </w:rPr>
      </w:pPr>
      <w:r>
        <w:rPr>
          <w:rFonts w:ascii="Times New Roman" w:hAnsi="Times New Roman" w:cs="Times New Roman"/>
        </w:rPr>
        <w:t>人口结构：工业项目的落地都将提高城市的工业化水平，导致区域人口的比重变化。</w:t>
      </w:r>
    </w:p>
    <w:p>
      <w:pPr>
        <w:spacing w:line="360" w:lineRule="auto"/>
        <w:ind w:firstLine="480" w:firstLineChars="200"/>
        <w:rPr>
          <w:rFonts w:ascii="Times New Roman" w:hAnsi="Times New Roman" w:cs="Times New Roman"/>
        </w:rPr>
      </w:pPr>
      <w:r>
        <w:rPr>
          <w:rFonts w:ascii="Times New Roman" w:hAnsi="Times New Roman" w:cs="Times New Roman"/>
        </w:rPr>
        <w:t>居民生活质量：原来以农业生产为生活来源的农民转变为以城市生活的城市居民，原来在村落环境生活的农村居民转变为以城市社区生活的居民，拆迁居民生产和生活方式发生变化，对园区范围社会环境产生一定影响。此外，规划范围内涉及多座小型水库，功能主要是周边农田灌溉，随着园区开发，农用地、水库水域转变为建设用地，对园区内农业生产影响不大，但可能会对下游的农业生产造成一定影响工业项目的三废排放可能降低区域环境质量，影响人居环境。</w:t>
      </w:r>
    </w:p>
    <w:p>
      <w:pPr>
        <w:pStyle w:val="4"/>
        <w:rPr>
          <w:rFonts w:ascii="Times New Roman" w:hAnsi="Times New Roman" w:cs="Times New Roman"/>
        </w:rPr>
      </w:pPr>
      <w:bookmarkStart w:id="475" w:name="_Toc146091947"/>
      <w:r>
        <w:rPr>
          <w:rFonts w:ascii="Times New Roman" w:hAnsi="Times New Roman" w:cs="Times New Roman"/>
        </w:rPr>
        <w:t>5.1.2 环境影响因素识别</w:t>
      </w:r>
      <w:bookmarkEnd w:id="475"/>
    </w:p>
    <w:p>
      <w:pPr>
        <w:spacing w:line="360" w:lineRule="auto"/>
        <w:ind w:firstLine="480" w:firstLineChars="200"/>
        <w:rPr>
          <w:rFonts w:ascii="Times New Roman" w:hAnsi="Times New Roman" w:cs="Times New Roman"/>
        </w:rPr>
      </w:pPr>
      <w:r>
        <w:rPr>
          <w:rFonts w:ascii="Times New Roman" w:hAnsi="Times New Roman" w:cs="Times New Roman"/>
        </w:rPr>
        <w:t>按照园区的规模、产业发展规划、阶段目标和环境保护规划，结合当地社会、经济发展总体规划、环境保护规划和环境功能区划，进行环境影响因素识别，识别结果见表5.1-1及表5.1-2。</w:t>
      </w:r>
    </w:p>
    <w:p>
      <w:pPr>
        <w:pStyle w:val="6"/>
        <w:rPr>
          <w:rFonts w:ascii="Times New Roman" w:hAnsi="Times New Roman" w:cs="Times New Roman"/>
        </w:rPr>
      </w:pPr>
      <w:r>
        <w:rPr>
          <w:rFonts w:ascii="Times New Roman" w:hAnsi="Times New Roman" w:cs="Times New Roman"/>
        </w:rPr>
        <w:t>表5.1-1   环境影响评价指标与识别结果</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1771"/>
        <w:gridCol w:w="2182"/>
        <w:gridCol w:w="1220"/>
        <w:gridCol w:w="1220"/>
        <w:gridCol w:w="1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91" w:type="pct"/>
            <w:vMerge w:val="restart"/>
            <w:vAlign w:val="center"/>
          </w:tcPr>
          <w:p>
            <w:pPr>
              <w:pStyle w:val="63"/>
            </w:pPr>
            <w:r>
              <w:t>主要影响因素</w:t>
            </w:r>
          </w:p>
        </w:tc>
        <w:tc>
          <w:tcPr>
            <w:tcW w:w="1038" w:type="pct"/>
            <w:vMerge w:val="restart"/>
            <w:vAlign w:val="center"/>
          </w:tcPr>
          <w:p>
            <w:pPr>
              <w:pStyle w:val="63"/>
            </w:pPr>
            <w:r>
              <w:t>环境因子</w:t>
            </w:r>
          </w:p>
        </w:tc>
        <w:tc>
          <w:tcPr>
            <w:tcW w:w="1279" w:type="pct"/>
            <w:vMerge w:val="restart"/>
            <w:vAlign w:val="center"/>
          </w:tcPr>
          <w:p>
            <w:pPr>
              <w:pStyle w:val="63"/>
            </w:pPr>
            <w:r>
              <w:t>指标</w:t>
            </w:r>
          </w:p>
        </w:tc>
        <w:tc>
          <w:tcPr>
            <w:tcW w:w="2092" w:type="pct"/>
            <w:gridSpan w:val="3"/>
            <w:vAlign w:val="center"/>
          </w:tcPr>
          <w:p>
            <w:pPr>
              <w:pStyle w:val="63"/>
            </w:pPr>
            <w:r>
              <w:t>环境影响类型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91" w:type="pct"/>
            <w:vMerge w:val="continue"/>
            <w:vAlign w:val="center"/>
          </w:tcPr>
          <w:p>
            <w:pPr>
              <w:pStyle w:val="63"/>
            </w:pPr>
          </w:p>
        </w:tc>
        <w:tc>
          <w:tcPr>
            <w:tcW w:w="1038" w:type="pct"/>
            <w:vMerge w:val="continue"/>
            <w:vAlign w:val="center"/>
          </w:tcPr>
          <w:p>
            <w:pPr>
              <w:pStyle w:val="63"/>
            </w:pPr>
          </w:p>
        </w:tc>
        <w:tc>
          <w:tcPr>
            <w:tcW w:w="1279" w:type="pct"/>
            <w:vMerge w:val="continue"/>
            <w:vAlign w:val="center"/>
          </w:tcPr>
          <w:p>
            <w:pPr>
              <w:pStyle w:val="63"/>
            </w:pPr>
          </w:p>
        </w:tc>
        <w:tc>
          <w:tcPr>
            <w:tcW w:w="715" w:type="pct"/>
            <w:vAlign w:val="center"/>
          </w:tcPr>
          <w:p>
            <w:pPr>
              <w:pStyle w:val="63"/>
            </w:pPr>
            <w:r>
              <w:t>直接影响</w:t>
            </w:r>
          </w:p>
        </w:tc>
        <w:tc>
          <w:tcPr>
            <w:tcW w:w="715" w:type="pct"/>
            <w:vAlign w:val="center"/>
          </w:tcPr>
          <w:p>
            <w:pPr>
              <w:pStyle w:val="63"/>
            </w:pPr>
            <w:r>
              <w:t>累积影响</w:t>
            </w:r>
          </w:p>
        </w:tc>
        <w:tc>
          <w:tcPr>
            <w:tcW w:w="662" w:type="pct"/>
            <w:vAlign w:val="center"/>
          </w:tcPr>
          <w:p>
            <w:pPr>
              <w:pStyle w:val="63"/>
            </w:pPr>
            <w:r>
              <w:t>长期影响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restart"/>
            <w:vAlign w:val="center"/>
          </w:tcPr>
          <w:p>
            <w:pPr>
              <w:pStyle w:val="63"/>
            </w:pPr>
            <w:r>
              <w:t>社会</w:t>
            </w:r>
          </w:p>
          <w:p>
            <w:pPr>
              <w:pStyle w:val="63"/>
            </w:pPr>
            <w:r>
              <w:t>经济</w:t>
            </w:r>
          </w:p>
        </w:tc>
        <w:tc>
          <w:tcPr>
            <w:tcW w:w="1038" w:type="pct"/>
            <w:vAlign w:val="center"/>
          </w:tcPr>
          <w:p>
            <w:pPr>
              <w:pStyle w:val="63"/>
            </w:pPr>
            <w:r>
              <w:t>能源及利用方式</w:t>
            </w:r>
          </w:p>
        </w:tc>
        <w:tc>
          <w:tcPr>
            <w:tcW w:w="1279" w:type="pct"/>
            <w:vAlign w:val="center"/>
          </w:tcPr>
          <w:p>
            <w:pPr>
              <w:pStyle w:val="63"/>
            </w:pPr>
            <w:r>
              <w:t>清洁能源普及</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产业结构</w:t>
            </w:r>
          </w:p>
        </w:tc>
        <w:tc>
          <w:tcPr>
            <w:tcW w:w="1279" w:type="pct"/>
            <w:vAlign w:val="center"/>
          </w:tcPr>
          <w:p>
            <w:pPr>
              <w:pStyle w:val="63"/>
            </w:pPr>
            <w:r>
              <w:t>一二三产业比例</w:t>
            </w:r>
          </w:p>
        </w:tc>
        <w:tc>
          <w:tcPr>
            <w:tcW w:w="715" w:type="pct"/>
            <w:vAlign w:val="center"/>
          </w:tcPr>
          <w:p>
            <w:pPr>
              <w:pStyle w:val="63"/>
            </w:pP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交通运输</w:t>
            </w:r>
          </w:p>
        </w:tc>
        <w:tc>
          <w:tcPr>
            <w:tcW w:w="1279" w:type="pct"/>
            <w:vAlign w:val="center"/>
          </w:tcPr>
          <w:p>
            <w:pPr>
              <w:pStyle w:val="63"/>
            </w:pPr>
            <w:r>
              <w:t>路网密度</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土地利用</w:t>
            </w:r>
          </w:p>
        </w:tc>
        <w:tc>
          <w:tcPr>
            <w:tcW w:w="1279" w:type="pct"/>
            <w:vAlign w:val="center"/>
          </w:tcPr>
          <w:p>
            <w:pPr>
              <w:pStyle w:val="63"/>
            </w:pPr>
            <w:r>
              <w:t>土地开发利用</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restart"/>
            <w:vAlign w:val="center"/>
          </w:tcPr>
          <w:p>
            <w:pPr>
              <w:pStyle w:val="63"/>
            </w:pPr>
            <w:r>
              <w:t>居民生活质量</w:t>
            </w:r>
          </w:p>
        </w:tc>
        <w:tc>
          <w:tcPr>
            <w:tcW w:w="1279" w:type="pct"/>
            <w:vAlign w:val="center"/>
          </w:tcPr>
          <w:p>
            <w:pPr>
              <w:pStyle w:val="63"/>
            </w:pPr>
            <w:r>
              <w:t>居民人均收入</w:t>
            </w:r>
          </w:p>
        </w:tc>
        <w:tc>
          <w:tcPr>
            <w:tcW w:w="715" w:type="pct"/>
            <w:vAlign w:val="center"/>
          </w:tcPr>
          <w:p>
            <w:pPr>
              <w:pStyle w:val="63"/>
            </w:pP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人均居住面积</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人均公共绿地面积</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restart"/>
            <w:vAlign w:val="center"/>
          </w:tcPr>
          <w:p>
            <w:pPr>
              <w:pStyle w:val="63"/>
            </w:pPr>
            <w:r>
              <w:t>区域景观</w:t>
            </w:r>
          </w:p>
        </w:tc>
        <w:tc>
          <w:tcPr>
            <w:tcW w:w="1279" w:type="pct"/>
            <w:vAlign w:val="center"/>
          </w:tcPr>
          <w:p>
            <w:pPr>
              <w:pStyle w:val="63"/>
            </w:pPr>
            <w:r>
              <w:t>多样性</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协调性</w:t>
            </w:r>
          </w:p>
        </w:tc>
        <w:tc>
          <w:tcPr>
            <w:tcW w:w="715" w:type="pct"/>
            <w:vAlign w:val="center"/>
          </w:tcPr>
          <w:p>
            <w:pPr>
              <w:pStyle w:val="63"/>
            </w:pPr>
          </w:p>
        </w:tc>
        <w:tc>
          <w:tcPr>
            <w:tcW w:w="715" w:type="pct"/>
            <w:vAlign w:val="center"/>
          </w:tcPr>
          <w:p>
            <w:pPr>
              <w:pStyle w:val="63"/>
            </w:pPr>
            <w:r>
              <w:t>√</w:t>
            </w: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生动性</w:t>
            </w:r>
          </w:p>
        </w:tc>
        <w:tc>
          <w:tcPr>
            <w:tcW w:w="715" w:type="pct"/>
            <w:vAlign w:val="center"/>
          </w:tcPr>
          <w:p>
            <w:pPr>
              <w:pStyle w:val="63"/>
            </w:pP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区域经济发展</w:t>
            </w:r>
          </w:p>
        </w:tc>
        <w:tc>
          <w:tcPr>
            <w:tcW w:w="1279" w:type="pct"/>
            <w:vAlign w:val="center"/>
          </w:tcPr>
          <w:p>
            <w:pPr>
              <w:pStyle w:val="63"/>
            </w:pPr>
            <w:r>
              <w:t>人均GDP</w:t>
            </w:r>
          </w:p>
        </w:tc>
        <w:tc>
          <w:tcPr>
            <w:tcW w:w="715" w:type="pct"/>
            <w:vAlign w:val="center"/>
          </w:tcPr>
          <w:p>
            <w:pPr>
              <w:pStyle w:val="63"/>
            </w:pP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人口结构</w:t>
            </w:r>
          </w:p>
        </w:tc>
        <w:tc>
          <w:tcPr>
            <w:tcW w:w="1279" w:type="pct"/>
            <w:vAlign w:val="center"/>
          </w:tcPr>
          <w:p>
            <w:pPr>
              <w:pStyle w:val="63"/>
            </w:pPr>
            <w:r>
              <w:t>人口密度</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restart"/>
            <w:vAlign w:val="center"/>
          </w:tcPr>
          <w:p>
            <w:pPr>
              <w:pStyle w:val="63"/>
            </w:pPr>
            <w:r>
              <w:t>自然</w:t>
            </w:r>
          </w:p>
          <w:p>
            <w:pPr>
              <w:pStyle w:val="63"/>
            </w:pPr>
            <w:r>
              <w:t>环境</w:t>
            </w:r>
          </w:p>
        </w:tc>
        <w:tc>
          <w:tcPr>
            <w:tcW w:w="1038" w:type="pct"/>
            <w:vMerge w:val="restart"/>
            <w:vAlign w:val="center"/>
          </w:tcPr>
          <w:p>
            <w:pPr>
              <w:pStyle w:val="63"/>
            </w:pPr>
            <w:r>
              <w:t>水环境</w:t>
            </w:r>
          </w:p>
        </w:tc>
        <w:tc>
          <w:tcPr>
            <w:tcW w:w="1279" w:type="pct"/>
            <w:vAlign w:val="center"/>
          </w:tcPr>
          <w:p>
            <w:pPr>
              <w:pStyle w:val="63"/>
            </w:pPr>
            <w:r>
              <w:t>地表水水质</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地下水水质</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空气环境</w:t>
            </w:r>
          </w:p>
        </w:tc>
        <w:tc>
          <w:tcPr>
            <w:tcW w:w="1279" w:type="pct"/>
            <w:vAlign w:val="center"/>
          </w:tcPr>
          <w:p>
            <w:pPr>
              <w:pStyle w:val="63"/>
            </w:pPr>
            <w:r>
              <w:t>空气污染物排放</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restart"/>
            <w:vAlign w:val="center"/>
          </w:tcPr>
          <w:p>
            <w:pPr>
              <w:pStyle w:val="63"/>
            </w:pPr>
            <w:r>
              <w:t>声环境</w:t>
            </w:r>
          </w:p>
        </w:tc>
        <w:tc>
          <w:tcPr>
            <w:tcW w:w="1279" w:type="pct"/>
            <w:vAlign w:val="center"/>
          </w:tcPr>
          <w:p>
            <w:pPr>
              <w:pStyle w:val="63"/>
            </w:pPr>
            <w:r>
              <w:t>工业噪声</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交通噪声</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restart"/>
            <w:vAlign w:val="center"/>
          </w:tcPr>
          <w:p>
            <w:pPr>
              <w:pStyle w:val="63"/>
            </w:pPr>
            <w:r>
              <w:t>生态环境</w:t>
            </w:r>
          </w:p>
        </w:tc>
        <w:tc>
          <w:tcPr>
            <w:tcW w:w="1279" w:type="pct"/>
            <w:vAlign w:val="center"/>
          </w:tcPr>
          <w:p>
            <w:pPr>
              <w:pStyle w:val="63"/>
            </w:pPr>
            <w:r>
              <w:t>绿化</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土壤</w:t>
            </w:r>
          </w:p>
        </w:tc>
        <w:tc>
          <w:tcPr>
            <w:tcW w:w="715" w:type="pct"/>
            <w:vAlign w:val="center"/>
          </w:tcPr>
          <w:p>
            <w:pPr>
              <w:pStyle w:val="63"/>
            </w:pPr>
          </w:p>
        </w:tc>
        <w:tc>
          <w:tcPr>
            <w:tcW w:w="715" w:type="pct"/>
            <w:vAlign w:val="center"/>
          </w:tcPr>
          <w:p>
            <w:pPr>
              <w:pStyle w:val="63"/>
            </w:pPr>
            <w:r>
              <w:t>√</w:t>
            </w: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Merge w:val="continue"/>
            <w:vAlign w:val="center"/>
          </w:tcPr>
          <w:p>
            <w:pPr>
              <w:pStyle w:val="63"/>
            </w:pPr>
          </w:p>
        </w:tc>
        <w:tc>
          <w:tcPr>
            <w:tcW w:w="1279" w:type="pct"/>
            <w:vAlign w:val="center"/>
          </w:tcPr>
          <w:p>
            <w:pPr>
              <w:pStyle w:val="63"/>
            </w:pPr>
            <w:r>
              <w:t>水土流失</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1" w:type="pct"/>
            <w:vMerge w:val="continue"/>
            <w:vAlign w:val="center"/>
          </w:tcPr>
          <w:p>
            <w:pPr>
              <w:pStyle w:val="63"/>
            </w:pPr>
          </w:p>
        </w:tc>
        <w:tc>
          <w:tcPr>
            <w:tcW w:w="1038" w:type="pct"/>
            <w:vAlign w:val="center"/>
          </w:tcPr>
          <w:p>
            <w:pPr>
              <w:pStyle w:val="63"/>
            </w:pPr>
            <w:r>
              <w:t>固体废物</w:t>
            </w:r>
          </w:p>
        </w:tc>
        <w:tc>
          <w:tcPr>
            <w:tcW w:w="1279" w:type="pct"/>
            <w:vAlign w:val="center"/>
          </w:tcPr>
          <w:p>
            <w:pPr>
              <w:pStyle w:val="63"/>
            </w:pPr>
            <w:r>
              <w:t>固体废物资源化</w:t>
            </w:r>
          </w:p>
        </w:tc>
        <w:tc>
          <w:tcPr>
            <w:tcW w:w="715" w:type="pct"/>
            <w:vAlign w:val="center"/>
          </w:tcPr>
          <w:p>
            <w:pPr>
              <w:pStyle w:val="63"/>
            </w:pPr>
            <w:r>
              <w:t>√</w:t>
            </w:r>
          </w:p>
        </w:tc>
        <w:tc>
          <w:tcPr>
            <w:tcW w:w="715" w:type="pct"/>
            <w:vAlign w:val="center"/>
          </w:tcPr>
          <w:p>
            <w:pPr>
              <w:pStyle w:val="63"/>
            </w:pPr>
          </w:p>
        </w:tc>
        <w:tc>
          <w:tcPr>
            <w:tcW w:w="662" w:type="pct"/>
            <w:vAlign w:val="center"/>
          </w:tcPr>
          <w:p>
            <w:pPr>
              <w:pStyle w:val="63"/>
            </w:pPr>
          </w:p>
        </w:tc>
      </w:tr>
    </w:tbl>
    <w:p>
      <w:pPr>
        <w:pStyle w:val="6"/>
        <w:adjustRightInd w:val="0"/>
        <w:rPr>
          <w:rFonts w:ascii="Times New Roman" w:hAnsi="Times New Roman" w:cs="Times New Roman"/>
        </w:rPr>
      </w:pPr>
      <w:r>
        <w:rPr>
          <w:rFonts w:ascii="Times New Roman" w:hAnsi="Times New Roman" w:cs="Times New Roman"/>
        </w:rPr>
        <w:t>表5.1-2   环境影响因素识别</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5"/>
        <w:gridCol w:w="1232"/>
        <w:gridCol w:w="426"/>
        <w:gridCol w:w="426"/>
        <w:gridCol w:w="426"/>
        <w:gridCol w:w="426"/>
        <w:gridCol w:w="426"/>
        <w:gridCol w:w="426"/>
        <w:gridCol w:w="426"/>
        <w:gridCol w:w="426"/>
        <w:gridCol w:w="426"/>
        <w:gridCol w:w="426"/>
        <w:gridCol w:w="426"/>
        <w:gridCol w:w="426"/>
        <w:gridCol w:w="426"/>
        <w:gridCol w:w="426"/>
        <w:gridCol w:w="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restart"/>
            <w:vAlign w:val="center"/>
          </w:tcPr>
          <w:p>
            <w:pPr>
              <w:pStyle w:val="63"/>
            </w:pPr>
            <w:r>
              <w:t>影响</w:t>
            </w:r>
          </w:p>
          <w:p>
            <w:pPr>
              <w:pStyle w:val="63"/>
            </w:pPr>
            <w:r>
              <w:t>类别</w:t>
            </w:r>
          </w:p>
        </w:tc>
        <w:tc>
          <w:tcPr>
            <w:tcW w:w="790" w:type="pct"/>
            <w:vMerge w:val="restart"/>
            <w:vAlign w:val="center"/>
          </w:tcPr>
          <w:p>
            <w:pPr>
              <w:pStyle w:val="63"/>
            </w:pPr>
            <w:r>
              <w:t>影响因素</w:t>
            </w:r>
          </w:p>
        </w:tc>
        <w:tc>
          <w:tcPr>
            <w:tcW w:w="1411" w:type="pct"/>
            <w:gridSpan w:val="6"/>
            <w:vAlign w:val="center"/>
          </w:tcPr>
          <w:p>
            <w:pPr>
              <w:pStyle w:val="63"/>
            </w:pPr>
            <w:r>
              <w:t>建设期</w:t>
            </w:r>
          </w:p>
        </w:tc>
        <w:tc>
          <w:tcPr>
            <w:tcW w:w="1881" w:type="pct"/>
            <w:gridSpan w:val="8"/>
            <w:vAlign w:val="center"/>
          </w:tcPr>
          <w:p>
            <w:pPr>
              <w:pStyle w:val="63"/>
            </w:pPr>
            <w:r>
              <w:t>营运期</w:t>
            </w:r>
          </w:p>
        </w:tc>
        <w:tc>
          <w:tcPr>
            <w:tcW w:w="420" w:type="pct"/>
            <w:vMerge w:val="restart"/>
            <w:vAlign w:val="center"/>
          </w:tcPr>
          <w:p>
            <w:pPr>
              <w:pStyle w:val="63"/>
            </w:pPr>
            <w:r>
              <w:t>区外经济活动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Merge w:val="continue"/>
            <w:vAlign w:val="center"/>
          </w:tcPr>
          <w:p>
            <w:pPr>
              <w:pStyle w:val="63"/>
            </w:pPr>
          </w:p>
        </w:tc>
        <w:tc>
          <w:tcPr>
            <w:tcW w:w="235" w:type="pct"/>
            <w:vAlign w:val="center"/>
          </w:tcPr>
          <w:p>
            <w:pPr>
              <w:pStyle w:val="63"/>
            </w:pPr>
            <w:r>
              <w:t>占</w:t>
            </w:r>
          </w:p>
          <w:p>
            <w:pPr>
              <w:pStyle w:val="63"/>
            </w:pPr>
            <w:r>
              <w:t>地</w:t>
            </w:r>
          </w:p>
        </w:tc>
        <w:tc>
          <w:tcPr>
            <w:tcW w:w="235" w:type="pct"/>
            <w:vAlign w:val="center"/>
          </w:tcPr>
          <w:p>
            <w:pPr>
              <w:pStyle w:val="63"/>
            </w:pPr>
            <w:r>
              <w:t>平整土地</w:t>
            </w:r>
          </w:p>
        </w:tc>
        <w:tc>
          <w:tcPr>
            <w:tcW w:w="235" w:type="pct"/>
            <w:vAlign w:val="center"/>
          </w:tcPr>
          <w:p>
            <w:pPr>
              <w:pStyle w:val="63"/>
            </w:pPr>
            <w:r>
              <w:t>道路建设</w:t>
            </w:r>
          </w:p>
        </w:tc>
        <w:tc>
          <w:tcPr>
            <w:tcW w:w="235" w:type="pct"/>
            <w:vAlign w:val="center"/>
          </w:tcPr>
          <w:p>
            <w:pPr>
              <w:pStyle w:val="63"/>
            </w:pPr>
            <w:r>
              <w:t>建设</w:t>
            </w:r>
          </w:p>
          <w:p>
            <w:pPr>
              <w:pStyle w:val="63"/>
            </w:pPr>
            <w:r>
              <w:t>施</w:t>
            </w:r>
          </w:p>
          <w:p>
            <w:pPr>
              <w:pStyle w:val="63"/>
            </w:pPr>
            <w:r>
              <w:t>工</w:t>
            </w:r>
          </w:p>
        </w:tc>
        <w:tc>
          <w:tcPr>
            <w:tcW w:w="235" w:type="pct"/>
            <w:vAlign w:val="center"/>
          </w:tcPr>
          <w:p>
            <w:pPr>
              <w:pStyle w:val="63"/>
            </w:pPr>
            <w:r>
              <w:t>移</w:t>
            </w:r>
          </w:p>
          <w:p>
            <w:pPr>
              <w:pStyle w:val="63"/>
            </w:pPr>
            <w:r>
              <w:t>民</w:t>
            </w:r>
          </w:p>
          <w:p>
            <w:pPr>
              <w:pStyle w:val="63"/>
            </w:pPr>
            <w:r>
              <w:t>搬</w:t>
            </w:r>
          </w:p>
          <w:p>
            <w:pPr>
              <w:pStyle w:val="63"/>
            </w:pPr>
            <w:r>
              <w:t>迁</w:t>
            </w:r>
          </w:p>
        </w:tc>
        <w:tc>
          <w:tcPr>
            <w:tcW w:w="236" w:type="pct"/>
            <w:vAlign w:val="center"/>
          </w:tcPr>
          <w:p>
            <w:pPr>
              <w:pStyle w:val="63"/>
            </w:pPr>
            <w:r>
              <w:t>材</w:t>
            </w:r>
          </w:p>
          <w:p>
            <w:pPr>
              <w:pStyle w:val="63"/>
            </w:pPr>
            <w:r>
              <w:t>料</w:t>
            </w:r>
          </w:p>
          <w:p>
            <w:pPr>
              <w:pStyle w:val="63"/>
            </w:pPr>
            <w:r>
              <w:t>运</w:t>
            </w:r>
          </w:p>
          <w:p>
            <w:pPr>
              <w:pStyle w:val="63"/>
            </w:pPr>
            <w:r>
              <w:t>输</w:t>
            </w:r>
          </w:p>
        </w:tc>
        <w:tc>
          <w:tcPr>
            <w:tcW w:w="235" w:type="pct"/>
            <w:vAlign w:val="center"/>
          </w:tcPr>
          <w:p>
            <w:pPr>
              <w:pStyle w:val="63"/>
            </w:pPr>
            <w:r>
              <w:t>道路交通</w:t>
            </w:r>
          </w:p>
        </w:tc>
        <w:tc>
          <w:tcPr>
            <w:tcW w:w="235" w:type="pct"/>
            <w:vAlign w:val="center"/>
          </w:tcPr>
          <w:p>
            <w:pPr>
              <w:pStyle w:val="63"/>
            </w:pPr>
            <w:r>
              <w:t>废</w:t>
            </w:r>
          </w:p>
          <w:p>
            <w:pPr>
              <w:pStyle w:val="63"/>
            </w:pPr>
            <w:r>
              <w:t>水</w:t>
            </w:r>
          </w:p>
          <w:p>
            <w:pPr>
              <w:pStyle w:val="63"/>
            </w:pPr>
            <w:r>
              <w:t>排</w:t>
            </w:r>
          </w:p>
          <w:p>
            <w:pPr>
              <w:pStyle w:val="63"/>
            </w:pPr>
            <w:r>
              <w:t>放</w:t>
            </w:r>
          </w:p>
        </w:tc>
        <w:tc>
          <w:tcPr>
            <w:tcW w:w="235" w:type="pct"/>
            <w:vAlign w:val="center"/>
          </w:tcPr>
          <w:p>
            <w:pPr>
              <w:pStyle w:val="63"/>
            </w:pPr>
            <w:r>
              <w:t>废</w:t>
            </w:r>
          </w:p>
          <w:p>
            <w:pPr>
              <w:pStyle w:val="63"/>
            </w:pPr>
            <w:r>
              <w:t>气</w:t>
            </w:r>
          </w:p>
          <w:p>
            <w:pPr>
              <w:pStyle w:val="63"/>
            </w:pPr>
            <w:r>
              <w:t>排</w:t>
            </w:r>
          </w:p>
          <w:p>
            <w:pPr>
              <w:pStyle w:val="63"/>
            </w:pPr>
            <w:r>
              <w:t>放</w:t>
            </w:r>
          </w:p>
        </w:tc>
        <w:tc>
          <w:tcPr>
            <w:tcW w:w="235" w:type="pct"/>
            <w:vAlign w:val="center"/>
          </w:tcPr>
          <w:p>
            <w:pPr>
              <w:pStyle w:val="63"/>
            </w:pPr>
            <w:r>
              <w:t>固</w:t>
            </w:r>
          </w:p>
          <w:p>
            <w:pPr>
              <w:pStyle w:val="63"/>
            </w:pPr>
            <w:r>
              <w:t>废</w:t>
            </w:r>
          </w:p>
          <w:p>
            <w:pPr>
              <w:pStyle w:val="63"/>
            </w:pPr>
            <w:r>
              <w:t>堆</w:t>
            </w:r>
          </w:p>
          <w:p>
            <w:pPr>
              <w:pStyle w:val="63"/>
            </w:pPr>
            <w:r>
              <w:t>存</w:t>
            </w:r>
          </w:p>
        </w:tc>
        <w:tc>
          <w:tcPr>
            <w:tcW w:w="235" w:type="pct"/>
            <w:vAlign w:val="center"/>
          </w:tcPr>
          <w:p>
            <w:pPr>
              <w:pStyle w:val="63"/>
            </w:pPr>
            <w:r>
              <w:t>噪声排放</w:t>
            </w:r>
          </w:p>
        </w:tc>
        <w:tc>
          <w:tcPr>
            <w:tcW w:w="235" w:type="pct"/>
            <w:vAlign w:val="center"/>
          </w:tcPr>
          <w:p>
            <w:pPr>
              <w:pStyle w:val="63"/>
            </w:pPr>
            <w:r>
              <w:t>事</w:t>
            </w:r>
          </w:p>
          <w:p>
            <w:pPr>
              <w:pStyle w:val="63"/>
            </w:pPr>
            <w:r>
              <w:t>故</w:t>
            </w:r>
          </w:p>
          <w:p>
            <w:pPr>
              <w:pStyle w:val="63"/>
            </w:pPr>
            <w:r>
              <w:t>风</w:t>
            </w:r>
          </w:p>
          <w:p>
            <w:pPr>
              <w:pStyle w:val="63"/>
            </w:pPr>
            <w:r>
              <w:t>险</w:t>
            </w:r>
          </w:p>
        </w:tc>
        <w:tc>
          <w:tcPr>
            <w:tcW w:w="235" w:type="pct"/>
            <w:vAlign w:val="center"/>
          </w:tcPr>
          <w:p>
            <w:pPr>
              <w:pStyle w:val="63"/>
            </w:pPr>
            <w:r>
              <w:t>生</w:t>
            </w:r>
          </w:p>
          <w:p>
            <w:pPr>
              <w:pStyle w:val="63"/>
            </w:pPr>
            <w:r>
              <w:t>产</w:t>
            </w:r>
          </w:p>
          <w:p>
            <w:pPr>
              <w:pStyle w:val="63"/>
            </w:pPr>
            <w:r>
              <w:t>生</w:t>
            </w:r>
          </w:p>
          <w:p>
            <w:pPr>
              <w:pStyle w:val="63"/>
            </w:pPr>
            <w:r>
              <w:t>活</w:t>
            </w:r>
          </w:p>
        </w:tc>
        <w:tc>
          <w:tcPr>
            <w:tcW w:w="237" w:type="pct"/>
            <w:vAlign w:val="center"/>
          </w:tcPr>
          <w:p>
            <w:pPr>
              <w:pStyle w:val="63"/>
            </w:pPr>
            <w:r>
              <w:t>绿</w:t>
            </w:r>
          </w:p>
          <w:p>
            <w:pPr>
              <w:pStyle w:val="63"/>
            </w:pPr>
            <w:r>
              <w:t>化</w:t>
            </w:r>
          </w:p>
          <w:p>
            <w:pPr>
              <w:pStyle w:val="63"/>
            </w:pPr>
            <w:r>
              <w:t>美</w:t>
            </w:r>
          </w:p>
          <w:p>
            <w:pPr>
              <w:pStyle w:val="63"/>
            </w:pPr>
            <w:r>
              <w:t>化</w:t>
            </w:r>
          </w:p>
        </w:tc>
        <w:tc>
          <w:tcPr>
            <w:tcW w:w="420" w:type="pct"/>
            <w:vMerge w:val="continue"/>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restart"/>
            <w:vAlign w:val="center"/>
          </w:tcPr>
          <w:p>
            <w:pPr>
              <w:pStyle w:val="63"/>
            </w:pPr>
            <w:r>
              <w:t>社会</w:t>
            </w:r>
          </w:p>
          <w:p>
            <w:pPr>
              <w:pStyle w:val="63"/>
            </w:pPr>
            <w:r>
              <w:t>环境</w:t>
            </w:r>
          </w:p>
        </w:tc>
        <w:tc>
          <w:tcPr>
            <w:tcW w:w="790" w:type="pct"/>
            <w:vAlign w:val="center"/>
          </w:tcPr>
          <w:p>
            <w:pPr>
              <w:pStyle w:val="63"/>
            </w:pPr>
            <w:r>
              <w:t>能源、资源利用</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7" w:type="pct"/>
            <w:vAlign w:val="center"/>
          </w:tcPr>
          <w:p>
            <w:pPr>
              <w:pStyle w:val="63"/>
            </w:pP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产业结构</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7" w:type="pct"/>
            <w:vAlign w:val="center"/>
          </w:tcPr>
          <w:p>
            <w:pPr>
              <w:pStyle w:val="63"/>
            </w:pP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土地利用开发</w:t>
            </w:r>
          </w:p>
        </w:tc>
        <w:tc>
          <w:tcPr>
            <w:tcW w:w="235" w:type="pct"/>
            <w:vAlign w:val="center"/>
          </w:tcPr>
          <w:p>
            <w:pPr>
              <w:pStyle w:val="63"/>
            </w:pPr>
            <w: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劳动就业</w:t>
            </w:r>
          </w:p>
        </w:tc>
        <w:tc>
          <w:tcPr>
            <w:tcW w:w="235" w:type="pct"/>
            <w:vAlign w:val="center"/>
          </w:tcPr>
          <w:p>
            <w:pPr>
              <w:pStyle w:val="63"/>
            </w:pPr>
          </w:p>
        </w:tc>
        <w:tc>
          <w:tcPr>
            <w:tcW w:w="235" w:type="pct"/>
            <w:vAlign w:val="center"/>
          </w:tcPr>
          <w:p>
            <w:pPr>
              <w:pStyle w:val="63"/>
            </w:pPr>
            <w:r>
              <w:rPr>
                <w:rFonts w:ascii="Cambria Math" w:hAnsi="Cambria Math" w:cs="Cambria Math"/>
              </w:rPr>
              <w:t>△</w:t>
            </w:r>
          </w:p>
        </w:tc>
        <w:tc>
          <w:tcPr>
            <w:tcW w:w="235" w:type="pct"/>
            <w:vAlign w:val="center"/>
          </w:tcPr>
          <w:p>
            <w:pPr>
              <w:pStyle w:val="63"/>
            </w:pPr>
            <w:r>
              <w:rPr>
                <w:rFonts w:ascii="Cambria Math" w:hAnsi="Cambria Math" w:cs="Cambria Math"/>
              </w:rPr>
              <w:t>△</w:t>
            </w:r>
          </w:p>
        </w:tc>
        <w:tc>
          <w:tcPr>
            <w:tcW w:w="235" w:type="pct"/>
            <w:vAlign w:val="center"/>
          </w:tcPr>
          <w:p>
            <w:pPr>
              <w:pStyle w:val="63"/>
            </w:pPr>
            <w:r>
              <w:rPr>
                <w:rFonts w:ascii="Cambria Math" w:hAnsi="Cambria Math" w:cs="Cambria Math"/>
              </w:rPr>
              <w:t>△</w:t>
            </w:r>
          </w:p>
        </w:tc>
        <w:tc>
          <w:tcPr>
            <w:tcW w:w="235" w:type="pct"/>
            <w:vAlign w:val="center"/>
          </w:tcPr>
          <w:p>
            <w:pPr>
              <w:pStyle w:val="63"/>
            </w:pPr>
          </w:p>
        </w:tc>
        <w:tc>
          <w:tcPr>
            <w:tcW w:w="236" w:type="pct"/>
            <w:vAlign w:val="center"/>
          </w:tcPr>
          <w:p>
            <w:pPr>
              <w:pStyle w:val="63"/>
            </w:pPr>
            <w:r>
              <w:rPr>
                <w:rFonts w:ascii="Cambria Math" w:hAnsi="Cambria Math" w:cs="Cambria Math"/>
              </w:rPr>
              <w:t>△</w:t>
            </w: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7" w:type="pct"/>
            <w:vAlign w:val="center"/>
          </w:tcPr>
          <w:p>
            <w:pPr>
              <w:pStyle w:val="63"/>
            </w:pPr>
            <w:r>
              <w:rPr>
                <w:rFonts w:ascii="Cambria Math" w:hAnsi="Cambria Math" w:cs="Cambria Math"/>
              </w:rPr>
              <w:t>△</w:t>
            </w:r>
          </w:p>
        </w:tc>
        <w:tc>
          <w:tcPr>
            <w:tcW w:w="420" w:type="pct"/>
            <w:vAlign w:val="center"/>
          </w:tcPr>
          <w:p>
            <w:pPr>
              <w:pStyle w:val="63"/>
            </w:pPr>
            <w:r>
              <w:rPr>
                <w:rFonts w:hint="eastAsia" w:ascii="宋体" w:hAnsi="宋体" w:cs="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区域经济发展</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6"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7" w:type="pct"/>
            <w:vAlign w:val="center"/>
          </w:tcPr>
          <w:p>
            <w:pPr>
              <w:pStyle w:val="63"/>
            </w:pPr>
          </w:p>
        </w:tc>
        <w:tc>
          <w:tcPr>
            <w:tcW w:w="420" w:type="pct"/>
            <w:vAlign w:val="center"/>
          </w:tcPr>
          <w:p>
            <w:pPr>
              <w:pStyle w:val="63"/>
            </w:pPr>
            <w:r>
              <w:rPr>
                <w:rFonts w:hint="eastAsia" w:ascii="宋体" w:hAnsi="宋体" w:cs="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restart"/>
            <w:vAlign w:val="center"/>
          </w:tcPr>
          <w:p>
            <w:pPr>
              <w:pStyle w:val="63"/>
            </w:pPr>
            <w:r>
              <w:t>生活</w:t>
            </w:r>
          </w:p>
          <w:p>
            <w:pPr>
              <w:pStyle w:val="63"/>
            </w:pPr>
            <w:r>
              <w:t>质量</w:t>
            </w:r>
          </w:p>
        </w:tc>
        <w:tc>
          <w:tcPr>
            <w:tcW w:w="790" w:type="pct"/>
            <w:vAlign w:val="center"/>
          </w:tcPr>
          <w:p>
            <w:pPr>
              <w:pStyle w:val="63"/>
            </w:pPr>
            <w:r>
              <w:t>空气质量</w:t>
            </w: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p>
        </w:tc>
        <w:tc>
          <w:tcPr>
            <w:tcW w:w="236" w:type="pct"/>
            <w:vAlign w:val="center"/>
          </w:tcPr>
          <w:p>
            <w:pPr>
              <w:pStyle w:val="63"/>
            </w:pPr>
            <w:r>
              <w:t>▲</w:t>
            </w:r>
          </w:p>
        </w:tc>
        <w:tc>
          <w:tcPr>
            <w:tcW w:w="235" w:type="pct"/>
            <w:vAlign w:val="center"/>
          </w:tcPr>
          <w:p>
            <w:pPr>
              <w:pStyle w:val="63"/>
            </w:pPr>
            <w:r>
              <w:t>▲</w:t>
            </w: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地表水质</w:t>
            </w:r>
          </w:p>
        </w:tc>
        <w:tc>
          <w:tcPr>
            <w:tcW w:w="235" w:type="pct"/>
            <w:vAlign w:val="center"/>
          </w:tcPr>
          <w:p>
            <w:pPr>
              <w:pStyle w:val="63"/>
            </w:pP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6"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p>
        </w:tc>
        <w:tc>
          <w:tcPr>
            <w:tcW w:w="237" w:type="pct"/>
            <w:vAlign w:val="center"/>
          </w:tcPr>
          <w:p>
            <w:pPr>
              <w:pStyle w:val="63"/>
            </w:pP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声学环境</w:t>
            </w: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p>
        </w:tc>
        <w:tc>
          <w:tcPr>
            <w:tcW w:w="236" w:type="pct"/>
            <w:vAlign w:val="center"/>
          </w:tcPr>
          <w:p>
            <w:pPr>
              <w:pStyle w:val="63"/>
            </w:pPr>
            <w:r>
              <w:t>▲</w:t>
            </w:r>
          </w:p>
        </w:tc>
        <w:tc>
          <w:tcPr>
            <w:tcW w:w="235" w:type="pct"/>
            <w:vAlign w:val="center"/>
          </w:tcPr>
          <w:p>
            <w:pPr>
              <w:pStyle w:val="63"/>
            </w:pPr>
            <w: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r>
              <w:t>▲</w:t>
            </w: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居住条件</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r>
              <w:rPr>
                <w:rFonts w:hint="eastAsia" w:ascii="宋体" w:hAnsi="宋体" w:cs="宋体"/>
              </w:rPr>
              <w:t>☆</w:t>
            </w:r>
          </w:p>
        </w:tc>
        <w:tc>
          <w:tcPr>
            <w:tcW w:w="236"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r>
              <w:rPr>
                <w:rFonts w:hint="eastAsia" w:ascii="宋体" w:hAnsi="宋体" w:cs="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经济收入</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6"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7" w:type="pct"/>
            <w:vAlign w:val="center"/>
          </w:tcPr>
          <w:p>
            <w:pPr>
              <w:pStyle w:val="63"/>
            </w:pPr>
          </w:p>
        </w:tc>
        <w:tc>
          <w:tcPr>
            <w:tcW w:w="420" w:type="pct"/>
            <w:vAlign w:val="center"/>
          </w:tcPr>
          <w:p>
            <w:pPr>
              <w:pStyle w:val="63"/>
            </w:pPr>
            <w:r>
              <w:rPr>
                <w:rFonts w:hint="eastAsia" w:ascii="宋体" w:hAnsi="宋体" w:cs="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restart"/>
            <w:vAlign w:val="center"/>
          </w:tcPr>
          <w:p>
            <w:pPr>
              <w:pStyle w:val="63"/>
            </w:pPr>
            <w:r>
              <w:t>生态</w:t>
            </w:r>
          </w:p>
          <w:p>
            <w:pPr>
              <w:pStyle w:val="63"/>
            </w:pPr>
            <w:r>
              <w:t>环境</w:t>
            </w:r>
          </w:p>
        </w:tc>
        <w:tc>
          <w:tcPr>
            <w:tcW w:w="790" w:type="pct"/>
            <w:vAlign w:val="center"/>
          </w:tcPr>
          <w:p>
            <w:pPr>
              <w:pStyle w:val="63"/>
            </w:pPr>
            <w:r>
              <w:t>生物种类</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p>
        </w:tc>
        <w:tc>
          <w:tcPr>
            <w:tcW w:w="235" w:type="pct"/>
            <w:vAlign w:val="center"/>
          </w:tcPr>
          <w:p>
            <w:pPr>
              <w:pStyle w:val="63"/>
            </w:pPr>
            <w:r>
              <w:t>▲</w:t>
            </w: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水土保持</w:t>
            </w:r>
          </w:p>
        </w:tc>
        <w:tc>
          <w:tcPr>
            <w:tcW w:w="235" w:type="pct"/>
            <w:vAlign w:val="center"/>
          </w:tcPr>
          <w:p>
            <w:pPr>
              <w:pStyle w:val="63"/>
            </w:pPr>
          </w:p>
        </w:tc>
        <w:tc>
          <w:tcPr>
            <w:tcW w:w="235" w:type="pct"/>
            <w:vAlign w:val="center"/>
          </w:tcPr>
          <w:p>
            <w:pPr>
              <w:pStyle w:val="63"/>
            </w:pPr>
            <w:r>
              <w:t>▲</w:t>
            </w:r>
          </w:p>
        </w:tc>
        <w:tc>
          <w:tcPr>
            <w:tcW w:w="235" w:type="pct"/>
            <w:vAlign w:val="center"/>
          </w:tcPr>
          <w:p>
            <w:pPr>
              <w:pStyle w:val="63"/>
            </w:pPr>
            <w:r>
              <w:t>▲</w:t>
            </w:r>
          </w:p>
          <w:p>
            <w:pPr>
              <w:pStyle w:val="63"/>
            </w:pPr>
            <w:r>
              <w:t>▲</w:t>
            </w:r>
          </w:p>
          <w:p>
            <w:pPr>
              <w:pStyle w:val="63"/>
            </w:pPr>
          </w:p>
        </w:tc>
        <w:tc>
          <w:tcPr>
            <w:tcW w:w="235" w:type="pct"/>
            <w:vAlign w:val="center"/>
          </w:tcPr>
          <w:p>
            <w:pPr>
              <w:pStyle w:val="63"/>
            </w:pPr>
            <w:r>
              <w:t>▲</w:t>
            </w:r>
          </w:p>
          <w:p>
            <w:pPr>
              <w:pStyle w:val="63"/>
            </w:pPr>
          </w:p>
        </w:tc>
        <w:tc>
          <w:tcPr>
            <w:tcW w:w="235" w:type="pct"/>
            <w:vAlign w:val="center"/>
          </w:tcPr>
          <w:p>
            <w:pPr>
              <w:pStyle w:val="63"/>
            </w:pPr>
            <w:r>
              <w:t>▲</w:t>
            </w: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植被覆盖</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p>
        </w:tc>
        <w:tc>
          <w:tcPr>
            <w:tcW w:w="235" w:type="pct"/>
            <w:vAlign w:val="center"/>
          </w:tcPr>
          <w:p>
            <w:pPr>
              <w:pStyle w:val="63"/>
            </w:pPr>
            <w:r>
              <w:t>▲</w:t>
            </w: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9" w:type="pct"/>
            <w:vMerge w:val="continue"/>
            <w:vAlign w:val="center"/>
          </w:tcPr>
          <w:p>
            <w:pPr>
              <w:pStyle w:val="63"/>
            </w:pPr>
          </w:p>
        </w:tc>
        <w:tc>
          <w:tcPr>
            <w:tcW w:w="790" w:type="pct"/>
            <w:vAlign w:val="center"/>
          </w:tcPr>
          <w:p>
            <w:pPr>
              <w:pStyle w:val="63"/>
            </w:pPr>
            <w:r>
              <w:t>自然景观</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5" w:type="pct"/>
            <w:vAlign w:val="center"/>
          </w:tcPr>
          <w:p>
            <w:pPr>
              <w:pStyle w:val="63"/>
            </w:pPr>
            <w:r>
              <w:t>▲</w:t>
            </w:r>
          </w:p>
        </w:tc>
        <w:tc>
          <w:tcPr>
            <w:tcW w:w="236"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5" w:type="pct"/>
            <w:vAlign w:val="center"/>
          </w:tcPr>
          <w:p>
            <w:pPr>
              <w:pStyle w:val="63"/>
            </w:pPr>
            <w:r>
              <w:rPr>
                <w:rFonts w:hint="eastAsia" w:ascii="宋体" w:hAnsi="宋体" w:cs="宋体"/>
              </w:rPr>
              <w:t>★</w:t>
            </w:r>
          </w:p>
        </w:tc>
        <w:tc>
          <w:tcPr>
            <w:tcW w:w="235" w:type="pct"/>
            <w:vAlign w:val="center"/>
          </w:tcPr>
          <w:p>
            <w:pPr>
              <w:pStyle w:val="63"/>
            </w:pPr>
          </w:p>
        </w:tc>
        <w:tc>
          <w:tcPr>
            <w:tcW w:w="235" w:type="pct"/>
            <w:vAlign w:val="center"/>
          </w:tcPr>
          <w:p>
            <w:pPr>
              <w:pStyle w:val="63"/>
            </w:pPr>
          </w:p>
        </w:tc>
        <w:tc>
          <w:tcPr>
            <w:tcW w:w="235" w:type="pct"/>
            <w:vAlign w:val="center"/>
          </w:tcPr>
          <w:p>
            <w:pPr>
              <w:pStyle w:val="63"/>
            </w:pPr>
          </w:p>
        </w:tc>
        <w:tc>
          <w:tcPr>
            <w:tcW w:w="237" w:type="pct"/>
            <w:vAlign w:val="center"/>
          </w:tcPr>
          <w:p>
            <w:pPr>
              <w:pStyle w:val="63"/>
            </w:pPr>
            <w:r>
              <w:rPr>
                <w:rFonts w:hint="eastAsia" w:ascii="宋体" w:hAnsi="宋体" w:cs="宋体"/>
              </w:rPr>
              <w:t>☆</w:t>
            </w:r>
          </w:p>
        </w:tc>
        <w:tc>
          <w:tcPr>
            <w:tcW w:w="420" w:type="pct"/>
            <w:vAlign w:val="center"/>
          </w:tcPr>
          <w:p>
            <w:pPr>
              <w:pStyle w:val="63"/>
            </w:pPr>
          </w:p>
        </w:tc>
      </w:tr>
    </w:tbl>
    <w:p>
      <w:pPr>
        <w:spacing w:line="360" w:lineRule="auto"/>
        <w:ind w:firstLine="480" w:firstLineChars="200"/>
        <w:rPr>
          <w:rFonts w:ascii="Times New Roman" w:hAnsi="Times New Roman" w:cs="Times New Roman"/>
        </w:rPr>
      </w:pPr>
      <w:r>
        <w:rPr>
          <w:rFonts w:ascii="Times New Roman" w:hAnsi="Times New Roman" w:cs="Times New Roman"/>
        </w:rPr>
        <w:t>注：</w:t>
      </w:r>
      <w:r>
        <w:rPr>
          <w:rFonts w:hint="eastAsia" w:ascii="宋体" w:hAnsi="宋体" w:eastAsia="宋体" w:cs="宋体"/>
        </w:rPr>
        <w:t>★</w:t>
      </w:r>
      <w:r>
        <w:rPr>
          <w:rFonts w:ascii="Times New Roman" w:hAnsi="Times New Roman" w:cs="Times New Roman"/>
        </w:rPr>
        <w:t>/</w:t>
      </w:r>
      <w:r>
        <w:rPr>
          <w:rFonts w:hint="eastAsia" w:ascii="宋体" w:hAnsi="宋体" w:eastAsia="宋体" w:cs="宋体"/>
        </w:rPr>
        <w:t>☆</w:t>
      </w:r>
      <w:r>
        <w:rPr>
          <w:rFonts w:ascii="Times New Roman" w:hAnsi="Times New Roman" w:cs="Times New Roman"/>
        </w:rPr>
        <w:t>表示长期不利影响/有利影响，▲/</w:t>
      </w:r>
      <w:r>
        <w:rPr>
          <w:rFonts w:ascii="Cambria Math" w:hAnsi="Cambria Math" w:cs="Cambria Math"/>
        </w:rPr>
        <w:t>△</w:t>
      </w:r>
      <w:r>
        <w:rPr>
          <w:rFonts w:ascii="Times New Roman" w:hAnsi="Times New Roman" w:cs="Times New Roman"/>
        </w:rPr>
        <w:t>表示短期不利影响/有利影响，空格表示影响不明显或没影响。</w:t>
      </w:r>
    </w:p>
    <w:p>
      <w:pPr>
        <w:spacing w:line="360" w:lineRule="auto"/>
        <w:ind w:firstLine="480" w:firstLineChars="200"/>
        <w:rPr>
          <w:rFonts w:ascii="Times New Roman" w:hAnsi="Times New Roman" w:cs="Times New Roman"/>
        </w:rPr>
      </w:pPr>
      <w:r>
        <w:rPr>
          <w:rFonts w:ascii="Times New Roman" w:hAnsi="Times New Roman" w:cs="Times New Roman"/>
        </w:rPr>
        <w:t>从上表可以看出：</w:t>
      </w:r>
    </w:p>
    <w:p>
      <w:pPr>
        <w:spacing w:line="360" w:lineRule="auto"/>
        <w:ind w:firstLine="480" w:firstLineChars="200"/>
        <w:rPr>
          <w:rFonts w:ascii="Times New Roman" w:hAnsi="Times New Roman" w:cs="Times New Roman"/>
        </w:rPr>
      </w:pPr>
      <w:r>
        <w:rPr>
          <w:rFonts w:ascii="Times New Roman" w:hAnsi="Times New Roman" w:cs="Times New Roman"/>
        </w:rPr>
        <w:t>（1）园区规划实施后，可以较为合理地开发利用土地、利用能源与资源、调整产业结构，增加劳动就业机会，提高居民的居住条件、经济收入，促进当地的经济发展；</w:t>
      </w:r>
    </w:p>
    <w:p>
      <w:pPr>
        <w:spacing w:line="360" w:lineRule="auto"/>
        <w:ind w:firstLine="480" w:firstLineChars="200"/>
        <w:rPr>
          <w:rFonts w:ascii="Times New Roman" w:hAnsi="Times New Roman" w:cs="Times New Roman"/>
        </w:rPr>
      </w:pPr>
      <w:r>
        <w:rPr>
          <w:rFonts w:ascii="Times New Roman" w:hAnsi="Times New Roman" w:cs="Times New Roman"/>
        </w:rPr>
        <w:t>（2）工程建设期的主要影响为：平整土地、道路建设、建设施工、施工材料运输和移民搬迁等将占用林地等土地类型，破坏原有的植被，对社会发展、土地利用、居民生活、自然景观都将产生较大影响；由于施工而破坏地表植被，将加剧区域水土流失；施工噪声将影响附近居民生活；材料运输和工程施工可能产生扬尘，造成环境空气污染；施工期生产和生活污水排放将对地表水产生污染等；</w:t>
      </w:r>
    </w:p>
    <w:p>
      <w:pPr>
        <w:spacing w:line="360" w:lineRule="auto"/>
        <w:ind w:firstLine="480" w:firstLineChars="200"/>
        <w:rPr>
          <w:rFonts w:ascii="Times New Roman" w:hAnsi="Times New Roman" w:cs="Times New Roman"/>
        </w:rPr>
      </w:pPr>
      <w:r>
        <w:rPr>
          <w:rFonts w:ascii="Times New Roman" w:hAnsi="Times New Roman" w:cs="Times New Roman"/>
        </w:rPr>
        <w:t>（3）工程生产期废水、废气排放、噪声和事故风险对评价区环境和生活环境质量有一定的影响；</w:t>
      </w:r>
    </w:p>
    <w:p>
      <w:pPr>
        <w:spacing w:line="360" w:lineRule="auto"/>
        <w:ind w:firstLine="480" w:firstLineChars="200"/>
        <w:rPr>
          <w:rFonts w:ascii="Times New Roman" w:hAnsi="Times New Roman" w:cs="Times New Roman"/>
        </w:rPr>
      </w:pPr>
      <w:r>
        <w:rPr>
          <w:rFonts w:ascii="Times New Roman" w:hAnsi="Times New Roman" w:cs="Times New Roman"/>
        </w:rPr>
        <w:t>（4）规划区域外经济活动将会促进园区内部的劳动就业和经济发展，对区域内部环境质量影响不大；</w:t>
      </w:r>
    </w:p>
    <w:p>
      <w:pPr>
        <w:spacing w:line="360" w:lineRule="auto"/>
        <w:ind w:firstLine="480" w:firstLineChars="200"/>
        <w:rPr>
          <w:rFonts w:ascii="Times New Roman" w:hAnsi="Times New Roman" w:cs="Times New Roman"/>
        </w:rPr>
      </w:pPr>
      <w:r>
        <w:rPr>
          <w:rFonts w:ascii="Times New Roman" w:hAnsi="Times New Roman" w:cs="Times New Roman"/>
        </w:rPr>
        <w:t>（5）相对而言，对环境影响较大的因素是营运期三废的排放和非正常工况引起的事故排放。</w:t>
      </w:r>
    </w:p>
    <w:p>
      <w:pPr>
        <w:spacing w:line="360" w:lineRule="auto"/>
        <w:ind w:firstLine="480" w:firstLineChars="200"/>
        <w:rPr>
          <w:rFonts w:ascii="Times New Roman" w:hAnsi="Times New Roman" w:cs="Times New Roman"/>
        </w:rPr>
      </w:pPr>
      <w:r>
        <w:rPr>
          <w:rFonts w:ascii="Times New Roman" w:hAnsi="Times New Roman" w:cs="Times New Roman"/>
        </w:rPr>
        <w:t>（6）重点论证区域大气、水环境容量是否支撑规划实施，预测评价废气排放对云溪城区及园区周边乡镇、村庄居民区的大气环境影响，废水排放对长江水环境及长江监利段四大家鱼国家级水产种质资源保护区、长江新螺段白鱀豚国家级自然保护区的生态影响。</w:t>
      </w:r>
    </w:p>
    <w:p>
      <w:pPr>
        <w:pStyle w:val="3"/>
        <w:rPr>
          <w:rFonts w:ascii="Times New Roman" w:hAnsi="Times New Roman" w:cs="Times New Roman"/>
        </w:rPr>
      </w:pPr>
      <w:bookmarkStart w:id="476" w:name="_Toc85989306"/>
      <w:bookmarkStart w:id="477" w:name="_Toc520734320"/>
      <w:bookmarkStart w:id="478" w:name="_Toc47380212"/>
      <w:bookmarkStart w:id="479" w:name="_Toc87965227"/>
      <w:bookmarkStart w:id="480" w:name="_Toc521835630"/>
      <w:bookmarkStart w:id="481" w:name="_Toc146091948"/>
      <w:bookmarkStart w:id="482" w:name="_Toc1552365"/>
      <w:bookmarkStart w:id="483" w:name="_Toc93071876"/>
      <w:bookmarkStart w:id="484" w:name="_Toc79700767"/>
      <w:r>
        <w:rPr>
          <w:rFonts w:ascii="Times New Roman" w:hAnsi="Times New Roman" w:cs="Times New Roman"/>
        </w:rPr>
        <w:t>5.2规划环境影响评价指标体系</w:t>
      </w:r>
      <w:bookmarkEnd w:id="476"/>
      <w:bookmarkEnd w:id="477"/>
      <w:bookmarkEnd w:id="478"/>
      <w:bookmarkEnd w:id="479"/>
      <w:bookmarkEnd w:id="480"/>
      <w:bookmarkEnd w:id="481"/>
      <w:bookmarkEnd w:id="482"/>
      <w:bookmarkEnd w:id="483"/>
      <w:bookmarkEnd w:id="484"/>
    </w:p>
    <w:p>
      <w:pPr>
        <w:spacing w:line="360" w:lineRule="auto"/>
        <w:ind w:firstLine="480" w:firstLineChars="200"/>
        <w:rPr>
          <w:rFonts w:ascii="Times New Roman" w:hAnsi="Times New Roman" w:cs="Times New Roman"/>
        </w:rPr>
      </w:pPr>
      <w:r>
        <w:rPr>
          <w:rFonts w:ascii="Times New Roman" w:hAnsi="Times New Roman" w:cs="Times New Roman"/>
        </w:rPr>
        <w:t>现状监测结果和污染源分析表明园区的产业发展、区域开发建设对当地大气、水环境质量造成一定影响。在规划期间，园区将迎来经济发展和城市建设又一个快速发展时期，工业化、城市化水平将进一步提升，这个阶段也往往是资源、环境保护压力进一步加剧的过程，历史环境欠帐和新生环境压力共存、发展与环境的矛盾更易激化。根据规划环境影响识别结果，本规划指标体系制定主要依据《国家生态工业示范园区标准》（HJ274-2015）、《岳阳市城市总体规划（2008-2030）》（2016年修订）、《湖南省“十四五”生态环境保护规划》、《岳阳市国民经济和社会发展第十四个五年规划》、《绿色化工园区评价导则》、《化工园区综合评价导则》（GB/T39217- 2020）、《湖南省化工园区认定评估指标体系》、园区“三线一单”及园区规划等相关文件，结合园区的产业结构现状及区内能耗、物耗、污染排放水平和生态工业示范园区要求等制定，具体指标体系见下表。</w:t>
      </w:r>
    </w:p>
    <w:p>
      <w:pPr>
        <w:pStyle w:val="6"/>
      </w:pPr>
      <w:r>
        <w:t>表5.2-1  园区规划的环境目标与评价指标一览表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453"/>
        <w:gridCol w:w="3157"/>
        <w:gridCol w:w="1641"/>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75" w:type="pct"/>
            <w:vAlign w:val="center"/>
          </w:tcPr>
          <w:p>
            <w:pPr>
              <w:pStyle w:val="63"/>
            </w:pPr>
            <w:r>
              <w:t>影响类别</w:t>
            </w:r>
          </w:p>
        </w:tc>
        <w:tc>
          <w:tcPr>
            <w:tcW w:w="852" w:type="pct"/>
            <w:vAlign w:val="center"/>
          </w:tcPr>
          <w:p>
            <w:pPr>
              <w:pStyle w:val="63"/>
            </w:pPr>
            <w:r>
              <w:t>影响要素</w:t>
            </w:r>
          </w:p>
        </w:tc>
        <w:tc>
          <w:tcPr>
            <w:tcW w:w="1851" w:type="pct"/>
            <w:vAlign w:val="center"/>
          </w:tcPr>
          <w:p>
            <w:pPr>
              <w:pStyle w:val="63"/>
            </w:pPr>
            <w:r>
              <w:t>评价指标</w:t>
            </w:r>
          </w:p>
        </w:tc>
        <w:tc>
          <w:tcPr>
            <w:tcW w:w="962" w:type="pct"/>
            <w:vAlign w:val="center"/>
          </w:tcPr>
          <w:p>
            <w:pPr>
              <w:pStyle w:val="63"/>
            </w:pPr>
            <w:r>
              <w:t>2025年</w:t>
            </w:r>
          </w:p>
        </w:tc>
        <w:tc>
          <w:tcPr>
            <w:tcW w:w="960" w:type="pct"/>
            <w:vAlign w:val="center"/>
          </w:tcPr>
          <w:p>
            <w:pPr>
              <w:pStyle w:val="63"/>
            </w:pPr>
            <w: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restart"/>
            <w:vAlign w:val="center"/>
          </w:tcPr>
          <w:p>
            <w:pPr>
              <w:pStyle w:val="63"/>
            </w:pPr>
            <w:r>
              <w:t>资源能源</w:t>
            </w:r>
          </w:p>
        </w:tc>
        <w:tc>
          <w:tcPr>
            <w:tcW w:w="852" w:type="pct"/>
            <w:vMerge w:val="restart"/>
            <w:vAlign w:val="center"/>
          </w:tcPr>
          <w:p>
            <w:pPr>
              <w:pStyle w:val="63"/>
            </w:pPr>
            <w:r>
              <w:t>水资源</w:t>
            </w:r>
          </w:p>
        </w:tc>
        <w:tc>
          <w:tcPr>
            <w:tcW w:w="1851" w:type="pct"/>
            <w:vAlign w:val="center"/>
          </w:tcPr>
          <w:p>
            <w:pPr>
              <w:pStyle w:val="63"/>
            </w:pPr>
            <w:r>
              <w:t>单位工业增加值新鲜水耗</w:t>
            </w:r>
          </w:p>
          <w:p>
            <w:pPr>
              <w:pStyle w:val="63"/>
            </w:pPr>
            <w:r>
              <w:t>（m</w:t>
            </w:r>
            <w:r>
              <w:rPr>
                <w:vertAlign w:val="superscript"/>
              </w:rPr>
              <w:t>3</w:t>
            </w:r>
            <w:r>
              <w:t>/万元）</w:t>
            </w:r>
          </w:p>
        </w:tc>
        <w:tc>
          <w:tcPr>
            <w:tcW w:w="962" w:type="pct"/>
            <w:vAlign w:val="center"/>
          </w:tcPr>
          <w:p>
            <w:pPr>
              <w:pStyle w:val="63"/>
            </w:pPr>
            <w:r>
              <w:rPr>
                <w:szCs w:val="21"/>
              </w:rPr>
              <w:t>≤8</w:t>
            </w:r>
          </w:p>
        </w:tc>
        <w:tc>
          <w:tcPr>
            <w:tcW w:w="960" w:type="pct"/>
            <w:vAlign w:val="center"/>
          </w:tcPr>
          <w:p>
            <w:pPr>
              <w:pStyle w:val="63"/>
            </w:pPr>
            <w:r>
              <w:rPr>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pPr>
            <w:r>
              <w:t>工业用水重复利用率（%</w:t>
            </w:r>
            <w:r>
              <w:rPr>
                <w:rFonts w:hint="eastAsia"/>
              </w:rPr>
              <w:t>）</w:t>
            </w:r>
          </w:p>
        </w:tc>
        <w:tc>
          <w:tcPr>
            <w:tcW w:w="962" w:type="pct"/>
            <w:vAlign w:val="center"/>
          </w:tcPr>
          <w:p>
            <w:pPr>
              <w:pStyle w:val="63"/>
            </w:pPr>
            <w:r>
              <w:rPr>
                <w:szCs w:val="21"/>
              </w:rPr>
              <w:t>≥75</w:t>
            </w:r>
          </w:p>
        </w:tc>
        <w:tc>
          <w:tcPr>
            <w:tcW w:w="960" w:type="pct"/>
            <w:vAlign w:val="center"/>
          </w:tcPr>
          <w:p>
            <w:pPr>
              <w:pStyle w:val="63"/>
            </w:pP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Align w:val="center"/>
          </w:tcPr>
          <w:p>
            <w:pPr>
              <w:pStyle w:val="63"/>
            </w:pPr>
            <w:r>
              <w:t>能源消耗</w:t>
            </w:r>
          </w:p>
        </w:tc>
        <w:tc>
          <w:tcPr>
            <w:tcW w:w="1851" w:type="pct"/>
            <w:vAlign w:val="center"/>
          </w:tcPr>
          <w:p>
            <w:pPr>
              <w:pStyle w:val="63"/>
            </w:pPr>
            <w:r>
              <w:t>单位GDP综合能耗（t标煤/万元）</w:t>
            </w:r>
          </w:p>
        </w:tc>
        <w:tc>
          <w:tcPr>
            <w:tcW w:w="962" w:type="pct"/>
            <w:vAlign w:val="center"/>
          </w:tcPr>
          <w:p>
            <w:pPr>
              <w:pStyle w:val="63"/>
            </w:pPr>
            <w:r>
              <w:rPr>
                <w:szCs w:val="21"/>
              </w:rPr>
              <w:t>≤1.6093</w:t>
            </w:r>
          </w:p>
        </w:tc>
        <w:tc>
          <w:tcPr>
            <w:tcW w:w="960" w:type="pct"/>
            <w:vAlign w:val="center"/>
          </w:tcPr>
          <w:p>
            <w:pPr>
              <w:pStyle w:val="63"/>
            </w:pPr>
            <w:r>
              <w:t>按“十六五”规划执行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restart"/>
            <w:vAlign w:val="center"/>
          </w:tcPr>
          <w:p>
            <w:pPr>
              <w:pStyle w:val="63"/>
            </w:pPr>
            <w:r>
              <w:t>碳排放</w:t>
            </w:r>
          </w:p>
        </w:tc>
        <w:tc>
          <w:tcPr>
            <w:tcW w:w="1851" w:type="pct"/>
            <w:vAlign w:val="center"/>
          </w:tcPr>
          <w:p>
            <w:pPr>
              <w:pStyle w:val="63"/>
            </w:pPr>
            <w:r>
              <w:rPr>
                <w:rFonts w:hint="eastAsia"/>
              </w:rPr>
              <w:t>单位工业增加值二氧化碳排放量年均削减率（%）</w:t>
            </w:r>
          </w:p>
        </w:tc>
        <w:tc>
          <w:tcPr>
            <w:tcW w:w="962" w:type="pct"/>
            <w:vAlign w:val="center"/>
          </w:tcPr>
          <w:p>
            <w:pPr>
              <w:pStyle w:val="63"/>
            </w:pPr>
            <w:r>
              <w:rPr>
                <w:szCs w:val="24"/>
              </w:rPr>
              <w:t>≥3</w:t>
            </w:r>
          </w:p>
        </w:tc>
        <w:tc>
          <w:tcPr>
            <w:tcW w:w="960" w:type="pct"/>
            <w:vAlign w:val="center"/>
          </w:tcPr>
          <w:p>
            <w:pPr>
              <w:pStyle w:val="63"/>
            </w:pPr>
            <w:r>
              <w:rPr>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pPr>
            <w:r>
              <w:t>非化石能源占一次能源消费比例（%）</w:t>
            </w:r>
          </w:p>
        </w:tc>
        <w:tc>
          <w:tcPr>
            <w:tcW w:w="962" w:type="pct"/>
            <w:vAlign w:val="center"/>
          </w:tcPr>
          <w:p>
            <w:pPr>
              <w:pStyle w:val="63"/>
            </w:pPr>
            <w:r>
              <w:t>≥23%</w:t>
            </w:r>
          </w:p>
        </w:tc>
        <w:tc>
          <w:tcPr>
            <w:tcW w:w="960" w:type="pct"/>
            <w:vAlign w:val="center"/>
          </w:tcPr>
          <w:p>
            <w:pPr>
              <w:pStyle w:val="63"/>
            </w:pPr>
            <w:r>
              <w:t>按“十六五”规划执行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restart"/>
            <w:vAlign w:val="center"/>
          </w:tcPr>
          <w:p>
            <w:pPr>
              <w:pStyle w:val="63"/>
            </w:pPr>
            <w:r>
              <w:t>环境质量</w:t>
            </w:r>
          </w:p>
        </w:tc>
        <w:tc>
          <w:tcPr>
            <w:tcW w:w="852" w:type="pct"/>
            <w:vMerge w:val="restart"/>
            <w:vAlign w:val="center"/>
          </w:tcPr>
          <w:p>
            <w:pPr>
              <w:pStyle w:val="63"/>
            </w:pPr>
            <w:r>
              <w:t>大气环境</w:t>
            </w:r>
          </w:p>
        </w:tc>
        <w:tc>
          <w:tcPr>
            <w:tcW w:w="1851" w:type="pct"/>
            <w:vAlign w:val="center"/>
          </w:tcPr>
          <w:p>
            <w:pPr>
              <w:pStyle w:val="63"/>
            </w:pPr>
            <w:r>
              <w:t>环境空气质量</w:t>
            </w:r>
          </w:p>
        </w:tc>
        <w:tc>
          <w:tcPr>
            <w:tcW w:w="962" w:type="pct"/>
            <w:vAlign w:val="center"/>
          </w:tcPr>
          <w:p>
            <w:pPr>
              <w:pStyle w:val="63"/>
              <w:rPr>
                <w:szCs w:val="21"/>
              </w:rPr>
            </w:pPr>
            <w:r>
              <w:rPr>
                <w:szCs w:val="21"/>
              </w:rPr>
              <w:t>达标区</w:t>
            </w:r>
          </w:p>
          <w:p>
            <w:pPr>
              <w:pStyle w:val="63"/>
            </w:pPr>
            <w:r>
              <w:rPr>
                <w:szCs w:val="21"/>
              </w:rPr>
              <w:t>（二级标准）</w:t>
            </w:r>
          </w:p>
        </w:tc>
        <w:tc>
          <w:tcPr>
            <w:tcW w:w="960" w:type="pct"/>
            <w:vAlign w:val="center"/>
          </w:tcPr>
          <w:p>
            <w:pPr>
              <w:pStyle w:val="63"/>
              <w:rPr>
                <w:szCs w:val="21"/>
              </w:rPr>
            </w:pPr>
            <w:r>
              <w:rPr>
                <w:szCs w:val="21"/>
              </w:rPr>
              <w:t>达标区</w:t>
            </w:r>
          </w:p>
          <w:p>
            <w:pPr>
              <w:pStyle w:val="63"/>
            </w:pPr>
            <w:r>
              <w:rPr>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pPr>
            <w:r>
              <w:t>PM</w:t>
            </w:r>
            <w:r>
              <w:rPr>
                <w:vertAlign w:val="subscript"/>
              </w:rPr>
              <w:t>2.5</w:t>
            </w:r>
            <w:r>
              <w:t>年均浓度/μg/m</w:t>
            </w:r>
            <w:r>
              <w:rPr>
                <w:vertAlign w:val="superscript"/>
              </w:rPr>
              <w:t>3</w:t>
            </w:r>
          </w:p>
        </w:tc>
        <w:tc>
          <w:tcPr>
            <w:tcW w:w="962" w:type="pct"/>
            <w:vAlign w:val="center"/>
          </w:tcPr>
          <w:p>
            <w:pPr>
              <w:pStyle w:val="63"/>
            </w:pPr>
            <w:r>
              <w:rPr>
                <w:szCs w:val="21"/>
              </w:rPr>
              <w:t>≤35</w:t>
            </w:r>
          </w:p>
        </w:tc>
        <w:tc>
          <w:tcPr>
            <w:tcW w:w="960" w:type="pct"/>
            <w:vAlign w:val="center"/>
          </w:tcPr>
          <w:p>
            <w:pPr>
              <w:pStyle w:val="63"/>
            </w:pPr>
            <w:r>
              <w:rPr>
                <w:szCs w:val="21"/>
              </w:rPr>
              <w:t>按“十六五”规划执行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restart"/>
            <w:vAlign w:val="center"/>
          </w:tcPr>
          <w:p>
            <w:pPr>
              <w:pStyle w:val="63"/>
            </w:pPr>
            <w:r>
              <w:rPr>
                <w:szCs w:val="21"/>
              </w:rPr>
              <w:t>地表水</w:t>
            </w:r>
          </w:p>
        </w:tc>
        <w:tc>
          <w:tcPr>
            <w:tcW w:w="1851" w:type="pct"/>
            <w:vAlign w:val="center"/>
          </w:tcPr>
          <w:p>
            <w:pPr>
              <w:pStyle w:val="63"/>
            </w:pPr>
            <w:r>
              <w:rPr>
                <w:szCs w:val="21"/>
              </w:rPr>
              <w:t>国控、省控、市控断面水质达标比例（%）</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pPr>
            <w:r>
              <w:rPr>
                <w:szCs w:val="21"/>
              </w:rPr>
              <w:t>地表水环境质量</w:t>
            </w:r>
          </w:p>
        </w:tc>
        <w:tc>
          <w:tcPr>
            <w:tcW w:w="962" w:type="pct"/>
            <w:vAlign w:val="center"/>
          </w:tcPr>
          <w:p>
            <w:pPr>
              <w:pStyle w:val="63"/>
            </w:pPr>
            <w:r>
              <w:rPr>
                <w:rFonts w:hint="eastAsia" w:ascii="宋体" w:hAnsi="宋体" w:cs="宋体"/>
                <w:szCs w:val="21"/>
              </w:rPr>
              <w:t>Ⅲ</w:t>
            </w:r>
            <w:r>
              <w:rPr>
                <w:szCs w:val="21"/>
              </w:rPr>
              <w:t>类</w:t>
            </w:r>
          </w:p>
        </w:tc>
        <w:tc>
          <w:tcPr>
            <w:tcW w:w="960" w:type="pct"/>
            <w:vAlign w:val="center"/>
          </w:tcPr>
          <w:p>
            <w:pPr>
              <w:pStyle w:val="63"/>
            </w:pPr>
            <w:r>
              <w:rPr>
                <w:rFonts w:hint="eastAsia" w:ascii="宋体" w:hAnsi="宋体" w:cs="宋体"/>
                <w:szCs w:val="21"/>
              </w:rPr>
              <w:t>Ⅲ</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Align w:val="center"/>
          </w:tcPr>
          <w:p>
            <w:pPr>
              <w:pStyle w:val="63"/>
            </w:pPr>
            <w:r>
              <w:rPr>
                <w:szCs w:val="21"/>
              </w:rPr>
              <w:t>地下水</w:t>
            </w:r>
          </w:p>
        </w:tc>
        <w:tc>
          <w:tcPr>
            <w:tcW w:w="1851" w:type="pct"/>
            <w:vAlign w:val="center"/>
          </w:tcPr>
          <w:p>
            <w:pPr>
              <w:pStyle w:val="63"/>
            </w:pPr>
            <w:r>
              <w:rPr>
                <w:szCs w:val="21"/>
              </w:rPr>
              <w:t>地下水环境质量</w:t>
            </w:r>
          </w:p>
        </w:tc>
        <w:tc>
          <w:tcPr>
            <w:tcW w:w="962" w:type="pct"/>
            <w:vAlign w:val="center"/>
          </w:tcPr>
          <w:p>
            <w:pPr>
              <w:pStyle w:val="63"/>
            </w:pP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类</w:t>
            </w:r>
          </w:p>
        </w:tc>
        <w:tc>
          <w:tcPr>
            <w:tcW w:w="960" w:type="pct"/>
            <w:vAlign w:val="center"/>
          </w:tcPr>
          <w:p>
            <w:pPr>
              <w:pStyle w:val="63"/>
            </w:pP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restart"/>
            <w:vAlign w:val="center"/>
          </w:tcPr>
          <w:p>
            <w:pPr>
              <w:pStyle w:val="63"/>
            </w:pPr>
            <w:r>
              <w:rPr>
                <w:szCs w:val="21"/>
              </w:rPr>
              <w:t>土壤</w:t>
            </w:r>
          </w:p>
        </w:tc>
        <w:tc>
          <w:tcPr>
            <w:tcW w:w="1851" w:type="pct"/>
            <w:vAlign w:val="center"/>
          </w:tcPr>
          <w:p>
            <w:pPr>
              <w:pStyle w:val="63"/>
            </w:pPr>
            <w:r>
              <w:rPr>
                <w:szCs w:val="21"/>
              </w:rPr>
              <w:t>园区范围内土壤</w:t>
            </w:r>
          </w:p>
        </w:tc>
        <w:tc>
          <w:tcPr>
            <w:tcW w:w="962" w:type="pct"/>
            <w:vAlign w:val="center"/>
          </w:tcPr>
          <w:p>
            <w:pPr>
              <w:pStyle w:val="63"/>
            </w:pPr>
            <w:r>
              <w:rPr>
                <w:szCs w:val="21"/>
              </w:rPr>
              <w:t>建设用地风险筛选值</w:t>
            </w:r>
          </w:p>
        </w:tc>
        <w:tc>
          <w:tcPr>
            <w:tcW w:w="960" w:type="pct"/>
            <w:vAlign w:val="center"/>
          </w:tcPr>
          <w:p>
            <w:pPr>
              <w:pStyle w:val="63"/>
            </w:pPr>
            <w:r>
              <w:rPr>
                <w:szCs w:val="21"/>
              </w:rPr>
              <w:t>建设用地风险筛选值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pPr>
            <w:r>
              <w:rPr>
                <w:szCs w:val="21"/>
              </w:rPr>
              <w:t>园区范围外农用地土壤</w:t>
            </w:r>
          </w:p>
        </w:tc>
        <w:tc>
          <w:tcPr>
            <w:tcW w:w="962" w:type="pct"/>
            <w:vAlign w:val="center"/>
          </w:tcPr>
          <w:p>
            <w:pPr>
              <w:pStyle w:val="63"/>
            </w:pPr>
            <w:r>
              <w:rPr>
                <w:szCs w:val="21"/>
              </w:rPr>
              <w:t>农用地土壤污染风险管控标准</w:t>
            </w:r>
          </w:p>
        </w:tc>
        <w:tc>
          <w:tcPr>
            <w:tcW w:w="960" w:type="pct"/>
            <w:vAlign w:val="center"/>
          </w:tcPr>
          <w:p>
            <w:pPr>
              <w:pStyle w:val="63"/>
            </w:pPr>
            <w:r>
              <w:rPr>
                <w:szCs w:val="21"/>
              </w:rPr>
              <w:t>农用地土壤污染风险管控标准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75" w:type="pct"/>
            <w:vMerge w:val="continue"/>
            <w:vAlign w:val="center"/>
          </w:tcPr>
          <w:p>
            <w:pPr>
              <w:pStyle w:val="63"/>
            </w:pPr>
          </w:p>
        </w:tc>
        <w:tc>
          <w:tcPr>
            <w:tcW w:w="852" w:type="pct"/>
            <w:vAlign w:val="center"/>
          </w:tcPr>
          <w:p>
            <w:pPr>
              <w:pStyle w:val="63"/>
            </w:pPr>
            <w:r>
              <w:rPr>
                <w:szCs w:val="21"/>
              </w:rPr>
              <w:t>声环境</w:t>
            </w:r>
          </w:p>
        </w:tc>
        <w:tc>
          <w:tcPr>
            <w:tcW w:w="1851" w:type="pct"/>
            <w:vAlign w:val="center"/>
          </w:tcPr>
          <w:p>
            <w:pPr>
              <w:pStyle w:val="63"/>
              <w:rPr>
                <w:szCs w:val="21"/>
              </w:rPr>
            </w:pPr>
            <w:r>
              <w:rPr>
                <w:szCs w:val="21"/>
              </w:rPr>
              <w:t>区域声环境质量达标率（%）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restart"/>
            <w:vAlign w:val="center"/>
          </w:tcPr>
          <w:p>
            <w:pPr>
              <w:pStyle w:val="63"/>
            </w:pPr>
            <w:r>
              <w:rPr>
                <w:szCs w:val="21"/>
              </w:rPr>
              <w:t>污染控制</w:t>
            </w:r>
          </w:p>
        </w:tc>
        <w:tc>
          <w:tcPr>
            <w:tcW w:w="852" w:type="pct"/>
            <w:vMerge w:val="restart"/>
            <w:vAlign w:val="center"/>
          </w:tcPr>
          <w:p>
            <w:pPr>
              <w:pStyle w:val="63"/>
            </w:pPr>
            <w:r>
              <w:rPr>
                <w:szCs w:val="21"/>
              </w:rPr>
              <w:t>工业</w:t>
            </w:r>
          </w:p>
        </w:tc>
        <w:tc>
          <w:tcPr>
            <w:tcW w:w="1851" w:type="pct"/>
            <w:vAlign w:val="center"/>
          </w:tcPr>
          <w:p>
            <w:pPr>
              <w:pStyle w:val="63"/>
              <w:rPr>
                <w:szCs w:val="21"/>
              </w:rPr>
            </w:pPr>
            <w:r>
              <w:rPr>
                <w:szCs w:val="21"/>
              </w:rPr>
              <w:t>单位工业增加值废水产生量（t/万元）</w:t>
            </w:r>
          </w:p>
        </w:tc>
        <w:tc>
          <w:tcPr>
            <w:tcW w:w="962" w:type="pct"/>
            <w:vAlign w:val="center"/>
          </w:tcPr>
          <w:p>
            <w:pPr>
              <w:pStyle w:val="63"/>
            </w:pPr>
            <w:r>
              <w:rPr>
                <w:szCs w:val="21"/>
              </w:rPr>
              <w:t>≤7</w:t>
            </w:r>
          </w:p>
        </w:tc>
        <w:tc>
          <w:tcPr>
            <w:tcW w:w="960" w:type="pct"/>
            <w:vAlign w:val="center"/>
          </w:tcPr>
          <w:p>
            <w:pPr>
              <w:pStyle w:val="63"/>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rPr>
                <w:szCs w:val="21"/>
              </w:rPr>
            </w:pPr>
            <w:r>
              <w:rPr>
                <w:szCs w:val="21"/>
              </w:rPr>
              <w:t>废水集中处理率（%）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rPr>
                <w:szCs w:val="21"/>
              </w:rPr>
            </w:pPr>
            <w:r>
              <w:rPr>
                <w:szCs w:val="21"/>
              </w:rPr>
              <w:t>工业废水集中处理达标率（%）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rPr>
                <w:szCs w:val="21"/>
              </w:rPr>
            </w:pPr>
            <w:r>
              <w:rPr>
                <w:szCs w:val="21"/>
              </w:rPr>
              <w:t>大气污染源排放达标率（%）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rPr>
                <w:szCs w:val="21"/>
              </w:rPr>
            </w:pPr>
            <w:r>
              <w:rPr>
                <w:szCs w:val="21"/>
              </w:rPr>
              <w:t>危险废物安全处置率（%）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rPr>
                <w:szCs w:val="21"/>
              </w:rPr>
            </w:pPr>
            <w:r>
              <w:rPr>
                <w:szCs w:val="21"/>
              </w:rPr>
              <w:t>工业固体废物综合利用率（%）</w:t>
            </w:r>
          </w:p>
        </w:tc>
        <w:tc>
          <w:tcPr>
            <w:tcW w:w="962" w:type="pct"/>
            <w:vAlign w:val="center"/>
          </w:tcPr>
          <w:p>
            <w:pPr>
              <w:pStyle w:val="63"/>
            </w:pPr>
            <w:r>
              <w:rPr>
                <w:szCs w:val="21"/>
              </w:rPr>
              <w:t>90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restart"/>
            <w:vAlign w:val="center"/>
          </w:tcPr>
          <w:p>
            <w:pPr>
              <w:pStyle w:val="63"/>
            </w:pPr>
            <w:r>
              <w:rPr>
                <w:szCs w:val="21"/>
              </w:rPr>
              <w:t>生活</w:t>
            </w:r>
          </w:p>
        </w:tc>
        <w:tc>
          <w:tcPr>
            <w:tcW w:w="1851" w:type="pct"/>
            <w:vAlign w:val="center"/>
          </w:tcPr>
          <w:p>
            <w:pPr>
              <w:pStyle w:val="63"/>
              <w:rPr>
                <w:szCs w:val="21"/>
              </w:rPr>
            </w:pPr>
            <w:r>
              <w:rPr>
                <w:szCs w:val="21"/>
              </w:rPr>
              <w:t>生活污水集中处理率（%）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Merge w:val="continue"/>
            <w:vAlign w:val="center"/>
          </w:tcPr>
          <w:p>
            <w:pPr>
              <w:pStyle w:val="63"/>
            </w:pPr>
          </w:p>
        </w:tc>
        <w:tc>
          <w:tcPr>
            <w:tcW w:w="1851" w:type="pct"/>
            <w:vAlign w:val="center"/>
          </w:tcPr>
          <w:p>
            <w:pPr>
              <w:pStyle w:val="63"/>
              <w:rPr>
                <w:szCs w:val="21"/>
              </w:rPr>
            </w:pPr>
            <w:r>
              <w:rPr>
                <w:szCs w:val="21"/>
              </w:rPr>
              <w:t>生活垃圾无害化处理率（%）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restart"/>
            <w:vAlign w:val="center"/>
          </w:tcPr>
          <w:p>
            <w:pPr>
              <w:pStyle w:val="63"/>
            </w:pPr>
            <w:r>
              <w:rPr>
                <w:szCs w:val="21"/>
              </w:rPr>
              <w:t>环境管理</w:t>
            </w:r>
          </w:p>
        </w:tc>
        <w:tc>
          <w:tcPr>
            <w:tcW w:w="852" w:type="pct"/>
            <w:vAlign w:val="center"/>
          </w:tcPr>
          <w:p>
            <w:pPr>
              <w:pStyle w:val="63"/>
            </w:pPr>
            <w:r>
              <w:rPr>
                <w:szCs w:val="21"/>
              </w:rPr>
              <w:t>环保手续执行</w:t>
            </w:r>
          </w:p>
        </w:tc>
        <w:tc>
          <w:tcPr>
            <w:tcW w:w="1851" w:type="pct"/>
            <w:vAlign w:val="center"/>
          </w:tcPr>
          <w:p>
            <w:pPr>
              <w:pStyle w:val="63"/>
              <w:rPr>
                <w:szCs w:val="21"/>
              </w:rPr>
            </w:pPr>
            <w:r>
              <w:rPr>
                <w:szCs w:val="21"/>
              </w:rPr>
              <w:t>企业“三同时”执行率（%）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Align w:val="center"/>
          </w:tcPr>
          <w:p>
            <w:pPr>
              <w:pStyle w:val="63"/>
            </w:pPr>
            <w:r>
              <w:rPr>
                <w:szCs w:val="21"/>
              </w:rPr>
              <w:t>园区及企业突发环境事件应急预案</w:t>
            </w:r>
          </w:p>
        </w:tc>
        <w:tc>
          <w:tcPr>
            <w:tcW w:w="1851" w:type="pct"/>
            <w:vAlign w:val="center"/>
          </w:tcPr>
          <w:p>
            <w:pPr>
              <w:pStyle w:val="63"/>
              <w:rPr>
                <w:szCs w:val="21"/>
              </w:rPr>
            </w:pPr>
            <w:r>
              <w:rPr>
                <w:szCs w:val="21"/>
              </w:rPr>
              <w:t>园区应急预案及按规定应编制应急预案企业的备案率（%）</w:t>
            </w:r>
          </w:p>
        </w:tc>
        <w:tc>
          <w:tcPr>
            <w:tcW w:w="962" w:type="pct"/>
            <w:vAlign w:val="center"/>
          </w:tcPr>
          <w:p>
            <w:pPr>
              <w:pStyle w:val="63"/>
            </w:pPr>
            <w:r>
              <w:rPr>
                <w:szCs w:val="21"/>
              </w:rPr>
              <w:t>100</w:t>
            </w:r>
          </w:p>
        </w:tc>
        <w:tc>
          <w:tcPr>
            <w:tcW w:w="960" w:type="pct"/>
            <w:vAlign w:val="center"/>
          </w:tcPr>
          <w:p>
            <w:pPr>
              <w:pStyle w:val="63"/>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 w:type="pct"/>
            <w:vMerge w:val="continue"/>
            <w:vAlign w:val="center"/>
          </w:tcPr>
          <w:p>
            <w:pPr>
              <w:pStyle w:val="63"/>
            </w:pPr>
          </w:p>
        </w:tc>
        <w:tc>
          <w:tcPr>
            <w:tcW w:w="852" w:type="pct"/>
            <w:vAlign w:val="center"/>
          </w:tcPr>
          <w:p>
            <w:pPr>
              <w:pStyle w:val="63"/>
            </w:pPr>
            <w:r>
              <w:rPr>
                <w:spacing w:val="-20"/>
                <w:szCs w:val="21"/>
              </w:rPr>
              <w:t>重点企业清洁生产审核</w:t>
            </w:r>
          </w:p>
        </w:tc>
        <w:tc>
          <w:tcPr>
            <w:tcW w:w="1851" w:type="pct"/>
            <w:vAlign w:val="center"/>
          </w:tcPr>
          <w:p>
            <w:pPr>
              <w:pStyle w:val="63"/>
              <w:rPr>
                <w:szCs w:val="21"/>
              </w:rPr>
            </w:pPr>
            <w:r>
              <w:rPr>
                <w:szCs w:val="21"/>
              </w:rPr>
              <w:t>工业园区重点企业清洁生产审核实施率（%）</w:t>
            </w:r>
          </w:p>
        </w:tc>
        <w:tc>
          <w:tcPr>
            <w:tcW w:w="962" w:type="pct"/>
            <w:vAlign w:val="center"/>
          </w:tcPr>
          <w:p>
            <w:pPr>
              <w:pStyle w:val="63"/>
            </w:pPr>
            <w:r>
              <w:rPr>
                <w:szCs w:val="21"/>
              </w:rPr>
              <w:t>100</w:t>
            </w:r>
          </w:p>
        </w:tc>
        <w:tc>
          <w:tcPr>
            <w:tcW w:w="960" w:type="pct"/>
            <w:vAlign w:val="center"/>
          </w:tcPr>
          <w:p>
            <w:pPr>
              <w:pStyle w:val="63"/>
            </w:pPr>
            <w:r>
              <w:rPr>
                <w:szCs w:val="21"/>
              </w:rPr>
              <w:t>100</w:t>
            </w:r>
          </w:p>
        </w:tc>
      </w:tr>
    </w:tbl>
    <w:p>
      <w:pPr>
        <w:sectPr>
          <w:headerReference r:id="rId17" w:type="default"/>
          <w:pgSz w:w="11907" w:h="16839"/>
          <w:pgMar w:top="1440" w:right="1797" w:bottom="1440" w:left="1797" w:header="851" w:footer="680" w:gutter="0"/>
          <w:cols w:space="425" w:num="1"/>
          <w:docGrid w:linePitch="326" w:charSpace="0"/>
        </w:sectPr>
      </w:pPr>
    </w:p>
    <w:p>
      <w:pPr>
        <w:pStyle w:val="2"/>
        <w:spacing w:before="120" w:after="120"/>
      </w:pPr>
      <w:bookmarkStart w:id="485" w:name="_Toc146091949"/>
      <w:bookmarkStart w:id="486" w:name="_Toc93071877"/>
      <w:bookmarkStart w:id="487" w:name="_Toc47380214"/>
      <w:bookmarkStart w:id="488" w:name="_Toc520734322"/>
      <w:bookmarkStart w:id="489" w:name="_Toc79700769"/>
      <w:bookmarkStart w:id="490" w:name="_Toc1552367"/>
      <w:bookmarkStart w:id="491" w:name="_Toc521835632"/>
      <w:bookmarkStart w:id="492" w:name="_Toc1552373"/>
      <w:bookmarkStart w:id="493" w:name="_Toc521835649"/>
      <w:bookmarkStart w:id="494" w:name="_Toc520734328"/>
      <w:bookmarkStart w:id="495" w:name="_Toc47380215"/>
      <w:bookmarkStart w:id="496" w:name="_Toc74120819"/>
      <w:r>
        <w:t>第6章</w:t>
      </w:r>
      <w:r>
        <w:rPr>
          <w:rFonts w:hint="eastAsia"/>
        </w:rPr>
        <w:t xml:space="preserve"> </w:t>
      </w:r>
      <w:r>
        <w:t>环境影响预测与评价</w:t>
      </w:r>
      <w:bookmarkEnd w:id="485"/>
      <w:bookmarkEnd w:id="486"/>
    </w:p>
    <w:bookmarkEnd w:id="487"/>
    <w:bookmarkEnd w:id="488"/>
    <w:bookmarkEnd w:id="489"/>
    <w:bookmarkEnd w:id="490"/>
    <w:bookmarkEnd w:id="491"/>
    <w:p>
      <w:pPr>
        <w:pStyle w:val="3"/>
      </w:pPr>
      <w:bookmarkStart w:id="497" w:name="_Toc146091950"/>
      <w:bookmarkStart w:id="498" w:name="_Toc93071878"/>
      <w:r>
        <w:t>6.1 规划实施生态环境压力分析</w:t>
      </w:r>
      <w:bookmarkEnd w:id="497"/>
      <w:bookmarkEnd w:id="498"/>
    </w:p>
    <w:p>
      <w:pPr>
        <w:spacing w:line="360" w:lineRule="auto"/>
        <w:ind w:firstLine="480" w:firstLineChars="200"/>
        <w:rPr>
          <w:rFonts w:ascii="Times New Roman" w:hAnsi="Times New Roman" w:cs="Times New Roman"/>
        </w:rPr>
      </w:pPr>
      <w:r>
        <w:rPr>
          <w:rFonts w:ascii="Times New Roman" w:hAnsi="Times New Roman" w:cs="Times New Roman"/>
        </w:rPr>
        <w:t>滨江片区中非工贸产业园</w:t>
      </w:r>
      <w:r>
        <w:rPr>
          <w:rFonts w:hint="eastAsia" w:ascii="Times New Roman" w:hAnsi="Times New Roman" w:cs="Times New Roman"/>
        </w:rPr>
        <w:t>规划</w:t>
      </w:r>
      <w:r>
        <w:rPr>
          <w:rFonts w:ascii="Times New Roman" w:hAnsi="Times New Roman" w:cs="Times New Roman"/>
        </w:rPr>
        <w:t>发展食品</w:t>
      </w:r>
      <w:r>
        <w:rPr>
          <w:rFonts w:hint="eastAsia" w:ascii="Times New Roman" w:hAnsi="Times New Roman" w:cs="Times New Roman"/>
        </w:rPr>
        <w:t>加工</w:t>
      </w:r>
      <w:r>
        <w:rPr>
          <w:rFonts w:ascii="Times New Roman" w:hAnsi="Times New Roman" w:cs="Times New Roman"/>
        </w:rPr>
        <w:t>、林木产品加工</w:t>
      </w:r>
      <w:r>
        <w:rPr>
          <w:rFonts w:hint="eastAsia" w:ascii="Times New Roman" w:hAnsi="Times New Roman" w:cs="Times New Roman"/>
        </w:rPr>
        <w:t>、</w:t>
      </w:r>
      <w:r>
        <w:rPr>
          <w:rFonts w:ascii="Times New Roman" w:hAnsi="Times New Roman" w:cs="Times New Roman"/>
        </w:rPr>
        <w:t>装配式预制构件和高端微晶石板材</w:t>
      </w:r>
      <w:r>
        <w:rPr>
          <w:rFonts w:hint="eastAsia" w:ascii="Times New Roman" w:hAnsi="Times New Roman" w:cs="Times New Roman"/>
        </w:rPr>
        <w:t>；</w:t>
      </w:r>
      <w:r>
        <w:rPr>
          <w:rFonts w:ascii="Times New Roman" w:hAnsi="Times New Roman" w:cs="Times New Roman"/>
        </w:rPr>
        <w:t>滨江片区绿色化工产业园</w:t>
      </w:r>
      <w:r>
        <w:rPr>
          <w:rFonts w:hint="eastAsia" w:ascii="Times New Roman" w:hAnsi="Times New Roman" w:cs="Times New Roman"/>
        </w:rPr>
        <w:t>发展</w:t>
      </w:r>
      <w:r>
        <w:rPr>
          <w:rFonts w:ascii="Times New Roman" w:hAnsi="Times New Roman" w:cs="Times New Roman"/>
        </w:rPr>
        <w:t>绿色精细化工、先进化工新材料、生物医药等</w:t>
      </w:r>
      <w:r>
        <w:rPr>
          <w:rFonts w:hint="eastAsia" w:ascii="Times New Roman" w:hAnsi="Times New Roman" w:cs="Times New Roman"/>
        </w:rPr>
        <w:t>产</w:t>
      </w:r>
      <w:r>
        <w:rPr>
          <w:rFonts w:ascii="Times New Roman" w:hAnsi="Times New Roman" w:cs="Times New Roman"/>
        </w:rPr>
        <w:t>业</w:t>
      </w:r>
      <w:r>
        <w:rPr>
          <w:rFonts w:hint="eastAsia" w:ascii="Times New Roman" w:hAnsi="Times New Roman" w:cs="Times New Roman"/>
        </w:rPr>
        <w:t>；</w:t>
      </w:r>
      <w:r>
        <w:rPr>
          <w:rFonts w:ascii="Times New Roman" w:hAnsi="Times New Roman" w:cs="Times New Roman"/>
        </w:rPr>
        <w:t>滨江片区加工制造产业园</w:t>
      </w:r>
      <w:r>
        <w:rPr>
          <w:rFonts w:hint="eastAsia" w:ascii="Times New Roman" w:hAnsi="Times New Roman" w:cs="Times New Roman"/>
        </w:rPr>
        <w:t>发展</w:t>
      </w:r>
      <w:r>
        <w:rPr>
          <w:rFonts w:ascii="Times New Roman" w:hAnsi="Times New Roman" w:cs="Times New Roman"/>
        </w:rPr>
        <w:t>电子信息</w:t>
      </w:r>
      <w:r>
        <w:rPr>
          <w:rFonts w:hint="eastAsia" w:ascii="Times New Roman" w:hAnsi="Times New Roman" w:cs="Times New Roman"/>
        </w:rPr>
        <w:t>产</w:t>
      </w:r>
      <w:r>
        <w:rPr>
          <w:rFonts w:ascii="Times New Roman" w:hAnsi="Times New Roman" w:cs="Times New Roman"/>
        </w:rPr>
        <w:t>业；三湾产业园重点建设浮标特色产业园、绿色建材产业园项目</w:t>
      </w:r>
      <w:r>
        <w:rPr>
          <w:rFonts w:hint="eastAsia" w:ascii="Times New Roman" w:hAnsi="Times New Roman" w:cs="Times New Roman"/>
        </w:rPr>
        <w:t>；</w:t>
      </w:r>
      <w:r>
        <w:rPr>
          <w:rFonts w:ascii="Times New Roman" w:hAnsi="Times New Roman" w:cs="Times New Roman"/>
        </w:rPr>
        <w:t>绿色建材产业园</w:t>
      </w:r>
      <w:r>
        <w:rPr>
          <w:rFonts w:hint="eastAsia" w:ascii="Times New Roman" w:hAnsi="Times New Roman" w:cs="Times New Roman"/>
        </w:rPr>
        <w:t>现</w:t>
      </w:r>
      <w:r>
        <w:rPr>
          <w:rFonts w:ascii="Times New Roman" w:hAnsi="Times New Roman" w:cs="Times New Roman"/>
        </w:rPr>
        <w:t>有海螺水泥1家企业，</w:t>
      </w:r>
      <w:r>
        <w:rPr>
          <w:rFonts w:hint="eastAsia" w:ascii="Times New Roman" w:hAnsi="Times New Roman" w:cs="Times New Roman"/>
        </w:rPr>
        <w:t>以</w:t>
      </w:r>
      <w:r>
        <w:rPr>
          <w:rFonts w:ascii="Times New Roman" w:hAnsi="Times New Roman" w:cs="Times New Roman"/>
        </w:rPr>
        <w:t>海螺水泥为主导，对现有废弃资源的合理利用，谋划布局水泥窑综合利用一般固废技术改造项目。</w:t>
      </w:r>
    </w:p>
    <w:p>
      <w:pPr>
        <w:pStyle w:val="4"/>
      </w:pPr>
      <w:bookmarkStart w:id="499" w:name="_Toc146091951"/>
      <w:r>
        <w:t>6.1.1 水污染源预测</w:t>
      </w:r>
      <w:bookmarkEnd w:id="499"/>
    </w:p>
    <w:p>
      <w:pPr>
        <w:spacing w:line="360" w:lineRule="auto"/>
        <w:ind w:firstLine="480" w:firstLineChars="200"/>
      </w:pPr>
      <w:r>
        <w:t>园区废水主要包括所在区的生活污水、工业废水等</w:t>
      </w:r>
      <w:r>
        <w:rPr>
          <w:rFonts w:hint="eastAsia"/>
        </w:rPr>
        <w:t>。</w:t>
      </w:r>
    </w:p>
    <w:p>
      <w:pPr>
        <w:spacing w:line="360" w:lineRule="auto"/>
        <w:ind w:firstLine="480" w:firstLineChars="200"/>
        <w:sectPr>
          <w:headerReference r:id="rId20" w:type="first"/>
          <w:footerReference r:id="rId23" w:type="first"/>
          <w:headerReference r:id="rId18" w:type="default"/>
          <w:footerReference r:id="rId21" w:type="default"/>
          <w:headerReference r:id="rId19" w:type="even"/>
          <w:footerReference r:id="rId22" w:type="even"/>
          <w:pgSz w:w="11906" w:h="16838"/>
          <w:pgMar w:top="1440" w:right="1797" w:bottom="1440" w:left="1797" w:header="851" w:footer="992" w:gutter="0"/>
          <w:cols w:space="425" w:num="1"/>
          <w:docGrid w:linePitch="332" w:charSpace="7591"/>
        </w:sectPr>
      </w:pPr>
      <w:r>
        <w:rPr>
          <w:rFonts w:hint="eastAsia"/>
        </w:rPr>
        <w:t>滨江片区工业用</w:t>
      </w:r>
      <w:r>
        <w:t>地</w:t>
      </w:r>
      <w:r>
        <w:rPr>
          <w:rFonts w:hint="eastAsia"/>
        </w:rPr>
        <w:t>废水排放量采用排污</w:t>
      </w:r>
      <w:r>
        <w:t>系数法，临湘</w:t>
      </w:r>
      <w:r>
        <w:rPr>
          <w:rFonts w:hint="eastAsia"/>
        </w:rPr>
        <w:t>高新</w:t>
      </w:r>
      <w:r>
        <w:t>区</w:t>
      </w:r>
      <w:r>
        <w:rPr>
          <w:rFonts w:hint="eastAsia"/>
        </w:rPr>
        <w:t>滨江片区绿色化工产业园</w:t>
      </w:r>
      <w:r>
        <w:t>主动谋划融入岳阳石化深加工及化工新材料产业链，</w:t>
      </w:r>
      <w:r>
        <w:rPr>
          <w:rFonts w:hint="eastAsia"/>
        </w:rPr>
        <w:t>规划</w:t>
      </w:r>
      <w:r>
        <w:t>发展绿色精细化工、先进化工新材料、生物医药</w:t>
      </w:r>
      <w:r>
        <w:rPr>
          <w:rFonts w:hint="eastAsia"/>
        </w:rPr>
        <w:t>等产业</w:t>
      </w:r>
      <w:r>
        <w:t>，</w:t>
      </w:r>
      <w:r>
        <w:rPr>
          <w:rFonts w:hint="eastAsia"/>
        </w:rPr>
        <w:t>与</w:t>
      </w:r>
      <w:r>
        <w:t>岳阳绿色化工产业园云溪和长岭片区现有产业相似，因此，本次评价临湘</w:t>
      </w:r>
      <w:r>
        <w:rPr>
          <w:rFonts w:hint="eastAsia"/>
        </w:rPr>
        <w:t>高新</w:t>
      </w:r>
      <w:r>
        <w:t>区</w:t>
      </w:r>
      <w:r>
        <w:rPr>
          <w:rFonts w:hint="eastAsia"/>
        </w:rPr>
        <w:t>滨江片区绿色化工产业园废水</w:t>
      </w:r>
      <w:r>
        <w:t>废气排放量预测采用“工业用地面积×排污系数F”计算，其中F值由云溪和长岭片区求平均得来。</w:t>
      </w:r>
      <w:r>
        <w:rPr>
          <w:rFonts w:hint="eastAsia"/>
        </w:rPr>
        <w:t>滨江片区中非工贸产业园和滨江片区加工制造产业园根据</w:t>
      </w:r>
      <w:r>
        <w:t>同类型企业得出</w:t>
      </w:r>
      <w:r>
        <w:rPr>
          <w:rFonts w:hint="eastAsia"/>
        </w:rPr>
        <w:t>排污</w:t>
      </w:r>
      <w:r>
        <w:t>系数</w:t>
      </w:r>
      <w:r>
        <w:rPr>
          <w:rFonts w:hint="eastAsia"/>
        </w:rPr>
        <w:t>。三湾产业园用</w:t>
      </w:r>
      <w:r>
        <w:t>地</w:t>
      </w:r>
      <w:r>
        <w:rPr>
          <w:rFonts w:hint="eastAsia"/>
        </w:rPr>
        <w:t>基本</w:t>
      </w:r>
      <w:r>
        <w:t>开发完毕</w:t>
      </w:r>
      <w:r>
        <w:rPr>
          <w:rFonts w:hint="eastAsia"/>
        </w:rPr>
        <w:t>废水</w:t>
      </w:r>
      <w:r>
        <w:t>污染物</w:t>
      </w:r>
      <w:r>
        <w:rPr>
          <w:rFonts w:hint="eastAsia"/>
        </w:rPr>
        <w:t>根据</w:t>
      </w:r>
      <w:r>
        <w:t>现有污染物统计得</w:t>
      </w:r>
      <w:r>
        <w:rPr>
          <w:rFonts w:hint="eastAsia"/>
        </w:rPr>
        <w:t>出</w:t>
      </w:r>
      <w:r>
        <w:t>。绿色建材产业园</w:t>
      </w:r>
      <w:r>
        <w:rPr>
          <w:rFonts w:hint="eastAsia"/>
        </w:rPr>
        <w:t>经厂区污水处理站处理后全部回用</w:t>
      </w:r>
      <w:r>
        <w:t>。其他</w:t>
      </w:r>
      <w:r>
        <w:rPr>
          <w:rFonts w:hint="eastAsia"/>
        </w:rPr>
        <w:t>用</w:t>
      </w:r>
      <w:r>
        <w:t>地用水参考《城市给水工程规划规范》（GB50282-2016）中用水指标，根据不同性质用地面积来计算出园区用水量及排水量。</w:t>
      </w:r>
    </w:p>
    <w:p>
      <w:pPr>
        <w:pStyle w:val="6"/>
      </w:pPr>
      <w:r>
        <w:rPr>
          <w:rFonts w:hint="eastAsia"/>
        </w:rPr>
        <w:t>表6.1-1  滨江片区中非工贸产业园工业用地废水排放系数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6083"/>
        <w:gridCol w:w="222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湖南誉湘农业科技开发有限公司</w:t>
            </w:r>
          </w:p>
        </w:tc>
        <w:tc>
          <w:tcPr>
            <w:tcW w:w="2146" w:type="pct"/>
            <w:vAlign w:val="center"/>
          </w:tcPr>
          <w:p>
            <w:pPr>
              <w:pStyle w:val="63"/>
            </w:pPr>
            <w:r>
              <w:rPr>
                <w:rFonts w:hint="eastAsia"/>
              </w:rPr>
              <w:t>50t/a辣椒酱、120t/a甜酒、20t/a粽子</w:t>
            </w:r>
          </w:p>
        </w:tc>
        <w:tc>
          <w:tcPr>
            <w:tcW w:w="784" w:type="pct"/>
            <w:vAlign w:val="center"/>
          </w:tcPr>
          <w:p>
            <w:pPr>
              <w:pStyle w:val="63"/>
            </w:pPr>
            <w:r>
              <w:rPr>
                <w:rFonts w:hint="eastAsia"/>
              </w:rPr>
              <w:t>5000</w:t>
            </w:r>
          </w:p>
        </w:tc>
        <w:tc>
          <w:tcPr>
            <w:tcW w:w="1017" w:type="pct"/>
            <w:vAlign w:val="center"/>
          </w:tcPr>
          <w:p>
            <w:pPr>
              <w:pStyle w:val="63"/>
            </w:pPr>
            <w:r>
              <w:rPr>
                <w:rFonts w:hint="eastAsia"/>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湖南贤哥食品有限公司</w:t>
            </w:r>
          </w:p>
        </w:tc>
        <w:tc>
          <w:tcPr>
            <w:tcW w:w="2146" w:type="pct"/>
            <w:vAlign w:val="center"/>
          </w:tcPr>
          <w:p>
            <w:pPr>
              <w:pStyle w:val="63"/>
            </w:pPr>
            <w:r>
              <w:rPr>
                <w:rFonts w:hint="eastAsia"/>
              </w:rPr>
              <w:t>年产8000吨休闲食品</w:t>
            </w:r>
          </w:p>
        </w:tc>
        <w:tc>
          <w:tcPr>
            <w:tcW w:w="784" w:type="pct"/>
            <w:vAlign w:val="center"/>
          </w:tcPr>
          <w:p>
            <w:pPr>
              <w:pStyle w:val="63"/>
            </w:pPr>
            <w:r>
              <w:rPr>
                <w:rFonts w:hint="eastAsia"/>
              </w:rPr>
              <w:t>3000</w:t>
            </w:r>
          </w:p>
        </w:tc>
        <w:tc>
          <w:tcPr>
            <w:tcW w:w="1017" w:type="pct"/>
            <w:vAlign w:val="center"/>
          </w:tcPr>
          <w:p>
            <w:pPr>
              <w:pStyle w:val="63"/>
            </w:pPr>
            <w:r>
              <w:rPr>
                <w:rFonts w:hint="eastAsia"/>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湖南俊美食品有限公司</w:t>
            </w:r>
          </w:p>
        </w:tc>
        <w:tc>
          <w:tcPr>
            <w:tcW w:w="2146" w:type="pct"/>
            <w:vAlign w:val="center"/>
          </w:tcPr>
          <w:p>
            <w:pPr>
              <w:pStyle w:val="63"/>
            </w:pPr>
            <w:r>
              <w:rPr>
                <w:rFonts w:hint="eastAsia"/>
              </w:rPr>
              <w:t>年产500吨鱼制品和500吨肉制品</w:t>
            </w:r>
          </w:p>
        </w:tc>
        <w:tc>
          <w:tcPr>
            <w:tcW w:w="784" w:type="pct"/>
            <w:vAlign w:val="center"/>
          </w:tcPr>
          <w:p>
            <w:pPr>
              <w:pStyle w:val="63"/>
            </w:pPr>
            <w:r>
              <w:rPr>
                <w:rFonts w:hint="eastAsia"/>
              </w:rPr>
              <w:t>3680</w:t>
            </w:r>
          </w:p>
        </w:tc>
        <w:tc>
          <w:tcPr>
            <w:tcW w:w="1017" w:type="pct"/>
            <w:vAlign w:val="center"/>
          </w:tcPr>
          <w:p>
            <w:pPr>
              <w:pStyle w:val="63"/>
            </w:pPr>
            <w:r>
              <w:rPr>
                <w:rFonts w:hint="eastAsia"/>
              </w:rPr>
              <w:t>6770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平江本味食品有限公司</w:t>
            </w:r>
          </w:p>
        </w:tc>
        <w:tc>
          <w:tcPr>
            <w:tcW w:w="2146" w:type="pct"/>
            <w:vAlign w:val="center"/>
          </w:tcPr>
          <w:p>
            <w:pPr>
              <w:pStyle w:val="63"/>
            </w:pPr>
            <w:r>
              <w:rPr>
                <w:rFonts w:hint="eastAsia"/>
              </w:rPr>
              <w:t>年生产2000吨挤压糕点</w:t>
            </w:r>
          </w:p>
        </w:tc>
        <w:tc>
          <w:tcPr>
            <w:tcW w:w="784" w:type="pct"/>
            <w:vAlign w:val="center"/>
          </w:tcPr>
          <w:p>
            <w:pPr>
              <w:pStyle w:val="63"/>
            </w:pPr>
            <w:r>
              <w:rPr>
                <w:rFonts w:hint="eastAsia"/>
              </w:rPr>
              <w:t>2873</w:t>
            </w:r>
          </w:p>
        </w:tc>
        <w:tc>
          <w:tcPr>
            <w:tcW w:w="1017" w:type="pct"/>
            <w:vAlign w:val="center"/>
          </w:tcPr>
          <w:p>
            <w:pPr>
              <w:pStyle w:val="63"/>
            </w:pPr>
            <w:r>
              <w:rPr>
                <w:rFonts w:hint="eastAsia"/>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湖南省原本记忆食品有限公司</w:t>
            </w:r>
          </w:p>
        </w:tc>
        <w:tc>
          <w:tcPr>
            <w:tcW w:w="2146" w:type="pct"/>
            <w:vAlign w:val="center"/>
          </w:tcPr>
          <w:p>
            <w:pPr>
              <w:pStyle w:val="63"/>
            </w:pPr>
            <w:r>
              <w:rPr>
                <w:rFonts w:hint="eastAsia"/>
              </w:rPr>
              <w:t>年产3500吨豆制品</w:t>
            </w:r>
          </w:p>
        </w:tc>
        <w:tc>
          <w:tcPr>
            <w:tcW w:w="784" w:type="pct"/>
            <w:vAlign w:val="center"/>
          </w:tcPr>
          <w:p>
            <w:pPr>
              <w:pStyle w:val="63"/>
            </w:pPr>
            <w:r>
              <w:rPr>
                <w:rFonts w:hint="eastAsia"/>
              </w:rPr>
              <w:t>1888</w:t>
            </w:r>
          </w:p>
        </w:tc>
        <w:tc>
          <w:tcPr>
            <w:tcW w:w="1017" w:type="pct"/>
            <w:vAlign w:val="center"/>
          </w:tcPr>
          <w:p>
            <w:pPr>
              <w:pStyle w:val="63"/>
            </w:pPr>
            <w:r>
              <w:rPr>
                <w:rFonts w:hint="eastAsia"/>
              </w:rPr>
              <w:t>28961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岳阳市昊昌食品科技有限公司</w:t>
            </w:r>
          </w:p>
        </w:tc>
        <w:tc>
          <w:tcPr>
            <w:tcW w:w="2146" w:type="pct"/>
            <w:vAlign w:val="center"/>
          </w:tcPr>
          <w:p>
            <w:pPr>
              <w:pStyle w:val="63"/>
            </w:pPr>
            <w:r>
              <w:rPr>
                <w:rFonts w:hint="eastAsia"/>
              </w:rPr>
              <w:t>年产3000t膨化食品</w:t>
            </w:r>
          </w:p>
        </w:tc>
        <w:tc>
          <w:tcPr>
            <w:tcW w:w="784" w:type="pct"/>
            <w:vAlign w:val="center"/>
          </w:tcPr>
          <w:p>
            <w:pPr>
              <w:pStyle w:val="63"/>
            </w:pPr>
            <w:r>
              <w:rPr>
                <w:rFonts w:hint="eastAsia"/>
              </w:rPr>
              <w:t>16385</w:t>
            </w:r>
          </w:p>
        </w:tc>
        <w:tc>
          <w:tcPr>
            <w:tcW w:w="1017" w:type="pct"/>
            <w:vAlign w:val="center"/>
          </w:tcPr>
          <w:p>
            <w:pPr>
              <w:pStyle w:val="63"/>
            </w:pPr>
            <w:r>
              <w:rPr>
                <w:rFonts w:hint="eastAsia"/>
              </w:rPr>
              <w:t>4933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54" w:type="pct"/>
            <w:vAlign w:val="center"/>
          </w:tcPr>
          <w:p>
            <w:pPr>
              <w:pStyle w:val="63"/>
            </w:pPr>
            <w:r>
              <w:rPr>
                <w:rFonts w:hint="eastAsia"/>
              </w:rPr>
              <w:t>湖南省俏嘴巴食品有限公司</w:t>
            </w:r>
          </w:p>
        </w:tc>
        <w:tc>
          <w:tcPr>
            <w:tcW w:w="2146" w:type="pct"/>
            <w:vAlign w:val="center"/>
          </w:tcPr>
          <w:p>
            <w:pPr>
              <w:pStyle w:val="63"/>
            </w:pPr>
            <w:r>
              <w:rPr>
                <w:rFonts w:hint="eastAsia"/>
              </w:rPr>
              <w:t>年产1500吨肉制品、1500吨鱼制品、1000吨豆制品、1500吨蔬菜制品及2500吨调味面制品食品</w:t>
            </w:r>
          </w:p>
        </w:tc>
        <w:tc>
          <w:tcPr>
            <w:tcW w:w="784" w:type="pct"/>
            <w:vAlign w:val="center"/>
          </w:tcPr>
          <w:p>
            <w:pPr>
              <w:pStyle w:val="63"/>
            </w:pPr>
            <w:r>
              <w:rPr>
                <w:rFonts w:hint="eastAsia"/>
              </w:rPr>
              <w:t>30250</w:t>
            </w:r>
          </w:p>
        </w:tc>
        <w:tc>
          <w:tcPr>
            <w:tcW w:w="1017" w:type="pct"/>
            <w:vAlign w:val="center"/>
          </w:tcPr>
          <w:p>
            <w:pPr>
              <w:pStyle w:val="63"/>
            </w:pPr>
            <w:r>
              <w:rPr>
                <w:rFonts w:hint="eastAsia"/>
              </w:rPr>
              <w:t>63358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广西璞悦粮油食品有限公司</w:t>
            </w:r>
          </w:p>
        </w:tc>
        <w:tc>
          <w:tcPr>
            <w:tcW w:w="2146" w:type="pct"/>
            <w:vAlign w:val="center"/>
          </w:tcPr>
          <w:p>
            <w:pPr>
              <w:pStyle w:val="63"/>
            </w:pPr>
            <w:r>
              <w:rPr>
                <w:rFonts w:hint="eastAsia"/>
              </w:rPr>
              <w:t>年产花生油3600t/a</w:t>
            </w:r>
          </w:p>
        </w:tc>
        <w:tc>
          <w:tcPr>
            <w:tcW w:w="784" w:type="pct"/>
            <w:vAlign w:val="center"/>
          </w:tcPr>
          <w:p>
            <w:pPr>
              <w:pStyle w:val="63"/>
            </w:pPr>
            <w:r>
              <w:rPr>
                <w:rFonts w:hint="eastAsia"/>
              </w:rPr>
              <w:t>3400</w:t>
            </w:r>
          </w:p>
        </w:tc>
        <w:tc>
          <w:tcPr>
            <w:tcW w:w="1017" w:type="pct"/>
            <w:vAlign w:val="center"/>
          </w:tcPr>
          <w:p>
            <w:pPr>
              <w:pStyle w:val="63"/>
            </w:pPr>
            <w:r>
              <w:rPr>
                <w:rFonts w:hint="eastAsia"/>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湖南山润油茶科技发展有限公司</w:t>
            </w:r>
          </w:p>
        </w:tc>
        <w:tc>
          <w:tcPr>
            <w:tcW w:w="2146" w:type="pct"/>
            <w:vAlign w:val="center"/>
          </w:tcPr>
          <w:p>
            <w:pPr>
              <w:pStyle w:val="63"/>
            </w:pPr>
            <w:r>
              <w:rPr>
                <w:rFonts w:hint="eastAsia"/>
              </w:rPr>
              <w:t>干茶油籽2500t/a、水法炼茶油10000t/a、茶皂素2640t/a</w:t>
            </w:r>
          </w:p>
        </w:tc>
        <w:tc>
          <w:tcPr>
            <w:tcW w:w="784" w:type="pct"/>
            <w:vAlign w:val="center"/>
          </w:tcPr>
          <w:p>
            <w:pPr>
              <w:pStyle w:val="63"/>
            </w:pPr>
            <w:r>
              <w:rPr>
                <w:rFonts w:hint="eastAsia"/>
              </w:rPr>
              <w:t>21239</w:t>
            </w:r>
          </w:p>
        </w:tc>
        <w:tc>
          <w:tcPr>
            <w:tcW w:w="1017" w:type="pct"/>
            <w:vAlign w:val="center"/>
          </w:tcPr>
          <w:p>
            <w:pPr>
              <w:pStyle w:val="63"/>
            </w:pPr>
            <w:r>
              <w:rPr>
                <w:rFonts w:hint="eastAsia"/>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湖南九丰农业发展有限公司</w:t>
            </w:r>
          </w:p>
        </w:tc>
        <w:tc>
          <w:tcPr>
            <w:tcW w:w="2146" w:type="pct"/>
            <w:vAlign w:val="center"/>
          </w:tcPr>
          <w:p>
            <w:pPr>
              <w:pStyle w:val="63"/>
            </w:pPr>
            <w:r>
              <w:rPr>
                <w:rFonts w:hint="eastAsia"/>
              </w:rPr>
              <w:t>年产1000吨浓香菜籽油</w:t>
            </w:r>
          </w:p>
        </w:tc>
        <w:tc>
          <w:tcPr>
            <w:tcW w:w="784" w:type="pct"/>
            <w:vAlign w:val="center"/>
          </w:tcPr>
          <w:p>
            <w:pPr>
              <w:pStyle w:val="63"/>
            </w:pPr>
            <w:r>
              <w:rPr>
                <w:rFonts w:hint="eastAsia"/>
              </w:rPr>
              <w:t>1200</w:t>
            </w:r>
          </w:p>
        </w:tc>
        <w:tc>
          <w:tcPr>
            <w:tcW w:w="1017" w:type="pct"/>
            <w:vAlign w:val="center"/>
          </w:tcPr>
          <w:p>
            <w:pPr>
              <w:pStyle w:val="63"/>
            </w:pPr>
            <w:r>
              <w:rPr>
                <w:rFonts w:hint="eastAsi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临湘市创兴生物科技有限公司</w:t>
            </w:r>
          </w:p>
        </w:tc>
        <w:tc>
          <w:tcPr>
            <w:tcW w:w="2146" w:type="pct"/>
            <w:vAlign w:val="center"/>
          </w:tcPr>
          <w:p>
            <w:pPr>
              <w:pStyle w:val="63"/>
            </w:pPr>
            <w:r>
              <w:rPr>
                <w:rFonts w:hint="eastAsia"/>
              </w:rPr>
              <w:t>年产3万m3竹胶板及废弃竹木屑综合利用</w:t>
            </w:r>
          </w:p>
        </w:tc>
        <w:tc>
          <w:tcPr>
            <w:tcW w:w="784" w:type="pct"/>
            <w:vAlign w:val="center"/>
          </w:tcPr>
          <w:p>
            <w:pPr>
              <w:pStyle w:val="63"/>
            </w:pPr>
            <w:r>
              <w:rPr>
                <w:rFonts w:hint="eastAsia"/>
              </w:rPr>
              <w:t>8700</w:t>
            </w:r>
          </w:p>
        </w:tc>
        <w:tc>
          <w:tcPr>
            <w:tcW w:w="1017" w:type="pct"/>
            <w:vAlign w:val="center"/>
          </w:tcPr>
          <w:p>
            <w:pPr>
              <w:pStyle w:val="63"/>
            </w:pPr>
            <w:r>
              <w:rPr>
                <w:rFonts w:hint="eastAsia"/>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临湘市孟氏盛世竹木制品有限公司</w:t>
            </w:r>
          </w:p>
        </w:tc>
        <w:tc>
          <w:tcPr>
            <w:tcW w:w="2146" w:type="pct"/>
            <w:vAlign w:val="center"/>
          </w:tcPr>
          <w:p>
            <w:pPr>
              <w:pStyle w:val="63"/>
            </w:pPr>
            <w:r>
              <w:rPr>
                <w:rFonts w:hint="eastAsia"/>
              </w:rPr>
              <w:t>年产20万件竹木制品</w:t>
            </w:r>
          </w:p>
        </w:tc>
        <w:tc>
          <w:tcPr>
            <w:tcW w:w="784" w:type="pct"/>
            <w:vAlign w:val="center"/>
          </w:tcPr>
          <w:p>
            <w:pPr>
              <w:pStyle w:val="63"/>
            </w:pPr>
            <w:r>
              <w:rPr>
                <w:rFonts w:hint="eastAsia"/>
              </w:rPr>
              <w:t>8702</w:t>
            </w:r>
          </w:p>
        </w:tc>
        <w:tc>
          <w:tcPr>
            <w:tcW w:w="1017" w:type="pct"/>
            <w:vAlign w:val="center"/>
          </w:tcPr>
          <w:p>
            <w:pPr>
              <w:pStyle w:val="63"/>
            </w:pPr>
            <w:r>
              <w:rPr>
                <w:rFonts w:hint="eastAsia"/>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湘潭县双江竹木制品厂</w:t>
            </w:r>
          </w:p>
        </w:tc>
        <w:tc>
          <w:tcPr>
            <w:tcW w:w="2146" w:type="pct"/>
            <w:vAlign w:val="center"/>
          </w:tcPr>
          <w:p>
            <w:pPr>
              <w:pStyle w:val="63"/>
            </w:pPr>
            <w:r>
              <w:rPr>
                <w:rFonts w:hint="eastAsia"/>
              </w:rPr>
              <w:t>年产4万套竹木家具</w:t>
            </w:r>
          </w:p>
        </w:tc>
        <w:tc>
          <w:tcPr>
            <w:tcW w:w="784" w:type="pct"/>
            <w:vAlign w:val="center"/>
          </w:tcPr>
          <w:p>
            <w:pPr>
              <w:pStyle w:val="63"/>
            </w:pPr>
            <w:r>
              <w:rPr>
                <w:rFonts w:hint="eastAsia"/>
              </w:rPr>
              <w:t>5600</w:t>
            </w:r>
          </w:p>
        </w:tc>
        <w:tc>
          <w:tcPr>
            <w:tcW w:w="1017" w:type="pct"/>
            <w:vAlign w:val="center"/>
          </w:tcPr>
          <w:p>
            <w:pPr>
              <w:pStyle w:val="63"/>
            </w:pPr>
            <w:r>
              <w:rPr>
                <w:rFonts w:hint="eastAsia"/>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长沙鼎盛重工科技有限公司</w:t>
            </w:r>
          </w:p>
        </w:tc>
        <w:tc>
          <w:tcPr>
            <w:tcW w:w="2146" w:type="pct"/>
            <w:vAlign w:val="center"/>
          </w:tcPr>
          <w:p>
            <w:pPr>
              <w:pStyle w:val="63"/>
            </w:pPr>
            <w:r>
              <w:rPr>
                <w:rFonts w:hint="eastAsia"/>
              </w:rPr>
              <w:t>每年3万吨钢构件、0.8万吨风电塔筒</w:t>
            </w:r>
          </w:p>
        </w:tc>
        <w:tc>
          <w:tcPr>
            <w:tcW w:w="784" w:type="pct"/>
            <w:vAlign w:val="center"/>
          </w:tcPr>
          <w:p>
            <w:pPr>
              <w:pStyle w:val="63"/>
            </w:pPr>
            <w:r>
              <w:rPr>
                <w:rFonts w:hint="eastAsia"/>
              </w:rPr>
              <w:t>104360</w:t>
            </w:r>
          </w:p>
        </w:tc>
        <w:tc>
          <w:tcPr>
            <w:tcW w:w="1017" w:type="pct"/>
            <w:vAlign w:val="center"/>
          </w:tcPr>
          <w:p>
            <w:pPr>
              <w:pStyle w:val="63"/>
            </w:pPr>
            <w:r>
              <w:rPr>
                <w:rFonts w:hint="eastAsia"/>
              </w:rPr>
              <w:t>11550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湖南华构筑工建设有限公司</w:t>
            </w:r>
          </w:p>
        </w:tc>
        <w:tc>
          <w:tcPr>
            <w:tcW w:w="2146" w:type="pct"/>
            <w:vAlign w:val="center"/>
          </w:tcPr>
          <w:p>
            <w:pPr>
              <w:pStyle w:val="63"/>
            </w:pPr>
            <w:r>
              <w:rPr>
                <w:rFonts w:hint="eastAsia"/>
              </w:rPr>
              <w:t>预制叠合楼板、楼梯20000立方</w:t>
            </w:r>
          </w:p>
        </w:tc>
        <w:tc>
          <w:tcPr>
            <w:tcW w:w="784" w:type="pct"/>
            <w:vAlign w:val="center"/>
          </w:tcPr>
          <w:p>
            <w:pPr>
              <w:pStyle w:val="63"/>
            </w:pPr>
            <w:r>
              <w:t>8000</w:t>
            </w:r>
          </w:p>
        </w:tc>
        <w:tc>
          <w:tcPr>
            <w:tcW w:w="1017" w:type="pct"/>
            <w:vAlign w:val="center"/>
          </w:tcPr>
          <w:p>
            <w:pPr>
              <w:pStyle w:val="63"/>
            </w:pPr>
            <w:r>
              <w:rPr>
                <w:rFonts w:hint="eastAsia"/>
              </w:rPr>
              <w:t>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湖南金鑫建筑科技有限公司</w:t>
            </w:r>
          </w:p>
        </w:tc>
        <w:tc>
          <w:tcPr>
            <w:tcW w:w="2146" w:type="pct"/>
            <w:vAlign w:val="center"/>
          </w:tcPr>
          <w:p>
            <w:pPr>
              <w:pStyle w:val="63"/>
            </w:pPr>
            <w:r>
              <w:rPr>
                <w:rFonts w:hint="eastAsia"/>
              </w:rPr>
              <w:t>5万方的综合管廊和装配式预制PC构件</w:t>
            </w:r>
          </w:p>
        </w:tc>
        <w:tc>
          <w:tcPr>
            <w:tcW w:w="784" w:type="pct"/>
            <w:vAlign w:val="center"/>
          </w:tcPr>
          <w:p>
            <w:pPr>
              <w:pStyle w:val="63"/>
            </w:pPr>
            <w:r>
              <w:rPr>
                <w:rFonts w:hint="eastAsia"/>
              </w:rPr>
              <w:t>24000</w:t>
            </w:r>
          </w:p>
        </w:tc>
        <w:tc>
          <w:tcPr>
            <w:tcW w:w="1017" w:type="pct"/>
            <w:vAlign w:val="center"/>
          </w:tcPr>
          <w:p>
            <w:pPr>
              <w:pStyle w:val="63"/>
            </w:pPr>
            <w:r>
              <w:rPr>
                <w:rFonts w:hint="eastAsia"/>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湖南强恒装配式建筑工程有限公司</w:t>
            </w:r>
          </w:p>
        </w:tc>
        <w:tc>
          <w:tcPr>
            <w:tcW w:w="2146" w:type="pct"/>
            <w:vAlign w:val="center"/>
          </w:tcPr>
          <w:p>
            <w:pPr>
              <w:pStyle w:val="63"/>
            </w:pPr>
            <w:r>
              <w:rPr>
                <w:rFonts w:hint="eastAsia"/>
              </w:rPr>
              <w:t>建筑工程装配式混凝土预制构件生产</w:t>
            </w:r>
          </w:p>
        </w:tc>
        <w:tc>
          <w:tcPr>
            <w:tcW w:w="784" w:type="pct"/>
            <w:vAlign w:val="center"/>
          </w:tcPr>
          <w:p>
            <w:pPr>
              <w:pStyle w:val="63"/>
            </w:pPr>
            <w:r>
              <w:rPr>
                <w:rFonts w:hint="eastAsia"/>
              </w:rPr>
              <w:t>33335</w:t>
            </w:r>
          </w:p>
        </w:tc>
        <w:tc>
          <w:tcPr>
            <w:tcW w:w="1017" w:type="pct"/>
            <w:vAlign w:val="center"/>
          </w:tcPr>
          <w:p>
            <w:pPr>
              <w:pStyle w:val="63"/>
            </w:pPr>
            <w:r>
              <w:rPr>
                <w:rFonts w:hint="eastAsia"/>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美安（福建）实业有限公司</w:t>
            </w:r>
          </w:p>
        </w:tc>
        <w:tc>
          <w:tcPr>
            <w:tcW w:w="2146" w:type="pct"/>
            <w:vAlign w:val="center"/>
          </w:tcPr>
          <w:p>
            <w:pPr>
              <w:pStyle w:val="63"/>
            </w:pPr>
            <w:r>
              <w:rPr>
                <w:rFonts w:hint="eastAsia"/>
              </w:rPr>
              <w:t>年产</w:t>
            </w:r>
            <w:r>
              <w:t>30</w:t>
            </w:r>
            <w:r>
              <w:rPr>
                <w:rFonts w:hint="eastAsia"/>
              </w:rPr>
              <w:t>万平方米微晶石石板材</w:t>
            </w:r>
          </w:p>
        </w:tc>
        <w:tc>
          <w:tcPr>
            <w:tcW w:w="784" w:type="pct"/>
            <w:vAlign w:val="center"/>
          </w:tcPr>
          <w:p>
            <w:pPr>
              <w:pStyle w:val="63"/>
            </w:pPr>
            <w:r>
              <w:rPr>
                <w:rFonts w:hint="eastAsia"/>
              </w:rPr>
              <w:t>12599</w:t>
            </w:r>
          </w:p>
        </w:tc>
        <w:tc>
          <w:tcPr>
            <w:tcW w:w="1017" w:type="pct"/>
            <w:vAlign w:val="center"/>
          </w:tcPr>
          <w:p>
            <w:pPr>
              <w:pStyle w:val="63"/>
            </w:pPr>
            <w:r>
              <w:rPr>
                <w:rFonts w:hint="eastAsia"/>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54" w:type="pct"/>
            <w:vAlign w:val="center"/>
          </w:tcPr>
          <w:p>
            <w:pPr>
              <w:pStyle w:val="63"/>
            </w:pPr>
            <w:r>
              <w:rPr>
                <w:rFonts w:hint="eastAsia"/>
              </w:rPr>
              <w:t>浙江禾运科技有限公司</w:t>
            </w:r>
          </w:p>
        </w:tc>
        <w:tc>
          <w:tcPr>
            <w:tcW w:w="2146" w:type="pct"/>
            <w:vAlign w:val="center"/>
          </w:tcPr>
          <w:p>
            <w:pPr>
              <w:pStyle w:val="63"/>
            </w:pPr>
            <w:r>
              <w:rPr>
                <w:rFonts w:hint="eastAsia"/>
              </w:rPr>
              <w:t>年产1000万平方米环保微晶石地板</w:t>
            </w:r>
          </w:p>
        </w:tc>
        <w:tc>
          <w:tcPr>
            <w:tcW w:w="784" w:type="pct"/>
            <w:vAlign w:val="center"/>
          </w:tcPr>
          <w:p>
            <w:pPr>
              <w:pStyle w:val="63"/>
            </w:pPr>
            <w:r>
              <w:rPr>
                <w:rFonts w:hint="eastAsia"/>
              </w:rPr>
              <w:t>130955</w:t>
            </w:r>
          </w:p>
        </w:tc>
        <w:tc>
          <w:tcPr>
            <w:tcW w:w="1017" w:type="pct"/>
            <w:vAlign w:val="center"/>
          </w:tcPr>
          <w:p>
            <w:pPr>
              <w:pStyle w:val="63"/>
            </w:pPr>
            <w:r>
              <w:rPr>
                <w:rFonts w:hint="eastAsia"/>
              </w:rPr>
              <w:t>5325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54" w:type="pct"/>
            <w:vAlign w:val="center"/>
          </w:tcPr>
          <w:p>
            <w:pPr>
              <w:pStyle w:val="63"/>
            </w:pPr>
            <w:r>
              <w:rPr>
                <w:rFonts w:hint="eastAsia"/>
              </w:rPr>
              <w:t>宜春大千微晶装饰新材料有限公司</w:t>
            </w:r>
          </w:p>
        </w:tc>
        <w:tc>
          <w:tcPr>
            <w:tcW w:w="2146" w:type="pct"/>
            <w:vAlign w:val="center"/>
          </w:tcPr>
          <w:p>
            <w:pPr>
              <w:pStyle w:val="63"/>
            </w:pPr>
            <w:r>
              <w:rPr>
                <w:rFonts w:hint="eastAsia"/>
              </w:rPr>
              <w:t>年产48万m2微晶石奢石</w:t>
            </w:r>
          </w:p>
        </w:tc>
        <w:tc>
          <w:tcPr>
            <w:tcW w:w="784" w:type="pct"/>
            <w:vAlign w:val="center"/>
          </w:tcPr>
          <w:p>
            <w:pPr>
              <w:pStyle w:val="63"/>
            </w:pPr>
            <w:r>
              <w:rPr>
                <w:rFonts w:hint="eastAsia"/>
              </w:rPr>
              <w:t>7000</w:t>
            </w:r>
          </w:p>
        </w:tc>
        <w:tc>
          <w:tcPr>
            <w:tcW w:w="1017" w:type="pct"/>
            <w:vAlign w:val="center"/>
          </w:tcPr>
          <w:p>
            <w:pPr>
              <w:pStyle w:val="63"/>
            </w:pPr>
            <w:r>
              <w:rPr>
                <w:rFonts w:hint="eastAsia"/>
              </w:rPr>
              <w:t>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00" w:type="pct"/>
            <w:gridSpan w:val="2"/>
            <w:vAlign w:val="center"/>
          </w:tcPr>
          <w:p>
            <w:pPr>
              <w:pStyle w:val="63"/>
            </w:pPr>
            <w:r>
              <w:rPr>
                <w:rFonts w:hint="eastAsia"/>
              </w:rPr>
              <w:t>合计</w:t>
            </w:r>
          </w:p>
        </w:tc>
        <w:tc>
          <w:tcPr>
            <w:tcW w:w="784" w:type="pct"/>
            <w:noWrap/>
            <w:vAlign w:val="center"/>
          </w:tcPr>
          <w:p>
            <w:pPr>
              <w:pStyle w:val="63"/>
            </w:pPr>
            <w:r>
              <w:rPr>
                <w:rFonts w:hint="eastAsia"/>
              </w:rPr>
              <w:t>432167</w:t>
            </w:r>
          </w:p>
        </w:tc>
        <w:tc>
          <w:tcPr>
            <w:tcW w:w="1017" w:type="pct"/>
            <w:noWrap/>
            <w:vAlign w:val="center"/>
          </w:tcPr>
          <w:p>
            <w:pPr>
              <w:pStyle w:val="63"/>
            </w:pPr>
            <w:r>
              <w:rPr>
                <w:rFonts w:hint="eastAsia"/>
              </w:rPr>
              <w:t>132185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200" w:type="pct"/>
            <w:gridSpan w:val="2"/>
            <w:noWrap/>
            <w:vAlign w:val="center"/>
          </w:tcPr>
          <w:p>
            <w:pPr>
              <w:pStyle w:val="63"/>
            </w:pPr>
            <w:r>
              <w:rPr>
                <w:rFonts w:hint="eastAsia"/>
              </w:rPr>
              <w:t>单位面积排污系数（t/a.hm2）</w:t>
            </w:r>
          </w:p>
        </w:tc>
        <w:tc>
          <w:tcPr>
            <w:tcW w:w="784" w:type="pct"/>
            <w:noWrap/>
            <w:vAlign w:val="center"/>
          </w:tcPr>
          <w:p>
            <w:pPr>
              <w:pStyle w:val="63"/>
            </w:pPr>
            <w:r>
              <w:rPr>
                <w:rFonts w:hint="eastAsia"/>
              </w:rPr>
              <w:t>/</w:t>
            </w:r>
          </w:p>
        </w:tc>
        <w:tc>
          <w:tcPr>
            <w:tcW w:w="1017" w:type="pct"/>
            <w:noWrap/>
            <w:vAlign w:val="center"/>
          </w:tcPr>
          <w:p>
            <w:pPr>
              <w:pStyle w:val="63"/>
            </w:pPr>
            <w:r>
              <w:rPr>
                <w:rFonts w:hint="eastAsia"/>
              </w:rPr>
              <w:t>3058.65</w:t>
            </w:r>
          </w:p>
        </w:tc>
      </w:tr>
    </w:tbl>
    <w:p>
      <w:pPr>
        <w:pStyle w:val="6"/>
      </w:pPr>
      <w:r>
        <w:rPr>
          <w:rFonts w:hint="eastAsia"/>
        </w:rPr>
        <w:t>表6.1-2  滨江片区加工制造产业园工业用地废水排放系数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6083"/>
        <w:gridCol w:w="222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54" w:type="pct"/>
            <w:vAlign w:val="center"/>
          </w:tcPr>
          <w:p>
            <w:pPr>
              <w:pStyle w:val="63"/>
            </w:pPr>
            <w:r>
              <w:rPr>
                <w:rFonts w:hint="eastAsia"/>
              </w:rPr>
              <w:t>企业名称</w:t>
            </w:r>
          </w:p>
        </w:tc>
        <w:tc>
          <w:tcPr>
            <w:tcW w:w="2146" w:type="pct"/>
            <w:vAlign w:val="center"/>
          </w:tcPr>
          <w:p>
            <w:pPr>
              <w:pStyle w:val="63"/>
            </w:pPr>
            <w:r>
              <w:rPr>
                <w:rFonts w:hint="eastAsia"/>
              </w:rPr>
              <w:t>产品方案</w:t>
            </w:r>
          </w:p>
        </w:tc>
        <w:tc>
          <w:tcPr>
            <w:tcW w:w="784" w:type="pct"/>
            <w:vAlign w:val="center"/>
          </w:tcPr>
          <w:p>
            <w:pPr>
              <w:pStyle w:val="63"/>
            </w:pPr>
            <w:r>
              <w:rPr>
                <w:rFonts w:hint="eastAsia"/>
              </w:rPr>
              <w:t>占地面积（m2）</w:t>
            </w:r>
          </w:p>
        </w:tc>
        <w:tc>
          <w:tcPr>
            <w:tcW w:w="1017" w:type="pct"/>
            <w:vAlign w:val="center"/>
          </w:tcPr>
          <w:p>
            <w:pPr>
              <w:pStyle w:val="63"/>
            </w:pPr>
            <w:r>
              <w:rPr>
                <w:rFonts w:hint="eastAsia"/>
              </w:rPr>
              <w:t>废水量（m3/a）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岳阳龙盛科技有限公司</w:t>
            </w:r>
          </w:p>
        </w:tc>
        <w:tc>
          <w:tcPr>
            <w:tcW w:w="2146" w:type="pct"/>
            <w:vAlign w:val="center"/>
          </w:tcPr>
          <w:p>
            <w:pPr>
              <w:pStyle w:val="63"/>
            </w:pPr>
            <w:r>
              <w:rPr>
                <w:rFonts w:hint="eastAsia"/>
              </w:rPr>
              <w:t>年加工100万组液晶显示屏</w:t>
            </w:r>
          </w:p>
        </w:tc>
        <w:tc>
          <w:tcPr>
            <w:tcW w:w="784" w:type="pct"/>
            <w:vAlign w:val="center"/>
          </w:tcPr>
          <w:p>
            <w:pPr>
              <w:pStyle w:val="63"/>
            </w:pPr>
            <w:r>
              <w:rPr>
                <w:rFonts w:hint="eastAsia"/>
              </w:rPr>
              <w:t>2580</w:t>
            </w:r>
          </w:p>
        </w:tc>
        <w:tc>
          <w:tcPr>
            <w:tcW w:w="1017" w:type="pct"/>
            <w:vAlign w:val="center"/>
          </w:tcPr>
          <w:p>
            <w:pPr>
              <w:pStyle w:val="63"/>
            </w:pPr>
            <w:r>
              <w:rPr>
                <w:rFonts w:hint="eastAsia"/>
              </w:rPr>
              <w:t>23286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湖南沛德新材料有限公司</w:t>
            </w:r>
          </w:p>
        </w:tc>
        <w:tc>
          <w:tcPr>
            <w:tcW w:w="2146" w:type="pct"/>
            <w:vAlign w:val="center"/>
          </w:tcPr>
          <w:p>
            <w:pPr>
              <w:pStyle w:val="63"/>
            </w:pPr>
            <w:r>
              <w:rPr>
                <w:rFonts w:hint="eastAsia"/>
              </w:rPr>
              <w:t>年产100万平方石墨烯</w:t>
            </w:r>
          </w:p>
        </w:tc>
        <w:tc>
          <w:tcPr>
            <w:tcW w:w="784" w:type="pct"/>
            <w:vAlign w:val="center"/>
          </w:tcPr>
          <w:p>
            <w:pPr>
              <w:pStyle w:val="63"/>
            </w:pPr>
            <w:r>
              <w:rPr>
                <w:rFonts w:hint="eastAsia"/>
              </w:rPr>
              <w:t>2188</w:t>
            </w:r>
          </w:p>
        </w:tc>
        <w:tc>
          <w:tcPr>
            <w:tcW w:w="1017" w:type="pct"/>
            <w:vAlign w:val="center"/>
          </w:tcPr>
          <w:p>
            <w:pPr>
              <w:pStyle w:val="63"/>
            </w:pPr>
            <w:r>
              <w:rPr>
                <w:rFonts w:hint="eastAsia"/>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资兴市弘电电子科技有限公司</w:t>
            </w:r>
          </w:p>
        </w:tc>
        <w:tc>
          <w:tcPr>
            <w:tcW w:w="2146" w:type="pct"/>
            <w:vAlign w:val="center"/>
          </w:tcPr>
          <w:p>
            <w:pPr>
              <w:pStyle w:val="63"/>
            </w:pPr>
            <w:r>
              <w:rPr>
                <w:rFonts w:hint="eastAsia"/>
              </w:rPr>
              <w:t>年产3600万件线圈</w:t>
            </w:r>
          </w:p>
        </w:tc>
        <w:tc>
          <w:tcPr>
            <w:tcW w:w="784" w:type="pct"/>
            <w:vAlign w:val="center"/>
          </w:tcPr>
          <w:p>
            <w:pPr>
              <w:pStyle w:val="63"/>
            </w:pPr>
            <w:r>
              <w:rPr>
                <w:rFonts w:hint="eastAsia"/>
              </w:rPr>
              <w:t>1170</w:t>
            </w:r>
          </w:p>
        </w:tc>
        <w:tc>
          <w:tcPr>
            <w:tcW w:w="1017" w:type="pct"/>
            <w:vAlign w:val="center"/>
          </w:tcPr>
          <w:p>
            <w:pPr>
              <w:pStyle w:val="63"/>
            </w:pPr>
            <w:r>
              <w:rPr>
                <w:rFonts w:hint="eastAsia"/>
              </w:rPr>
              <w:t>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资兴市鼎晟电子科技有限公司</w:t>
            </w:r>
          </w:p>
        </w:tc>
        <w:tc>
          <w:tcPr>
            <w:tcW w:w="2146" w:type="pct"/>
            <w:vAlign w:val="center"/>
          </w:tcPr>
          <w:p>
            <w:pPr>
              <w:pStyle w:val="63"/>
            </w:pPr>
            <w:r>
              <w:rPr>
                <w:rFonts w:hint="eastAsia"/>
              </w:rPr>
              <w:t>年产3000万件音响配件</w:t>
            </w:r>
          </w:p>
        </w:tc>
        <w:tc>
          <w:tcPr>
            <w:tcW w:w="784" w:type="pct"/>
            <w:vAlign w:val="center"/>
          </w:tcPr>
          <w:p>
            <w:pPr>
              <w:pStyle w:val="63"/>
            </w:pPr>
            <w:r>
              <w:rPr>
                <w:rFonts w:hint="eastAsia"/>
              </w:rPr>
              <w:t>4363</w:t>
            </w:r>
          </w:p>
        </w:tc>
        <w:tc>
          <w:tcPr>
            <w:tcW w:w="1017" w:type="pct"/>
            <w:vAlign w:val="center"/>
          </w:tcPr>
          <w:p>
            <w:pPr>
              <w:pStyle w:val="63"/>
            </w:pPr>
            <w:r>
              <w:rPr>
                <w:rFonts w:hint="eastAsia"/>
              </w:rPr>
              <w:t>9921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湖南兴祥泰电子有限公司</w:t>
            </w:r>
          </w:p>
        </w:tc>
        <w:tc>
          <w:tcPr>
            <w:tcW w:w="2146" w:type="pct"/>
            <w:vAlign w:val="center"/>
          </w:tcPr>
          <w:p>
            <w:pPr>
              <w:pStyle w:val="63"/>
            </w:pPr>
            <w:r>
              <w:rPr>
                <w:rFonts w:hint="eastAsia"/>
              </w:rPr>
              <w:t>年加工6000万条LED连接线</w:t>
            </w:r>
          </w:p>
        </w:tc>
        <w:tc>
          <w:tcPr>
            <w:tcW w:w="784" w:type="pct"/>
            <w:vAlign w:val="center"/>
          </w:tcPr>
          <w:p>
            <w:pPr>
              <w:pStyle w:val="63"/>
            </w:pPr>
            <w:r>
              <w:rPr>
                <w:rFonts w:hint="eastAsia"/>
              </w:rPr>
              <w:t>2067</w:t>
            </w:r>
          </w:p>
        </w:tc>
        <w:tc>
          <w:tcPr>
            <w:tcW w:w="1017" w:type="pct"/>
            <w:vAlign w:val="center"/>
          </w:tcPr>
          <w:p>
            <w:pPr>
              <w:pStyle w:val="63"/>
            </w:pPr>
            <w:r>
              <w:rPr>
                <w:rFonts w:hint="eastAsia"/>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郴州市海晟电子科技有限公司</w:t>
            </w:r>
          </w:p>
        </w:tc>
        <w:tc>
          <w:tcPr>
            <w:tcW w:w="2146" w:type="pct"/>
            <w:vAlign w:val="center"/>
          </w:tcPr>
          <w:p>
            <w:pPr>
              <w:pStyle w:val="63"/>
            </w:pPr>
            <w:r>
              <w:rPr>
                <w:rFonts w:hint="eastAsia"/>
              </w:rPr>
              <w:t>年产10万台3D高清投影仪</w:t>
            </w:r>
          </w:p>
        </w:tc>
        <w:tc>
          <w:tcPr>
            <w:tcW w:w="784" w:type="pct"/>
            <w:vAlign w:val="center"/>
          </w:tcPr>
          <w:p>
            <w:pPr>
              <w:pStyle w:val="63"/>
            </w:pPr>
            <w:r>
              <w:rPr>
                <w:rFonts w:hint="eastAsia"/>
              </w:rPr>
              <w:t>48960</w:t>
            </w:r>
          </w:p>
        </w:tc>
        <w:tc>
          <w:tcPr>
            <w:tcW w:w="1017" w:type="pct"/>
            <w:vAlign w:val="center"/>
          </w:tcPr>
          <w:p>
            <w:pPr>
              <w:pStyle w:val="63"/>
            </w:pPr>
            <w:r>
              <w:rPr>
                <w:rFonts w:hint="eastAsia"/>
              </w:rPr>
              <w:t>19125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汝城辉腾电子科技有限公司</w:t>
            </w:r>
          </w:p>
        </w:tc>
        <w:tc>
          <w:tcPr>
            <w:tcW w:w="2146" w:type="pct"/>
            <w:vAlign w:val="center"/>
          </w:tcPr>
          <w:p>
            <w:pPr>
              <w:pStyle w:val="63"/>
            </w:pPr>
            <w:r>
              <w:rPr>
                <w:rFonts w:hint="eastAsia"/>
              </w:rPr>
              <w:t>年生产200万个蓝牙耳机及200万个充电盒</w:t>
            </w:r>
          </w:p>
        </w:tc>
        <w:tc>
          <w:tcPr>
            <w:tcW w:w="784" w:type="pct"/>
            <w:vAlign w:val="center"/>
          </w:tcPr>
          <w:p>
            <w:pPr>
              <w:pStyle w:val="63"/>
            </w:pPr>
            <w:r>
              <w:rPr>
                <w:rFonts w:hint="eastAsia"/>
              </w:rPr>
              <w:t>20758</w:t>
            </w:r>
          </w:p>
        </w:tc>
        <w:tc>
          <w:tcPr>
            <w:tcW w:w="1017" w:type="pct"/>
            <w:vAlign w:val="center"/>
          </w:tcPr>
          <w:p>
            <w:pPr>
              <w:pStyle w:val="63"/>
            </w:pPr>
            <w:r>
              <w:rPr>
                <w:rFonts w:hint="eastAsia"/>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4" w:type="pct"/>
            <w:vAlign w:val="center"/>
          </w:tcPr>
          <w:p>
            <w:pPr>
              <w:pStyle w:val="63"/>
            </w:pPr>
            <w:r>
              <w:rPr>
                <w:rFonts w:hint="eastAsia"/>
              </w:rPr>
              <w:t>汝城县瑞锋电子有限公司</w:t>
            </w:r>
          </w:p>
        </w:tc>
        <w:tc>
          <w:tcPr>
            <w:tcW w:w="2146" w:type="pct"/>
            <w:vAlign w:val="center"/>
          </w:tcPr>
          <w:p>
            <w:pPr>
              <w:pStyle w:val="63"/>
            </w:pPr>
            <w:r>
              <w:rPr>
                <w:rFonts w:hint="eastAsia"/>
              </w:rPr>
              <w:t>年生产100万个喇叭及60万个喇叭模组</w:t>
            </w:r>
          </w:p>
        </w:tc>
        <w:tc>
          <w:tcPr>
            <w:tcW w:w="784" w:type="pct"/>
            <w:vAlign w:val="center"/>
          </w:tcPr>
          <w:p>
            <w:pPr>
              <w:pStyle w:val="63"/>
            </w:pPr>
            <w:r>
              <w:rPr>
                <w:rFonts w:hint="eastAsia"/>
              </w:rPr>
              <w:t>1200</w:t>
            </w:r>
          </w:p>
        </w:tc>
        <w:tc>
          <w:tcPr>
            <w:tcW w:w="1017" w:type="pct"/>
            <w:vAlign w:val="center"/>
          </w:tcPr>
          <w:p>
            <w:pPr>
              <w:pStyle w:val="63"/>
            </w:pPr>
            <w:r>
              <w:rPr>
                <w:rFonts w:hint="eastAsia"/>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1054" w:type="pct"/>
            <w:vAlign w:val="center"/>
          </w:tcPr>
          <w:p>
            <w:pPr>
              <w:pStyle w:val="63"/>
            </w:pPr>
            <w:r>
              <w:rPr>
                <w:rFonts w:hint="eastAsia"/>
              </w:rPr>
              <w:t>湖南斗禾智能电器有限公司</w:t>
            </w:r>
          </w:p>
        </w:tc>
        <w:tc>
          <w:tcPr>
            <w:tcW w:w="2146" w:type="pct"/>
            <w:vAlign w:val="center"/>
          </w:tcPr>
          <w:p>
            <w:pPr>
              <w:pStyle w:val="63"/>
            </w:pPr>
            <w:r>
              <w:rPr>
                <w:rFonts w:hint="eastAsia"/>
              </w:rPr>
              <w:t>年产除湿机200万件、年产电蚊拍200万件、年产空调扇100万件、年产灭蚊器100万件、年产取暖器300万件、年产加湿器100万件、年产电暖器100万件、年产空气净化器100万件、年产驱蚊器100万件、产饭盒50万件、年产烤牛排机100万件、年产植物生长灯50万件</w:t>
            </w:r>
          </w:p>
        </w:tc>
        <w:tc>
          <w:tcPr>
            <w:tcW w:w="784" w:type="pct"/>
            <w:vAlign w:val="center"/>
          </w:tcPr>
          <w:p>
            <w:pPr>
              <w:pStyle w:val="63"/>
            </w:pPr>
            <w:r>
              <w:rPr>
                <w:rFonts w:hint="eastAsia"/>
              </w:rPr>
              <w:t>34809</w:t>
            </w:r>
          </w:p>
        </w:tc>
        <w:tc>
          <w:tcPr>
            <w:tcW w:w="1017" w:type="pct"/>
            <w:vAlign w:val="center"/>
          </w:tcPr>
          <w:p>
            <w:pPr>
              <w:pStyle w:val="63"/>
            </w:pPr>
            <w:r>
              <w:rPr>
                <w:rFonts w:hint="eastAsia"/>
              </w:rPr>
              <w:t>3936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200" w:type="pct"/>
            <w:gridSpan w:val="2"/>
            <w:vAlign w:val="center"/>
          </w:tcPr>
          <w:p>
            <w:pPr>
              <w:pStyle w:val="63"/>
            </w:pPr>
            <w:r>
              <w:rPr>
                <w:rFonts w:hint="eastAsia"/>
              </w:rPr>
              <w:t>合计</w:t>
            </w:r>
          </w:p>
        </w:tc>
        <w:tc>
          <w:tcPr>
            <w:tcW w:w="784" w:type="pct"/>
            <w:noWrap/>
            <w:vAlign w:val="center"/>
          </w:tcPr>
          <w:p>
            <w:pPr>
              <w:pStyle w:val="63"/>
            </w:pPr>
            <w:r>
              <w:rPr>
                <w:rFonts w:hint="eastAsia"/>
              </w:rPr>
              <w:t>118095</w:t>
            </w:r>
          </w:p>
        </w:tc>
        <w:tc>
          <w:tcPr>
            <w:tcW w:w="1017" w:type="pct"/>
            <w:noWrap/>
            <w:vAlign w:val="center"/>
          </w:tcPr>
          <w:p>
            <w:pPr>
              <w:pStyle w:val="63"/>
            </w:pPr>
            <w:r>
              <w:rPr>
                <w:rFonts w:hint="eastAsia"/>
              </w:rPr>
              <w:t>70657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200" w:type="pct"/>
            <w:gridSpan w:val="2"/>
            <w:noWrap/>
            <w:vAlign w:val="center"/>
          </w:tcPr>
          <w:p>
            <w:pPr>
              <w:pStyle w:val="63"/>
            </w:pPr>
            <w:r>
              <w:rPr>
                <w:rFonts w:hint="eastAsia"/>
              </w:rPr>
              <w:t>单位面积排污系数（t/a.hm2）</w:t>
            </w:r>
          </w:p>
        </w:tc>
        <w:tc>
          <w:tcPr>
            <w:tcW w:w="784" w:type="pct"/>
            <w:noWrap/>
            <w:vAlign w:val="center"/>
          </w:tcPr>
          <w:p>
            <w:pPr>
              <w:pStyle w:val="63"/>
            </w:pPr>
            <w:r>
              <w:rPr>
                <w:rFonts w:hint="eastAsia"/>
              </w:rPr>
              <w:t>/</w:t>
            </w:r>
          </w:p>
        </w:tc>
        <w:tc>
          <w:tcPr>
            <w:tcW w:w="1017" w:type="pct"/>
            <w:noWrap/>
            <w:vAlign w:val="center"/>
          </w:tcPr>
          <w:p>
            <w:pPr>
              <w:pStyle w:val="63"/>
            </w:pPr>
            <w:r>
              <w:rPr>
                <w:rFonts w:hint="eastAsia"/>
              </w:rPr>
              <w:t>5983.07</w:t>
            </w:r>
          </w:p>
        </w:tc>
      </w:tr>
    </w:tbl>
    <w:p>
      <w:pPr>
        <w:pStyle w:val="6"/>
      </w:pPr>
      <w:r>
        <w:rPr>
          <w:rFonts w:hint="eastAsia"/>
        </w:rPr>
        <w:t>表</w:t>
      </w:r>
      <w:r>
        <w:t xml:space="preserve">6.1-3  </w:t>
      </w:r>
      <w:r>
        <w:rPr>
          <w:rFonts w:hint="eastAsia"/>
        </w:rPr>
        <w:t>滨江片区绿色化工产业园工业用地废水排放系数</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82"/>
        <w:gridCol w:w="3220"/>
        <w:gridCol w:w="2126"/>
        <w:gridCol w:w="3260"/>
        <w:gridCol w:w="2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052" w:type="pct"/>
            <w:shd w:val="clear" w:color="auto" w:fill="auto"/>
            <w:vAlign w:val="center"/>
          </w:tcPr>
          <w:p>
            <w:pPr>
              <w:pStyle w:val="63"/>
            </w:pPr>
            <w:r>
              <w:rPr>
                <w:rFonts w:hint="eastAsia"/>
              </w:rPr>
              <w:t>污染物种类</w:t>
            </w:r>
          </w:p>
        </w:tc>
        <w:tc>
          <w:tcPr>
            <w:tcW w:w="1136" w:type="pct"/>
            <w:shd w:val="clear" w:color="auto" w:fill="auto"/>
            <w:vAlign w:val="center"/>
          </w:tcPr>
          <w:p>
            <w:pPr>
              <w:pStyle w:val="63"/>
            </w:pPr>
            <w:r>
              <w:rPr>
                <w:rFonts w:hint="eastAsia"/>
              </w:rPr>
              <w:t>岳阳</w:t>
            </w:r>
            <w:r>
              <w:t>绿色化工产业园</w:t>
            </w:r>
            <w:r>
              <w:rPr>
                <w:rFonts w:hint="eastAsia"/>
              </w:rPr>
              <w:t>云溪片区</w:t>
            </w:r>
          </w:p>
        </w:tc>
        <w:tc>
          <w:tcPr>
            <w:tcW w:w="750" w:type="pct"/>
            <w:vAlign w:val="center"/>
          </w:tcPr>
          <w:p>
            <w:pPr>
              <w:pStyle w:val="63"/>
            </w:pPr>
            <w:r>
              <w:rPr>
                <w:rFonts w:hint="eastAsia"/>
              </w:rPr>
              <w:t>污染物种类</w:t>
            </w:r>
          </w:p>
        </w:tc>
        <w:tc>
          <w:tcPr>
            <w:tcW w:w="1150" w:type="pct"/>
            <w:vAlign w:val="center"/>
          </w:tcPr>
          <w:p>
            <w:pPr>
              <w:pStyle w:val="63"/>
            </w:pPr>
            <w:r>
              <w:rPr>
                <w:rFonts w:hint="eastAsia"/>
              </w:rPr>
              <w:t>岳阳</w:t>
            </w:r>
            <w:r>
              <w:t>绿色化工产业园</w:t>
            </w:r>
            <w:r>
              <w:rPr>
                <w:rFonts w:hint="eastAsia"/>
              </w:rPr>
              <w:t>长岭片区</w:t>
            </w:r>
          </w:p>
        </w:tc>
        <w:tc>
          <w:tcPr>
            <w:tcW w:w="912" w:type="pct"/>
            <w:vAlign w:val="center"/>
          </w:tcPr>
          <w:p>
            <w:pPr>
              <w:pStyle w:val="63"/>
            </w:pPr>
            <w:r>
              <w:rPr>
                <w:rFonts w:hint="eastAsia"/>
              </w:rPr>
              <w:t>滨江片区绿色化工产业园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052" w:type="pct"/>
            <w:shd w:val="clear" w:color="auto" w:fill="auto"/>
            <w:vAlign w:val="center"/>
          </w:tcPr>
          <w:p>
            <w:pPr>
              <w:pStyle w:val="63"/>
            </w:pPr>
            <w:r>
              <w:rPr>
                <w:rFonts w:hint="eastAsia"/>
              </w:rPr>
              <w:t>已开发工业用地面积（</w:t>
            </w:r>
            <w:r>
              <w:t>hm2</w:t>
            </w:r>
            <w:r>
              <w:rPr>
                <w:rFonts w:hint="eastAsia"/>
              </w:rPr>
              <w:t>）</w:t>
            </w:r>
          </w:p>
        </w:tc>
        <w:tc>
          <w:tcPr>
            <w:tcW w:w="1136" w:type="pct"/>
            <w:shd w:val="clear" w:color="auto" w:fill="auto"/>
            <w:vAlign w:val="center"/>
          </w:tcPr>
          <w:p>
            <w:pPr>
              <w:pStyle w:val="63"/>
            </w:pPr>
            <w:r>
              <w:t>339.18</w:t>
            </w:r>
            <w:r>
              <w:rPr>
                <w:rFonts w:hint="eastAsia"/>
              </w:rPr>
              <w:t>（扣除己内酰胺项目）</w:t>
            </w:r>
          </w:p>
        </w:tc>
        <w:tc>
          <w:tcPr>
            <w:tcW w:w="750" w:type="pct"/>
            <w:vAlign w:val="center"/>
          </w:tcPr>
          <w:p>
            <w:pPr>
              <w:pStyle w:val="63"/>
            </w:pPr>
            <w:r>
              <w:rPr>
                <w:rFonts w:hint="eastAsia"/>
              </w:rPr>
              <w:t>已开发工业用地面积（</w:t>
            </w:r>
            <w:r>
              <w:t>hm2</w:t>
            </w:r>
            <w:r>
              <w:rPr>
                <w:rFonts w:hint="eastAsia"/>
              </w:rPr>
              <w:t>）</w:t>
            </w:r>
          </w:p>
        </w:tc>
        <w:tc>
          <w:tcPr>
            <w:tcW w:w="1150" w:type="pct"/>
            <w:vAlign w:val="center"/>
          </w:tcPr>
          <w:p>
            <w:pPr>
              <w:pStyle w:val="63"/>
            </w:pPr>
            <w:r>
              <w:t>93.06</w:t>
            </w:r>
            <w:r>
              <w:rPr>
                <w:rFonts w:hint="eastAsia"/>
              </w:rPr>
              <w:t>（扣除长练公司和长岭催化剂厂等）</w:t>
            </w:r>
          </w:p>
        </w:tc>
        <w:tc>
          <w:tcPr>
            <w:tcW w:w="912" w:type="pct"/>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052" w:type="pct"/>
            <w:shd w:val="clear" w:color="auto" w:fill="auto"/>
            <w:vAlign w:val="center"/>
          </w:tcPr>
          <w:p>
            <w:pPr>
              <w:pStyle w:val="63"/>
            </w:pPr>
            <w:r>
              <w:rPr>
                <w:rFonts w:hint="eastAsia"/>
              </w:rPr>
              <w:t>工业废水量（</w:t>
            </w:r>
            <w:r>
              <w:t>m3/a</w:t>
            </w:r>
            <w:r>
              <w:rPr>
                <w:rFonts w:hint="eastAsia"/>
              </w:rPr>
              <w:t>）</w:t>
            </w:r>
          </w:p>
        </w:tc>
        <w:tc>
          <w:tcPr>
            <w:tcW w:w="1136" w:type="pct"/>
            <w:shd w:val="clear" w:color="auto" w:fill="auto"/>
            <w:vAlign w:val="center"/>
          </w:tcPr>
          <w:p>
            <w:pPr>
              <w:pStyle w:val="63"/>
            </w:pPr>
            <w:r>
              <w:t>2190000</w:t>
            </w:r>
          </w:p>
        </w:tc>
        <w:tc>
          <w:tcPr>
            <w:tcW w:w="750" w:type="pct"/>
            <w:vAlign w:val="center"/>
          </w:tcPr>
          <w:p>
            <w:pPr>
              <w:pStyle w:val="63"/>
            </w:pPr>
            <w:r>
              <w:rPr>
                <w:rFonts w:hint="eastAsia"/>
              </w:rPr>
              <w:t>工业废水量（</w:t>
            </w:r>
            <w:r>
              <w:t>m3/a</w:t>
            </w:r>
            <w:r>
              <w:rPr>
                <w:rFonts w:hint="eastAsia"/>
              </w:rPr>
              <w:t>）</w:t>
            </w:r>
          </w:p>
        </w:tc>
        <w:tc>
          <w:tcPr>
            <w:tcW w:w="1150" w:type="pct"/>
            <w:vAlign w:val="center"/>
          </w:tcPr>
          <w:p>
            <w:pPr>
              <w:pStyle w:val="63"/>
            </w:pPr>
            <w:r>
              <w:t>441124</w:t>
            </w:r>
          </w:p>
        </w:tc>
        <w:tc>
          <w:tcPr>
            <w:tcW w:w="912" w:type="pct"/>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052" w:type="pct"/>
            <w:shd w:val="clear" w:color="auto" w:fill="auto"/>
            <w:vAlign w:val="center"/>
          </w:tcPr>
          <w:p>
            <w:pPr>
              <w:pStyle w:val="63"/>
            </w:pPr>
            <w:r>
              <w:rPr>
                <w:rFonts w:hint="eastAsia"/>
              </w:rPr>
              <w:t>单位面积工业废水排放量（</w:t>
            </w:r>
            <w:r>
              <w:t>m3/hm2•a</w:t>
            </w:r>
            <w:r>
              <w:rPr>
                <w:rFonts w:hint="eastAsia"/>
              </w:rPr>
              <w:t>）</w:t>
            </w:r>
          </w:p>
        </w:tc>
        <w:tc>
          <w:tcPr>
            <w:tcW w:w="1136" w:type="pct"/>
            <w:shd w:val="clear" w:color="auto" w:fill="auto"/>
            <w:vAlign w:val="center"/>
          </w:tcPr>
          <w:p>
            <w:pPr>
              <w:pStyle w:val="63"/>
            </w:pPr>
            <w:r>
              <w:t>6457</w:t>
            </w:r>
          </w:p>
        </w:tc>
        <w:tc>
          <w:tcPr>
            <w:tcW w:w="750" w:type="pct"/>
            <w:vAlign w:val="center"/>
          </w:tcPr>
          <w:p>
            <w:pPr>
              <w:pStyle w:val="63"/>
            </w:pPr>
            <w:r>
              <w:rPr>
                <w:rFonts w:hint="eastAsia"/>
              </w:rPr>
              <w:t>单位面积工业废水排放量（</w:t>
            </w:r>
            <w:r>
              <w:t>m3/hm2•a</w:t>
            </w:r>
            <w:r>
              <w:rPr>
                <w:rFonts w:hint="eastAsia"/>
              </w:rPr>
              <w:t>）</w:t>
            </w:r>
          </w:p>
        </w:tc>
        <w:tc>
          <w:tcPr>
            <w:tcW w:w="1150" w:type="pct"/>
            <w:vAlign w:val="center"/>
          </w:tcPr>
          <w:p>
            <w:pPr>
              <w:pStyle w:val="63"/>
            </w:pPr>
            <w:r>
              <w:t>4740</w:t>
            </w:r>
          </w:p>
        </w:tc>
        <w:tc>
          <w:tcPr>
            <w:tcW w:w="912" w:type="pct"/>
            <w:vAlign w:val="center"/>
          </w:tcPr>
          <w:p>
            <w:pPr>
              <w:pStyle w:val="63"/>
            </w:pPr>
            <w:r>
              <w:t>5598.5</w:t>
            </w:r>
          </w:p>
        </w:tc>
      </w:tr>
    </w:tbl>
    <w:p>
      <w:pPr>
        <w:pStyle w:val="6"/>
      </w:pPr>
      <w:r>
        <w:rPr>
          <w:rFonts w:hint="eastAsia"/>
        </w:rPr>
        <w:t>表6.1-4  滨江片区工业废水排放</w:t>
      </w:r>
      <w:r>
        <w:t>情况</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46"/>
        <w:gridCol w:w="2163"/>
        <w:gridCol w:w="2489"/>
        <w:gridCol w:w="3546"/>
        <w:gridCol w:w="1556"/>
        <w:gridCol w:w="18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pct"/>
            <w:gridSpan w:val="2"/>
            <w:vMerge w:val="restart"/>
            <w:shd w:val="clear" w:color="auto" w:fill="auto"/>
            <w:vAlign w:val="center"/>
          </w:tcPr>
          <w:p>
            <w:pPr>
              <w:pStyle w:val="63"/>
            </w:pPr>
            <w:r>
              <w:rPr>
                <w:rFonts w:hint="eastAsia"/>
              </w:rPr>
              <w:t>片区</w:t>
            </w:r>
          </w:p>
        </w:tc>
        <w:tc>
          <w:tcPr>
            <w:tcW w:w="878" w:type="pct"/>
            <w:vMerge w:val="restart"/>
            <w:shd w:val="clear" w:color="auto" w:fill="auto"/>
            <w:vAlign w:val="center"/>
          </w:tcPr>
          <w:p>
            <w:pPr>
              <w:pStyle w:val="63"/>
            </w:pPr>
            <w:r>
              <w:rPr>
                <w:rFonts w:hint="eastAsia"/>
              </w:rPr>
              <w:t>单位面积工业废水排放系数（m3/hm2•a）</w:t>
            </w:r>
          </w:p>
        </w:tc>
        <w:tc>
          <w:tcPr>
            <w:tcW w:w="1251" w:type="pct"/>
            <w:vMerge w:val="restart"/>
            <w:shd w:val="clear" w:color="auto" w:fill="auto"/>
            <w:vAlign w:val="center"/>
          </w:tcPr>
          <w:p>
            <w:pPr>
              <w:pStyle w:val="63"/>
            </w:pPr>
            <w:r>
              <w:rPr>
                <w:rFonts w:hint="eastAsia"/>
              </w:rPr>
              <w:t>规划工业用地（hm2）</w:t>
            </w:r>
          </w:p>
        </w:tc>
        <w:tc>
          <w:tcPr>
            <w:tcW w:w="1210" w:type="pct"/>
            <w:gridSpan w:val="2"/>
            <w:shd w:val="clear" w:color="auto" w:fill="auto"/>
            <w:vAlign w:val="center"/>
          </w:tcPr>
          <w:p>
            <w:pPr>
              <w:pStyle w:val="63"/>
            </w:pPr>
            <w:r>
              <w:rPr>
                <w:rFonts w:hint="eastAsia"/>
              </w:rPr>
              <w:t>排水量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pct"/>
            <w:gridSpan w:val="2"/>
            <w:vMerge w:val="continue"/>
            <w:vAlign w:val="center"/>
          </w:tcPr>
          <w:p>
            <w:pPr>
              <w:pStyle w:val="63"/>
            </w:pPr>
          </w:p>
        </w:tc>
        <w:tc>
          <w:tcPr>
            <w:tcW w:w="878" w:type="pct"/>
            <w:vMerge w:val="continue"/>
            <w:vAlign w:val="center"/>
          </w:tcPr>
          <w:p>
            <w:pPr>
              <w:pStyle w:val="63"/>
            </w:pPr>
          </w:p>
        </w:tc>
        <w:tc>
          <w:tcPr>
            <w:tcW w:w="1251" w:type="pct"/>
            <w:vMerge w:val="continue"/>
            <w:vAlign w:val="center"/>
          </w:tcPr>
          <w:p>
            <w:pPr>
              <w:pStyle w:val="63"/>
            </w:pPr>
          </w:p>
        </w:tc>
        <w:tc>
          <w:tcPr>
            <w:tcW w:w="549" w:type="pct"/>
            <w:shd w:val="clear" w:color="auto" w:fill="auto"/>
            <w:vAlign w:val="center"/>
          </w:tcPr>
          <w:p>
            <w:pPr>
              <w:pStyle w:val="63"/>
            </w:pPr>
            <w:r>
              <w:rPr>
                <w:rFonts w:hint="eastAsia"/>
              </w:rPr>
              <w:t>m3/d</w:t>
            </w:r>
          </w:p>
        </w:tc>
        <w:tc>
          <w:tcPr>
            <w:tcW w:w="661" w:type="pct"/>
            <w:shd w:val="clear" w:color="auto" w:fill="auto"/>
            <w:vAlign w:val="center"/>
          </w:tcPr>
          <w:p>
            <w:pPr>
              <w:pStyle w:val="63"/>
            </w:pPr>
            <w:r>
              <w:rPr>
                <w:rFonts w:hint="eastAsia"/>
              </w:rPr>
              <w:t>万m3/a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pct"/>
            <w:vMerge w:val="restart"/>
            <w:shd w:val="clear" w:color="auto" w:fill="auto"/>
            <w:vAlign w:val="center"/>
          </w:tcPr>
          <w:p>
            <w:pPr>
              <w:pStyle w:val="63"/>
            </w:pPr>
            <w:r>
              <w:rPr>
                <w:rFonts w:hint="eastAsia"/>
              </w:rPr>
              <w:t>滨江片区</w:t>
            </w:r>
          </w:p>
        </w:tc>
        <w:tc>
          <w:tcPr>
            <w:tcW w:w="763" w:type="pct"/>
            <w:shd w:val="clear" w:color="auto" w:fill="auto"/>
            <w:vAlign w:val="center"/>
          </w:tcPr>
          <w:p>
            <w:pPr>
              <w:pStyle w:val="63"/>
            </w:pPr>
            <w:r>
              <w:rPr>
                <w:rFonts w:hint="eastAsia"/>
              </w:rPr>
              <w:t>中非工贸产业园</w:t>
            </w:r>
          </w:p>
        </w:tc>
        <w:tc>
          <w:tcPr>
            <w:tcW w:w="878" w:type="pct"/>
            <w:shd w:val="clear" w:color="auto" w:fill="auto"/>
            <w:vAlign w:val="center"/>
          </w:tcPr>
          <w:p>
            <w:pPr>
              <w:pStyle w:val="63"/>
            </w:pPr>
            <w:r>
              <w:rPr>
                <w:rFonts w:hint="eastAsia"/>
              </w:rPr>
              <w:t>3058.65</w:t>
            </w:r>
          </w:p>
        </w:tc>
        <w:tc>
          <w:tcPr>
            <w:tcW w:w="1251" w:type="pct"/>
            <w:shd w:val="clear" w:color="auto" w:fill="auto"/>
            <w:vAlign w:val="center"/>
          </w:tcPr>
          <w:p>
            <w:pPr>
              <w:pStyle w:val="63"/>
            </w:pPr>
            <w:r>
              <w:rPr>
                <w:rFonts w:hint="eastAsia"/>
              </w:rPr>
              <w:t>194.97</w:t>
            </w:r>
          </w:p>
        </w:tc>
        <w:tc>
          <w:tcPr>
            <w:tcW w:w="549" w:type="pct"/>
            <w:shd w:val="clear" w:color="auto" w:fill="auto"/>
            <w:vAlign w:val="center"/>
          </w:tcPr>
          <w:p>
            <w:pPr>
              <w:pStyle w:val="63"/>
            </w:pPr>
            <w:r>
              <w:rPr>
                <w:rFonts w:hint="eastAsia"/>
              </w:rPr>
              <w:t>1807</w:t>
            </w:r>
          </w:p>
        </w:tc>
        <w:tc>
          <w:tcPr>
            <w:tcW w:w="661" w:type="pct"/>
            <w:shd w:val="clear" w:color="auto" w:fill="auto"/>
            <w:vAlign w:val="center"/>
          </w:tcPr>
          <w:p>
            <w:pPr>
              <w:pStyle w:val="63"/>
            </w:pPr>
            <w:r>
              <w:rPr>
                <w:rFonts w:hint="eastAsia"/>
              </w:rPr>
              <w:t>59.63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pct"/>
            <w:vMerge w:val="continue"/>
            <w:vAlign w:val="center"/>
          </w:tcPr>
          <w:p>
            <w:pPr>
              <w:pStyle w:val="63"/>
            </w:pPr>
          </w:p>
        </w:tc>
        <w:tc>
          <w:tcPr>
            <w:tcW w:w="763" w:type="pct"/>
            <w:shd w:val="clear" w:color="auto" w:fill="auto"/>
            <w:vAlign w:val="center"/>
          </w:tcPr>
          <w:p>
            <w:pPr>
              <w:pStyle w:val="63"/>
            </w:pPr>
            <w:r>
              <w:rPr>
                <w:rFonts w:hint="eastAsia"/>
              </w:rPr>
              <w:t>加工制造产业园</w:t>
            </w:r>
          </w:p>
        </w:tc>
        <w:tc>
          <w:tcPr>
            <w:tcW w:w="878" w:type="pct"/>
            <w:shd w:val="clear" w:color="auto" w:fill="auto"/>
            <w:vAlign w:val="center"/>
          </w:tcPr>
          <w:p>
            <w:pPr>
              <w:pStyle w:val="63"/>
            </w:pPr>
            <w:r>
              <w:rPr>
                <w:rFonts w:hint="eastAsia"/>
              </w:rPr>
              <w:t>5983.07</w:t>
            </w:r>
          </w:p>
        </w:tc>
        <w:tc>
          <w:tcPr>
            <w:tcW w:w="1251" w:type="pct"/>
            <w:shd w:val="clear" w:color="auto" w:fill="auto"/>
            <w:vAlign w:val="center"/>
          </w:tcPr>
          <w:p>
            <w:pPr>
              <w:pStyle w:val="63"/>
            </w:pPr>
            <w:r>
              <w:rPr>
                <w:rFonts w:hint="eastAsia"/>
              </w:rPr>
              <w:t>32.56</w:t>
            </w:r>
          </w:p>
        </w:tc>
        <w:tc>
          <w:tcPr>
            <w:tcW w:w="549" w:type="pct"/>
            <w:shd w:val="clear" w:color="auto" w:fill="auto"/>
            <w:vAlign w:val="center"/>
          </w:tcPr>
          <w:p>
            <w:pPr>
              <w:pStyle w:val="63"/>
            </w:pPr>
            <w:r>
              <w:rPr>
                <w:rFonts w:hint="eastAsia"/>
              </w:rPr>
              <w:t>590</w:t>
            </w:r>
          </w:p>
        </w:tc>
        <w:tc>
          <w:tcPr>
            <w:tcW w:w="661" w:type="pct"/>
            <w:shd w:val="clear" w:color="auto" w:fill="auto"/>
            <w:vAlign w:val="center"/>
          </w:tcPr>
          <w:p>
            <w:pPr>
              <w:pStyle w:val="63"/>
            </w:pPr>
            <w:r>
              <w:rPr>
                <w:rFonts w:hint="eastAsia"/>
              </w:rPr>
              <w:t>19.48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pct"/>
            <w:vMerge w:val="continue"/>
            <w:vAlign w:val="center"/>
          </w:tcPr>
          <w:p>
            <w:pPr>
              <w:pStyle w:val="63"/>
            </w:pPr>
          </w:p>
        </w:tc>
        <w:tc>
          <w:tcPr>
            <w:tcW w:w="763" w:type="pct"/>
            <w:shd w:val="clear" w:color="auto" w:fill="auto"/>
            <w:vAlign w:val="center"/>
          </w:tcPr>
          <w:p>
            <w:pPr>
              <w:pStyle w:val="63"/>
            </w:pPr>
            <w:r>
              <w:rPr>
                <w:rFonts w:hint="eastAsia"/>
              </w:rPr>
              <w:t>绿色化工产业园</w:t>
            </w:r>
          </w:p>
        </w:tc>
        <w:tc>
          <w:tcPr>
            <w:tcW w:w="878" w:type="pct"/>
            <w:shd w:val="clear" w:color="auto" w:fill="auto"/>
            <w:vAlign w:val="center"/>
          </w:tcPr>
          <w:p>
            <w:pPr>
              <w:pStyle w:val="63"/>
            </w:pPr>
            <w:r>
              <w:rPr>
                <w:rFonts w:hint="eastAsia"/>
              </w:rPr>
              <w:t>5598.50</w:t>
            </w:r>
          </w:p>
        </w:tc>
        <w:tc>
          <w:tcPr>
            <w:tcW w:w="1251" w:type="pct"/>
            <w:shd w:val="clear" w:color="auto" w:fill="auto"/>
            <w:vAlign w:val="center"/>
          </w:tcPr>
          <w:p>
            <w:pPr>
              <w:pStyle w:val="63"/>
            </w:pPr>
            <w:r>
              <w:rPr>
                <w:rFonts w:hint="eastAsia"/>
              </w:rPr>
              <w:t>425.32</w:t>
            </w:r>
          </w:p>
        </w:tc>
        <w:tc>
          <w:tcPr>
            <w:tcW w:w="549" w:type="pct"/>
            <w:shd w:val="clear" w:color="auto" w:fill="auto"/>
            <w:vAlign w:val="center"/>
          </w:tcPr>
          <w:p>
            <w:pPr>
              <w:pStyle w:val="63"/>
            </w:pPr>
            <w:r>
              <w:rPr>
                <w:rFonts w:hint="eastAsia"/>
              </w:rPr>
              <w:t>7216</w:t>
            </w:r>
          </w:p>
        </w:tc>
        <w:tc>
          <w:tcPr>
            <w:tcW w:w="661" w:type="pct"/>
            <w:shd w:val="clear" w:color="auto" w:fill="auto"/>
            <w:vAlign w:val="center"/>
          </w:tcPr>
          <w:p>
            <w:pPr>
              <w:pStyle w:val="63"/>
            </w:pPr>
            <w:r>
              <w:rPr>
                <w:rFonts w:hint="eastAsia"/>
              </w:rPr>
              <w:t>238.12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pct"/>
            <w:vMerge w:val="continue"/>
            <w:vAlign w:val="center"/>
          </w:tcPr>
          <w:p>
            <w:pPr>
              <w:pStyle w:val="63"/>
            </w:pPr>
          </w:p>
        </w:tc>
        <w:tc>
          <w:tcPr>
            <w:tcW w:w="763" w:type="pct"/>
            <w:shd w:val="clear" w:color="auto" w:fill="auto"/>
            <w:vAlign w:val="center"/>
          </w:tcPr>
          <w:p>
            <w:pPr>
              <w:pStyle w:val="63"/>
            </w:pPr>
            <w:r>
              <w:rPr>
                <w:rFonts w:hint="eastAsia"/>
              </w:rPr>
              <w:t>小计</w:t>
            </w:r>
          </w:p>
        </w:tc>
        <w:tc>
          <w:tcPr>
            <w:tcW w:w="878" w:type="pct"/>
            <w:shd w:val="clear" w:color="auto" w:fill="auto"/>
            <w:vAlign w:val="center"/>
          </w:tcPr>
          <w:p>
            <w:pPr>
              <w:pStyle w:val="63"/>
            </w:pPr>
            <w:r>
              <w:rPr>
                <w:rFonts w:hint="eastAsia"/>
              </w:rPr>
              <w:t>/</w:t>
            </w:r>
          </w:p>
        </w:tc>
        <w:tc>
          <w:tcPr>
            <w:tcW w:w="1251" w:type="pct"/>
            <w:shd w:val="clear" w:color="auto" w:fill="auto"/>
            <w:vAlign w:val="center"/>
          </w:tcPr>
          <w:p>
            <w:pPr>
              <w:pStyle w:val="63"/>
            </w:pPr>
            <w:r>
              <w:rPr>
                <w:rFonts w:hint="eastAsia"/>
              </w:rPr>
              <w:t>/</w:t>
            </w:r>
          </w:p>
        </w:tc>
        <w:tc>
          <w:tcPr>
            <w:tcW w:w="549" w:type="pct"/>
            <w:shd w:val="clear" w:color="auto" w:fill="auto"/>
            <w:vAlign w:val="center"/>
          </w:tcPr>
          <w:p>
            <w:pPr>
              <w:pStyle w:val="63"/>
            </w:pPr>
            <w:r>
              <w:rPr>
                <w:rFonts w:hint="eastAsia"/>
              </w:rPr>
              <w:t>9613</w:t>
            </w:r>
          </w:p>
        </w:tc>
        <w:tc>
          <w:tcPr>
            <w:tcW w:w="661" w:type="pct"/>
            <w:shd w:val="clear" w:color="auto" w:fill="auto"/>
            <w:vAlign w:val="center"/>
          </w:tcPr>
          <w:p>
            <w:pPr>
              <w:pStyle w:val="63"/>
            </w:pPr>
            <w:r>
              <w:rPr>
                <w:rFonts w:hint="eastAsia"/>
              </w:rPr>
              <w:t>317</w:t>
            </w:r>
          </w:p>
        </w:tc>
      </w:tr>
    </w:tbl>
    <w:p>
      <w:pPr>
        <w:pStyle w:val="6"/>
      </w:pPr>
      <w:r>
        <w:rPr>
          <w:rFonts w:hint="eastAsia"/>
        </w:rPr>
        <w:t>表6.1-5  滨江片区其它</w:t>
      </w:r>
      <w:r>
        <w:t>用地</w:t>
      </w:r>
      <w:r>
        <w:rPr>
          <w:rFonts w:hint="eastAsia"/>
        </w:rPr>
        <w:t>废水排放</w:t>
      </w:r>
      <w:r>
        <w:t>情况</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61"/>
        <w:gridCol w:w="1010"/>
        <w:gridCol w:w="1010"/>
        <w:gridCol w:w="1010"/>
        <w:gridCol w:w="1652"/>
        <w:gridCol w:w="1347"/>
        <w:gridCol w:w="902"/>
        <w:gridCol w:w="899"/>
        <w:gridCol w:w="522"/>
        <w:gridCol w:w="794"/>
        <w:gridCol w:w="615"/>
        <w:gridCol w:w="814"/>
        <w:gridCol w:w="987"/>
        <w:gridCol w:w="757"/>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385" w:type="pct"/>
            <w:vMerge w:val="restart"/>
            <w:shd w:val="clear" w:color="auto" w:fill="auto"/>
            <w:vAlign w:val="center"/>
          </w:tcPr>
          <w:p>
            <w:pPr>
              <w:pStyle w:val="63"/>
            </w:pPr>
            <w:r>
              <w:rPr>
                <w:rFonts w:hint="eastAsia"/>
              </w:rPr>
              <w:t>用地名称</w:t>
            </w:r>
          </w:p>
        </w:tc>
        <w:tc>
          <w:tcPr>
            <w:tcW w:w="350" w:type="pct"/>
            <w:vMerge w:val="restart"/>
            <w:shd w:val="clear" w:color="auto" w:fill="auto"/>
            <w:vAlign w:val="center"/>
          </w:tcPr>
          <w:p>
            <w:pPr>
              <w:pStyle w:val="63"/>
            </w:pPr>
            <w:r>
              <w:rPr>
                <w:rFonts w:hint="eastAsia"/>
              </w:rPr>
              <w:t>中非工贸产业园（</w:t>
            </w:r>
            <w:r>
              <w:t>hm2</w:t>
            </w:r>
            <w:r>
              <w:rPr>
                <w:rFonts w:hint="eastAsia"/>
              </w:rPr>
              <w:t>）</w:t>
            </w:r>
          </w:p>
        </w:tc>
        <w:tc>
          <w:tcPr>
            <w:tcW w:w="350" w:type="pct"/>
            <w:vMerge w:val="restart"/>
            <w:shd w:val="clear" w:color="auto" w:fill="auto"/>
            <w:vAlign w:val="center"/>
          </w:tcPr>
          <w:p>
            <w:pPr>
              <w:pStyle w:val="63"/>
            </w:pPr>
            <w:r>
              <w:rPr>
                <w:rFonts w:hint="eastAsia"/>
              </w:rPr>
              <w:t>加工制造产业园（</w:t>
            </w:r>
            <w:r>
              <w:t>hm2</w:t>
            </w:r>
            <w:r>
              <w:rPr>
                <w:rFonts w:hint="eastAsia"/>
              </w:rPr>
              <w:t>）</w:t>
            </w:r>
          </w:p>
        </w:tc>
        <w:tc>
          <w:tcPr>
            <w:tcW w:w="350" w:type="pct"/>
            <w:vMerge w:val="restart"/>
            <w:shd w:val="clear" w:color="auto" w:fill="auto"/>
            <w:vAlign w:val="center"/>
          </w:tcPr>
          <w:p>
            <w:pPr>
              <w:pStyle w:val="63"/>
            </w:pPr>
            <w:r>
              <w:rPr>
                <w:rFonts w:hint="eastAsia"/>
              </w:rPr>
              <w:t>绿色化工产业园（</w:t>
            </w:r>
            <w:r>
              <w:t>hm2</w:t>
            </w:r>
            <w:r>
              <w:rPr>
                <w:rFonts w:hint="eastAsia"/>
              </w:rPr>
              <w:t>）</w:t>
            </w:r>
          </w:p>
        </w:tc>
        <w:tc>
          <w:tcPr>
            <w:tcW w:w="510" w:type="pct"/>
            <w:vMerge w:val="restart"/>
            <w:shd w:val="clear" w:color="auto" w:fill="auto"/>
            <w:vAlign w:val="center"/>
          </w:tcPr>
          <w:p>
            <w:pPr>
              <w:pStyle w:val="63"/>
            </w:pPr>
            <w:r>
              <w:rPr>
                <w:rFonts w:hint="eastAsia"/>
              </w:rPr>
              <w:t>用水指标（m3/hm2·d）</w:t>
            </w:r>
          </w:p>
        </w:tc>
        <w:tc>
          <w:tcPr>
            <w:tcW w:w="1127" w:type="pct"/>
            <w:gridSpan w:val="3"/>
            <w:shd w:val="clear" w:color="auto" w:fill="auto"/>
            <w:vAlign w:val="center"/>
          </w:tcPr>
          <w:p>
            <w:pPr>
              <w:pStyle w:val="63"/>
            </w:pPr>
            <w:r>
              <w:rPr>
                <w:rFonts w:hint="eastAsia"/>
              </w:rPr>
              <w:t>用水量（</w:t>
            </w:r>
            <w:r>
              <w:t>m3/d</w:t>
            </w:r>
            <w:r>
              <w:rPr>
                <w:rFonts w:hint="eastAsia"/>
              </w:rPr>
              <w:t>）</w:t>
            </w:r>
          </w:p>
        </w:tc>
        <w:tc>
          <w:tcPr>
            <w:tcW w:w="195" w:type="pct"/>
            <w:vMerge w:val="restart"/>
            <w:shd w:val="clear" w:color="auto" w:fill="auto"/>
            <w:vAlign w:val="center"/>
          </w:tcPr>
          <w:p>
            <w:pPr>
              <w:pStyle w:val="63"/>
            </w:pPr>
            <w:r>
              <w:rPr>
                <w:rFonts w:hint="eastAsia"/>
              </w:rPr>
              <w:t>排污系数</w:t>
            </w:r>
          </w:p>
        </w:tc>
        <w:tc>
          <w:tcPr>
            <w:tcW w:w="804" w:type="pct"/>
            <w:gridSpan w:val="3"/>
            <w:shd w:val="clear" w:color="auto" w:fill="auto"/>
            <w:vAlign w:val="center"/>
          </w:tcPr>
          <w:p>
            <w:pPr>
              <w:pStyle w:val="63"/>
            </w:pPr>
            <w:r>
              <w:rPr>
                <w:rFonts w:hint="eastAsia"/>
              </w:rPr>
              <w:t>排水量（</w:t>
            </w:r>
            <w:r>
              <w:t>m3/d</w:t>
            </w:r>
            <w:r>
              <w:rPr>
                <w:rFonts w:hint="eastAsia"/>
              </w:rPr>
              <w:t>）</w:t>
            </w:r>
          </w:p>
        </w:tc>
        <w:tc>
          <w:tcPr>
            <w:tcW w:w="928" w:type="pct"/>
            <w:gridSpan w:val="3"/>
            <w:shd w:val="clear" w:color="auto" w:fill="auto"/>
            <w:vAlign w:val="center"/>
          </w:tcPr>
          <w:p>
            <w:pPr>
              <w:pStyle w:val="63"/>
            </w:pPr>
            <w:r>
              <w:rPr>
                <w:rFonts w:hint="eastAsia"/>
              </w:rPr>
              <w:t>排水量（万</w:t>
            </w:r>
            <w:r>
              <w:t>m3/a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85" w:type="pct"/>
            <w:vMerge w:val="continue"/>
            <w:vAlign w:val="center"/>
          </w:tcPr>
          <w:p>
            <w:pPr>
              <w:pStyle w:val="63"/>
            </w:pPr>
          </w:p>
        </w:tc>
        <w:tc>
          <w:tcPr>
            <w:tcW w:w="350" w:type="pct"/>
            <w:vMerge w:val="continue"/>
            <w:vAlign w:val="center"/>
          </w:tcPr>
          <w:p>
            <w:pPr>
              <w:pStyle w:val="63"/>
            </w:pPr>
          </w:p>
        </w:tc>
        <w:tc>
          <w:tcPr>
            <w:tcW w:w="350" w:type="pct"/>
            <w:vMerge w:val="continue"/>
            <w:vAlign w:val="center"/>
          </w:tcPr>
          <w:p>
            <w:pPr>
              <w:pStyle w:val="63"/>
            </w:pPr>
          </w:p>
        </w:tc>
        <w:tc>
          <w:tcPr>
            <w:tcW w:w="350" w:type="pct"/>
            <w:vMerge w:val="continue"/>
            <w:vAlign w:val="center"/>
          </w:tcPr>
          <w:p>
            <w:pPr>
              <w:pStyle w:val="63"/>
            </w:pPr>
          </w:p>
        </w:tc>
        <w:tc>
          <w:tcPr>
            <w:tcW w:w="510" w:type="pct"/>
            <w:vMerge w:val="continue"/>
            <w:vAlign w:val="center"/>
          </w:tcPr>
          <w:p>
            <w:pPr>
              <w:pStyle w:val="63"/>
            </w:pPr>
          </w:p>
        </w:tc>
        <w:tc>
          <w:tcPr>
            <w:tcW w:w="486" w:type="pct"/>
            <w:shd w:val="clear" w:color="auto" w:fill="auto"/>
            <w:vAlign w:val="center"/>
          </w:tcPr>
          <w:p>
            <w:pPr>
              <w:pStyle w:val="63"/>
            </w:pPr>
            <w:r>
              <w:rPr>
                <w:rFonts w:hint="eastAsia"/>
              </w:rPr>
              <w:t>中非工贸产业园</w:t>
            </w:r>
          </w:p>
        </w:tc>
        <w:tc>
          <w:tcPr>
            <w:tcW w:w="329" w:type="pct"/>
            <w:shd w:val="clear" w:color="auto" w:fill="auto"/>
            <w:vAlign w:val="center"/>
          </w:tcPr>
          <w:p>
            <w:pPr>
              <w:pStyle w:val="63"/>
            </w:pPr>
            <w:r>
              <w:rPr>
                <w:rFonts w:hint="eastAsia"/>
              </w:rPr>
              <w:t>加工制造产业园</w:t>
            </w:r>
          </w:p>
        </w:tc>
        <w:tc>
          <w:tcPr>
            <w:tcW w:w="312" w:type="pct"/>
            <w:shd w:val="clear" w:color="auto" w:fill="auto"/>
            <w:vAlign w:val="center"/>
          </w:tcPr>
          <w:p>
            <w:pPr>
              <w:pStyle w:val="63"/>
            </w:pPr>
            <w:r>
              <w:rPr>
                <w:rFonts w:hint="eastAsia"/>
              </w:rPr>
              <w:t>绿色化工产业园</w:t>
            </w:r>
          </w:p>
        </w:tc>
        <w:tc>
          <w:tcPr>
            <w:tcW w:w="195" w:type="pct"/>
            <w:vMerge w:val="continue"/>
            <w:vAlign w:val="center"/>
          </w:tcPr>
          <w:p>
            <w:pPr>
              <w:pStyle w:val="63"/>
            </w:pPr>
          </w:p>
        </w:tc>
        <w:tc>
          <w:tcPr>
            <w:tcW w:w="278" w:type="pct"/>
            <w:shd w:val="clear" w:color="auto" w:fill="auto"/>
            <w:vAlign w:val="center"/>
          </w:tcPr>
          <w:p>
            <w:pPr>
              <w:pStyle w:val="63"/>
            </w:pPr>
            <w:r>
              <w:rPr>
                <w:rFonts w:hint="eastAsia"/>
              </w:rPr>
              <w:t>中非工贸产业园</w:t>
            </w:r>
          </w:p>
        </w:tc>
        <w:tc>
          <w:tcPr>
            <w:tcW w:w="228" w:type="pct"/>
            <w:shd w:val="clear" w:color="auto" w:fill="auto"/>
            <w:vAlign w:val="center"/>
          </w:tcPr>
          <w:p>
            <w:pPr>
              <w:pStyle w:val="63"/>
            </w:pPr>
            <w:r>
              <w:rPr>
                <w:rFonts w:hint="eastAsia"/>
              </w:rPr>
              <w:t>加工制造产业园</w:t>
            </w:r>
          </w:p>
        </w:tc>
        <w:tc>
          <w:tcPr>
            <w:tcW w:w="298" w:type="pct"/>
            <w:shd w:val="clear" w:color="auto" w:fill="auto"/>
            <w:vAlign w:val="center"/>
          </w:tcPr>
          <w:p>
            <w:pPr>
              <w:pStyle w:val="63"/>
            </w:pPr>
            <w:r>
              <w:rPr>
                <w:rFonts w:hint="eastAsia"/>
              </w:rPr>
              <w:t>绿色化工产业园</w:t>
            </w:r>
          </w:p>
        </w:tc>
        <w:tc>
          <w:tcPr>
            <w:tcW w:w="359" w:type="pct"/>
            <w:shd w:val="clear" w:color="auto" w:fill="auto"/>
            <w:vAlign w:val="center"/>
          </w:tcPr>
          <w:p>
            <w:pPr>
              <w:pStyle w:val="63"/>
            </w:pPr>
            <w:r>
              <w:rPr>
                <w:rFonts w:hint="eastAsia"/>
              </w:rPr>
              <w:t>中非工贸产业园</w:t>
            </w:r>
          </w:p>
        </w:tc>
        <w:tc>
          <w:tcPr>
            <w:tcW w:w="278" w:type="pct"/>
            <w:shd w:val="clear" w:color="auto" w:fill="auto"/>
            <w:vAlign w:val="center"/>
          </w:tcPr>
          <w:p>
            <w:pPr>
              <w:pStyle w:val="63"/>
            </w:pPr>
            <w:r>
              <w:rPr>
                <w:rFonts w:hint="eastAsia"/>
              </w:rPr>
              <w:t>加工制造产业园</w:t>
            </w:r>
          </w:p>
        </w:tc>
        <w:tc>
          <w:tcPr>
            <w:tcW w:w="291" w:type="pct"/>
            <w:shd w:val="clear" w:color="auto" w:fill="auto"/>
            <w:vAlign w:val="center"/>
          </w:tcPr>
          <w:p>
            <w:pPr>
              <w:pStyle w:val="63"/>
            </w:pPr>
            <w:r>
              <w:rPr>
                <w:rFonts w:hint="eastAsia"/>
              </w:rPr>
              <w:t>绿色化工产业园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385" w:type="pct"/>
            <w:shd w:val="clear" w:color="auto" w:fill="auto"/>
            <w:vAlign w:val="center"/>
          </w:tcPr>
          <w:p>
            <w:pPr>
              <w:pStyle w:val="63"/>
            </w:pPr>
            <w:r>
              <w:rPr>
                <w:rFonts w:hint="eastAsia"/>
              </w:rPr>
              <w:t>公共管理与公共服务设施用地</w:t>
            </w:r>
          </w:p>
        </w:tc>
        <w:tc>
          <w:tcPr>
            <w:tcW w:w="350" w:type="pct"/>
            <w:shd w:val="clear" w:color="auto" w:fill="auto"/>
            <w:vAlign w:val="center"/>
          </w:tcPr>
          <w:p>
            <w:pPr>
              <w:pStyle w:val="63"/>
            </w:pPr>
            <w:r>
              <w:t>0</w:t>
            </w:r>
          </w:p>
        </w:tc>
        <w:tc>
          <w:tcPr>
            <w:tcW w:w="350" w:type="pct"/>
            <w:shd w:val="clear" w:color="auto" w:fill="auto"/>
            <w:vAlign w:val="center"/>
          </w:tcPr>
          <w:p>
            <w:pPr>
              <w:pStyle w:val="63"/>
            </w:pPr>
            <w:r>
              <w:t>0</w:t>
            </w:r>
          </w:p>
        </w:tc>
        <w:tc>
          <w:tcPr>
            <w:tcW w:w="350" w:type="pct"/>
            <w:shd w:val="clear" w:color="auto" w:fill="auto"/>
            <w:vAlign w:val="center"/>
          </w:tcPr>
          <w:p>
            <w:pPr>
              <w:pStyle w:val="63"/>
            </w:pPr>
            <w:r>
              <w:t>1.82</w:t>
            </w:r>
          </w:p>
        </w:tc>
        <w:tc>
          <w:tcPr>
            <w:tcW w:w="510" w:type="pct"/>
            <w:shd w:val="clear" w:color="auto" w:fill="auto"/>
            <w:vAlign w:val="center"/>
          </w:tcPr>
          <w:p>
            <w:pPr>
              <w:pStyle w:val="63"/>
            </w:pPr>
            <w:r>
              <w:rPr>
                <w:rFonts w:hint="eastAsia"/>
              </w:rPr>
              <w:t>50</w:t>
            </w:r>
          </w:p>
        </w:tc>
        <w:tc>
          <w:tcPr>
            <w:tcW w:w="486" w:type="pct"/>
            <w:shd w:val="clear" w:color="auto" w:fill="auto"/>
            <w:vAlign w:val="center"/>
          </w:tcPr>
          <w:p>
            <w:pPr>
              <w:pStyle w:val="63"/>
            </w:pPr>
            <w:r>
              <w:t>0.00</w:t>
            </w:r>
          </w:p>
        </w:tc>
        <w:tc>
          <w:tcPr>
            <w:tcW w:w="329" w:type="pct"/>
            <w:shd w:val="clear" w:color="auto" w:fill="auto"/>
            <w:vAlign w:val="center"/>
          </w:tcPr>
          <w:p>
            <w:pPr>
              <w:pStyle w:val="63"/>
            </w:pPr>
            <w:r>
              <w:t>0</w:t>
            </w:r>
          </w:p>
        </w:tc>
        <w:tc>
          <w:tcPr>
            <w:tcW w:w="312" w:type="pct"/>
            <w:shd w:val="clear" w:color="auto" w:fill="auto"/>
            <w:vAlign w:val="center"/>
          </w:tcPr>
          <w:p>
            <w:pPr>
              <w:pStyle w:val="63"/>
            </w:pPr>
            <w:r>
              <w:t>91.00</w:t>
            </w:r>
          </w:p>
        </w:tc>
        <w:tc>
          <w:tcPr>
            <w:tcW w:w="195" w:type="pct"/>
            <w:shd w:val="clear" w:color="auto" w:fill="auto"/>
            <w:vAlign w:val="center"/>
          </w:tcPr>
          <w:p>
            <w:pPr>
              <w:pStyle w:val="63"/>
            </w:pPr>
            <w:r>
              <w:rPr>
                <w:rFonts w:hint="eastAsia"/>
              </w:rPr>
              <w:t>0.8</w:t>
            </w:r>
          </w:p>
        </w:tc>
        <w:tc>
          <w:tcPr>
            <w:tcW w:w="278" w:type="pct"/>
            <w:shd w:val="clear" w:color="auto" w:fill="auto"/>
            <w:vAlign w:val="center"/>
          </w:tcPr>
          <w:p>
            <w:pPr>
              <w:pStyle w:val="63"/>
            </w:pPr>
            <w:r>
              <w:t>0</w:t>
            </w:r>
          </w:p>
        </w:tc>
        <w:tc>
          <w:tcPr>
            <w:tcW w:w="228" w:type="pct"/>
            <w:shd w:val="clear" w:color="auto" w:fill="auto"/>
            <w:vAlign w:val="center"/>
          </w:tcPr>
          <w:p>
            <w:pPr>
              <w:pStyle w:val="63"/>
            </w:pPr>
            <w:r>
              <w:t>0</w:t>
            </w:r>
          </w:p>
        </w:tc>
        <w:tc>
          <w:tcPr>
            <w:tcW w:w="298" w:type="pct"/>
            <w:shd w:val="clear" w:color="auto" w:fill="auto"/>
            <w:vAlign w:val="center"/>
          </w:tcPr>
          <w:p>
            <w:pPr>
              <w:pStyle w:val="63"/>
            </w:pPr>
            <w:r>
              <w:rPr>
                <w:rFonts w:hint="eastAsia"/>
              </w:rPr>
              <w:t>72.80</w:t>
            </w:r>
          </w:p>
        </w:tc>
        <w:tc>
          <w:tcPr>
            <w:tcW w:w="359" w:type="pct"/>
            <w:shd w:val="clear" w:color="auto" w:fill="auto"/>
            <w:vAlign w:val="center"/>
          </w:tcPr>
          <w:p>
            <w:pPr>
              <w:pStyle w:val="63"/>
            </w:pPr>
            <w:r>
              <w:t>0</w:t>
            </w:r>
          </w:p>
        </w:tc>
        <w:tc>
          <w:tcPr>
            <w:tcW w:w="278" w:type="pct"/>
            <w:shd w:val="clear" w:color="auto" w:fill="auto"/>
            <w:vAlign w:val="center"/>
          </w:tcPr>
          <w:p>
            <w:pPr>
              <w:pStyle w:val="63"/>
            </w:pPr>
            <w:r>
              <w:t>0</w:t>
            </w:r>
          </w:p>
        </w:tc>
        <w:tc>
          <w:tcPr>
            <w:tcW w:w="291" w:type="pct"/>
            <w:shd w:val="clear" w:color="auto" w:fill="auto"/>
            <w:vAlign w:val="center"/>
          </w:tcPr>
          <w:p>
            <w:pPr>
              <w:pStyle w:val="63"/>
            </w:pPr>
            <w:r>
              <w:rPr>
                <w:rFonts w:hint="eastAsia"/>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5" w:type="pct"/>
            <w:shd w:val="clear" w:color="auto" w:fill="auto"/>
            <w:vAlign w:val="center"/>
          </w:tcPr>
          <w:p>
            <w:pPr>
              <w:pStyle w:val="63"/>
            </w:pPr>
            <w:r>
              <w:rPr>
                <w:rFonts w:hint="eastAsia"/>
              </w:rPr>
              <w:t>商业服务业设施用地</w:t>
            </w:r>
          </w:p>
        </w:tc>
        <w:tc>
          <w:tcPr>
            <w:tcW w:w="350" w:type="pct"/>
            <w:shd w:val="clear" w:color="auto" w:fill="auto"/>
            <w:vAlign w:val="center"/>
          </w:tcPr>
          <w:p>
            <w:pPr>
              <w:pStyle w:val="63"/>
            </w:pPr>
            <w:r>
              <w:t>0.73</w:t>
            </w:r>
          </w:p>
        </w:tc>
        <w:tc>
          <w:tcPr>
            <w:tcW w:w="350" w:type="pct"/>
            <w:shd w:val="clear" w:color="auto" w:fill="auto"/>
            <w:vAlign w:val="center"/>
          </w:tcPr>
          <w:p>
            <w:pPr>
              <w:pStyle w:val="63"/>
            </w:pPr>
            <w:r>
              <w:t>0</w:t>
            </w:r>
          </w:p>
        </w:tc>
        <w:tc>
          <w:tcPr>
            <w:tcW w:w="350" w:type="pct"/>
            <w:shd w:val="clear" w:color="auto" w:fill="auto"/>
            <w:vAlign w:val="center"/>
          </w:tcPr>
          <w:p>
            <w:pPr>
              <w:pStyle w:val="63"/>
            </w:pPr>
            <w:r>
              <w:t>0</w:t>
            </w:r>
          </w:p>
        </w:tc>
        <w:tc>
          <w:tcPr>
            <w:tcW w:w="510" w:type="pct"/>
            <w:shd w:val="clear" w:color="auto" w:fill="auto"/>
            <w:vAlign w:val="center"/>
          </w:tcPr>
          <w:p>
            <w:pPr>
              <w:pStyle w:val="63"/>
            </w:pPr>
            <w:r>
              <w:rPr>
                <w:rFonts w:hint="eastAsia"/>
              </w:rPr>
              <w:t>50</w:t>
            </w:r>
          </w:p>
        </w:tc>
        <w:tc>
          <w:tcPr>
            <w:tcW w:w="486" w:type="pct"/>
            <w:shd w:val="clear" w:color="auto" w:fill="auto"/>
            <w:vAlign w:val="center"/>
          </w:tcPr>
          <w:p>
            <w:pPr>
              <w:pStyle w:val="63"/>
            </w:pPr>
            <w:r>
              <w:t>36.50</w:t>
            </w:r>
          </w:p>
        </w:tc>
        <w:tc>
          <w:tcPr>
            <w:tcW w:w="329" w:type="pct"/>
            <w:shd w:val="clear" w:color="auto" w:fill="auto"/>
            <w:vAlign w:val="center"/>
          </w:tcPr>
          <w:p>
            <w:pPr>
              <w:pStyle w:val="63"/>
            </w:pPr>
            <w:r>
              <w:t>0</w:t>
            </w:r>
          </w:p>
        </w:tc>
        <w:tc>
          <w:tcPr>
            <w:tcW w:w="312" w:type="pct"/>
            <w:shd w:val="clear" w:color="auto" w:fill="auto"/>
            <w:vAlign w:val="center"/>
          </w:tcPr>
          <w:p>
            <w:pPr>
              <w:pStyle w:val="63"/>
            </w:pPr>
            <w:r>
              <w:t>0.00</w:t>
            </w:r>
          </w:p>
        </w:tc>
        <w:tc>
          <w:tcPr>
            <w:tcW w:w="195" w:type="pct"/>
            <w:shd w:val="clear" w:color="auto" w:fill="auto"/>
            <w:vAlign w:val="center"/>
          </w:tcPr>
          <w:p>
            <w:pPr>
              <w:pStyle w:val="63"/>
            </w:pPr>
            <w:r>
              <w:rPr>
                <w:rFonts w:hint="eastAsia"/>
              </w:rPr>
              <w:t>0.8</w:t>
            </w:r>
          </w:p>
        </w:tc>
        <w:tc>
          <w:tcPr>
            <w:tcW w:w="278" w:type="pct"/>
            <w:shd w:val="clear" w:color="auto" w:fill="auto"/>
            <w:vAlign w:val="center"/>
          </w:tcPr>
          <w:p>
            <w:pPr>
              <w:pStyle w:val="63"/>
            </w:pPr>
            <w:r>
              <w:rPr>
                <w:rFonts w:hint="eastAsia"/>
              </w:rPr>
              <w:t>29.20</w:t>
            </w:r>
          </w:p>
        </w:tc>
        <w:tc>
          <w:tcPr>
            <w:tcW w:w="228" w:type="pct"/>
            <w:shd w:val="clear" w:color="auto" w:fill="auto"/>
            <w:vAlign w:val="center"/>
          </w:tcPr>
          <w:p>
            <w:pPr>
              <w:pStyle w:val="63"/>
            </w:pPr>
            <w:r>
              <w:t>0</w:t>
            </w:r>
          </w:p>
        </w:tc>
        <w:tc>
          <w:tcPr>
            <w:tcW w:w="298" w:type="pct"/>
            <w:shd w:val="clear" w:color="auto" w:fill="auto"/>
            <w:vAlign w:val="center"/>
          </w:tcPr>
          <w:p>
            <w:pPr>
              <w:pStyle w:val="63"/>
            </w:pPr>
            <w:r>
              <w:rPr>
                <w:rFonts w:hint="eastAsia"/>
              </w:rPr>
              <w:t>0.00</w:t>
            </w:r>
          </w:p>
        </w:tc>
        <w:tc>
          <w:tcPr>
            <w:tcW w:w="359" w:type="pct"/>
            <w:shd w:val="clear" w:color="auto" w:fill="auto"/>
            <w:vAlign w:val="center"/>
          </w:tcPr>
          <w:p>
            <w:pPr>
              <w:pStyle w:val="63"/>
            </w:pPr>
            <w:r>
              <w:rPr>
                <w:rFonts w:hint="eastAsia"/>
              </w:rPr>
              <w:t>0.96</w:t>
            </w:r>
          </w:p>
        </w:tc>
        <w:tc>
          <w:tcPr>
            <w:tcW w:w="278" w:type="pct"/>
            <w:shd w:val="clear" w:color="auto" w:fill="auto"/>
            <w:vAlign w:val="center"/>
          </w:tcPr>
          <w:p>
            <w:pPr>
              <w:pStyle w:val="63"/>
            </w:pPr>
            <w:r>
              <w:t>0</w:t>
            </w:r>
          </w:p>
        </w:tc>
        <w:tc>
          <w:tcPr>
            <w:tcW w:w="291" w:type="pct"/>
            <w:shd w:val="clear" w:color="auto" w:fill="auto"/>
            <w:vAlign w:val="center"/>
          </w:tcPr>
          <w:p>
            <w:pPr>
              <w:pStyle w:val="63"/>
            </w:pPr>
            <w:r>
              <w:rPr>
                <w:rFonts w:hint="eastAsia"/>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5" w:type="pct"/>
            <w:shd w:val="clear" w:color="auto" w:fill="auto"/>
            <w:vAlign w:val="center"/>
          </w:tcPr>
          <w:p>
            <w:pPr>
              <w:pStyle w:val="63"/>
            </w:pPr>
            <w:r>
              <w:rPr>
                <w:rFonts w:hint="eastAsia"/>
              </w:rPr>
              <w:t>道路与交通设施用地</w:t>
            </w:r>
          </w:p>
        </w:tc>
        <w:tc>
          <w:tcPr>
            <w:tcW w:w="350" w:type="pct"/>
            <w:shd w:val="clear" w:color="auto" w:fill="auto"/>
            <w:vAlign w:val="center"/>
          </w:tcPr>
          <w:p>
            <w:pPr>
              <w:pStyle w:val="63"/>
            </w:pPr>
            <w:r>
              <w:t>26.57</w:t>
            </w:r>
          </w:p>
        </w:tc>
        <w:tc>
          <w:tcPr>
            <w:tcW w:w="350" w:type="pct"/>
            <w:shd w:val="clear" w:color="auto" w:fill="auto"/>
            <w:vAlign w:val="center"/>
          </w:tcPr>
          <w:p>
            <w:pPr>
              <w:pStyle w:val="63"/>
            </w:pPr>
            <w:r>
              <w:t>1.34</w:t>
            </w:r>
          </w:p>
        </w:tc>
        <w:tc>
          <w:tcPr>
            <w:tcW w:w="350" w:type="pct"/>
            <w:shd w:val="clear" w:color="auto" w:fill="auto"/>
            <w:vAlign w:val="center"/>
          </w:tcPr>
          <w:p>
            <w:pPr>
              <w:pStyle w:val="63"/>
            </w:pPr>
            <w:r>
              <w:t>67.64</w:t>
            </w:r>
          </w:p>
        </w:tc>
        <w:tc>
          <w:tcPr>
            <w:tcW w:w="510" w:type="pct"/>
            <w:shd w:val="clear" w:color="auto" w:fill="auto"/>
            <w:vAlign w:val="center"/>
          </w:tcPr>
          <w:p>
            <w:pPr>
              <w:pStyle w:val="63"/>
            </w:pPr>
            <w:r>
              <w:rPr>
                <w:rFonts w:hint="eastAsia"/>
              </w:rPr>
              <w:t>20</w:t>
            </w:r>
          </w:p>
        </w:tc>
        <w:tc>
          <w:tcPr>
            <w:tcW w:w="486" w:type="pct"/>
            <w:shd w:val="clear" w:color="auto" w:fill="auto"/>
            <w:vAlign w:val="center"/>
          </w:tcPr>
          <w:p>
            <w:pPr>
              <w:pStyle w:val="63"/>
            </w:pPr>
            <w:r>
              <w:t>531.40</w:t>
            </w:r>
          </w:p>
        </w:tc>
        <w:tc>
          <w:tcPr>
            <w:tcW w:w="329" w:type="pct"/>
            <w:shd w:val="clear" w:color="auto" w:fill="auto"/>
            <w:vAlign w:val="center"/>
          </w:tcPr>
          <w:p>
            <w:pPr>
              <w:pStyle w:val="63"/>
            </w:pPr>
            <w:r>
              <w:t>26.80</w:t>
            </w:r>
          </w:p>
        </w:tc>
        <w:tc>
          <w:tcPr>
            <w:tcW w:w="312" w:type="pct"/>
            <w:shd w:val="clear" w:color="auto" w:fill="auto"/>
            <w:vAlign w:val="center"/>
          </w:tcPr>
          <w:p>
            <w:pPr>
              <w:pStyle w:val="63"/>
            </w:pPr>
            <w:r>
              <w:t>1352.80</w:t>
            </w:r>
          </w:p>
        </w:tc>
        <w:tc>
          <w:tcPr>
            <w:tcW w:w="195" w:type="pct"/>
            <w:shd w:val="clear" w:color="auto" w:fill="auto"/>
            <w:vAlign w:val="center"/>
          </w:tcPr>
          <w:p>
            <w:pPr>
              <w:pStyle w:val="63"/>
            </w:pPr>
            <w:r>
              <w:rPr>
                <w:rFonts w:hint="eastAsia"/>
              </w:rPr>
              <w:t>/</w:t>
            </w:r>
          </w:p>
        </w:tc>
        <w:tc>
          <w:tcPr>
            <w:tcW w:w="278" w:type="pct"/>
            <w:shd w:val="clear" w:color="auto" w:fill="auto"/>
            <w:vAlign w:val="center"/>
          </w:tcPr>
          <w:p>
            <w:pPr>
              <w:pStyle w:val="63"/>
            </w:pPr>
            <w:r>
              <w:rPr>
                <w:rFonts w:hint="eastAsia"/>
              </w:rPr>
              <w:t>0.00</w:t>
            </w:r>
          </w:p>
        </w:tc>
        <w:tc>
          <w:tcPr>
            <w:tcW w:w="228" w:type="pct"/>
            <w:shd w:val="clear" w:color="auto" w:fill="auto"/>
            <w:vAlign w:val="center"/>
          </w:tcPr>
          <w:p>
            <w:pPr>
              <w:pStyle w:val="63"/>
            </w:pPr>
            <w:r>
              <w:t>0</w:t>
            </w:r>
          </w:p>
        </w:tc>
        <w:tc>
          <w:tcPr>
            <w:tcW w:w="298" w:type="pct"/>
            <w:shd w:val="clear" w:color="auto" w:fill="auto"/>
            <w:vAlign w:val="center"/>
          </w:tcPr>
          <w:p>
            <w:pPr>
              <w:pStyle w:val="63"/>
            </w:pPr>
            <w:r>
              <w:rPr>
                <w:rFonts w:hint="eastAsia"/>
              </w:rPr>
              <w:t>0.00</w:t>
            </w:r>
          </w:p>
        </w:tc>
        <w:tc>
          <w:tcPr>
            <w:tcW w:w="359" w:type="pct"/>
            <w:shd w:val="clear" w:color="auto" w:fill="auto"/>
            <w:vAlign w:val="center"/>
          </w:tcPr>
          <w:p>
            <w:pPr>
              <w:pStyle w:val="63"/>
            </w:pPr>
            <w:r>
              <w:rPr>
                <w:rFonts w:hint="eastAsia"/>
              </w:rPr>
              <w:t>0.00</w:t>
            </w:r>
          </w:p>
        </w:tc>
        <w:tc>
          <w:tcPr>
            <w:tcW w:w="278" w:type="pct"/>
            <w:shd w:val="clear" w:color="auto" w:fill="auto"/>
            <w:vAlign w:val="center"/>
          </w:tcPr>
          <w:p>
            <w:pPr>
              <w:pStyle w:val="63"/>
            </w:pPr>
            <w:r>
              <w:t>0</w:t>
            </w:r>
          </w:p>
        </w:tc>
        <w:tc>
          <w:tcPr>
            <w:tcW w:w="291" w:type="pct"/>
            <w:shd w:val="clear" w:color="auto" w:fill="auto"/>
            <w:vAlign w:val="center"/>
          </w:tcPr>
          <w:p>
            <w:pPr>
              <w:pStyle w:val="63"/>
            </w:pPr>
            <w:r>
              <w:rPr>
                <w:rFonts w:hint="eastAsia"/>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5" w:type="pct"/>
            <w:shd w:val="clear" w:color="auto" w:fill="auto"/>
            <w:vAlign w:val="center"/>
          </w:tcPr>
          <w:p>
            <w:pPr>
              <w:pStyle w:val="63"/>
            </w:pPr>
            <w:r>
              <w:rPr>
                <w:rFonts w:hint="eastAsia"/>
              </w:rPr>
              <w:t>公用设施用地</w:t>
            </w:r>
          </w:p>
        </w:tc>
        <w:tc>
          <w:tcPr>
            <w:tcW w:w="350" w:type="pct"/>
            <w:shd w:val="clear" w:color="auto" w:fill="auto"/>
            <w:vAlign w:val="center"/>
          </w:tcPr>
          <w:p>
            <w:pPr>
              <w:pStyle w:val="63"/>
            </w:pPr>
            <w:r>
              <w:t>14.45</w:t>
            </w:r>
          </w:p>
        </w:tc>
        <w:tc>
          <w:tcPr>
            <w:tcW w:w="350" w:type="pct"/>
            <w:shd w:val="clear" w:color="auto" w:fill="auto"/>
            <w:vAlign w:val="center"/>
          </w:tcPr>
          <w:p>
            <w:pPr>
              <w:pStyle w:val="63"/>
            </w:pPr>
            <w:r>
              <w:t>0</w:t>
            </w:r>
          </w:p>
        </w:tc>
        <w:tc>
          <w:tcPr>
            <w:tcW w:w="350" w:type="pct"/>
            <w:shd w:val="clear" w:color="auto" w:fill="auto"/>
            <w:vAlign w:val="center"/>
          </w:tcPr>
          <w:p>
            <w:pPr>
              <w:pStyle w:val="63"/>
            </w:pPr>
            <w:r>
              <w:t>8.24</w:t>
            </w:r>
          </w:p>
        </w:tc>
        <w:tc>
          <w:tcPr>
            <w:tcW w:w="510" w:type="pct"/>
            <w:shd w:val="clear" w:color="auto" w:fill="auto"/>
            <w:vAlign w:val="center"/>
          </w:tcPr>
          <w:p>
            <w:pPr>
              <w:pStyle w:val="63"/>
            </w:pPr>
            <w:r>
              <w:rPr>
                <w:rFonts w:hint="eastAsia"/>
              </w:rPr>
              <w:t>25</w:t>
            </w:r>
          </w:p>
        </w:tc>
        <w:tc>
          <w:tcPr>
            <w:tcW w:w="486" w:type="pct"/>
            <w:shd w:val="clear" w:color="auto" w:fill="auto"/>
            <w:vAlign w:val="center"/>
          </w:tcPr>
          <w:p>
            <w:pPr>
              <w:pStyle w:val="63"/>
            </w:pPr>
            <w:r>
              <w:t>361.25</w:t>
            </w:r>
          </w:p>
        </w:tc>
        <w:tc>
          <w:tcPr>
            <w:tcW w:w="329" w:type="pct"/>
            <w:shd w:val="clear" w:color="auto" w:fill="auto"/>
            <w:vAlign w:val="center"/>
          </w:tcPr>
          <w:p>
            <w:pPr>
              <w:pStyle w:val="63"/>
            </w:pPr>
            <w:r>
              <w:t>0</w:t>
            </w:r>
          </w:p>
        </w:tc>
        <w:tc>
          <w:tcPr>
            <w:tcW w:w="312" w:type="pct"/>
            <w:shd w:val="clear" w:color="auto" w:fill="auto"/>
            <w:vAlign w:val="center"/>
          </w:tcPr>
          <w:p>
            <w:pPr>
              <w:pStyle w:val="63"/>
            </w:pPr>
            <w:r>
              <w:t>206.00</w:t>
            </w:r>
          </w:p>
        </w:tc>
        <w:tc>
          <w:tcPr>
            <w:tcW w:w="195" w:type="pct"/>
            <w:shd w:val="clear" w:color="auto" w:fill="auto"/>
            <w:vAlign w:val="center"/>
          </w:tcPr>
          <w:p>
            <w:pPr>
              <w:pStyle w:val="63"/>
            </w:pPr>
            <w:r>
              <w:rPr>
                <w:rFonts w:hint="eastAsia"/>
              </w:rPr>
              <w:t>0.8</w:t>
            </w:r>
          </w:p>
        </w:tc>
        <w:tc>
          <w:tcPr>
            <w:tcW w:w="278" w:type="pct"/>
            <w:shd w:val="clear" w:color="auto" w:fill="auto"/>
            <w:vAlign w:val="center"/>
          </w:tcPr>
          <w:p>
            <w:pPr>
              <w:pStyle w:val="63"/>
            </w:pPr>
            <w:r>
              <w:rPr>
                <w:rFonts w:hint="eastAsia"/>
              </w:rPr>
              <w:t>289.00</w:t>
            </w:r>
          </w:p>
        </w:tc>
        <w:tc>
          <w:tcPr>
            <w:tcW w:w="228" w:type="pct"/>
            <w:shd w:val="clear" w:color="auto" w:fill="auto"/>
            <w:vAlign w:val="center"/>
          </w:tcPr>
          <w:p>
            <w:pPr>
              <w:pStyle w:val="63"/>
            </w:pPr>
            <w:r>
              <w:t>0</w:t>
            </w:r>
          </w:p>
        </w:tc>
        <w:tc>
          <w:tcPr>
            <w:tcW w:w="298" w:type="pct"/>
            <w:shd w:val="clear" w:color="auto" w:fill="auto"/>
            <w:vAlign w:val="center"/>
          </w:tcPr>
          <w:p>
            <w:pPr>
              <w:pStyle w:val="63"/>
            </w:pPr>
            <w:r>
              <w:rPr>
                <w:rFonts w:hint="eastAsia"/>
              </w:rPr>
              <w:t>164.80</w:t>
            </w:r>
          </w:p>
        </w:tc>
        <w:tc>
          <w:tcPr>
            <w:tcW w:w="359" w:type="pct"/>
            <w:shd w:val="clear" w:color="auto" w:fill="auto"/>
            <w:vAlign w:val="center"/>
          </w:tcPr>
          <w:p>
            <w:pPr>
              <w:pStyle w:val="63"/>
            </w:pPr>
            <w:r>
              <w:rPr>
                <w:rFonts w:hint="eastAsia"/>
              </w:rPr>
              <w:t>9.54</w:t>
            </w:r>
          </w:p>
        </w:tc>
        <w:tc>
          <w:tcPr>
            <w:tcW w:w="278" w:type="pct"/>
            <w:shd w:val="clear" w:color="auto" w:fill="auto"/>
            <w:vAlign w:val="center"/>
          </w:tcPr>
          <w:p>
            <w:pPr>
              <w:pStyle w:val="63"/>
            </w:pPr>
            <w:r>
              <w:t>0</w:t>
            </w:r>
          </w:p>
        </w:tc>
        <w:tc>
          <w:tcPr>
            <w:tcW w:w="291" w:type="pct"/>
            <w:shd w:val="clear" w:color="auto" w:fill="auto"/>
            <w:vAlign w:val="center"/>
          </w:tcPr>
          <w:p>
            <w:pPr>
              <w:pStyle w:val="63"/>
            </w:pPr>
            <w:r>
              <w:rPr>
                <w:rFonts w:hint="eastAsia"/>
              </w:rPr>
              <w:t>5.44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5" w:type="pct"/>
            <w:shd w:val="clear" w:color="auto" w:fill="auto"/>
            <w:vAlign w:val="center"/>
          </w:tcPr>
          <w:p>
            <w:pPr>
              <w:pStyle w:val="63"/>
            </w:pPr>
            <w:r>
              <w:rPr>
                <w:rFonts w:hint="eastAsia"/>
              </w:rPr>
              <w:t>绿地与广场用地</w:t>
            </w:r>
          </w:p>
        </w:tc>
        <w:tc>
          <w:tcPr>
            <w:tcW w:w="350" w:type="pct"/>
            <w:shd w:val="clear" w:color="auto" w:fill="auto"/>
            <w:vAlign w:val="center"/>
          </w:tcPr>
          <w:p>
            <w:pPr>
              <w:pStyle w:val="63"/>
            </w:pPr>
            <w:r>
              <w:t>6.67</w:t>
            </w:r>
          </w:p>
        </w:tc>
        <w:tc>
          <w:tcPr>
            <w:tcW w:w="350" w:type="pct"/>
            <w:shd w:val="clear" w:color="auto" w:fill="auto"/>
            <w:vAlign w:val="center"/>
          </w:tcPr>
          <w:p>
            <w:pPr>
              <w:pStyle w:val="63"/>
            </w:pPr>
            <w:r>
              <w:t>0</w:t>
            </w:r>
          </w:p>
        </w:tc>
        <w:tc>
          <w:tcPr>
            <w:tcW w:w="350" w:type="pct"/>
            <w:shd w:val="clear" w:color="auto" w:fill="auto"/>
            <w:vAlign w:val="center"/>
          </w:tcPr>
          <w:p>
            <w:pPr>
              <w:pStyle w:val="63"/>
            </w:pPr>
            <w:r>
              <w:t>19.92</w:t>
            </w:r>
          </w:p>
        </w:tc>
        <w:tc>
          <w:tcPr>
            <w:tcW w:w="510" w:type="pct"/>
            <w:shd w:val="clear" w:color="auto" w:fill="auto"/>
            <w:vAlign w:val="center"/>
          </w:tcPr>
          <w:p>
            <w:pPr>
              <w:pStyle w:val="63"/>
            </w:pPr>
            <w:r>
              <w:rPr>
                <w:rFonts w:hint="eastAsia"/>
              </w:rPr>
              <w:t>10</w:t>
            </w:r>
          </w:p>
        </w:tc>
        <w:tc>
          <w:tcPr>
            <w:tcW w:w="486" w:type="pct"/>
            <w:shd w:val="clear" w:color="auto" w:fill="auto"/>
            <w:vAlign w:val="center"/>
          </w:tcPr>
          <w:p>
            <w:pPr>
              <w:pStyle w:val="63"/>
            </w:pPr>
            <w:r>
              <w:t>66.70</w:t>
            </w:r>
          </w:p>
        </w:tc>
        <w:tc>
          <w:tcPr>
            <w:tcW w:w="329" w:type="pct"/>
            <w:shd w:val="clear" w:color="auto" w:fill="auto"/>
            <w:vAlign w:val="center"/>
          </w:tcPr>
          <w:p>
            <w:pPr>
              <w:pStyle w:val="63"/>
            </w:pPr>
            <w:r>
              <w:t>0</w:t>
            </w:r>
          </w:p>
        </w:tc>
        <w:tc>
          <w:tcPr>
            <w:tcW w:w="312" w:type="pct"/>
            <w:shd w:val="clear" w:color="auto" w:fill="auto"/>
            <w:vAlign w:val="center"/>
          </w:tcPr>
          <w:p>
            <w:pPr>
              <w:pStyle w:val="63"/>
            </w:pPr>
            <w:r>
              <w:t>199.20</w:t>
            </w:r>
          </w:p>
        </w:tc>
        <w:tc>
          <w:tcPr>
            <w:tcW w:w="195" w:type="pct"/>
            <w:shd w:val="clear" w:color="auto" w:fill="auto"/>
            <w:vAlign w:val="center"/>
          </w:tcPr>
          <w:p>
            <w:pPr>
              <w:pStyle w:val="63"/>
            </w:pPr>
            <w:r>
              <w:rPr>
                <w:rFonts w:hint="eastAsia"/>
              </w:rPr>
              <w:t>/</w:t>
            </w:r>
          </w:p>
        </w:tc>
        <w:tc>
          <w:tcPr>
            <w:tcW w:w="278" w:type="pct"/>
            <w:shd w:val="clear" w:color="auto" w:fill="auto"/>
            <w:vAlign w:val="center"/>
          </w:tcPr>
          <w:p>
            <w:pPr>
              <w:pStyle w:val="63"/>
            </w:pPr>
            <w:r>
              <w:rPr>
                <w:rFonts w:hint="eastAsia"/>
              </w:rPr>
              <w:t>0.00</w:t>
            </w:r>
          </w:p>
        </w:tc>
        <w:tc>
          <w:tcPr>
            <w:tcW w:w="228" w:type="pct"/>
            <w:shd w:val="clear" w:color="auto" w:fill="auto"/>
            <w:vAlign w:val="center"/>
          </w:tcPr>
          <w:p>
            <w:pPr>
              <w:pStyle w:val="63"/>
            </w:pPr>
            <w:r>
              <w:t>0</w:t>
            </w:r>
          </w:p>
        </w:tc>
        <w:tc>
          <w:tcPr>
            <w:tcW w:w="298" w:type="pct"/>
            <w:shd w:val="clear" w:color="auto" w:fill="auto"/>
            <w:vAlign w:val="center"/>
          </w:tcPr>
          <w:p>
            <w:pPr>
              <w:pStyle w:val="63"/>
            </w:pPr>
            <w:r>
              <w:rPr>
                <w:rFonts w:hint="eastAsia"/>
              </w:rPr>
              <w:t>0.00</w:t>
            </w:r>
          </w:p>
        </w:tc>
        <w:tc>
          <w:tcPr>
            <w:tcW w:w="359" w:type="pct"/>
            <w:shd w:val="clear" w:color="auto" w:fill="auto"/>
            <w:vAlign w:val="center"/>
          </w:tcPr>
          <w:p>
            <w:pPr>
              <w:pStyle w:val="63"/>
            </w:pPr>
            <w:r>
              <w:rPr>
                <w:rFonts w:hint="eastAsia"/>
              </w:rPr>
              <w:t>0.00</w:t>
            </w:r>
          </w:p>
        </w:tc>
        <w:tc>
          <w:tcPr>
            <w:tcW w:w="278" w:type="pct"/>
            <w:shd w:val="clear" w:color="auto" w:fill="auto"/>
            <w:vAlign w:val="center"/>
          </w:tcPr>
          <w:p>
            <w:pPr>
              <w:pStyle w:val="63"/>
            </w:pPr>
            <w:r>
              <w:t>0</w:t>
            </w:r>
          </w:p>
        </w:tc>
        <w:tc>
          <w:tcPr>
            <w:tcW w:w="291" w:type="pct"/>
            <w:shd w:val="clear" w:color="auto" w:fill="auto"/>
            <w:vAlign w:val="center"/>
          </w:tcPr>
          <w:p>
            <w:pPr>
              <w:pStyle w:val="63"/>
            </w:pPr>
            <w:r>
              <w:rPr>
                <w:rFonts w:hint="eastAsia"/>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385" w:type="pct"/>
            <w:shd w:val="clear" w:color="auto" w:fill="auto"/>
            <w:vAlign w:val="center"/>
          </w:tcPr>
          <w:p>
            <w:pPr>
              <w:pStyle w:val="63"/>
            </w:pPr>
            <w:r>
              <w:rPr>
                <w:rFonts w:hint="eastAsia"/>
              </w:rPr>
              <w:t>合计</w:t>
            </w:r>
          </w:p>
        </w:tc>
        <w:tc>
          <w:tcPr>
            <w:tcW w:w="350" w:type="pct"/>
            <w:shd w:val="clear" w:color="auto" w:fill="auto"/>
            <w:vAlign w:val="center"/>
          </w:tcPr>
          <w:p>
            <w:pPr>
              <w:pStyle w:val="63"/>
            </w:pPr>
            <w:r>
              <w:rPr>
                <w:rFonts w:hint="eastAsia"/>
              </w:rPr>
              <w:t>48.42</w:t>
            </w:r>
          </w:p>
        </w:tc>
        <w:tc>
          <w:tcPr>
            <w:tcW w:w="350" w:type="pct"/>
            <w:shd w:val="clear" w:color="auto" w:fill="auto"/>
            <w:vAlign w:val="center"/>
          </w:tcPr>
          <w:p>
            <w:pPr>
              <w:pStyle w:val="63"/>
            </w:pPr>
            <w:r>
              <w:rPr>
                <w:rFonts w:hint="eastAsia"/>
              </w:rPr>
              <w:t>1.34</w:t>
            </w:r>
          </w:p>
        </w:tc>
        <w:tc>
          <w:tcPr>
            <w:tcW w:w="350" w:type="pct"/>
            <w:shd w:val="clear" w:color="auto" w:fill="auto"/>
            <w:vAlign w:val="center"/>
          </w:tcPr>
          <w:p>
            <w:pPr>
              <w:pStyle w:val="63"/>
            </w:pPr>
            <w:r>
              <w:rPr>
                <w:rFonts w:hint="eastAsia"/>
              </w:rPr>
              <w:t>97.62</w:t>
            </w:r>
          </w:p>
        </w:tc>
        <w:tc>
          <w:tcPr>
            <w:tcW w:w="510" w:type="pct"/>
            <w:shd w:val="clear" w:color="auto" w:fill="auto"/>
            <w:vAlign w:val="center"/>
          </w:tcPr>
          <w:p>
            <w:pPr>
              <w:pStyle w:val="63"/>
            </w:pPr>
            <w:r>
              <w:rPr>
                <w:rFonts w:hint="eastAsia"/>
              </w:rPr>
              <w:t>155</w:t>
            </w:r>
          </w:p>
        </w:tc>
        <w:tc>
          <w:tcPr>
            <w:tcW w:w="486" w:type="pct"/>
            <w:shd w:val="clear" w:color="auto" w:fill="auto"/>
            <w:vAlign w:val="center"/>
          </w:tcPr>
          <w:p>
            <w:pPr>
              <w:pStyle w:val="63"/>
            </w:pPr>
            <w:r>
              <w:rPr>
                <w:rFonts w:hint="eastAsia"/>
              </w:rPr>
              <w:t>995.85</w:t>
            </w:r>
          </w:p>
        </w:tc>
        <w:tc>
          <w:tcPr>
            <w:tcW w:w="329" w:type="pct"/>
            <w:shd w:val="clear" w:color="auto" w:fill="auto"/>
            <w:vAlign w:val="center"/>
          </w:tcPr>
          <w:p>
            <w:pPr>
              <w:pStyle w:val="63"/>
            </w:pPr>
            <w:r>
              <w:rPr>
                <w:rFonts w:hint="eastAsia"/>
              </w:rPr>
              <w:t>26.80</w:t>
            </w:r>
          </w:p>
        </w:tc>
        <w:tc>
          <w:tcPr>
            <w:tcW w:w="312" w:type="pct"/>
            <w:shd w:val="clear" w:color="auto" w:fill="auto"/>
            <w:vAlign w:val="center"/>
          </w:tcPr>
          <w:p>
            <w:pPr>
              <w:pStyle w:val="63"/>
            </w:pPr>
            <w:r>
              <w:rPr>
                <w:rFonts w:hint="eastAsia"/>
              </w:rPr>
              <w:t>1849.00</w:t>
            </w:r>
          </w:p>
        </w:tc>
        <w:tc>
          <w:tcPr>
            <w:tcW w:w="195" w:type="pct"/>
            <w:shd w:val="clear" w:color="auto" w:fill="auto"/>
            <w:vAlign w:val="center"/>
          </w:tcPr>
          <w:p>
            <w:pPr>
              <w:pStyle w:val="63"/>
            </w:pPr>
            <w:r>
              <w:rPr>
                <w:rFonts w:hint="eastAsia"/>
              </w:rPr>
              <w:t>2.4</w:t>
            </w:r>
          </w:p>
        </w:tc>
        <w:tc>
          <w:tcPr>
            <w:tcW w:w="278" w:type="pct"/>
            <w:shd w:val="clear" w:color="auto" w:fill="auto"/>
            <w:vAlign w:val="center"/>
          </w:tcPr>
          <w:p>
            <w:pPr>
              <w:pStyle w:val="63"/>
            </w:pPr>
            <w:r>
              <w:rPr>
                <w:rFonts w:hint="eastAsia"/>
              </w:rPr>
              <w:t>318.20</w:t>
            </w:r>
          </w:p>
        </w:tc>
        <w:tc>
          <w:tcPr>
            <w:tcW w:w="228" w:type="pct"/>
            <w:shd w:val="clear" w:color="auto" w:fill="auto"/>
            <w:vAlign w:val="center"/>
          </w:tcPr>
          <w:p>
            <w:pPr>
              <w:pStyle w:val="63"/>
            </w:pPr>
            <w:r>
              <w:t>0</w:t>
            </w:r>
          </w:p>
        </w:tc>
        <w:tc>
          <w:tcPr>
            <w:tcW w:w="298" w:type="pct"/>
            <w:shd w:val="clear" w:color="auto" w:fill="auto"/>
            <w:vAlign w:val="center"/>
          </w:tcPr>
          <w:p>
            <w:pPr>
              <w:pStyle w:val="63"/>
            </w:pPr>
            <w:r>
              <w:rPr>
                <w:rFonts w:hint="eastAsia"/>
              </w:rPr>
              <w:t>237.60</w:t>
            </w:r>
          </w:p>
        </w:tc>
        <w:tc>
          <w:tcPr>
            <w:tcW w:w="359" w:type="pct"/>
            <w:shd w:val="clear" w:color="auto" w:fill="auto"/>
            <w:vAlign w:val="center"/>
          </w:tcPr>
          <w:p>
            <w:pPr>
              <w:pStyle w:val="63"/>
            </w:pPr>
            <w:r>
              <w:rPr>
                <w:rFonts w:hint="eastAsia"/>
              </w:rPr>
              <w:t>10.50</w:t>
            </w:r>
          </w:p>
        </w:tc>
        <w:tc>
          <w:tcPr>
            <w:tcW w:w="278" w:type="pct"/>
            <w:shd w:val="clear" w:color="auto" w:fill="auto"/>
            <w:vAlign w:val="center"/>
          </w:tcPr>
          <w:p>
            <w:pPr>
              <w:pStyle w:val="63"/>
            </w:pPr>
            <w:r>
              <w:t>0</w:t>
            </w:r>
          </w:p>
        </w:tc>
        <w:tc>
          <w:tcPr>
            <w:tcW w:w="291" w:type="pct"/>
            <w:shd w:val="clear" w:color="auto" w:fill="auto"/>
            <w:vAlign w:val="center"/>
          </w:tcPr>
          <w:p>
            <w:pPr>
              <w:pStyle w:val="63"/>
            </w:pPr>
            <w:r>
              <w:rPr>
                <w:rFonts w:hint="eastAsia"/>
              </w:rPr>
              <w:t>7.84</w:t>
            </w:r>
          </w:p>
        </w:tc>
      </w:tr>
    </w:tbl>
    <w:p>
      <w:pPr>
        <w:pStyle w:val="6"/>
      </w:pPr>
      <w:r>
        <w:rPr>
          <w:rFonts w:hint="eastAsia"/>
        </w:rPr>
        <w:t>表6.1-</w:t>
      </w:r>
      <w:r>
        <w:t>6</w:t>
      </w:r>
      <w:r>
        <w:rPr>
          <w:rFonts w:hint="eastAsia"/>
        </w:rPr>
        <w:t xml:space="preserve">  三湾产业园废水排放</w:t>
      </w:r>
      <w:r>
        <w:t>统计情况</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16"/>
        <w:gridCol w:w="45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3392" w:type="pct"/>
            <w:vAlign w:val="center"/>
          </w:tcPr>
          <w:p>
            <w:pPr>
              <w:pStyle w:val="63"/>
            </w:pPr>
            <w:r>
              <w:rPr>
                <w:rFonts w:hint="eastAsia"/>
              </w:rPr>
              <w:t>项目</w:t>
            </w:r>
          </w:p>
        </w:tc>
        <w:tc>
          <w:tcPr>
            <w:tcW w:w="1608" w:type="pct"/>
            <w:vAlign w:val="center"/>
          </w:tcPr>
          <w:p>
            <w:pPr>
              <w:pStyle w:val="63"/>
            </w:pPr>
            <w:r>
              <w:rPr>
                <w:rFonts w:hint="eastAsia"/>
              </w:rPr>
              <w:t>工业源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3392" w:type="pct"/>
            <w:vAlign w:val="center"/>
          </w:tcPr>
          <w:p>
            <w:pPr>
              <w:pStyle w:val="63"/>
            </w:pPr>
            <w:r>
              <w:rPr>
                <w:rFonts w:hint="eastAsia"/>
              </w:rPr>
              <w:t>废水排放量</w:t>
            </w:r>
          </w:p>
        </w:tc>
        <w:tc>
          <w:tcPr>
            <w:tcW w:w="1608" w:type="pct"/>
            <w:noWrap/>
            <w:vAlign w:val="center"/>
          </w:tcPr>
          <w:p>
            <w:pPr>
              <w:pStyle w:val="63"/>
            </w:pPr>
            <w:r>
              <w:t>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392" w:type="pct"/>
            <w:vAlign w:val="center"/>
          </w:tcPr>
          <w:p>
            <w:pPr>
              <w:pStyle w:val="63"/>
            </w:pPr>
            <w:r>
              <w:t>CODCr</w:t>
            </w:r>
          </w:p>
        </w:tc>
        <w:tc>
          <w:tcPr>
            <w:tcW w:w="1608" w:type="pct"/>
            <w:noWrap/>
            <w:vAlign w:val="center"/>
          </w:tcPr>
          <w:p>
            <w:pPr>
              <w:pStyle w:val="63"/>
            </w:pPr>
            <w:r>
              <w:t>0.711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392" w:type="pct"/>
            <w:vAlign w:val="center"/>
          </w:tcPr>
          <w:p>
            <w:pPr>
              <w:pStyle w:val="63"/>
            </w:pPr>
            <w:r>
              <w:rPr>
                <w:rFonts w:hint="eastAsia"/>
              </w:rPr>
              <w:t>氨氮</w:t>
            </w:r>
          </w:p>
        </w:tc>
        <w:tc>
          <w:tcPr>
            <w:tcW w:w="1608" w:type="pct"/>
            <w:noWrap/>
            <w:vAlign w:val="center"/>
          </w:tcPr>
          <w:p>
            <w:pPr>
              <w:pStyle w:val="63"/>
            </w:pPr>
            <w:r>
              <w:t>0.054</w:t>
            </w:r>
          </w:p>
        </w:tc>
      </w:tr>
    </w:tbl>
    <w:p>
      <w:pPr>
        <w:spacing w:line="360" w:lineRule="auto"/>
        <w:ind w:firstLine="480" w:firstLineChars="200"/>
      </w:pPr>
      <w:r>
        <w:t>（3）污染物排放量</w:t>
      </w:r>
    </w:p>
    <w:p>
      <w:pPr>
        <w:spacing w:line="360" w:lineRule="auto"/>
        <w:ind w:firstLine="480" w:firstLineChars="200"/>
      </w:pPr>
      <w:r>
        <w:rPr>
          <w:rFonts w:ascii="Times New Roman" w:hAnsi="Times New Roman" w:cs="Times New Roman"/>
        </w:rPr>
        <w:t>滨江片区</w:t>
      </w:r>
      <w:r>
        <w:rPr>
          <w:rFonts w:hint="eastAsia" w:ascii="Times New Roman" w:hAnsi="Times New Roman" w:cs="Times New Roman"/>
        </w:rPr>
        <w:t>废水进入</w:t>
      </w:r>
      <w:r>
        <w:rPr>
          <w:rFonts w:ascii="Times New Roman" w:hAnsi="Times New Roman" w:cs="Times New Roman"/>
        </w:rPr>
        <w:t>滨江污水处理厂</w:t>
      </w:r>
      <w:r>
        <w:t>处理后达《城镇污水处理厂污染物排放标准》（GB18918-2002）中一级A标准排放</w:t>
      </w:r>
      <w:r>
        <w:rPr>
          <w:rFonts w:hint="eastAsia" w:ascii="Times New Roman" w:hAnsi="Times New Roman" w:cs="Times New Roman"/>
        </w:rPr>
        <w:t>；</w:t>
      </w:r>
      <w:r>
        <w:rPr>
          <w:rFonts w:ascii="Times New Roman" w:hAnsi="Times New Roman" w:cs="Times New Roman"/>
        </w:rPr>
        <w:t>三湾片区</w:t>
      </w:r>
      <w:r>
        <w:rPr>
          <w:rFonts w:hint="eastAsia" w:ascii="Times New Roman" w:hAnsi="Times New Roman" w:cs="Times New Roman"/>
        </w:rPr>
        <w:t>废水进入</w:t>
      </w:r>
      <w:r>
        <w:rPr>
          <w:rFonts w:ascii="Times New Roman" w:hAnsi="Times New Roman" w:cs="Times New Roman"/>
        </w:rPr>
        <w:t>临湘污水处理厂</w:t>
      </w:r>
      <w:r>
        <w:t>处理后达《城镇污水处理厂污染物排放标准》（GB18918-2002）中一级A标准排放</w:t>
      </w:r>
      <w:r>
        <w:rPr>
          <w:rFonts w:hint="eastAsia" w:ascii="Times New Roman" w:hAnsi="Times New Roman" w:cs="Times New Roman"/>
        </w:rPr>
        <w:t>；</w:t>
      </w:r>
      <w:r>
        <w:rPr>
          <w:rFonts w:ascii="Times New Roman" w:hAnsi="Times New Roman" w:cs="Times New Roman"/>
        </w:rPr>
        <w:t>绿色建材产业园</w:t>
      </w:r>
      <w:r>
        <w:rPr>
          <w:rFonts w:hint="eastAsia" w:ascii="Times New Roman" w:hAnsi="Times New Roman" w:cs="Times New Roman"/>
        </w:rPr>
        <w:t>经厂区污水处理站处理后全部回用</w:t>
      </w:r>
      <w:r>
        <w:rPr>
          <w:rFonts w:ascii="Times New Roman" w:hAnsi="Times New Roman" w:cs="Times New Roman"/>
        </w:rPr>
        <w:t>。</w:t>
      </w:r>
    </w:p>
    <w:p>
      <w:pPr>
        <w:pStyle w:val="6"/>
        <w:rPr>
          <w:highlight w:val="yellow"/>
        </w:rPr>
      </w:pPr>
      <w:r>
        <w:rPr>
          <w:rFonts w:hint="eastAsia"/>
        </w:rPr>
        <w:t>表</w:t>
      </w:r>
      <w:r>
        <w:t xml:space="preserve">6.1-7  </w:t>
      </w:r>
      <w:r>
        <w:rPr>
          <w:rFonts w:hint="eastAsia"/>
          <w:highlight w:val="yellow"/>
        </w:rPr>
        <w:t>园区</w:t>
      </w:r>
      <w:r>
        <w:rPr>
          <w:highlight w:val="yellow"/>
        </w:rPr>
        <w:t>废水</w:t>
      </w:r>
      <w:r>
        <w:rPr>
          <w:rFonts w:hint="eastAsia"/>
          <w:highlight w:val="yellow"/>
        </w:rPr>
        <w:t>排放</w:t>
      </w:r>
      <w:r>
        <w:rPr>
          <w:highlight w:val="yellow"/>
        </w:rPr>
        <w:t>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2038"/>
        <w:gridCol w:w="1664"/>
        <w:gridCol w:w="1664"/>
        <w:gridCol w:w="4377"/>
        <w:gridCol w:w="138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restart"/>
            <w:vAlign w:val="center"/>
          </w:tcPr>
          <w:p>
            <w:pPr>
              <w:pStyle w:val="63"/>
            </w:pPr>
            <w:r>
              <w:rPr>
                <w:rFonts w:hint="eastAsia"/>
              </w:rPr>
              <w:t>片区</w:t>
            </w:r>
          </w:p>
        </w:tc>
        <w:tc>
          <w:tcPr>
            <w:tcW w:w="719" w:type="pct"/>
            <w:vMerge w:val="restart"/>
            <w:vAlign w:val="center"/>
          </w:tcPr>
          <w:p>
            <w:pPr>
              <w:pStyle w:val="63"/>
            </w:pPr>
            <w:r>
              <w:rPr>
                <w:rFonts w:hint="eastAsia"/>
              </w:rPr>
              <w:t>项目</w:t>
            </w:r>
          </w:p>
        </w:tc>
        <w:tc>
          <w:tcPr>
            <w:tcW w:w="587" w:type="pct"/>
            <w:vMerge w:val="restart"/>
            <w:vAlign w:val="center"/>
          </w:tcPr>
          <w:p>
            <w:pPr>
              <w:pStyle w:val="63"/>
            </w:pPr>
            <w:r>
              <w:rPr>
                <w:rFonts w:hint="eastAsia"/>
              </w:rPr>
              <w:t>废水处理进水控制浓度</w:t>
            </w:r>
            <w:r>
              <w:t>(mg/L)</w:t>
            </w:r>
          </w:p>
        </w:tc>
        <w:tc>
          <w:tcPr>
            <w:tcW w:w="587" w:type="pct"/>
            <w:vMerge w:val="restart"/>
            <w:vAlign w:val="center"/>
          </w:tcPr>
          <w:p>
            <w:pPr>
              <w:pStyle w:val="63"/>
            </w:pPr>
            <w:r>
              <w:rPr>
                <w:rFonts w:hint="eastAsia"/>
              </w:rPr>
              <w:t>废水处理出水控制浓度</w:t>
            </w:r>
            <w:r>
              <w:t>(mg/L)</w:t>
            </w:r>
          </w:p>
        </w:tc>
        <w:tc>
          <w:tcPr>
            <w:tcW w:w="2553" w:type="pct"/>
            <w:gridSpan w:val="3"/>
            <w:vAlign w:val="center"/>
          </w:tcPr>
          <w:p>
            <w:pPr>
              <w:pStyle w:val="63"/>
            </w:pPr>
            <w:r>
              <w:rPr>
                <w:rFonts w:hint="eastAsia"/>
              </w:rPr>
              <w:t>产生和排放量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4" w:type="pct"/>
            <w:vMerge w:val="continue"/>
            <w:vAlign w:val="center"/>
          </w:tcPr>
          <w:p>
            <w:pPr>
              <w:pStyle w:val="63"/>
            </w:pPr>
          </w:p>
        </w:tc>
        <w:tc>
          <w:tcPr>
            <w:tcW w:w="719" w:type="pct"/>
            <w:vMerge w:val="continue"/>
            <w:vAlign w:val="center"/>
          </w:tcPr>
          <w:p>
            <w:pPr>
              <w:pStyle w:val="63"/>
            </w:pPr>
          </w:p>
        </w:tc>
        <w:tc>
          <w:tcPr>
            <w:tcW w:w="587" w:type="pct"/>
            <w:vMerge w:val="continue"/>
            <w:vAlign w:val="center"/>
          </w:tcPr>
          <w:p>
            <w:pPr>
              <w:pStyle w:val="63"/>
            </w:pPr>
          </w:p>
        </w:tc>
        <w:tc>
          <w:tcPr>
            <w:tcW w:w="587" w:type="pct"/>
            <w:vMerge w:val="continue"/>
            <w:vAlign w:val="center"/>
          </w:tcPr>
          <w:p>
            <w:pPr>
              <w:pStyle w:val="63"/>
            </w:pPr>
          </w:p>
        </w:tc>
        <w:tc>
          <w:tcPr>
            <w:tcW w:w="1544" w:type="pct"/>
            <w:vAlign w:val="center"/>
          </w:tcPr>
          <w:p>
            <w:pPr>
              <w:pStyle w:val="63"/>
            </w:pPr>
            <w:r>
              <w:rPr>
                <w:rFonts w:hint="eastAsia"/>
              </w:rPr>
              <w:t>产生量</w:t>
            </w:r>
            <w:r>
              <w:t>(t/a)</w:t>
            </w:r>
          </w:p>
        </w:tc>
        <w:tc>
          <w:tcPr>
            <w:tcW w:w="488" w:type="pct"/>
            <w:vAlign w:val="center"/>
          </w:tcPr>
          <w:p>
            <w:pPr>
              <w:pStyle w:val="63"/>
            </w:pPr>
            <w:r>
              <w:rPr>
                <w:rFonts w:hint="eastAsia"/>
              </w:rPr>
              <w:t>去除量</w:t>
            </w:r>
            <w:r>
              <w:t>(t/a)</w:t>
            </w:r>
          </w:p>
        </w:tc>
        <w:tc>
          <w:tcPr>
            <w:tcW w:w="521" w:type="pct"/>
            <w:vAlign w:val="center"/>
          </w:tcPr>
          <w:p>
            <w:pPr>
              <w:pStyle w:val="63"/>
            </w:pPr>
            <w:r>
              <w:rPr>
                <w:rFonts w:hint="eastAsia"/>
              </w:rPr>
              <w:t>排放量</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4" w:type="pct"/>
            <w:vMerge w:val="restart"/>
            <w:vAlign w:val="center"/>
          </w:tcPr>
          <w:p>
            <w:pPr>
              <w:pStyle w:val="63"/>
            </w:pPr>
            <w:r>
              <w:rPr>
                <w:rFonts w:hint="eastAsia"/>
              </w:rPr>
              <w:t>滨江片区</w:t>
            </w:r>
          </w:p>
        </w:tc>
        <w:tc>
          <w:tcPr>
            <w:tcW w:w="719" w:type="pct"/>
            <w:vAlign w:val="center"/>
          </w:tcPr>
          <w:p>
            <w:pPr>
              <w:pStyle w:val="63"/>
            </w:pPr>
            <w:r>
              <w:rPr>
                <w:rFonts w:hint="eastAsia"/>
              </w:rPr>
              <w:t>废水（万m3/a）</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335.57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4" w:type="pct"/>
            <w:vMerge w:val="continue"/>
            <w:vAlign w:val="center"/>
          </w:tcPr>
          <w:p>
            <w:pPr>
              <w:pStyle w:val="63"/>
            </w:pPr>
          </w:p>
        </w:tc>
        <w:tc>
          <w:tcPr>
            <w:tcW w:w="719" w:type="pct"/>
            <w:vAlign w:val="center"/>
          </w:tcPr>
          <w:p>
            <w:pPr>
              <w:pStyle w:val="63"/>
            </w:pPr>
            <w:r>
              <w:t>CODCr</w:t>
            </w:r>
          </w:p>
        </w:tc>
        <w:tc>
          <w:tcPr>
            <w:tcW w:w="587" w:type="pct"/>
            <w:vAlign w:val="center"/>
          </w:tcPr>
          <w:p>
            <w:pPr>
              <w:pStyle w:val="63"/>
            </w:pPr>
            <w:r>
              <w:t>350</w:t>
            </w:r>
          </w:p>
        </w:tc>
        <w:tc>
          <w:tcPr>
            <w:tcW w:w="587" w:type="pct"/>
            <w:vAlign w:val="center"/>
          </w:tcPr>
          <w:p>
            <w:pPr>
              <w:pStyle w:val="63"/>
            </w:pPr>
            <w:r>
              <w:t>50</w:t>
            </w:r>
          </w:p>
        </w:tc>
        <w:tc>
          <w:tcPr>
            <w:tcW w:w="1544" w:type="pct"/>
            <w:vAlign w:val="center"/>
          </w:tcPr>
          <w:p>
            <w:pPr>
              <w:pStyle w:val="63"/>
            </w:pPr>
            <w:r>
              <w:t>1174.50</w:t>
            </w:r>
          </w:p>
        </w:tc>
        <w:tc>
          <w:tcPr>
            <w:tcW w:w="488" w:type="pct"/>
            <w:vAlign w:val="center"/>
          </w:tcPr>
          <w:p>
            <w:pPr>
              <w:pStyle w:val="63"/>
            </w:pPr>
            <w:r>
              <w:rPr>
                <w:rFonts w:hint="eastAsia"/>
              </w:rPr>
              <w:t>1006.72</w:t>
            </w:r>
          </w:p>
        </w:tc>
        <w:tc>
          <w:tcPr>
            <w:tcW w:w="521" w:type="pct"/>
            <w:vAlign w:val="center"/>
          </w:tcPr>
          <w:p>
            <w:pPr>
              <w:pStyle w:val="63"/>
            </w:pPr>
            <w:r>
              <w:t>167.79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continue"/>
            <w:vAlign w:val="center"/>
          </w:tcPr>
          <w:p>
            <w:pPr>
              <w:pStyle w:val="63"/>
            </w:pPr>
          </w:p>
        </w:tc>
        <w:tc>
          <w:tcPr>
            <w:tcW w:w="719" w:type="pct"/>
            <w:vAlign w:val="center"/>
          </w:tcPr>
          <w:p>
            <w:pPr>
              <w:pStyle w:val="63"/>
            </w:pPr>
            <w:r>
              <w:rPr>
                <w:rFonts w:hint="eastAsia"/>
              </w:rPr>
              <w:t>氨氮</w:t>
            </w:r>
          </w:p>
        </w:tc>
        <w:tc>
          <w:tcPr>
            <w:tcW w:w="587" w:type="pct"/>
            <w:vAlign w:val="center"/>
          </w:tcPr>
          <w:p>
            <w:pPr>
              <w:pStyle w:val="63"/>
            </w:pPr>
            <w:r>
              <w:t>25</w:t>
            </w:r>
          </w:p>
        </w:tc>
        <w:tc>
          <w:tcPr>
            <w:tcW w:w="587" w:type="pct"/>
            <w:vAlign w:val="center"/>
          </w:tcPr>
          <w:p>
            <w:pPr>
              <w:pStyle w:val="63"/>
            </w:pPr>
            <w:r>
              <w:t>5</w:t>
            </w:r>
          </w:p>
        </w:tc>
        <w:tc>
          <w:tcPr>
            <w:tcW w:w="1544" w:type="pct"/>
            <w:vAlign w:val="center"/>
          </w:tcPr>
          <w:p>
            <w:pPr>
              <w:pStyle w:val="63"/>
            </w:pPr>
            <w:r>
              <w:t>83.89</w:t>
            </w:r>
          </w:p>
        </w:tc>
        <w:tc>
          <w:tcPr>
            <w:tcW w:w="488" w:type="pct"/>
            <w:vAlign w:val="center"/>
          </w:tcPr>
          <w:p>
            <w:pPr>
              <w:pStyle w:val="63"/>
            </w:pPr>
            <w:r>
              <w:rPr>
                <w:rFonts w:hint="eastAsia"/>
              </w:rPr>
              <w:t>67.11</w:t>
            </w:r>
          </w:p>
        </w:tc>
        <w:tc>
          <w:tcPr>
            <w:tcW w:w="521" w:type="pct"/>
            <w:vAlign w:val="center"/>
          </w:tcPr>
          <w:p>
            <w:pPr>
              <w:pStyle w:val="63"/>
            </w:pPr>
            <w:r>
              <w:t>16.78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continue"/>
            <w:vAlign w:val="center"/>
          </w:tcPr>
          <w:p>
            <w:pPr>
              <w:pStyle w:val="63"/>
            </w:pPr>
          </w:p>
        </w:tc>
        <w:tc>
          <w:tcPr>
            <w:tcW w:w="719" w:type="pct"/>
            <w:vAlign w:val="center"/>
          </w:tcPr>
          <w:p>
            <w:pPr>
              <w:pStyle w:val="63"/>
            </w:pPr>
            <w:r>
              <w:rPr>
                <w:rFonts w:hint="eastAsia"/>
              </w:rPr>
              <w:t>总磷</w:t>
            </w:r>
          </w:p>
        </w:tc>
        <w:tc>
          <w:tcPr>
            <w:tcW w:w="587" w:type="pct"/>
            <w:vAlign w:val="center"/>
          </w:tcPr>
          <w:p>
            <w:pPr>
              <w:pStyle w:val="63"/>
            </w:pPr>
            <w:r>
              <w:t>4</w:t>
            </w:r>
          </w:p>
        </w:tc>
        <w:tc>
          <w:tcPr>
            <w:tcW w:w="587" w:type="pct"/>
            <w:vAlign w:val="center"/>
          </w:tcPr>
          <w:p>
            <w:pPr>
              <w:pStyle w:val="63"/>
            </w:pPr>
            <w:r>
              <w:t>1</w:t>
            </w:r>
          </w:p>
        </w:tc>
        <w:tc>
          <w:tcPr>
            <w:tcW w:w="1544" w:type="pct"/>
            <w:vAlign w:val="center"/>
          </w:tcPr>
          <w:p>
            <w:pPr>
              <w:pStyle w:val="63"/>
            </w:pPr>
            <w:r>
              <w:t>13.42</w:t>
            </w:r>
          </w:p>
        </w:tc>
        <w:tc>
          <w:tcPr>
            <w:tcW w:w="488" w:type="pct"/>
            <w:vAlign w:val="center"/>
          </w:tcPr>
          <w:p>
            <w:pPr>
              <w:pStyle w:val="63"/>
            </w:pPr>
            <w:r>
              <w:rPr>
                <w:rFonts w:hint="eastAsia"/>
              </w:rPr>
              <w:t>10.07</w:t>
            </w:r>
          </w:p>
        </w:tc>
        <w:tc>
          <w:tcPr>
            <w:tcW w:w="521" w:type="pct"/>
            <w:vAlign w:val="center"/>
          </w:tcPr>
          <w:p>
            <w:pPr>
              <w:pStyle w:val="63"/>
            </w:pPr>
            <w: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4" w:type="pct"/>
            <w:vMerge w:val="restart"/>
            <w:vAlign w:val="center"/>
          </w:tcPr>
          <w:p>
            <w:pPr>
              <w:pStyle w:val="63"/>
            </w:pPr>
            <w:r>
              <w:rPr>
                <w:rFonts w:hint="eastAsia"/>
              </w:rPr>
              <w:t>三湾产业园</w:t>
            </w:r>
          </w:p>
        </w:tc>
        <w:tc>
          <w:tcPr>
            <w:tcW w:w="719" w:type="pct"/>
            <w:vAlign w:val="center"/>
          </w:tcPr>
          <w:p>
            <w:pPr>
              <w:pStyle w:val="63"/>
            </w:pPr>
            <w:r>
              <w:rPr>
                <w:rFonts w:hint="eastAsia"/>
              </w:rPr>
              <w:t>废水（万m3/a）</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4" w:type="pct"/>
            <w:vMerge w:val="continue"/>
            <w:vAlign w:val="center"/>
          </w:tcPr>
          <w:p>
            <w:pPr>
              <w:pStyle w:val="63"/>
            </w:pPr>
          </w:p>
        </w:tc>
        <w:tc>
          <w:tcPr>
            <w:tcW w:w="719" w:type="pct"/>
            <w:vAlign w:val="center"/>
          </w:tcPr>
          <w:p>
            <w:pPr>
              <w:pStyle w:val="63"/>
            </w:pPr>
            <w:r>
              <w:t>CODCr</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continue"/>
            <w:vAlign w:val="center"/>
          </w:tcPr>
          <w:p>
            <w:pPr>
              <w:pStyle w:val="63"/>
            </w:pPr>
          </w:p>
        </w:tc>
        <w:tc>
          <w:tcPr>
            <w:tcW w:w="719" w:type="pct"/>
            <w:vAlign w:val="center"/>
          </w:tcPr>
          <w:p>
            <w:pPr>
              <w:pStyle w:val="63"/>
            </w:pPr>
            <w:r>
              <w:rPr>
                <w:rFonts w:hint="eastAsia"/>
              </w:rPr>
              <w:t>氨氮</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continue"/>
            <w:vAlign w:val="center"/>
          </w:tcPr>
          <w:p>
            <w:pPr>
              <w:pStyle w:val="63"/>
            </w:pPr>
          </w:p>
        </w:tc>
        <w:tc>
          <w:tcPr>
            <w:tcW w:w="719" w:type="pct"/>
            <w:vAlign w:val="center"/>
          </w:tcPr>
          <w:p>
            <w:pPr>
              <w:pStyle w:val="63"/>
            </w:pPr>
            <w:r>
              <w:rPr>
                <w:rFonts w:hint="eastAsia"/>
              </w:rPr>
              <w:t>总磷</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4" w:type="pct"/>
            <w:vMerge w:val="restart"/>
            <w:vAlign w:val="center"/>
          </w:tcPr>
          <w:p>
            <w:pPr>
              <w:pStyle w:val="63"/>
            </w:pPr>
            <w:r>
              <w:rPr>
                <w:rFonts w:hint="eastAsia"/>
              </w:rPr>
              <w:t>总计</w:t>
            </w:r>
          </w:p>
        </w:tc>
        <w:tc>
          <w:tcPr>
            <w:tcW w:w="719" w:type="pct"/>
            <w:vAlign w:val="center"/>
          </w:tcPr>
          <w:p>
            <w:pPr>
              <w:pStyle w:val="63"/>
            </w:pPr>
            <w:r>
              <w:rPr>
                <w:rFonts w:hint="eastAsia"/>
              </w:rPr>
              <w:t>废水（万m3/a）</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335.86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4" w:type="pct"/>
            <w:vMerge w:val="continue"/>
            <w:vAlign w:val="center"/>
          </w:tcPr>
          <w:p>
            <w:pPr>
              <w:pStyle w:val="63"/>
            </w:pPr>
          </w:p>
        </w:tc>
        <w:tc>
          <w:tcPr>
            <w:tcW w:w="719" w:type="pct"/>
            <w:vAlign w:val="center"/>
          </w:tcPr>
          <w:p>
            <w:pPr>
              <w:pStyle w:val="63"/>
            </w:pPr>
            <w:r>
              <w:t>CODCr</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168.50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continue"/>
            <w:vAlign w:val="center"/>
          </w:tcPr>
          <w:p>
            <w:pPr>
              <w:pStyle w:val="63"/>
            </w:pPr>
          </w:p>
        </w:tc>
        <w:tc>
          <w:tcPr>
            <w:tcW w:w="719" w:type="pct"/>
            <w:vAlign w:val="center"/>
          </w:tcPr>
          <w:p>
            <w:pPr>
              <w:pStyle w:val="63"/>
            </w:pPr>
            <w:r>
              <w:rPr>
                <w:rFonts w:hint="eastAsia"/>
              </w:rPr>
              <w:t>氨氮</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16.83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4" w:type="pct"/>
            <w:vMerge w:val="continue"/>
            <w:vAlign w:val="center"/>
          </w:tcPr>
          <w:p>
            <w:pPr>
              <w:pStyle w:val="63"/>
            </w:pPr>
          </w:p>
        </w:tc>
        <w:tc>
          <w:tcPr>
            <w:tcW w:w="719" w:type="pct"/>
            <w:vAlign w:val="center"/>
          </w:tcPr>
          <w:p>
            <w:pPr>
              <w:pStyle w:val="63"/>
            </w:pPr>
            <w:r>
              <w:rPr>
                <w:rFonts w:hint="eastAsia"/>
              </w:rPr>
              <w:t>总磷</w:t>
            </w:r>
          </w:p>
        </w:tc>
        <w:tc>
          <w:tcPr>
            <w:tcW w:w="587" w:type="pct"/>
            <w:vAlign w:val="center"/>
          </w:tcPr>
          <w:p>
            <w:pPr>
              <w:pStyle w:val="63"/>
            </w:pPr>
            <w:r>
              <w:t>/</w:t>
            </w:r>
          </w:p>
        </w:tc>
        <w:tc>
          <w:tcPr>
            <w:tcW w:w="587" w:type="pct"/>
            <w:vAlign w:val="center"/>
          </w:tcPr>
          <w:p>
            <w:pPr>
              <w:pStyle w:val="63"/>
            </w:pPr>
            <w:r>
              <w:t>/</w:t>
            </w:r>
          </w:p>
        </w:tc>
        <w:tc>
          <w:tcPr>
            <w:tcW w:w="1544" w:type="pct"/>
            <w:vAlign w:val="center"/>
          </w:tcPr>
          <w:p>
            <w:pPr>
              <w:pStyle w:val="63"/>
            </w:pPr>
            <w:r>
              <w:t>/</w:t>
            </w:r>
          </w:p>
        </w:tc>
        <w:tc>
          <w:tcPr>
            <w:tcW w:w="488" w:type="pct"/>
            <w:vAlign w:val="center"/>
          </w:tcPr>
          <w:p>
            <w:pPr>
              <w:pStyle w:val="63"/>
            </w:pPr>
            <w:r>
              <w:t>/</w:t>
            </w:r>
          </w:p>
        </w:tc>
        <w:tc>
          <w:tcPr>
            <w:tcW w:w="521" w:type="pct"/>
            <w:vAlign w:val="center"/>
          </w:tcPr>
          <w:p>
            <w:pPr>
              <w:pStyle w:val="63"/>
            </w:pPr>
            <w:r>
              <w:t>3.37</w:t>
            </w:r>
          </w:p>
        </w:tc>
      </w:tr>
    </w:tbl>
    <w:p>
      <w:pPr>
        <w:ind w:firstLine="480"/>
        <w:rPr>
          <w:highlight w:val="yellow"/>
        </w:rPr>
      </w:pPr>
    </w:p>
    <w:p>
      <w:pPr>
        <w:ind w:firstLine="480"/>
        <w:rPr>
          <w:highlight w:val="yellow"/>
        </w:rPr>
        <w:sectPr>
          <w:pgSz w:w="16838" w:h="11906" w:orient="landscape"/>
          <w:pgMar w:top="1797" w:right="1440" w:bottom="1797" w:left="1440" w:header="851" w:footer="992" w:gutter="0"/>
          <w:cols w:space="425" w:num="1"/>
          <w:docGrid w:type="lines" w:linePitch="332" w:charSpace="7591"/>
        </w:sectPr>
      </w:pPr>
    </w:p>
    <w:p>
      <w:pPr>
        <w:pStyle w:val="4"/>
      </w:pPr>
      <w:bookmarkStart w:id="500" w:name="_Toc146091952"/>
      <w:r>
        <w:t>6.1.2 大气污染源</w:t>
      </w:r>
      <w:bookmarkEnd w:id="500"/>
    </w:p>
    <w:p>
      <w:pPr>
        <w:spacing w:line="360" w:lineRule="auto"/>
        <w:ind w:firstLine="480" w:firstLineChars="200"/>
      </w:pPr>
      <w:r>
        <w:t>园区规划能源主要为电力、天然气、蒸汽等。本次评价主要考虑生活源废气和工业源废气分别计算大气污染排放情况。</w:t>
      </w:r>
    </w:p>
    <w:p>
      <w:pPr>
        <w:spacing w:line="360" w:lineRule="auto"/>
        <w:ind w:firstLine="480" w:firstLineChars="200"/>
      </w:pPr>
      <w:r>
        <w:t>（</w:t>
      </w:r>
      <w:r>
        <w:rPr>
          <w:rFonts w:hint="eastAsia"/>
        </w:rPr>
        <w:t>1</w:t>
      </w:r>
      <w:r>
        <w:t>）生活源</w:t>
      </w:r>
    </w:p>
    <w:p>
      <w:pPr>
        <w:spacing w:line="360" w:lineRule="auto"/>
        <w:ind w:firstLine="480" w:firstLineChars="200"/>
      </w:pPr>
      <w:bookmarkStart w:id="501" w:name="_Toc1552369"/>
      <w:bookmarkStart w:id="502" w:name="_Toc520734324"/>
      <w:bookmarkStart w:id="503" w:name="_Toc521835640"/>
      <w:r>
        <w:t>三湾产业园</w:t>
      </w:r>
      <w:r>
        <w:rPr>
          <w:rFonts w:hint="eastAsia"/>
        </w:rPr>
        <w:t>规划</w:t>
      </w:r>
      <w:r>
        <w:t>居民人口为0.32</w:t>
      </w:r>
      <w:r>
        <w:rPr>
          <w:rFonts w:hint="eastAsia"/>
        </w:rPr>
        <w:t>万</w:t>
      </w:r>
      <w:r>
        <w:t>人。规划居民均采用天然气，根据对人口规模进行核实，天然气参考《排污许可证申请与核发技术规范锅炉》（HJ953-2018）中用燃气工业锅炉的废气产排污系数，燃烧污染物单位排放量烟尘为2.86kg/104m3、SO2为4kg/104m3、氮氧化物为18.71kg/106m3来计算来计算，得出污染物排放量下见下表。</w:t>
      </w:r>
    </w:p>
    <w:p>
      <w:pPr>
        <w:pStyle w:val="6"/>
      </w:pPr>
      <w:r>
        <w:t>表6.1-9  居民燃料废气污染物排放量</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289"/>
        <w:gridCol w:w="994"/>
        <w:gridCol w:w="1418"/>
        <w:gridCol w:w="1303"/>
        <w:gridCol w:w="1165"/>
        <w:gridCol w:w="1008"/>
        <w:gridCol w:w="11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98" w:hRule="atLeast"/>
          <w:jc w:val="center"/>
        </w:trPr>
        <w:tc>
          <w:tcPr>
            <w:tcW w:w="773" w:type="pct"/>
            <w:tcBorders>
              <w:tl2br w:val="nil"/>
              <w:tr2bl w:val="nil"/>
            </w:tcBorders>
            <w:vAlign w:val="center"/>
          </w:tcPr>
          <w:p>
            <w:pPr>
              <w:pStyle w:val="63"/>
            </w:pPr>
            <w:r>
              <w:t>片区</w:t>
            </w:r>
          </w:p>
        </w:tc>
        <w:tc>
          <w:tcPr>
            <w:tcW w:w="596" w:type="pct"/>
            <w:tcBorders>
              <w:tl2br w:val="nil"/>
              <w:tr2bl w:val="nil"/>
            </w:tcBorders>
            <w:vAlign w:val="center"/>
          </w:tcPr>
          <w:p>
            <w:pPr>
              <w:pStyle w:val="63"/>
            </w:pPr>
            <w:r>
              <w:t>规划人口（万）</w:t>
            </w:r>
          </w:p>
        </w:tc>
        <w:tc>
          <w:tcPr>
            <w:tcW w:w="850" w:type="pct"/>
            <w:tcBorders>
              <w:tl2br w:val="nil"/>
              <w:tr2bl w:val="nil"/>
            </w:tcBorders>
            <w:vAlign w:val="center"/>
          </w:tcPr>
          <w:p>
            <w:pPr>
              <w:pStyle w:val="63"/>
            </w:pPr>
            <w:r>
              <w:t>人均用气量m3/a</w:t>
            </w:r>
          </w:p>
        </w:tc>
        <w:tc>
          <w:tcPr>
            <w:tcW w:w="781" w:type="pct"/>
            <w:tcBorders>
              <w:tl2br w:val="nil"/>
              <w:tr2bl w:val="nil"/>
            </w:tcBorders>
            <w:vAlign w:val="center"/>
          </w:tcPr>
          <w:p>
            <w:pPr>
              <w:pStyle w:val="63"/>
            </w:pPr>
            <w:r>
              <w:t>总用气量（万m3）</w:t>
            </w:r>
          </w:p>
        </w:tc>
        <w:tc>
          <w:tcPr>
            <w:tcW w:w="698" w:type="pct"/>
            <w:tcBorders>
              <w:tl2br w:val="nil"/>
              <w:tr2bl w:val="nil"/>
            </w:tcBorders>
            <w:vAlign w:val="center"/>
          </w:tcPr>
          <w:p>
            <w:pPr>
              <w:pStyle w:val="63"/>
            </w:pPr>
            <w:r>
              <w:t>颗粒物（t/a）</w:t>
            </w:r>
          </w:p>
        </w:tc>
        <w:tc>
          <w:tcPr>
            <w:tcW w:w="604" w:type="pct"/>
            <w:tcBorders>
              <w:tl2br w:val="nil"/>
              <w:tr2bl w:val="nil"/>
            </w:tcBorders>
            <w:vAlign w:val="center"/>
          </w:tcPr>
          <w:p>
            <w:pPr>
              <w:pStyle w:val="63"/>
            </w:pPr>
            <w:r>
              <w:t>SO2（t/a）</w:t>
            </w:r>
          </w:p>
        </w:tc>
        <w:tc>
          <w:tcPr>
            <w:tcW w:w="698" w:type="pct"/>
            <w:tcBorders>
              <w:tl2br w:val="nil"/>
              <w:tr2bl w:val="nil"/>
            </w:tcBorders>
            <w:vAlign w:val="center"/>
          </w:tcPr>
          <w:p>
            <w:pPr>
              <w:pStyle w:val="63"/>
            </w:pPr>
            <w:r>
              <w:t>NOx（t/a）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773" w:type="pct"/>
            <w:tcBorders>
              <w:tl2br w:val="nil"/>
              <w:tr2bl w:val="nil"/>
            </w:tcBorders>
            <w:vAlign w:val="center"/>
          </w:tcPr>
          <w:p>
            <w:pPr>
              <w:pStyle w:val="63"/>
            </w:pPr>
            <w:r>
              <w:t>临湘片区</w:t>
            </w:r>
          </w:p>
        </w:tc>
        <w:tc>
          <w:tcPr>
            <w:tcW w:w="596" w:type="pct"/>
            <w:tcBorders>
              <w:tl2br w:val="nil"/>
              <w:tr2bl w:val="nil"/>
            </w:tcBorders>
            <w:vAlign w:val="center"/>
          </w:tcPr>
          <w:p>
            <w:pPr>
              <w:pStyle w:val="63"/>
            </w:pPr>
            <w:r>
              <w:t>0.32</w:t>
            </w:r>
          </w:p>
        </w:tc>
        <w:tc>
          <w:tcPr>
            <w:tcW w:w="850" w:type="pct"/>
            <w:tcBorders>
              <w:tl2br w:val="nil"/>
              <w:tr2bl w:val="nil"/>
            </w:tcBorders>
            <w:vAlign w:val="center"/>
          </w:tcPr>
          <w:p>
            <w:pPr>
              <w:pStyle w:val="63"/>
            </w:pPr>
            <w:r>
              <w:t>50</w:t>
            </w:r>
          </w:p>
        </w:tc>
        <w:tc>
          <w:tcPr>
            <w:tcW w:w="781" w:type="pct"/>
            <w:tcBorders>
              <w:tl2br w:val="nil"/>
              <w:tr2bl w:val="nil"/>
            </w:tcBorders>
            <w:vAlign w:val="center"/>
          </w:tcPr>
          <w:p>
            <w:pPr>
              <w:pStyle w:val="63"/>
            </w:pPr>
            <w:r>
              <w:t>16</w:t>
            </w:r>
          </w:p>
        </w:tc>
        <w:tc>
          <w:tcPr>
            <w:tcW w:w="698" w:type="pct"/>
            <w:tcBorders>
              <w:tl2br w:val="nil"/>
              <w:tr2bl w:val="nil"/>
            </w:tcBorders>
            <w:vAlign w:val="center"/>
          </w:tcPr>
          <w:p>
            <w:pPr>
              <w:pStyle w:val="63"/>
            </w:pPr>
            <w:r>
              <w:t xml:space="preserve">0.05 </w:t>
            </w:r>
          </w:p>
        </w:tc>
        <w:tc>
          <w:tcPr>
            <w:tcW w:w="604" w:type="pct"/>
            <w:tcBorders>
              <w:tl2br w:val="nil"/>
              <w:tr2bl w:val="nil"/>
            </w:tcBorders>
            <w:vAlign w:val="center"/>
          </w:tcPr>
          <w:p>
            <w:pPr>
              <w:pStyle w:val="63"/>
            </w:pPr>
            <w:r>
              <w:t xml:space="preserve">0.06 </w:t>
            </w:r>
          </w:p>
        </w:tc>
        <w:tc>
          <w:tcPr>
            <w:tcW w:w="698" w:type="pct"/>
            <w:tcBorders>
              <w:tl2br w:val="nil"/>
              <w:tr2bl w:val="nil"/>
            </w:tcBorders>
            <w:vAlign w:val="center"/>
          </w:tcPr>
          <w:p>
            <w:pPr>
              <w:pStyle w:val="63"/>
            </w:pPr>
            <w:r>
              <w:t xml:space="preserve">0.30 </w:t>
            </w:r>
          </w:p>
        </w:tc>
      </w:tr>
    </w:tbl>
    <w:p>
      <w:pPr>
        <w:spacing w:line="360" w:lineRule="auto"/>
        <w:ind w:firstLine="480" w:firstLineChars="200"/>
      </w:pPr>
      <w:r>
        <w:t>（</w:t>
      </w:r>
      <w:r>
        <w:rPr>
          <w:rFonts w:hint="eastAsia"/>
        </w:rPr>
        <w:t>2</w:t>
      </w:r>
      <w:r>
        <w:t>）工业源</w:t>
      </w:r>
    </w:p>
    <w:p>
      <w:pPr>
        <w:spacing w:line="360" w:lineRule="auto"/>
        <w:ind w:firstLine="480" w:firstLineChars="200"/>
      </w:pPr>
      <w:r>
        <w:t>1）燃料废气</w:t>
      </w:r>
    </w:p>
    <w:p>
      <w:pPr>
        <w:spacing w:line="360" w:lineRule="auto"/>
        <w:ind w:firstLine="480" w:firstLineChars="200"/>
      </w:pPr>
      <w:r>
        <w:rPr>
          <w:rFonts w:hint="eastAsia"/>
        </w:rPr>
        <w:t>滨江片区绿色化工产业园</w:t>
      </w:r>
      <w:r>
        <w:t>新建热电联产项目为区域供热，该项目占地14.82hm2，拟建设2台150t/h和4台260t/h超高温超高压循环流化床锅炉，以及2台20MW和4台36MW背式汽轮发电机组，根据《湖南临湘工业园热电联产项目环境影响报告书》（初稿）核算可知，项目源强详见下表。</w:t>
      </w:r>
    </w:p>
    <w:p>
      <w:pPr>
        <w:pStyle w:val="6"/>
      </w:pPr>
      <w:r>
        <w:t xml:space="preserve">表6.1-10 </w:t>
      </w:r>
      <w:r>
        <w:rPr>
          <w:rFonts w:hint="eastAsia"/>
        </w:rPr>
        <w:t>绿色化工产业园</w:t>
      </w:r>
      <w:r>
        <w:t>热电联产废气计算表</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632"/>
        <w:gridCol w:w="1070"/>
        <w:gridCol w:w="1816"/>
        <w:gridCol w:w="2096"/>
        <w:gridCol w:w="900"/>
        <w:gridCol w:w="9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tblHeader/>
          <w:jc w:val="center"/>
        </w:trPr>
        <w:tc>
          <w:tcPr>
            <w:tcW w:w="969" w:type="pct"/>
            <w:vMerge w:val="restart"/>
            <w:tcBorders>
              <w:top w:val="single" w:color="auto" w:sz="12" w:space="0"/>
              <w:left w:val="single" w:color="auto" w:sz="12" w:space="0"/>
              <w:bottom w:val="single" w:color="auto" w:sz="6" w:space="0"/>
              <w:right w:val="single" w:color="auto" w:sz="2" w:space="0"/>
            </w:tcBorders>
            <w:vAlign w:val="center"/>
          </w:tcPr>
          <w:p>
            <w:pPr>
              <w:pStyle w:val="63"/>
            </w:pPr>
            <w:r>
              <w:t>污染源名称</w:t>
            </w:r>
          </w:p>
        </w:tc>
        <w:tc>
          <w:tcPr>
            <w:tcW w:w="635" w:type="pct"/>
            <w:vMerge w:val="restart"/>
            <w:tcBorders>
              <w:top w:val="single" w:color="auto" w:sz="12" w:space="0"/>
              <w:left w:val="single" w:color="auto" w:sz="2" w:space="0"/>
              <w:bottom w:val="single" w:color="auto" w:sz="6" w:space="0"/>
            </w:tcBorders>
            <w:vAlign w:val="center"/>
          </w:tcPr>
          <w:p>
            <w:pPr>
              <w:pStyle w:val="63"/>
            </w:pPr>
            <w:r>
              <w:t>污染物</w:t>
            </w:r>
          </w:p>
        </w:tc>
        <w:tc>
          <w:tcPr>
            <w:tcW w:w="1078" w:type="pct"/>
            <w:vMerge w:val="restart"/>
            <w:tcBorders>
              <w:top w:val="single" w:color="auto" w:sz="12" w:space="0"/>
              <w:bottom w:val="single" w:color="auto" w:sz="6" w:space="0"/>
              <w:right w:val="single" w:color="auto" w:sz="2" w:space="0"/>
            </w:tcBorders>
            <w:vAlign w:val="center"/>
          </w:tcPr>
          <w:p>
            <w:pPr>
              <w:pStyle w:val="63"/>
            </w:pPr>
            <w:r>
              <w:t>排气量</w:t>
            </w:r>
          </w:p>
        </w:tc>
        <w:tc>
          <w:tcPr>
            <w:tcW w:w="1244" w:type="pct"/>
            <w:vMerge w:val="restart"/>
            <w:tcBorders>
              <w:top w:val="single" w:color="auto" w:sz="12" w:space="0"/>
              <w:left w:val="single" w:color="auto" w:sz="2" w:space="0"/>
              <w:bottom w:val="single" w:color="auto" w:sz="6" w:space="0"/>
            </w:tcBorders>
            <w:vAlign w:val="center"/>
          </w:tcPr>
          <w:p>
            <w:pPr>
              <w:pStyle w:val="63"/>
            </w:pPr>
            <w:r>
              <w:t>排放参数</w:t>
            </w:r>
          </w:p>
        </w:tc>
        <w:tc>
          <w:tcPr>
            <w:tcW w:w="1074" w:type="pct"/>
            <w:gridSpan w:val="2"/>
            <w:tcBorders>
              <w:top w:val="single" w:color="auto" w:sz="12" w:space="0"/>
              <w:bottom w:val="single" w:color="auto" w:sz="6" w:space="0"/>
            </w:tcBorders>
            <w:vAlign w:val="center"/>
          </w:tcPr>
          <w:p>
            <w:pPr>
              <w:pStyle w:val="63"/>
            </w:pPr>
            <w: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tblHeader/>
          <w:jc w:val="center"/>
        </w:trPr>
        <w:tc>
          <w:tcPr>
            <w:tcW w:w="969" w:type="pct"/>
            <w:vMerge w:val="continue"/>
            <w:tcBorders>
              <w:top w:val="single" w:color="auto" w:sz="6" w:space="0"/>
              <w:left w:val="single" w:color="auto" w:sz="12" w:space="0"/>
              <w:bottom w:val="single" w:color="auto" w:sz="6" w:space="0"/>
              <w:right w:val="single" w:color="auto" w:sz="2" w:space="0"/>
            </w:tcBorders>
            <w:vAlign w:val="center"/>
          </w:tcPr>
          <w:p>
            <w:pPr>
              <w:pStyle w:val="63"/>
            </w:pPr>
          </w:p>
        </w:tc>
        <w:tc>
          <w:tcPr>
            <w:tcW w:w="635" w:type="pct"/>
            <w:vMerge w:val="continue"/>
            <w:tcBorders>
              <w:top w:val="single" w:color="auto" w:sz="6" w:space="0"/>
              <w:left w:val="single" w:color="auto" w:sz="2" w:space="0"/>
              <w:bottom w:val="single" w:color="auto" w:sz="6" w:space="0"/>
            </w:tcBorders>
            <w:vAlign w:val="center"/>
          </w:tcPr>
          <w:p>
            <w:pPr>
              <w:pStyle w:val="63"/>
            </w:pPr>
          </w:p>
        </w:tc>
        <w:tc>
          <w:tcPr>
            <w:tcW w:w="1078" w:type="pct"/>
            <w:vMerge w:val="continue"/>
            <w:tcBorders>
              <w:top w:val="single" w:color="auto" w:sz="6" w:space="0"/>
              <w:bottom w:val="single" w:color="auto" w:sz="6" w:space="0"/>
              <w:right w:val="single" w:color="auto" w:sz="2" w:space="0"/>
            </w:tcBorders>
            <w:vAlign w:val="center"/>
          </w:tcPr>
          <w:p>
            <w:pPr>
              <w:pStyle w:val="63"/>
            </w:pPr>
          </w:p>
        </w:tc>
        <w:tc>
          <w:tcPr>
            <w:tcW w:w="1244" w:type="pct"/>
            <w:vMerge w:val="continue"/>
            <w:tcBorders>
              <w:top w:val="single" w:color="auto" w:sz="6" w:space="0"/>
              <w:left w:val="single" w:color="auto" w:sz="2" w:space="0"/>
              <w:bottom w:val="single" w:color="auto" w:sz="6" w:space="0"/>
            </w:tcBorders>
            <w:vAlign w:val="center"/>
          </w:tcPr>
          <w:p>
            <w:pPr>
              <w:pStyle w:val="63"/>
            </w:pPr>
          </w:p>
        </w:tc>
        <w:tc>
          <w:tcPr>
            <w:tcW w:w="534" w:type="pct"/>
            <w:tcBorders>
              <w:top w:val="single" w:color="auto" w:sz="6" w:space="0"/>
              <w:left w:val="single" w:color="auto" w:sz="2" w:space="0"/>
              <w:bottom w:val="single" w:color="auto" w:sz="6" w:space="0"/>
            </w:tcBorders>
            <w:vAlign w:val="center"/>
          </w:tcPr>
          <w:p>
            <w:pPr>
              <w:pStyle w:val="63"/>
            </w:pPr>
            <w:r>
              <w:t>排放速率kg/h</w:t>
            </w:r>
          </w:p>
        </w:tc>
        <w:tc>
          <w:tcPr>
            <w:tcW w:w="539" w:type="pct"/>
            <w:tcBorders>
              <w:top w:val="single" w:color="auto" w:sz="6" w:space="0"/>
              <w:left w:val="single" w:color="auto" w:sz="2" w:space="0"/>
              <w:bottom w:val="single" w:color="auto" w:sz="6" w:space="0"/>
            </w:tcBorders>
            <w:vAlign w:val="center"/>
          </w:tcPr>
          <w:p>
            <w:pPr>
              <w:pStyle w:val="63"/>
            </w:pPr>
            <w:r>
              <w:t>排放总量t/a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jc w:val="center"/>
        </w:trPr>
        <w:tc>
          <w:tcPr>
            <w:tcW w:w="969" w:type="pct"/>
            <w:vMerge w:val="restart"/>
            <w:tcBorders>
              <w:top w:val="single" w:color="auto" w:sz="6" w:space="0"/>
              <w:left w:val="single" w:color="auto" w:sz="12" w:space="0"/>
              <w:bottom w:val="single" w:color="auto" w:sz="6" w:space="0"/>
              <w:right w:val="single" w:color="auto" w:sz="2" w:space="0"/>
            </w:tcBorders>
            <w:vAlign w:val="center"/>
          </w:tcPr>
          <w:p>
            <w:pPr>
              <w:pStyle w:val="63"/>
            </w:pPr>
            <w:r>
              <w:t>1#烟囱（2×150t/h+</w:t>
            </w:r>
          </w:p>
          <w:p>
            <w:pPr>
              <w:pStyle w:val="63"/>
            </w:pPr>
            <w:r>
              <w:t>1×260t</w:t>
            </w:r>
          </w:p>
          <w:p>
            <w:pPr>
              <w:pStyle w:val="63"/>
            </w:pPr>
            <w:r>
              <w:t>/h）</w:t>
            </w:r>
          </w:p>
        </w:tc>
        <w:tc>
          <w:tcPr>
            <w:tcW w:w="635" w:type="pct"/>
            <w:tcBorders>
              <w:top w:val="single" w:color="auto" w:sz="6" w:space="0"/>
              <w:left w:val="single" w:color="auto" w:sz="2" w:space="0"/>
              <w:bottom w:val="single" w:color="auto" w:sz="6" w:space="0"/>
            </w:tcBorders>
            <w:vAlign w:val="center"/>
          </w:tcPr>
          <w:p>
            <w:pPr>
              <w:pStyle w:val="63"/>
            </w:pPr>
            <w:r>
              <w:t>粉尘</w:t>
            </w:r>
          </w:p>
        </w:tc>
        <w:tc>
          <w:tcPr>
            <w:tcW w:w="1078" w:type="pct"/>
            <w:vMerge w:val="restart"/>
            <w:tcBorders>
              <w:top w:val="single" w:color="auto" w:sz="6" w:space="0"/>
              <w:bottom w:val="single" w:color="auto" w:sz="6" w:space="0"/>
              <w:right w:val="single" w:color="auto" w:sz="2" w:space="0"/>
            </w:tcBorders>
            <w:vAlign w:val="center"/>
          </w:tcPr>
          <w:p>
            <w:pPr>
              <w:pStyle w:val="63"/>
            </w:pPr>
            <w:r>
              <w:t>571302Nm³/h</w:t>
            </w:r>
          </w:p>
        </w:tc>
        <w:tc>
          <w:tcPr>
            <w:tcW w:w="1244" w:type="pct"/>
            <w:vMerge w:val="restart"/>
            <w:tcBorders>
              <w:top w:val="single" w:color="auto" w:sz="6" w:space="0"/>
              <w:left w:val="single" w:color="auto" w:sz="2" w:space="0"/>
              <w:bottom w:val="single" w:color="auto" w:sz="6" w:space="0"/>
            </w:tcBorders>
            <w:vAlign w:val="center"/>
          </w:tcPr>
          <w:p>
            <w:pPr>
              <w:pStyle w:val="63"/>
            </w:pPr>
            <w:r>
              <w:t>连续H150×Φ2.0m×50</w:t>
            </w:r>
            <w:r>
              <w:rPr>
                <w:rFonts w:hint="eastAsia"/>
              </w:rPr>
              <w:t>℃</w:t>
            </w:r>
          </w:p>
        </w:tc>
        <w:tc>
          <w:tcPr>
            <w:tcW w:w="534" w:type="pct"/>
            <w:tcBorders>
              <w:top w:val="single" w:color="auto" w:sz="6" w:space="0"/>
              <w:left w:val="single" w:color="auto" w:sz="2" w:space="0"/>
              <w:bottom w:val="single" w:color="auto" w:sz="6" w:space="0"/>
            </w:tcBorders>
            <w:vAlign w:val="center"/>
          </w:tcPr>
          <w:p>
            <w:pPr>
              <w:pStyle w:val="63"/>
            </w:pPr>
            <w:r>
              <w:t>3.18</w:t>
            </w:r>
          </w:p>
        </w:tc>
        <w:tc>
          <w:tcPr>
            <w:tcW w:w="539" w:type="pct"/>
            <w:tcBorders>
              <w:top w:val="single" w:color="auto" w:sz="6" w:space="0"/>
              <w:left w:val="single" w:color="auto" w:sz="2" w:space="0"/>
              <w:bottom w:val="single" w:color="auto" w:sz="6" w:space="0"/>
            </w:tcBorders>
            <w:vAlign w:val="center"/>
          </w:tcPr>
          <w:p>
            <w:pPr>
              <w:pStyle w:val="63"/>
            </w:pPr>
            <w:r>
              <w:t>25.41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jc w:val="center"/>
        </w:trPr>
        <w:tc>
          <w:tcPr>
            <w:tcW w:w="969" w:type="pct"/>
            <w:vMerge w:val="continue"/>
            <w:tcBorders>
              <w:top w:val="single" w:color="auto" w:sz="6" w:space="0"/>
              <w:left w:val="single" w:color="auto" w:sz="12" w:space="0"/>
              <w:bottom w:val="single" w:color="auto" w:sz="6" w:space="0"/>
              <w:right w:val="single" w:color="auto" w:sz="2" w:space="0"/>
            </w:tcBorders>
            <w:vAlign w:val="center"/>
          </w:tcPr>
          <w:p>
            <w:pPr>
              <w:pStyle w:val="63"/>
            </w:pPr>
          </w:p>
        </w:tc>
        <w:tc>
          <w:tcPr>
            <w:tcW w:w="635" w:type="pct"/>
            <w:tcBorders>
              <w:top w:val="single" w:color="auto" w:sz="6" w:space="0"/>
              <w:left w:val="single" w:color="auto" w:sz="2" w:space="0"/>
              <w:bottom w:val="single" w:color="auto" w:sz="6" w:space="0"/>
            </w:tcBorders>
            <w:vAlign w:val="center"/>
          </w:tcPr>
          <w:p>
            <w:pPr>
              <w:pStyle w:val="63"/>
            </w:pPr>
            <w:r>
              <w:t>SO2</w:t>
            </w:r>
          </w:p>
        </w:tc>
        <w:tc>
          <w:tcPr>
            <w:tcW w:w="1078" w:type="pct"/>
            <w:vMerge w:val="continue"/>
            <w:tcBorders>
              <w:top w:val="single" w:color="auto" w:sz="6" w:space="0"/>
              <w:bottom w:val="single" w:color="auto" w:sz="6" w:space="0"/>
              <w:right w:val="single" w:color="auto" w:sz="2" w:space="0"/>
            </w:tcBorders>
            <w:vAlign w:val="center"/>
          </w:tcPr>
          <w:p>
            <w:pPr>
              <w:pStyle w:val="63"/>
            </w:pPr>
          </w:p>
        </w:tc>
        <w:tc>
          <w:tcPr>
            <w:tcW w:w="1244" w:type="pct"/>
            <w:vMerge w:val="continue"/>
            <w:tcBorders>
              <w:top w:val="single" w:color="auto" w:sz="6" w:space="0"/>
              <w:left w:val="single" w:color="auto" w:sz="2" w:space="0"/>
              <w:bottom w:val="single" w:color="auto" w:sz="6" w:space="0"/>
            </w:tcBorders>
            <w:vAlign w:val="center"/>
          </w:tcPr>
          <w:p>
            <w:pPr>
              <w:pStyle w:val="63"/>
            </w:pPr>
          </w:p>
        </w:tc>
        <w:tc>
          <w:tcPr>
            <w:tcW w:w="534" w:type="pct"/>
            <w:tcBorders>
              <w:top w:val="single" w:color="auto" w:sz="6" w:space="0"/>
              <w:left w:val="single" w:color="auto" w:sz="2" w:space="0"/>
              <w:bottom w:val="single" w:color="auto" w:sz="6" w:space="0"/>
            </w:tcBorders>
            <w:vAlign w:val="center"/>
          </w:tcPr>
          <w:p>
            <w:pPr>
              <w:pStyle w:val="63"/>
            </w:pPr>
            <w:r>
              <w:t>15.10</w:t>
            </w:r>
          </w:p>
        </w:tc>
        <w:tc>
          <w:tcPr>
            <w:tcW w:w="539" w:type="pct"/>
            <w:tcBorders>
              <w:top w:val="single" w:color="auto" w:sz="6" w:space="0"/>
              <w:left w:val="single" w:color="auto" w:sz="2" w:space="0"/>
              <w:bottom w:val="single" w:color="auto" w:sz="6" w:space="0"/>
            </w:tcBorders>
            <w:vAlign w:val="center"/>
          </w:tcPr>
          <w:p>
            <w:pPr>
              <w:pStyle w:val="63"/>
            </w:pPr>
            <w:r>
              <w:t>120.77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jc w:val="center"/>
        </w:trPr>
        <w:tc>
          <w:tcPr>
            <w:tcW w:w="969" w:type="pct"/>
            <w:vMerge w:val="continue"/>
            <w:tcBorders>
              <w:top w:val="single" w:color="auto" w:sz="6" w:space="0"/>
              <w:left w:val="single" w:color="auto" w:sz="12" w:space="0"/>
              <w:bottom w:val="single" w:color="auto" w:sz="6" w:space="0"/>
              <w:right w:val="single" w:color="auto" w:sz="2" w:space="0"/>
            </w:tcBorders>
            <w:vAlign w:val="center"/>
          </w:tcPr>
          <w:p>
            <w:pPr>
              <w:pStyle w:val="63"/>
            </w:pPr>
          </w:p>
        </w:tc>
        <w:tc>
          <w:tcPr>
            <w:tcW w:w="635" w:type="pct"/>
            <w:tcBorders>
              <w:top w:val="single" w:color="auto" w:sz="6" w:space="0"/>
              <w:left w:val="single" w:color="auto" w:sz="2" w:space="0"/>
              <w:bottom w:val="single" w:color="auto" w:sz="6" w:space="0"/>
            </w:tcBorders>
            <w:vAlign w:val="center"/>
          </w:tcPr>
          <w:p>
            <w:pPr>
              <w:pStyle w:val="63"/>
            </w:pPr>
            <w:r>
              <w:t>NOx</w:t>
            </w:r>
          </w:p>
        </w:tc>
        <w:tc>
          <w:tcPr>
            <w:tcW w:w="1078" w:type="pct"/>
            <w:vMerge w:val="continue"/>
            <w:tcBorders>
              <w:top w:val="single" w:color="auto" w:sz="6" w:space="0"/>
              <w:bottom w:val="single" w:color="auto" w:sz="6" w:space="0"/>
              <w:right w:val="single" w:color="auto" w:sz="2" w:space="0"/>
            </w:tcBorders>
            <w:vAlign w:val="center"/>
          </w:tcPr>
          <w:p>
            <w:pPr>
              <w:pStyle w:val="63"/>
            </w:pPr>
          </w:p>
        </w:tc>
        <w:tc>
          <w:tcPr>
            <w:tcW w:w="1244" w:type="pct"/>
            <w:vMerge w:val="continue"/>
            <w:tcBorders>
              <w:top w:val="single" w:color="auto" w:sz="6" w:space="0"/>
              <w:left w:val="single" w:color="auto" w:sz="2" w:space="0"/>
              <w:bottom w:val="single" w:color="auto" w:sz="6" w:space="0"/>
            </w:tcBorders>
            <w:vAlign w:val="center"/>
          </w:tcPr>
          <w:p>
            <w:pPr>
              <w:pStyle w:val="63"/>
            </w:pPr>
          </w:p>
        </w:tc>
        <w:tc>
          <w:tcPr>
            <w:tcW w:w="534" w:type="pct"/>
            <w:tcBorders>
              <w:top w:val="single" w:color="auto" w:sz="6" w:space="0"/>
              <w:left w:val="single" w:color="auto" w:sz="2" w:space="0"/>
              <w:bottom w:val="single" w:color="auto" w:sz="6" w:space="0"/>
            </w:tcBorders>
            <w:vAlign w:val="center"/>
          </w:tcPr>
          <w:p>
            <w:pPr>
              <w:pStyle w:val="63"/>
            </w:pPr>
            <w:r>
              <w:t>25.30</w:t>
            </w:r>
          </w:p>
        </w:tc>
        <w:tc>
          <w:tcPr>
            <w:tcW w:w="539" w:type="pct"/>
            <w:tcBorders>
              <w:top w:val="single" w:color="auto" w:sz="6" w:space="0"/>
              <w:left w:val="single" w:color="auto" w:sz="2" w:space="0"/>
              <w:bottom w:val="single" w:color="auto" w:sz="6" w:space="0"/>
            </w:tcBorders>
            <w:vAlign w:val="center"/>
          </w:tcPr>
          <w:p>
            <w:pPr>
              <w:pStyle w:val="63"/>
            </w:pPr>
            <w:r>
              <w:t>202.42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jc w:val="center"/>
        </w:trPr>
        <w:tc>
          <w:tcPr>
            <w:tcW w:w="969" w:type="pct"/>
            <w:vMerge w:val="restart"/>
            <w:tcBorders>
              <w:top w:val="single" w:color="auto" w:sz="6" w:space="0"/>
              <w:left w:val="single" w:color="auto" w:sz="12" w:space="0"/>
              <w:bottom w:val="single" w:color="auto" w:sz="6" w:space="0"/>
              <w:right w:val="single" w:color="auto" w:sz="2" w:space="0"/>
            </w:tcBorders>
            <w:vAlign w:val="center"/>
          </w:tcPr>
          <w:p>
            <w:pPr>
              <w:pStyle w:val="63"/>
            </w:pPr>
            <w:r>
              <w:t>2#烟囱（3×260t/h）</w:t>
            </w:r>
          </w:p>
        </w:tc>
        <w:tc>
          <w:tcPr>
            <w:tcW w:w="635" w:type="pct"/>
            <w:tcBorders>
              <w:top w:val="single" w:color="auto" w:sz="6" w:space="0"/>
              <w:left w:val="single" w:color="auto" w:sz="2" w:space="0"/>
              <w:bottom w:val="single" w:color="auto" w:sz="6" w:space="0"/>
            </w:tcBorders>
            <w:vAlign w:val="center"/>
          </w:tcPr>
          <w:p>
            <w:pPr>
              <w:pStyle w:val="63"/>
            </w:pPr>
            <w:r>
              <w:t>粉尘</w:t>
            </w:r>
          </w:p>
        </w:tc>
        <w:tc>
          <w:tcPr>
            <w:tcW w:w="1078" w:type="pct"/>
            <w:vMerge w:val="restart"/>
            <w:tcBorders>
              <w:top w:val="single" w:color="auto" w:sz="6" w:space="0"/>
              <w:bottom w:val="single" w:color="auto" w:sz="6" w:space="0"/>
              <w:right w:val="single" w:color="auto" w:sz="2" w:space="0"/>
            </w:tcBorders>
            <w:vAlign w:val="center"/>
          </w:tcPr>
          <w:p>
            <w:pPr>
              <w:pStyle w:val="63"/>
            </w:pPr>
            <w:r>
              <w:t>795734.28Nm³/h</w:t>
            </w:r>
          </w:p>
        </w:tc>
        <w:tc>
          <w:tcPr>
            <w:tcW w:w="1244" w:type="pct"/>
            <w:vMerge w:val="restart"/>
            <w:tcBorders>
              <w:top w:val="single" w:color="auto" w:sz="6" w:space="0"/>
              <w:left w:val="single" w:color="auto" w:sz="2" w:space="0"/>
              <w:bottom w:val="single" w:color="auto" w:sz="6" w:space="0"/>
            </w:tcBorders>
            <w:vAlign w:val="center"/>
          </w:tcPr>
          <w:p>
            <w:pPr>
              <w:pStyle w:val="63"/>
            </w:pPr>
            <w:r>
              <w:t>连续H150×Φ2.7m×50</w:t>
            </w:r>
            <w:r>
              <w:rPr>
                <w:rFonts w:hint="eastAsia"/>
              </w:rPr>
              <w:t>℃</w:t>
            </w:r>
          </w:p>
        </w:tc>
        <w:tc>
          <w:tcPr>
            <w:tcW w:w="534" w:type="pct"/>
            <w:tcBorders>
              <w:top w:val="single" w:color="auto" w:sz="6" w:space="0"/>
              <w:left w:val="single" w:color="auto" w:sz="2" w:space="0"/>
              <w:bottom w:val="single" w:color="auto" w:sz="6" w:space="0"/>
            </w:tcBorders>
            <w:vAlign w:val="center"/>
          </w:tcPr>
          <w:p>
            <w:pPr>
              <w:pStyle w:val="63"/>
            </w:pPr>
            <w:r>
              <w:t>4.42</w:t>
            </w:r>
          </w:p>
        </w:tc>
        <w:tc>
          <w:tcPr>
            <w:tcW w:w="539" w:type="pct"/>
            <w:tcBorders>
              <w:top w:val="single" w:color="auto" w:sz="6" w:space="0"/>
              <w:left w:val="single" w:color="auto" w:sz="2" w:space="0"/>
              <w:bottom w:val="single" w:color="auto" w:sz="6" w:space="0"/>
            </w:tcBorders>
            <w:vAlign w:val="center"/>
          </w:tcPr>
          <w:p>
            <w:pPr>
              <w:pStyle w:val="63"/>
            </w:pPr>
            <w:r>
              <w:t>35.99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jc w:val="center"/>
        </w:trPr>
        <w:tc>
          <w:tcPr>
            <w:tcW w:w="969" w:type="pct"/>
            <w:vMerge w:val="continue"/>
            <w:tcBorders>
              <w:top w:val="single" w:color="auto" w:sz="6" w:space="0"/>
              <w:left w:val="single" w:color="auto" w:sz="12" w:space="0"/>
              <w:bottom w:val="single" w:color="auto" w:sz="6" w:space="0"/>
              <w:right w:val="single" w:color="auto" w:sz="2" w:space="0"/>
            </w:tcBorders>
            <w:vAlign w:val="center"/>
          </w:tcPr>
          <w:p>
            <w:pPr>
              <w:pStyle w:val="63"/>
            </w:pPr>
          </w:p>
        </w:tc>
        <w:tc>
          <w:tcPr>
            <w:tcW w:w="635" w:type="pct"/>
            <w:tcBorders>
              <w:top w:val="single" w:color="auto" w:sz="6" w:space="0"/>
              <w:left w:val="single" w:color="auto" w:sz="2" w:space="0"/>
              <w:bottom w:val="single" w:color="auto" w:sz="6" w:space="0"/>
            </w:tcBorders>
            <w:vAlign w:val="center"/>
          </w:tcPr>
          <w:p>
            <w:pPr>
              <w:pStyle w:val="63"/>
            </w:pPr>
            <w:r>
              <w:t>SO2</w:t>
            </w:r>
          </w:p>
        </w:tc>
        <w:tc>
          <w:tcPr>
            <w:tcW w:w="1078" w:type="pct"/>
            <w:vMerge w:val="continue"/>
            <w:tcBorders>
              <w:top w:val="single" w:color="auto" w:sz="6" w:space="0"/>
              <w:bottom w:val="single" w:color="auto" w:sz="6" w:space="0"/>
              <w:right w:val="single" w:color="auto" w:sz="2" w:space="0"/>
            </w:tcBorders>
            <w:vAlign w:val="center"/>
          </w:tcPr>
          <w:p>
            <w:pPr>
              <w:pStyle w:val="63"/>
            </w:pPr>
          </w:p>
        </w:tc>
        <w:tc>
          <w:tcPr>
            <w:tcW w:w="1244" w:type="pct"/>
            <w:vMerge w:val="continue"/>
            <w:tcBorders>
              <w:top w:val="single" w:color="auto" w:sz="6" w:space="0"/>
              <w:left w:val="single" w:color="auto" w:sz="2" w:space="0"/>
              <w:bottom w:val="single" w:color="auto" w:sz="6" w:space="0"/>
            </w:tcBorders>
            <w:vAlign w:val="center"/>
          </w:tcPr>
          <w:p>
            <w:pPr>
              <w:pStyle w:val="63"/>
            </w:pPr>
          </w:p>
        </w:tc>
        <w:tc>
          <w:tcPr>
            <w:tcW w:w="534" w:type="pct"/>
            <w:tcBorders>
              <w:top w:val="single" w:color="auto" w:sz="6" w:space="0"/>
              <w:left w:val="single" w:color="auto" w:sz="2" w:space="0"/>
              <w:bottom w:val="single" w:color="auto" w:sz="6" w:space="0"/>
            </w:tcBorders>
            <w:vAlign w:val="center"/>
          </w:tcPr>
          <w:p>
            <w:pPr>
              <w:pStyle w:val="63"/>
            </w:pPr>
            <w:r>
              <w:t>21.03</w:t>
            </w:r>
          </w:p>
        </w:tc>
        <w:tc>
          <w:tcPr>
            <w:tcW w:w="539" w:type="pct"/>
            <w:tcBorders>
              <w:top w:val="single" w:color="auto" w:sz="6" w:space="0"/>
              <w:left w:val="single" w:color="auto" w:sz="2" w:space="0"/>
              <w:bottom w:val="single" w:color="auto" w:sz="6" w:space="0"/>
            </w:tcBorders>
            <w:vAlign w:val="center"/>
          </w:tcPr>
          <w:p>
            <w:pPr>
              <w:pStyle w:val="63"/>
            </w:pPr>
            <w:r>
              <w:t>168.23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54" w:hRule="atLeast"/>
          <w:jc w:val="center"/>
        </w:trPr>
        <w:tc>
          <w:tcPr>
            <w:tcW w:w="969" w:type="pct"/>
            <w:vMerge w:val="continue"/>
            <w:tcBorders>
              <w:top w:val="single" w:color="auto" w:sz="6" w:space="0"/>
              <w:left w:val="single" w:color="auto" w:sz="12" w:space="0"/>
              <w:bottom w:val="single" w:color="auto" w:sz="6" w:space="0"/>
              <w:right w:val="single" w:color="auto" w:sz="2" w:space="0"/>
            </w:tcBorders>
            <w:vAlign w:val="center"/>
          </w:tcPr>
          <w:p>
            <w:pPr>
              <w:pStyle w:val="63"/>
            </w:pPr>
          </w:p>
        </w:tc>
        <w:tc>
          <w:tcPr>
            <w:tcW w:w="635" w:type="pct"/>
            <w:tcBorders>
              <w:top w:val="single" w:color="auto" w:sz="6" w:space="0"/>
              <w:left w:val="single" w:color="auto" w:sz="2" w:space="0"/>
              <w:bottom w:val="single" w:color="auto" w:sz="6" w:space="0"/>
            </w:tcBorders>
            <w:vAlign w:val="center"/>
          </w:tcPr>
          <w:p>
            <w:pPr>
              <w:pStyle w:val="63"/>
            </w:pPr>
            <w:r>
              <w:t>NOx</w:t>
            </w:r>
          </w:p>
        </w:tc>
        <w:tc>
          <w:tcPr>
            <w:tcW w:w="1078" w:type="pct"/>
            <w:vMerge w:val="continue"/>
            <w:tcBorders>
              <w:top w:val="single" w:color="auto" w:sz="6" w:space="0"/>
              <w:bottom w:val="single" w:color="auto" w:sz="6" w:space="0"/>
              <w:right w:val="single" w:color="auto" w:sz="2" w:space="0"/>
            </w:tcBorders>
            <w:vAlign w:val="center"/>
          </w:tcPr>
          <w:p>
            <w:pPr>
              <w:pStyle w:val="63"/>
            </w:pPr>
          </w:p>
        </w:tc>
        <w:tc>
          <w:tcPr>
            <w:tcW w:w="1244" w:type="pct"/>
            <w:vMerge w:val="continue"/>
            <w:tcBorders>
              <w:top w:val="single" w:color="auto" w:sz="6" w:space="0"/>
              <w:left w:val="single" w:color="auto" w:sz="2" w:space="0"/>
              <w:bottom w:val="single" w:color="auto" w:sz="6" w:space="0"/>
            </w:tcBorders>
            <w:vAlign w:val="center"/>
          </w:tcPr>
          <w:p>
            <w:pPr>
              <w:pStyle w:val="63"/>
            </w:pPr>
          </w:p>
        </w:tc>
        <w:tc>
          <w:tcPr>
            <w:tcW w:w="534" w:type="pct"/>
            <w:tcBorders>
              <w:top w:val="single" w:color="auto" w:sz="6" w:space="0"/>
              <w:left w:val="single" w:color="auto" w:sz="2" w:space="0"/>
              <w:bottom w:val="single" w:color="auto" w:sz="6" w:space="0"/>
            </w:tcBorders>
            <w:vAlign w:val="center"/>
          </w:tcPr>
          <w:p>
            <w:pPr>
              <w:pStyle w:val="63"/>
            </w:pPr>
            <w:r>
              <w:t>35.24</w:t>
            </w:r>
          </w:p>
        </w:tc>
        <w:tc>
          <w:tcPr>
            <w:tcW w:w="539" w:type="pct"/>
            <w:tcBorders>
              <w:top w:val="single" w:color="auto" w:sz="6" w:space="0"/>
              <w:left w:val="single" w:color="auto" w:sz="2" w:space="0"/>
              <w:bottom w:val="single" w:color="auto" w:sz="6" w:space="0"/>
            </w:tcBorders>
            <w:vAlign w:val="center"/>
          </w:tcPr>
          <w:p>
            <w:pPr>
              <w:pStyle w:val="63"/>
            </w:pPr>
            <w:r>
              <w:t>281.95</w:t>
            </w:r>
          </w:p>
        </w:tc>
      </w:tr>
    </w:tbl>
    <w:p>
      <w:pPr>
        <w:spacing w:line="360" w:lineRule="auto"/>
        <w:ind w:firstLine="480" w:firstLineChars="200"/>
      </w:pPr>
      <w:r>
        <w:rPr>
          <w:rFonts w:hint="eastAsia"/>
        </w:rPr>
        <w:t>滨江片区中非工贸产业园、滨江片区加工制造产业园、</w:t>
      </w:r>
      <w:r>
        <w:t>三湾产业园规划使用天然气作为生产燃料，</w:t>
      </w:r>
      <w:r>
        <w:rPr>
          <w:rFonts w:hint="eastAsia"/>
        </w:rPr>
        <w:t>根据</w:t>
      </w:r>
      <w:r>
        <w:t>天然</w:t>
      </w:r>
      <w:r>
        <w:rPr>
          <w:rFonts w:hint="eastAsia"/>
        </w:rPr>
        <w:t>气燃烧废气排污</w:t>
      </w:r>
      <w:r>
        <w:t>参考《排污许可证申请与核发技术规范锅炉》（HJ953-2018）中用燃气工业锅炉的废气产排污系数，燃烧污染物单位排放量烟尘为2.86kg/104m3、SO2为4kg/104m3、氮氧化物为18.71kg/106m3来计算来计算，得出污染物排放量下见下表。</w:t>
      </w:r>
    </w:p>
    <w:p>
      <w:pPr>
        <w:pStyle w:val="6"/>
      </w:pPr>
      <w:r>
        <w:t>表6.1-11</w:t>
      </w:r>
      <w:r>
        <w:rPr>
          <w:rFonts w:hint="eastAsia"/>
        </w:rPr>
        <w:t xml:space="preserve"> </w:t>
      </w:r>
      <w:r>
        <w:t xml:space="preserve"> </w:t>
      </w:r>
      <w:r>
        <w:rPr>
          <w:rFonts w:hint="eastAsia"/>
        </w:rPr>
        <w:t>然气</w:t>
      </w:r>
      <w:r>
        <w:t>废气计算表</w:t>
      </w:r>
    </w:p>
    <w:tbl>
      <w:tblPr>
        <w:tblStyle w:val="36"/>
        <w:tblW w:w="5000" w:type="pct"/>
        <w:tblInd w:w="0" w:type="dxa"/>
        <w:tblLayout w:type="autofit"/>
        <w:tblCellMar>
          <w:top w:w="0" w:type="dxa"/>
          <w:left w:w="108" w:type="dxa"/>
          <w:bottom w:w="0" w:type="dxa"/>
          <w:right w:w="108" w:type="dxa"/>
        </w:tblCellMar>
      </w:tblPr>
      <w:tblGrid>
        <w:gridCol w:w="1719"/>
        <w:gridCol w:w="1964"/>
        <w:gridCol w:w="1665"/>
        <w:gridCol w:w="1665"/>
        <w:gridCol w:w="1515"/>
      </w:tblGrid>
      <w:tr>
        <w:tblPrEx>
          <w:tblCellMar>
            <w:top w:w="0" w:type="dxa"/>
            <w:left w:w="108" w:type="dxa"/>
            <w:bottom w:w="0" w:type="dxa"/>
            <w:right w:w="108" w:type="dxa"/>
          </w:tblCellMar>
        </w:tblPrEx>
        <w:trPr>
          <w:trHeight w:val="454" w:hRule="atLeast"/>
        </w:trPr>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pPr>
            <w:r>
              <w:rPr>
                <w:rFonts w:hint="eastAsia"/>
              </w:rPr>
              <w:t>片区</w:t>
            </w:r>
          </w:p>
        </w:tc>
        <w:tc>
          <w:tcPr>
            <w:tcW w:w="1151" w:type="pct"/>
            <w:tcBorders>
              <w:top w:val="single" w:color="auto" w:sz="4" w:space="0"/>
              <w:left w:val="nil"/>
              <w:bottom w:val="single" w:color="auto" w:sz="4" w:space="0"/>
              <w:right w:val="single" w:color="auto" w:sz="4" w:space="0"/>
            </w:tcBorders>
            <w:shd w:val="clear" w:color="auto" w:fill="auto"/>
            <w:vAlign w:val="center"/>
          </w:tcPr>
          <w:p>
            <w:pPr>
              <w:pStyle w:val="63"/>
            </w:pPr>
            <w:r>
              <w:rPr>
                <w:rFonts w:hint="eastAsia"/>
              </w:rPr>
              <w:t>总用气量（万</w:t>
            </w:r>
            <w:r>
              <w:t>m3/</w:t>
            </w:r>
            <w:r>
              <w:rPr>
                <w:rFonts w:hint="eastAsia"/>
              </w:rPr>
              <w:t>a）</w:t>
            </w:r>
          </w:p>
        </w:tc>
        <w:tc>
          <w:tcPr>
            <w:tcW w:w="976" w:type="pct"/>
            <w:tcBorders>
              <w:top w:val="single" w:color="auto" w:sz="4" w:space="0"/>
              <w:left w:val="nil"/>
              <w:bottom w:val="single" w:color="auto" w:sz="4" w:space="0"/>
              <w:right w:val="single" w:color="auto" w:sz="4" w:space="0"/>
            </w:tcBorders>
            <w:shd w:val="clear" w:color="auto" w:fill="auto"/>
            <w:vAlign w:val="center"/>
          </w:tcPr>
          <w:p>
            <w:pPr>
              <w:pStyle w:val="63"/>
            </w:pPr>
            <w:r>
              <w:rPr>
                <w:rFonts w:hint="eastAsia"/>
              </w:rPr>
              <w:t>颗粒物（</w:t>
            </w:r>
            <w:r>
              <w:t>t/a</w:t>
            </w:r>
            <w:r>
              <w:rPr>
                <w:rFonts w:hint="eastAsia"/>
              </w:rPr>
              <w:t>）</w:t>
            </w:r>
          </w:p>
        </w:tc>
        <w:tc>
          <w:tcPr>
            <w:tcW w:w="976" w:type="pct"/>
            <w:tcBorders>
              <w:top w:val="single" w:color="auto" w:sz="4" w:space="0"/>
              <w:left w:val="nil"/>
              <w:bottom w:val="single" w:color="auto" w:sz="4" w:space="0"/>
              <w:right w:val="single" w:color="auto" w:sz="4" w:space="0"/>
            </w:tcBorders>
            <w:shd w:val="clear" w:color="auto" w:fill="auto"/>
            <w:vAlign w:val="center"/>
          </w:tcPr>
          <w:p>
            <w:pPr>
              <w:pStyle w:val="63"/>
            </w:pPr>
            <w:r>
              <w:t>SO2</w:t>
            </w:r>
            <w:r>
              <w:rPr>
                <w:rFonts w:hint="eastAsia"/>
              </w:rPr>
              <w:t>（</w:t>
            </w:r>
            <w:r>
              <w:t>t/a</w:t>
            </w:r>
            <w:r>
              <w:rPr>
                <w:rFonts w:hint="eastAsia"/>
              </w:rPr>
              <w:t>）</w:t>
            </w:r>
          </w:p>
        </w:tc>
        <w:tc>
          <w:tcPr>
            <w:tcW w:w="888" w:type="pct"/>
            <w:tcBorders>
              <w:top w:val="single" w:color="auto" w:sz="4" w:space="0"/>
              <w:left w:val="nil"/>
              <w:bottom w:val="single" w:color="auto" w:sz="4" w:space="0"/>
              <w:right w:val="single" w:color="auto" w:sz="4" w:space="0"/>
            </w:tcBorders>
            <w:shd w:val="clear" w:color="auto" w:fill="auto"/>
            <w:vAlign w:val="center"/>
          </w:tcPr>
          <w:p>
            <w:pPr>
              <w:pStyle w:val="63"/>
            </w:pPr>
            <w:r>
              <w:t>NOx</w:t>
            </w:r>
            <w:r>
              <w:rPr>
                <w:rFonts w:hint="eastAsia"/>
              </w:rPr>
              <w:t>（</w:t>
            </w:r>
            <w:r>
              <w:t>t/a</w:t>
            </w:r>
            <w:r>
              <w:rPr>
                <w:rFonts w:hint="eastAsia"/>
              </w:rPr>
              <w:t>）</w:t>
            </w:r>
          </w:p>
        </w:tc>
      </w:tr>
      <w:tr>
        <w:tblPrEx>
          <w:tblCellMar>
            <w:top w:w="0" w:type="dxa"/>
            <w:left w:w="108" w:type="dxa"/>
            <w:bottom w:w="0" w:type="dxa"/>
            <w:right w:w="108" w:type="dxa"/>
          </w:tblCellMar>
        </w:tblPrEx>
        <w:trPr>
          <w:trHeight w:val="454" w:hRule="atLeast"/>
        </w:trPr>
        <w:tc>
          <w:tcPr>
            <w:tcW w:w="1008" w:type="pct"/>
            <w:tcBorders>
              <w:top w:val="nil"/>
              <w:left w:val="single" w:color="auto" w:sz="4" w:space="0"/>
              <w:bottom w:val="single" w:color="auto" w:sz="4" w:space="0"/>
              <w:right w:val="single" w:color="auto" w:sz="4" w:space="0"/>
            </w:tcBorders>
            <w:shd w:val="clear" w:color="auto" w:fill="auto"/>
            <w:vAlign w:val="center"/>
          </w:tcPr>
          <w:p>
            <w:pPr>
              <w:pStyle w:val="63"/>
            </w:pPr>
            <w:r>
              <w:rPr>
                <w:rFonts w:hint="eastAsia"/>
              </w:rPr>
              <w:t>中非工贸产业园</w:t>
            </w:r>
          </w:p>
        </w:tc>
        <w:tc>
          <w:tcPr>
            <w:tcW w:w="1151" w:type="pct"/>
            <w:tcBorders>
              <w:top w:val="nil"/>
              <w:left w:val="nil"/>
              <w:bottom w:val="single" w:color="auto" w:sz="4" w:space="0"/>
              <w:right w:val="single" w:color="auto" w:sz="4" w:space="0"/>
            </w:tcBorders>
            <w:shd w:val="clear" w:color="auto" w:fill="auto"/>
            <w:vAlign w:val="center"/>
          </w:tcPr>
          <w:p>
            <w:pPr>
              <w:pStyle w:val="63"/>
            </w:pPr>
            <w:r>
              <w:t xml:space="preserve">6650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19.02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26.60 </w:t>
            </w:r>
          </w:p>
        </w:tc>
        <w:tc>
          <w:tcPr>
            <w:tcW w:w="888" w:type="pct"/>
            <w:tcBorders>
              <w:top w:val="nil"/>
              <w:left w:val="nil"/>
              <w:bottom w:val="single" w:color="auto" w:sz="4" w:space="0"/>
              <w:right w:val="single" w:color="auto" w:sz="4" w:space="0"/>
            </w:tcBorders>
            <w:shd w:val="clear" w:color="auto" w:fill="auto"/>
            <w:vAlign w:val="center"/>
          </w:tcPr>
          <w:p>
            <w:pPr>
              <w:pStyle w:val="63"/>
            </w:pPr>
            <w:r>
              <w:t xml:space="preserve">124.42 </w:t>
            </w:r>
          </w:p>
        </w:tc>
      </w:tr>
      <w:tr>
        <w:tblPrEx>
          <w:tblCellMar>
            <w:top w:w="0" w:type="dxa"/>
            <w:left w:w="108" w:type="dxa"/>
            <w:bottom w:w="0" w:type="dxa"/>
            <w:right w:w="108" w:type="dxa"/>
          </w:tblCellMar>
        </w:tblPrEx>
        <w:trPr>
          <w:trHeight w:val="454" w:hRule="atLeast"/>
        </w:trPr>
        <w:tc>
          <w:tcPr>
            <w:tcW w:w="1008" w:type="pct"/>
            <w:tcBorders>
              <w:top w:val="nil"/>
              <w:left w:val="single" w:color="auto" w:sz="4" w:space="0"/>
              <w:bottom w:val="single" w:color="auto" w:sz="4" w:space="0"/>
              <w:right w:val="single" w:color="auto" w:sz="4" w:space="0"/>
            </w:tcBorders>
            <w:shd w:val="clear" w:color="auto" w:fill="auto"/>
            <w:vAlign w:val="center"/>
          </w:tcPr>
          <w:p>
            <w:pPr>
              <w:pStyle w:val="63"/>
            </w:pPr>
            <w:r>
              <w:rPr>
                <w:rFonts w:hint="eastAsia"/>
              </w:rPr>
              <w:t>加工制造产业园</w:t>
            </w:r>
          </w:p>
        </w:tc>
        <w:tc>
          <w:tcPr>
            <w:tcW w:w="1151" w:type="pct"/>
            <w:tcBorders>
              <w:top w:val="nil"/>
              <w:left w:val="nil"/>
              <w:bottom w:val="single" w:color="auto" w:sz="4" w:space="0"/>
              <w:right w:val="single" w:color="auto" w:sz="4" w:space="0"/>
            </w:tcBorders>
            <w:shd w:val="clear" w:color="auto" w:fill="auto"/>
            <w:vAlign w:val="center"/>
          </w:tcPr>
          <w:p>
            <w:pPr>
              <w:pStyle w:val="63"/>
            </w:pPr>
            <w:r>
              <w:rPr>
                <w:rFonts w:hint="eastAsia"/>
              </w:rPr>
              <w:t xml:space="preserve">1111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3.18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4.44 </w:t>
            </w:r>
          </w:p>
        </w:tc>
        <w:tc>
          <w:tcPr>
            <w:tcW w:w="888" w:type="pct"/>
            <w:tcBorders>
              <w:top w:val="nil"/>
              <w:left w:val="nil"/>
              <w:bottom w:val="single" w:color="auto" w:sz="4" w:space="0"/>
              <w:right w:val="single" w:color="auto" w:sz="4" w:space="0"/>
            </w:tcBorders>
            <w:shd w:val="clear" w:color="auto" w:fill="auto"/>
            <w:vAlign w:val="center"/>
          </w:tcPr>
          <w:p>
            <w:pPr>
              <w:pStyle w:val="63"/>
            </w:pPr>
            <w:r>
              <w:t xml:space="preserve">20.78 </w:t>
            </w:r>
          </w:p>
        </w:tc>
      </w:tr>
      <w:tr>
        <w:tblPrEx>
          <w:tblCellMar>
            <w:top w:w="0" w:type="dxa"/>
            <w:left w:w="108" w:type="dxa"/>
            <w:bottom w:w="0" w:type="dxa"/>
            <w:right w:w="108" w:type="dxa"/>
          </w:tblCellMar>
        </w:tblPrEx>
        <w:trPr>
          <w:trHeight w:val="454" w:hRule="atLeast"/>
        </w:trPr>
        <w:tc>
          <w:tcPr>
            <w:tcW w:w="1008" w:type="pct"/>
            <w:tcBorders>
              <w:top w:val="nil"/>
              <w:left w:val="single" w:color="auto" w:sz="4" w:space="0"/>
              <w:bottom w:val="single" w:color="auto" w:sz="4" w:space="0"/>
              <w:right w:val="single" w:color="auto" w:sz="4" w:space="0"/>
            </w:tcBorders>
            <w:shd w:val="clear" w:color="auto" w:fill="auto"/>
            <w:vAlign w:val="center"/>
          </w:tcPr>
          <w:p>
            <w:pPr>
              <w:pStyle w:val="63"/>
            </w:pPr>
            <w:r>
              <w:rPr>
                <w:rFonts w:hint="eastAsia"/>
              </w:rPr>
              <w:t>三湾产业园</w:t>
            </w:r>
          </w:p>
        </w:tc>
        <w:tc>
          <w:tcPr>
            <w:tcW w:w="1151" w:type="pct"/>
            <w:tcBorders>
              <w:top w:val="nil"/>
              <w:left w:val="nil"/>
              <w:bottom w:val="single" w:color="auto" w:sz="4" w:space="0"/>
              <w:right w:val="single" w:color="auto" w:sz="4" w:space="0"/>
            </w:tcBorders>
            <w:shd w:val="clear" w:color="auto" w:fill="auto"/>
            <w:vAlign w:val="center"/>
          </w:tcPr>
          <w:p>
            <w:pPr>
              <w:pStyle w:val="63"/>
            </w:pPr>
            <w:r>
              <w:rPr>
                <w:rFonts w:hint="eastAsia"/>
              </w:rPr>
              <w:t xml:space="preserve">11085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31.70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44.34 </w:t>
            </w:r>
          </w:p>
        </w:tc>
        <w:tc>
          <w:tcPr>
            <w:tcW w:w="888" w:type="pct"/>
            <w:tcBorders>
              <w:top w:val="nil"/>
              <w:left w:val="nil"/>
              <w:bottom w:val="single" w:color="auto" w:sz="4" w:space="0"/>
              <w:right w:val="single" w:color="auto" w:sz="4" w:space="0"/>
            </w:tcBorders>
            <w:shd w:val="clear" w:color="auto" w:fill="auto"/>
            <w:vAlign w:val="center"/>
          </w:tcPr>
          <w:p>
            <w:pPr>
              <w:pStyle w:val="63"/>
            </w:pPr>
            <w:r>
              <w:t xml:space="preserve">207.39 </w:t>
            </w:r>
          </w:p>
        </w:tc>
      </w:tr>
      <w:tr>
        <w:tblPrEx>
          <w:tblCellMar>
            <w:top w:w="0" w:type="dxa"/>
            <w:left w:w="108" w:type="dxa"/>
            <w:bottom w:w="0" w:type="dxa"/>
            <w:right w:w="108" w:type="dxa"/>
          </w:tblCellMar>
        </w:tblPrEx>
        <w:trPr>
          <w:trHeight w:val="454" w:hRule="atLeast"/>
        </w:trPr>
        <w:tc>
          <w:tcPr>
            <w:tcW w:w="1008" w:type="pct"/>
            <w:tcBorders>
              <w:top w:val="nil"/>
              <w:left w:val="single" w:color="auto" w:sz="4" w:space="0"/>
              <w:bottom w:val="single" w:color="auto" w:sz="4" w:space="0"/>
              <w:right w:val="single" w:color="auto" w:sz="4" w:space="0"/>
            </w:tcBorders>
            <w:shd w:val="clear" w:color="auto" w:fill="auto"/>
            <w:vAlign w:val="center"/>
          </w:tcPr>
          <w:p>
            <w:pPr>
              <w:pStyle w:val="63"/>
            </w:pPr>
            <w:r>
              <w:rPr>
                <w:rFonts w:hint="eastAsia"/>
              </w:rPr>
              <w:t>合计</w:t>
            </w:r>
          </w:p>
        </w:tc>
        <w:tc>
          <w:tcPr>
            <w:tcW w:w="1151" w:type="pct"/>
            <w:tcBorders>
              <w:top w:val="nil"/>
              <w:left w:val="nil"/>
              <w:bottom w:val="single" w:color="auto" w:sz="4" w:space="0"/>
              <w:right w:val="single" w:color="auto" w:sz="4" w:space="0"/>
            </w:tcBorders>
            <w:shd w:val="clear" w:color="auto" w:fill="auto"/>
            <w:vAlign w:val="center"/>
          </w:tcPr>
          <w:p>
            <w:pPr>
              <w:pStyle w:val="63"/>
            </w:pPr>
            <w:r>
              <w:rPr>
                <w:rFonts w:hint="eastAsia"/>
              </w:rPr>
              <w:t xml:space="preserve">18845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53.90 </w:t>
            </w:r>
          </w:p>
        </w:tc>
        <w:tc>
          <w:tcPr>
            <w:tcW w:w="976" w:type="pct"/>
            <w:tcBorders>
              <w:top w:val="nil"/>
              <w:left w:val="nil"/>
              <w:bottom w:val="single" w:color="auto" w:sz="4" w:space="0"/>
              <w:right w:val="single" w:color="auto" w:sz="4" w:space="0"/>
            </w:tcBorders>
            <w:shd w:val="clear" w:color="auto" w:fill="auto"/>
            <w:vAlign w:val="center"/>
          </w:tcPr>
          <w:p>
            <w:pPr>
              <w:pStyle w:val="63"/>
            </w:pPr>
            <w:r>
              <w:t xml:space="preserve">75.38 </w:t>
            </w:r>
          </w:p>
        </w:tc>
        <w:tc>
          <w:tcPr>
            <w:tcW w:w="888" w:type="pct"/>
            <w:tcBorders>
              <w:top w:val="nil"/>
              <w:left w:val="nil"/>
              <w:bottom w:val="single" w:color="auto" w:sz="4" w:space="0"/>
              <w:right w:val="single" w:color="auto" w:sz="4" w:space="0"/>
            </w:tcBorders>
            <w:shd w:val="clear" w:color="auto" w:fill="auto"/>
            <w:vAlign w:val="center"/>
          </w:tcPr>
          <w:p>
            <w:pPr>
              <w:pStyle w:val="63"/>
            </w:pPr>
            <w:r>
              <w:t xml:space="preserve">352.59 </w:t>
            </w:r>
          </w:p>
        </w:tc>
      </w:tr>
    </w:tbl>
    <w:p>
      <w:pPr>
        <w:spacing w:line="360" w:lineRule="auto"/>
        <w:ind w:firstLine="480" w:firstLineChars="200"/>
      </w:pPr>
      <w:r>
        <w:t>2）工艺废气</w:t>
      </w:r>
    </w:p>
    <w:p>
      <w:pPr>
        <w:spacing w:line="360" w:lineRule="auto"/>
        <w:ind w:firstLine="480" w:firstLineChars="200"/>
      </w:pPr>
      <w:r>
        <w:t>本次评价工业废气排放量预测采用“面积×排污系数F”，各片区F值由</w:t>
      </w:r>
      <w:r>
        <w:rPr>
          <w:rFonts w:hint="eastAsia"/>
        </w:rPr>
        <w:t>根据</w:t>
      </w:r>
      <w:r>
        <w:t>同类型项目污染源核算出来。</w:t>
      </w:r>
    </w:p>
    <w:p>
      <w:pPr>
        <w:spacing w:line="360" w:lineRule="auto"/>
        <w:ind w:firstLine="480" w:firstLineChars="200"/>
      </w:pPr>
      <w:r>
        <w:rPr>
          <w:rFonts w:hint="eastAsia"/>
        </w:rPr>
        <w:t>滨江片区绿色化工产业园</w:t>
      </w:r>
      <w:r>
        <w:t>后续发展产业与云溪和长岭片区现有产业相似，因此，本次评价工业废气排放量预测采用“工业用地面积×排污系数F”计算，其中VOC的排污系数由云溪和长岭片区求平均得来，氯化氢排污系数采用云溪片区核算排污系数类比片区工业源废气</w:t>
      </w:r>
      <w:r>
        <w:rPr>
          <w:rFonts w:hint="eastAsia"/>
        </w:rPr>
        <w:t>进行</w:t>
      </w:r>
      <w:r>
        <w:t>计算。</w:t>
      </w:r>
    </w:p>
    <w:p>
      <w:pPr>
        <w:ind w:firstLine="554"/>
      </w:pPr>
    </w:p>
    <w:p>
      <w:pPr>
        <w:sectPr>
          <w:pgSz w:w="11906" w:h="16838"/>
          <w:pgMar w:top="1440" w:right="1797" w:bottom="1440" w:left="1797" w:header="851" w:footer="992" w:gutter="0"/>
          <w:cols w:space="425" w:num="1"/>
          <w:docGrid w:linePitch="332" w:charSpace="7591"/>
        </w:sectPr>
      </w:pPr>
    </w:p>
    <w:p>
      <w:pPr>
        <w:pStyle w:val="6"/>
      </w:pPr>
      <w:r>
        <w:rPr>
          <w:rFonts w:hint="eastAsia"/>
        </w:rPr>
        <w:t>表6.1-</w:t>
      </w:r>
      <w:r>
        <w:t>12</w:t>
      </w:r>
      <w:r>
        <w:rPr>
          <w:rFonts w:hint="eastAsia"/>
        </w:rPr>
        <w:t xml:space="preserve">  滨江片区中非工贸产业园工业用地废气排放系数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3076"/>
        <w:gridCol w:w="1899"/>
        <w:gridCol w:w="1837"/>
        <w:gridCol w:w="1837"/>
        <w:gridCol w:w="1670"/>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2" w:type="pct"/>
            <w:vAlign w:val="center"/>
          </w:tcPr>
          <w:p>
            <w:pPr>
              <w:pStyle w:val="63"/>
            </w:pPr>
            <w:r>
              <w:rPr>
                <w:rFonts w:hint="eastAsia"/>
              </w:rPr>
              <w:t>企业名称</w:t>
            </w:r>
          </w:p>
        </w:tc>
        <w:tc>
          <w:tcPr>
            <w:tcW w:w="1085" w:type="pct"/>
            <w:vAlign w:val="center"/>
          </w:tcPr>
          <w:p>
            <w:pPr>
              <w:pStyle w:val="63"/>
            </w:pPr>
            <w:r>
              <w:rPr>
                <w:rFonts w:hint="eastAsia"/>
              </w:rPr>
              <w:t>产品方案</w:t>
            </w:r>
          </w:p>
        </w:tc>
        <w:tc>
          <w:tcPr>
            <w:tcW w:w="670" w:type="pct"/>
            <w:vAlign w:val="center"/>
          </w:tcPr>
          <w:p>
            <w:pPr>
              <w:pStyle w:val="63"/>
            </w:pPr>
            <w:r>
              <w:rPr>
                <w:rFonts w:hint="eastAsia"/>
              </w:rPr>
              <w:t>占地面积（m2）</w:t>
            </w:r>
          </w:p>
        </w:tc>
        <w:tc>
          <w:tcPr>
            <w:tcW w:w="648" w:type="pct"/>
            <w:vAlign w:val="center"/>
          </w:tcPr>
          <w:p>
            <w:pPr>
              <w:pStyle w:val="63"/>
            </w:pPr>
            <w:r>
              <w:rPr>
                <w:rFonts w:hint="eastAsia"/>
              </w:rPr>
              <w:t>Nox</w:t>
            </w:r>
          </w:p>
        </w:tc>
        <w:tc>
          <w:tcPr>
            <w:tcW w:w="648" w:type="pct"/>
            <w:vAlign w:val="center"/>
          </w:tcPr>
          <w:p>
            <w:pPr>
              <w:pStyle w:val="63"/>
            </w:pPr>
            <w:r>
              <w:rPr>
                <w:rFonts w:hint="eastAsia"/>
              </w:rPr>
              <w:t>SO2</w:t>
            </w:r>
          </w:p>
        </w:tc>
        <w:tc>
          <w:tcPr>
            <w:tcW w:w="589" w:type="pct"/>
            <w:vAlign w:val="center"/>
          </w:tcPr>
          <w:p>
            <w:pPr>
              <w:pStyle w:val="63"/>
            </w:pPr>
            <w:r>
              <w:rPr>
                <w:rFonts w:hint="eastAsia"/>
              </w:rPr>
              <w:t>烟尘</w:t>
            </w:r>
          </w:p>
        </w:tc>
        <w:tc>
          <w:tcPr>
            <w:tcW w:w="538" w:type="pct"/>
            <w:vAlign w:val="center"/>
          </w:tcPr>
          <w:p>
            <w:pPr>
              <w:pStyle w:val="63"/>
            </w:pPr>
            <w:r>
              <w:rPr>
                <w:rFonts w:hint="eastAsi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湖南誉湘农业科技开发有限公司</w:t>
            </w:r>
          </w:p>
        </w:tc>
        <w:tc>
          <w:tcPr>
            <w:tcW w:w="1085" w:type="pct"/>
            <w:vAlign w:val="center"/>
          </w:tcPr>
          <w:p>
            <w:pPr>
              <w:pStyle w:val="63"/>
            </w:pPr>
            <w:r>
              <w:rPr>
                <w:rFonts w:hint="eastAsia"/>
              </w:rPr>
              <w:t>50t/a辣椒酱、120t/a甜酒、20t/a粽子</w:t>
            </w:r>
          </w:p>
        </w:tc>
        <w:tc>
          <w:tcPr>
            <w:tcW w:w="670" w:type="pct"/>
            <w:vAlign w:val="center"/>
          </w:tcPr>
          <w:p>
            <w:pPr>
              <w:pStyle w:val="63"/>
            </w:pPr>
            <w:r>
              <w:rPr>
                <w:rFonts w:hint="eastAsia"/>
              </w:rPr>
              <w:t>5000</w:t>
            </w:r>
          </w:p>
        </w:tc>
        <w:tc>
          <w:tcPr>
            <w:tcW w:w="648" w:type="pct"/>
            <w:vAlign w:val="center"/>
          </w:tcPr>
          <w:p>
            <w:pPr>
              <w:pStyle w:val="63"/>
            </w:pPr>
            <w:r>
              <w:rPr>
                <w:rFonts w:hint="eastAsia"/>
              </w:rPr>
              <w:t>0.00006</w:t>
            </w:r>
          </w:p>
        </w:tc>
        <w:tc>
          <w:tcPr>
            <w:tcW w:w="648" w:type="pct"/>
            <w:vAlign w:val="center"/>
          </w:tcPr>
          <w:p>
            <w:pPr>
              <w:pStyle w:val="63"/>
            </w:pPr>
            <w:r>
              <w:rPr>
                <w:rFonts w:hint="eastAsia"/>
              </w:rPr>
              <w:t>0.024</w:t>
            </w:r>
          </w:p>
        </w:tc>
        <w:tc>
          <w:tcPr>
            <w:tcW w:w="589" w:type="pct"/>
            <w:vAlign w:val="center"/>
          </w:tcPr>
          <w:p>
            <w:pPr>
              <w:pStyle w:val="63"/>
            </w:pPr>
            <w:r>
              <w:rPr>
                <w:rFonts w:hint="eastAsia"/>
              </w:rPr>
              <w:t>0.000002</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湖南贤哥食品有限公司</w:t>
            </w:r>
          </w:p>
        </w:tc>
        <w:tc>
          <w:tcPr>
            <w:tcW w:w="1085" w:type="pct"/>
            <w:vAlign w:val="center"/>
          </w:tcPr>
          <w:p>
            <w:pPr>
              <w:pStyle w:val="63"/>
            </w:pPr>
            <w:r>
              <w:rPr>
                <w:rFonts w:hint="eastAsia"/>
              </w:rPr>
              <w:t>年产8000吨休闲食品</w:t>
            </w:r>
          </w:p>
        </w:tc>
        <w:tc>
          <w:tcPr>
            <w:tcW w:w="670" w:type="pct"/>
            <w:vAlign w:val="center"/>
          </w:tcPr>
          <w:p>
            <w:pPr>
              <w:pStyle w:val="63"/>
            </w:pPr>
            <w:r>
              <w:rPr>
                <w:rFonts w:hint="eastAsia"/>
              </w:rPr>
              <w:t>3000</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湖南俊美食品有限公司</w:t>
            </w:r>
          </w:p>
        </w:tc>
        <w:tc>
          <w:tcPr>
            <w:tcW w:w="1085" w:type="pct"/>
            <w:vAlign w:val="center"/>
          </w:tcPr>
          <w:p>
            <w:pPr>
              <w:pStyle w:val="63"/>
            </w:pPr>
            <w:r>
              <w:rPr>
                <w:rFonts w:hint="eastAsia"/>
              </w:rPr>
              <w:t>年产500吨鱼制品和500吨肉制品</w:t>
            </w:r>
          </w:p>
        </w:tc>
        <w:tc>
          <w:tcPr>
            <w:tcW w:w="670" w:type="pct"/>
            <w:vAlign w:val="center"/>
          </w:tcPr>
          <w:p>
            <w:pPr>
              <w:pStyle w:val="63"/>
            </w:pPr>
            <w:r>
              <w:rPr>
                <w:rFonts w:hint="eastAsia"/>
              </w:rPr>
              <w:t>3680</w:t>
            </w:r>
          </w:p>
        </w:tc>
        <w:tc>
          <w:tcPr>
            <w:tcW w:w="648" w:type="pct"/>
            <w:vAlign w:val="center"/>
          </w:tcPr>
          <w:p>
            <w:pPr>
              <w:pStyle w:val="63"/>
            </w:pPr>
            <w:r>
              <w:rPr>
                <w:rFonts w:hint="eastAsia"/>
              </w:rPr>
              <w:t>0.658</w:t>
            </w:r>
          </w:p>
        </w:tc>
        <w:tc>
          <w:tcPr>
            <w:tcW w:w="648" w:type="pct"/>
            <w:vAlign w:val="center"/>
          </w:tcPr>
          <w:p>
            <w:pPr>
              <w:pStyle w:val="63"/>
            </w:pPr>
            <w:r>
              <w:rPr>
                <w:rFonts w:hint="eastAsia"/>
              </w:rPr>
              <w:t>0.511</w:t>
            </w:r>
          </w:p>
        </w:tc>
        <w:tc>
          <w:tcPr>
            <w:tcW w:w="589" w:type="pct"/>
            <w:vAlign w:val="center"/>
          </w:tcPr>
          <w:p>
            <w:pPr>
              <w:pStyle w:val="63"/>
            </w:pPr>
            <w:r>
              <w:rPr>
                <w:rFonts w:hint="eastAsia"/>
              </w:rPr>
              <w:t>0.047</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平江本味食品有限公司</w:t>
            </w:r>
          </w:p>
        </w:tc>
        <w:tc>
          <w:tcPr>
            <w:tcW w:w="1085" w:type="pct"/>
            <w:vAlign w:val="center"/>
          </w:tcPr>
          <w:p>
            <w:pPr>
              <w:pStyle w:val="63"/>
            </w:pPr>
            <w:r>
              <w:rPr>
                <w:rFonts w:hint="eastAsia"/>
              </w:rPr>
              <w:t>年生产2000吨挤压糕点</w:t>
            </w:r>
          </w:p>
        </w:tc>
        <w:tc>
          <w:tcPr>
            <w:tcW w:w="670" w:type="pct"/>
            <w:vAlign w:val="center"/>
          </w:tcPr>
          <w:p>
            <w:pPr>
              <w:pStyle w:val="63"/>
            </w:pPr>
            <w:r>
              <w:rPr>
                <w:rFonts w:hint="eastAsia"/>
              </w:rPr>
              <w:t>2873</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湖南省原本记忆食品有限公司</w:t>
            </w:r>
          </w:p>
        </w:tc>
        <w:tc>
          <w:tcPr>
            <w:tcW w:w="1085" w:type="pct"/>
            <w:vAlign w:val="center"/>
          </w:tcPr>
          <w:p>
            <w:pPr>
              <w:pStyle w:val="63"/>
            </w:pPr>
            <w:r>
              <w:rPr>
                <w:rFonts w:hint="eastAsia"/>
              </w:rPr>
              <w:t>年产3500吨豆制品</w:t>
            </w:r>
          </w:p>
        </w:tc>
        <w:tc>
          <w:tcPr>
            <w:tcW w:w="670" w:type="pct"/>
            <w:vAlign w:val="center"/>
          </w:tcPr>
          <w:p>
            <w:pPr>
              <w:pStyle w:val="63"/>
            </w:pPr>
            <w:r>
              <w:rPr>
                <w:rFonts w:hint="eastAsia"/>
              </w:rPr>
              <w:t>1888</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岳阳市昊昌食品科技有限公司</w:t>
            </w:r>
          </w:p>
        </w:tc>
        <w:tc>
          <w:tcPr>
            <w:tcW w:w="1085" w:type="pct"/>
            <w:vAlign w:val="center"/>
          </w:tcPr>
          <w:p>
            <w:pPr>
              <w:pStyle w:val="63"/>
            </w:pPr>
            <w:r>
              <w:rPr>
                <w:rFonts w:hint="eastAsia"/>
              </w:rPr>
              <w:t>年产3000t膨化食品</w:t>
            </w:r>
          </w:p>
        </w:tc>
        <w:tc>
          <w:tcPr>
            <w:tcW w:w="670" w:type="pct"/>
            <w:vAlign w:val="center"/>
          </w:tcPr>
          <w:p>
            <w:pPr>
              <w:pStyle w:val="63"/>
            </w:pPr>
            <w:r>
              <w:rPr>
                <w:rFonts w:hint="eastAsia"/>
              </w:rPr>
              <w:t>16385</w:t>
            </w:r>
          </w:p>
        </w:tc>
        <w:tc>
          <w:tcPr>
            <w:tcW w:w="648" w:type="pct"/>
            <w:vAlign w:val="center"/>
          </w:tcPr>
          <w:p>
            <w:pPr>
              <w:pStyle w:val="63"/>
            </w:pPr>
            <w:r>
              <w:rPr>
                <w:rFonts w:hint="eastAsia"/>
              </w:rPr>
              <w:t>0.102</w:t>
            </w:r>
          </w:p>
        </w:tc>
        <w:tc>
          <w:tcPr>
            <w:tcW w:w="648" w:type="pct"/>
            <w:vAlign w:val="center"/>
          </w:tcPr>
          <w:p>
            <w:pPr>
              <w:pStyle w:val="63"/>
            </w:pPr>
            <w:r>
              <w:rPr>
                <w:rFonts w:hint="eastAsia"/>
              </w:rPr>
              <w:t>0.085</w:t>
            </w:r>
          </w:p>
        </w:tc>
        <w:tc>
          <w:tcPr>
            <w:tcW w:w="589" w:type="pct"/>
            <w:vAlign w:val="center"/>
          </w:tcPr>
          <w:p>
            <w:pPr>
              <w:pStyle w:val="63"/>
            </w:pPr>
            <w:r>
              <w:rPr>
                <w:rFonts w:hint="eastAsia"/>
              </w:rPr>
              <w:t>0.279</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822" w:type="pct"/>
            <w:vAlign w:val="center"/>
          </w:tcPr>
          <w:p>
            <w:pPr>
              <w:pStyle w:val="63"/>
            </w:pPr>
            <w:r>
              <w:rPr>
                <w:rFonts w:hint="eastAsia"/>
              </w:rPr>
              <w:t>湖南省俏嘴巴食品有限公司</w:t>
            </w:r>
          </w:p>
        </w:tc>
        <w:tc>
          <w:tcPr>
            <w:tcW w:w="1085" w:type="pct"/>
            <w:vAlign w:val="center"/>
          </w:tcPr>
          <w:p>
            <w:pPr>
              <w:pStyle w:val="63"/>
            </w:pPr>
            <w:r>
              <w:rPr>
                <w:rFonts w:hint="eastAsia"/>
              </w:rPr>
              <w:t>年产1500吨肉制品、</w:t>
            </w:r>
            <w:r>
              <w:rPr>
                <w:rFonts w:hint="eastAsia"/>
              </w:rPr>
              <w:br w:type="textWrapping"/>
            </w:r>
            <w:r>
              <w:rPr>
                <w:rFonts w:hint="eastAsia"/>
              </w:rPr>
              <w:t>1500吨鱼制品、1000吨豆制品、1500吨蔬菜制品及2500吨调味面制品食品</w:t>
            </w:r>
          </w:p>
        </w:tc>
        <w:tc>
          <w:tcPr>
            <w:tcW w:w="670" w:type="pct"/>
            <w:vAlign w:val="center"/>
          </w:tcPr>
          <w:p>
            <w:pPr>
              <w:pStyle w:val="63"/>
            </w:pPr>
            <w:r>
              <w:rPr>
                <w:rFonts w:hint="eastAsia"/>
              </w:rPr>
              <w:t>30250</w:t>
            </w:r>
          </w:p>
        </w:tc>
        <w:tc>
          <w:tcPr>
            <w:tcW w:w="648" w:type="pct"/>
            <w:vAlign w:val="center"/>
          </w:tcPr>
          <w:p>
            <w:pPr>
              <w:pStyle w:val="63"/>
            </w:pPr>
            <w:r>
              <w:rPr>
                <w:rFonts w:hint="eastAsia"/>
              </w:rPr>
              <w:t>0.51</w:t>
            </w:r>
          </w:p>
        </w:tc>
        <w:tc>
          <w:tcPr>
            <w:tcW w:w="648" w:type="pct"/>
            <w:vAlign w:val="center"/>
          </w:tcPr>
          <w:p>
            <w:pPr>
              <w:pStyle w:val="63"/>
            </w:pPr>
            <w:r>
              <w:t>0.297</w:t>
            </w:r>
          </w:p>
        </w:tc>
        <w:tc>
          <w:tcPr>
            <w:tcW w:w="589" w:type="pct"/>
            <w:vAlign w:val="center"/>
          </w:tcPr>
          <w:p>
            <w:pPr>
              <w:pStyle w:val="63"/>
            </w:pPr>
            <w:r>
              <w:t>0.025</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广西璞悦粮油食品有限公司</w:t>
            </w:r>
          </w:p>
        </w:tc>
        <w:tc>
          <w:tcPr>
            <w:tcW w:w="1085" w:type="pct"/>
            <w:vAlign w:val="center"/>
          </w:tcPr>
          <w:p>
            <w:pPr>
              <w:pStyle w:val="63"/>
            </w:pPr>
            <w:r>
              <w:rPr>
                <w:rFonts w:hint="eastAsia"/>
              </w:rPr>
              <w:t>年产花生油3600t/a</w:t>
            </w:r>
          </w:p>
        </w:tc>
        <w:tc>
          <w:tcPr>
            <w:tcW w:w="670" w:type="pct"/>
            <w:vAlign w:val="center"/>
          </w:tcPr>
          <w:p>
            <w:pPr>
              <w:pStyle w:val="63"/>
            </w:pPr>
            <w:r>
              <w:rPr>
                <w:rFonts w:hint="eastAsia"/>
              </w:rPr>
              <w:t>3400</w:t>
            </w:r>
          </w:p>
        </w:tc>
        <w:tc>
          <w:tcPr>
            <w:tcW w:w="648" w:type="pct"/>
            <w:vAlign w:val="center"/>
          </w:tcPr>
          <w:p>
            <w:pPr>
              <w:pStyle w:val="63"/>
            </w:pPr>
            <w:r>
              <w:rPr>
                <w:rFonts w:hint="eastAsia"/>
              </w:rPr>
              <w:t>0.374</w:t>
            </w:r>
          </w:p>
        </w:tc>
        <w:tc>
          <w:tcPr>
            <w:tcW w:w="648" w:type="pct"/>
            <w:vAlign w:val="center"/>
          </w:tcPr>
          <w:p>
            <w:pPr>
              <w:pStyle w:val="63"/>
            </w:pPr>
            <w:r>
              <w:t>0.204</w:t>
            </w:r>
          </w:p>
        </w:tc>
        <w:tc>
          <w:tcPr>
            <w:tcW w:w="589" w:type="pct"/>
            <w:vAlign w:val="center"/>
          </w:tcPr>
          <w:p>
            <w:pPr>
              <w:pStyle w:val="63"/>
            </w:pPr>
            <w:r>
              <w:t>0.039</w:t>
            </w:r>
          </w:p>
        </w:tc>
        <w:tc>
          <w:tcPr>
            <w:tcW w:w="538" w:type="pct"/>
            <w:vAlign w:val="center"/>
          </w:tcPr>
          <w:p>
            <w:pPr>
              <w:pStyle w:val="63"/>
            </w:pPr>
            <w:r>
              <w:rPr>
                <w:rFonts w:hint="eastAsia"/>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湖南山润油茶科技发展有限公司</w:t>
            </w:r>
          </w:p>
        </w:tc>
        <w:tc>
          <w:tcPr>
            <w:tcW w:w="1085" w:type="pct"/>
            <w:vAlign w:val="center"/>
          </w:tcPr>
          <w:p>
            <w:pPr>
              <w:pStyle w:val="63"/>
            </w:pPr>
            <w:r>
              <w:rPr>
                <w:rFonts w:hint="eastAsia"/>
              </w:rPr>
              <w:t>干茶油籽2500t/a、水法炼茶油10000t/a、茶皂素2640t/a</w:t>
            </w:r>
          </w:p>
        </w:tc>
        <w:tc>
          <w:tcPr>
            <w:tcW w:w="670" w:type="pct"/>
            <w:vAlign w:val="center"/>
          </w:tcPr>
          <w:p>
            <w:pPr>
              <w:pStyle w:val="63"/>
            </w:pPr>
            <w:r>
              <w:rPr>
                <w:rFonts w:hint="eastAsia"/>
              </w:rPr>
              <w:t>21239</w:t>
            </w:r>
          </w:p>
        </w:tc>
        <w:tc>
          <w:tcPr>
            <w:tcW w:w="648" w:type="pct"/>
            <w:vAlign w:val="center"/>
          </w:tcPr>
          <w:p>
            <w:pPr>
              <w:pStyle w:val="63"/>
            </w:pPr>
            <w:r>
              <w:rPr>
                <w:rFonts w:hint="eastAsia"/>
              </w:rPr>
              <w:t>0.952</w:t>
            </w:r>
          </w:p>
        </w:tc>
        <w:tc>
          <w:tcPr>
            <w:tcW w:w="648" w:type="pct"/>
            <w:vAlign w:val="center"/>
          </w:tcPr>
          <w:p>
            <w:pPr>
              <w:pStyle w:val="63"/>
            </w:pPr>
            <w:r>
              <w:rPr>
                <w:rFonts w:hint="eastAsia"/>
              </w:rPr>
              <w:t>0.12</w:t>
            </w:r>
          </w:p>
        </w:tc>
        <w:tc>
          <w:tcPr>
            <w:tcW w:w="589" w:type="pct"/>
            <w:vAlign w:val="center"/>
          </w:tcPr>
          <w:p>
            <w:pPr>
              <w:pStyle w:val="63"/>
            </w:pPr>
            <w:r>
              <w:rPr>
                <w:rFonts w:hint="eastAsia"/>
              </w:rPr>
              <w:t>0.999</w:t>
            </w:r>
          </w:p>
        </w:tc>
        <w:tc>
          <w:tcPr>
            <w:tcW w:w="538" w:type="pct"/>
            <w:vAlign w:val="center"/>
          </w:tcPr>
          <w:p>
            <w:pPr>
              <w:pStyle w:val="63"/>
            </w:pPr>
            <w:r>
              <w:rPr>
                <w:rFonts w:hint="eastAsia"/>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湖南九丰农业发展有限公司</w:t>
            </w:r>
          </w:p>
        </w:tc>
        <w:tc>
          <w:tcPr>
            <w:tcW w:w="1085" w:type="pct"/>
            <w:vAlign w:val="center"/>
          </w:tcPr>
          <w:p>
            <w:pPr>
              <w:pStyle w:val="63"/>
            </w:pPr>
            <w:r>
              <w:rPr>
                <w:rFonts w:hint="eastAsia"/>
              </w:rPr>
              <w:t>年产1000吨浓香菜籽油</w:t>
            </w:r>
          </w:p>
        </w:tc>
        <w:tc>
          <w:tcPr>
            <w:tcW w:w="670" w:type="pct"/>
            <w:vAlign w:val="center"/>
          </w:tcPr>
          <w:p>
            <w:pPr>
              <w:pStyle w:val="63"/>
            </w:pPr>
            <w:r>
              <w:rPr>
                <w:rFonts w:hint="eastAsia"/>
              </w:rPr>
              <w:t>1200</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0.008</w:t>
            </w:r>
          </w:p>
        </w:tc>
        <w:tc>
          <w:tcPr>
            <w:tcW w:w="538" w:type="pct"/>
            <w:vAlign w:val="center"/>
          </w:tcPr>
          <w:p>
            <w:pPr>
              <w:pStyle w:val="63"/>
            </w:pPr>
            <w:r>
              <w:rPr>
                <w:rFonts w:hint="eastAsia"/>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临湘市创兴生物科技有限公司</w:t>
            </w:r>
          </w:p>
        </w:tc>
        <w:tc>
          <w:tcPr>
            <w:tcW w:w="1085" w:type="pct"/>
            <w:vAlign w:val="center"/>
          </w:tcPr>
          <w:p>
            <w:pPr>
              <w:pStyle w:val="63"/>
            </w:pPr>
            <w:r>
              <w:rPr>
                <w:rFonts w:hint="eastAsia"/>
              </w:rPr>
              <w:t>年产 3 万 m3竹胶板及废弃竹木屑综合利用</w:t>
            </w:r>
          </w:p>
        </w:tc>
        <w:tc>
          <w:tcPr>
            <w:tcW w:w="670" w:type="pct"/>
            <w:vAlign w:val="center"/>
          </w:tcPr>
          <w:p>
            <w:pPr>
              <w:pStyle w:val="63"/>
            </w:pPr>
            <w:r>
              <w:rPr>
                <w:rFonts w:hint="eastAsia"/>
              </w:rPr>
              <w:t>8700</w:t>
            </w:r>
          </w:p>
        </w:tc>
        <w:tc>
          <w:tcPr>
            <w:tcW w:w="648" w:type="pct"/>
            <w:vAlign w:val="center"/>
          </w:tcPr>
          <w:p>
            <w:pPr>
              <w:pStyle w:val="63"/>
            </w:pPr>
            <w:r>
              <w:rPr>
                <w:rFonts w:hint="eastAsia"/>
              </w:rPr>
              <w:t>2.68</w:t>
            </w:r>
          </w:p>
        </w:tc>
        <w:tc>
          <w:tcPr>
            <w:tcW w:w="648" w:type="pct"/>
            <w:vAlign w:val="center"/>
          </w:tcPr>
          <w:p>
            <w:pPr>
              <w:pStyle w:val="63"/>
            </w:pPr>
            <w:r>
              <w:rPr>
                <w:rFonts w:hint="eastAsia"/>
              </w:rPr>
              <w:t>2.183</w:t>
            </w:r>
          </w:p>
        </w:tc>
        <w:tc>
          <w:tcPr>
            <w:tcW w:w="589" w:type="pct"/>
            <w:vAlign w:val="center"/>
          </w:tcPr>
          <w:p>
            <w:pPr>
              <w:pStyle w:val="63"/>
            </w:pPr>
            <w:r>
              <w:rPr>
                <w:rFonts w:hint="eastAsia"/>
              </w:rPr>
              <w:t>3.175</w:t>
            </w:r>
          </w:p>
        </w:tc>
        <w:tc>
          <w:tcPr>
            <w:tcW w:w="538" w:type="pct"/>
            <w:vAlign w:val="center"/>
          </w:tcPr>
          <w:p>
            <w:pPr>
              <w:pStyle w:val="63"/>
            </w:pPr>
            <w:r>
              <w:rPr>
                <w:rFonts w:hint="eastAsia"/>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临湘市孟氏盛世竹木制品有限公司</w:t>
            </w:r>
          </w:p>
        </w:tc>
        <w:tc>
          <w:tcPr>
            <w:tcW w:w="1085" w:type="pct"/>
            <w:vAlign w:val="center"/>
          </w:tcPr>
          <w:p>
            <w:pPr>
              <w:pStyle w:val="63"/>
            </w:pPr>
            <w:r>
              <w:rPr>
                <w:rFonts w:hint="eastAsia"/>
              </w:rPr>
              <w:t>年产 20 万件竹木制品</w:t>
            </w:r>
          </w:p>
        </w:tc>
        <w:tc>
          <w:tcPr>
            <w:tcW w:w="670" w:type="pct"/>
            <w:vAlign w:val="center"/>
          </w:tcPr>
          <w:p>
            <w:pPr>
              <w:pStyle w:val="63"/>
            </w:pPr>
            <w:r>
              <w:rPr>
                <w:rFonts w:hint="eastAsia"/>
              </w:rPr>
              <w:t>8702</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0.902</w:t>
            </w:r>
          </w:p>
        </w:tc>
        <w:tc>
          <w:tcPr>
            <w:tcW w:w="538" w:type="pct"/>
            <w:vAlign w:val="center"/>
          </w:tcPr>
          <w:p>
            <w:pPr>
              <w:pStyle w:val="63"/>
            </w:pPr>
            <w:r>
              <w:rPr>
                <w:rFonts w:hint="eastAsia"/>
              </w:rPr>
              <w:t>0.748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湘潭县双江竹木制品厂</w:t>
            </w:r>
          </w:p>
        </w:tc>
        <w:tc>
          <w:tcPr>
            <w:tcW w:w="1085" w:type="pct"/>
            <w:vAlign w:val="center"/>
          </w:tcPr>
          <w:p>
            <w:pPr>
              <w:pStyle w:val="63"/>
            </w:pPr>
            <w:r>
              <w:rPr>
                <w:rFonts w:hint="eastAsia"/>
              </w:rPr>
              <w:t>年产 4 万套竹木家具</w:t>
            </w:r>
          </w:p>
        </w:tc>
        <w:tc>
          <w:tcPr>
            <w:tcW w:w="670" w:type="pct"/>
            <w:vAlign w:val="center"/>
          </w:tcPr>
          <w:p>
            <w:pPr>
              <w:pStyle w:val="63"/>
            </w:pPr>
            <w:r>
              <w:rPr>
                <w:rFonts w:hint="eastAsia"/>
              </w:rPr>
              <w:t>5600</w:t>
            </w:r>
          </w:p>
        </w:tc>
        <w:tc>
          <w:tcPr>
            <w:tcW w:w="648" w:type="pct"/>
            <w:vAlign w:val="center"/>
          </w:tcPr>
          <w:p>
            <w:pPr>
              <w:pStyle w:val="63"/>
            </w:pPr>
            <w:r>
              <w:rPr>
                <w:rFonts w:hint="eastAsia"/>
              </w:rPr>
              <w:t>0.826</w:t>
            </w:r>
          </w:p>
        </w:tc>
        <w:tc>
          <w:tcPr>
            <w:tcW w:w="648" w:type="pct"/>
            <w:vAlign w:val="center"/>
          </w:tcPr>
          <w:p>
            <w:pPr>
              <w:pStyle w:val="63"/>
            </w:pPr>
            <w:r>
              <w:rPr>
                <w:rFonts w:hint="eastAsia"/>
              </w:rPr>
              <w:t>0.275</w:t>
            </w:r>
          </w:p>
        </w:tc>
        <w:tc>
          <w:tcPr>
            <w:tcW w:w="589" w:type="pct"/>
            <w:vAlign w:val="center"/>
          </w:tcPr>
          <w:p>
            <w:pPr>
              <w:pStyle w:val="63"/>
            </w:pPr>
            <w:r>
              <w:rPr>
                <w:rFonts w:hint="eastAsia"/>
              </w:rPr>
              <w:t>0.701</w:t>
            </w:r>
          </w:p>
        </w:tc>
        <w:tc>
          <w:tcPr>
            <w:tcW w:w="538" w:type="pct"/>
            <w:vAlign w:val="center"/>
          </w:tcPr>
          <w:p>
            <w:pPr>
              <w:pStyle w:val="63"/>
            </w:pPr>
            <w:r>
              <w:rPr>
                <w:rFonts w:hint="eastAsi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长沙鼎盛重工科技有限公司</w:t>
            </w:r>
          </w:p>
        </w:tc>
        <w:tc>
          <w:tcPr>
            <w:tcW w:w="1085" w:type="pct"/>
            <w:vAlign w:val="center"/>
          </w:tcPr>
          <w:p>
            <w:pPr>
              <w:pStyle w:val="63"/>
            </w:pPr>
            <w:r>
              <w:rPr>
                <w:rFonts w:hint="eastAsia"/>
              </w:rPr>
              <w:t>每年3万吨钢构件、0.8万吨风电塔筒</w:t>
            </w:r>
          </w:p>
        </w:tc>
        <w:tc>
          <w:tcPr>
            <w:tcW w:w="670" w:type="pct"/>
            <w:vAlign w:val="center"/>
          </w:tcPr>
          <w:p>
            <w:pPr>
              <w:pStyle w:val="63"/>
            </w:pPr>
            <w:r>
              <w:rPr>
                <w:rFonts w:hint="eastAsia"/>
              </w:rPr>
              <w:t>104360</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4.03</w:t>
            </w:r>
          </w:p>
        </w:tc>
        <w:tc>
          <w:tcPr>
            <w:tcW w:w="538" w:type="pct"/>
            <w:vAlign w:val="center"/>
          </w:tcPr>
          <w:p>
            <w:pPr>
              <w:pStyle w:val="63"/>
            </w:pPr>
            <w:r>
              <w:rPr>
                <w:rFonts w:hint="eastAsia"/>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湖南华构筑工建设有限公司</w:t>
            </w:r>
          </w:p>
        </w:tc>
        <w:tc>
          <w:tcPr>
            <w:tcW w:w="1085" w:type="pct"/>
            <w:vAlign w:val="center"/>
          </w:tcPr>
          <w:p>
            <w:pPr>
              <w:pStyle w:val="63"/>
            </w:pPr>
            <w:r>
              <w:rPr>
                <w:rFonts w:hint="eastAsia"/>
              </w:rPr>
              <w:t>预制叠合楼板、楼梯20000立方</w:t>
            </w:r>
          </w:p>
        </w:tc>
        <w:tc>
          <w:tcPr>
            <w:tcW w:w="670" w:type="pct"/>
            <w:vAlign w:val="center"/>
          </w:tcPr>
          <w:p>
            <w:pPr>
              <w:pStyle w:val="63"/>
            </w:pPr>
            <w:r>
              <w:t>8000</w:t>
            </w:r>
          </w:p>
        </w:tc>
        <w:tc>
          <w:tcPr>
            <w:tcW w:w="648" w:type="pct"/>
            <w:vAlign w:val="center"/>
          </w:tcPr>
          <w:p>
            <w:pPr>
              <w:pStyle w:val="63"/>
            </w:pPr>
            <w:r>
              <w:rPr>
                <w:rFonts w:hint="eastAsia"/>
              </w:rPr>
              <w:t>0.2112</w:t>
            </w:r>
          </w:p>
        </w:tc>
        <w:tc>
          <w:tcPr>
            <w:tcW w:w="648" w:type="pct"/>
            <w:vAlign w:val="center"/>
          </w:tcPr>
          <w:p>
            <w:pPr>
              <w:pStyle w:val="63"/>
            </w:pPr>
            <w:r>
              <w:rPr>
                <w:rFonts w:hint="eastAsia"/>
              </w:rPr>
              <w:t>0.0216</w:t>
            </w:r>
          </w:p>
        </w:tc>
        <w:tc>
          <w:tcPr>
            <w:tcW w:w="589" w:type="pct"/>
            <w:vAlign w:val="center"/>
          </w:tcPr>
          <w:p>
            <w:pPr>
              <w:pStyle w:val="63"/>
            </w:pPr>
            <w:r>
              <w:rPr>
                <w:rFonts w:hint="eastAsia"/>
              </w:rPr>
              <w:t>0.255</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822" w:type="pct"/>
            <w:vAlign w:val="center"/>
          </w:tcPr>
          <w:p>
            <w:pPr>
              <w:pStyle w:val="63"/>
            </w:pPr>
            <w:r>
              <w:rPr>
                <w:rFonts w:hint="eastAsia"/>
              </w:rPr>
              <w:t>湖南金鑫建筑科技有限公司</w:t>
            </w:r>
          </w:p>
        </w:tc>
        <w:tc>
          <w:tcPr>
            <w:tcW w:w="1085" w:type="pct"/>
            <w:vAlign w:val="center"/>
          </w:tcPr>
          <w:p>
            <w:pPr>
              <w:pStyle w:val="63"/>
            </w:pPr>
            <w:r>
              <w:rPr>
                <w:rFonts w:hint="eastAsia"/>
              </w:rPr>
              <w:t>5万方的综合管廊和装配式预制PC构件</w:t>
            </w:r>
          </w:p>
        </w:tc>
        <w:tc>
          <w:tcPr>
            <w:tcW w:w="670" w:type="pct"/>
            <w:vAlign w:val="center"/>
          </w:tcPr>
          <w:p>
            <w:pPr>
              <w:pStyle w:val="63"/>
            </w:pPr>
            <w:r>
              <w:rPr>
                <w:rFonts w:hint="eastAsia"/>
              </w:rPr>
              <w:t>24000</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0.234</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22" w:type="pct"/>
            <w:vAlign w:val="center"/>
          </w:tcPr>
          <w:p>
            <w:pPr>
              <w:pStyle w:val="63"/>
            </w:pPr>
            <w:r>
              <w:rPr>
                <w:rFonts w:hint="eastAsia"/>
              </w:rPr>
              <w:t>湖南强恒装配式建筑工程有限公司</w:t>
            </w:r>
          </w:p>
        </w:tc>
        <w:tc>
          <w:tcPr>
            <w:tcW w:w="1085" w:type="pct"/>
            <w:vAlign w:val="center"/>
          </w:tcPr>
          <w:p>
            <w:pPr>
              <w:pStyle w:val="63"/>
            </w:pPr>
            <w:r>
              <w:rPr>
                <w:rFonts w:hint="eastAsia"/>
              </w:rPr>
              <w:t>建筑工程装配式混凝土预制构件生产</w:t>
            </w:r>
          </w:p>
        </w:tc>
        <w:tc>
          <w:tcPr>
            <w:tcW w:w="670" w:type="pct"/>
            <w:vAlign w:val="center"/>
          </w:tcPr>
          <w:p>
            <w:pPr>
              <w:pStyle w:val="63"/>
            </w:pPr>
            <w:r>
              <w:rPr>
                <w:rFonts w:hint="eastAsia"/>
              </w:rPr>
              <w:t>33335</w:t>
            </w:r>
          </w:p>
        </w:tc>
        <w:tc>
          <w:tcPr>
            <w:tcW w:w="648" w:type="pct"/>
            <w:vAlign w:val="center"/>
          </w:tcPr>
          <w:p>
            <w:pPr>
              <w:pStyle w:val="63"/>
            </w:pPr>
            <w:r>
              <w:rPr>
                <w:rFonts w:hint="eastAsia"/>
              </w:rPr>
              <w:t>0.039</w:t>
            </w:r>
          </w:p>
        </w:tc>
        <w:tc>
          <w:tcPr>
            <w:tcW w:w="648" w:type="pct"/>
            <w:vAlign w:val="center"/>
          </w:tcPr>
          <w:p>
            <w:pPr>
              <w:pStyle w:val="63"/>
            </w:pPr>
            <w:r>
              <w:rPr>
                <w:rFonts w:hint="eastAsia"/>
              </w:rPr>
              <w:t>0.039</w:t>
            </w:r>
          </w:p>
        </w:tc>
        <w:tc>
          <w:tcPr>
            <w:tcW w:w="589" w:type="pct"/>
            <w:vAlign w:val="center"/>
          </w:tcPr>
          <w:p>
            <w:pPr>
              <w:pStyle w:val="63"/>
            </w:pPr>
            <w:r>
              <w:rPr>
                <w:rFonts w:hint="eastAsia"/>
              </w:rPr>
              <w:t>0.27</w:t>
            </w:r>
          </w:p>
        </w:tc>
        <w:tc>
          <w:tcPr>
            <w:tcW w:w="538"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美安（福建）实业有限公司</w:t>
            </w:r>
          </w:p>
        </w:tc>
        <w:tc>
          <w:tcPr>
            <w:tcW w:w="1085" w:type="pct"/>
            <w:vAlign w:val="center"/>
          </w:tcPr>
          <w:p>
            <w:pPr>
              <w:pStyle w:val="63"/>
            </w:pPr>
            <w:r>
              <w:rPr>
                <w:rFonts w:hint="eastAsia"/>
              </w:rPr>
              <w:t>年产</w:t>
            </w:r>
            <w:r>
              <w:t>30</w:t>
            </w:r>
            <w:r>
              <w:rPr>
                <w:rFonts w:hint="eastAsia"/>
              </w:rPr>
              <w:t>万平方米微晶石石板材</w:t>
            </w:r>
          </w:p>
        </w:tc>
        <w:tc>
          <w:tcPr>
            <w:tcW w:w="670" w:type="pct"/>
            <w:vAlign w:val="center"/>
          </w:tcPr>
          <w:p>
            <w:pPr>
              <w:pStyle w:val="63"/>
            </w:pPr>
            <w:r>
              <w:rPr>
                <w:rFonts w:hint="eastAsia"/>
              </w:rPr>
              <w:t>12599</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w:t>
            </w:r>
          </w:p>
        </w:tc>
        <w:tc>
          <w:tcPr>
            <w:tcW w:w="538" w:type="pct"/>
            <w:vAlign w:val="center"/>
          </w:tcPr>
          <w:p>
            <w:pPr>
              <w:pStyle w:val="63"/>
            </w:pPr>
            <w:r>
              <w:rPr>
                <w:rFonts w:hint="eastAsia"/>
              </w:rPr>
              <w:t>0.00055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2" w:type="pct"/>
            <w:vAlign w:val="center"/>
          </w:tcPr>
          <w:p>
            <w:pPr>
              <w:pStyle w:val="63"/>
            </w:pPr>
            <w:r>
              <w:rPr>
                <w:rFonts w:hint="eastAsia"/>
              </w:rPr>
              <w:t>浙江禾运科技有限公司</w:t>
            </w:r>
          </w:p>
        </w:tc>
        <w:tc>
          <w:tcPr>
            <w:tcW w:w="1085" w:type="pct"/>
            <w:vAlign w:val="center"/>
          </w:tcPr>
          <w:p>
            <w:pPr>
              <w:pStyle w:val="63"/>
            </w:pPr>
            <w:r>
              <w:rPr>
                <w:rFonts w:hint="eastAsia"/>
              </w:rPr>
              <w:t>年产1000万平方米环保微晶石地板</w:t>
            </w:r>
          </w:p>
        </w:tc>
        <w:tc>
          <w:tcPr>
            <w:tcW w:w="670" w:type="pct"/>
            <w:vAlign w:val="center"/>
          </w:tcPr>
          <w:p>
            <w:pPr>
              <w:pStyle w:val="63"/>
            </w:pPr>
            <w:r>
              <w:rPr>
                <w:rFonts w:hint="eastAsia"/>
              </w:rPr>
              <w:t>130955</w:t>
            </w:r>
          </w:p>
        </w:tc>
        <w:tc>
          <w:tcPr>
            <w:tcW w:w="648" w:type="pct"/>
            <w:vAlign w:val="center"/>
          </w:tcPr>
          <w:p>
            <w:pPr>
              <w:pStyle w:val="63"/>
            </w:pPr>
            <w:r>
              <w:rPr>
                <w:rFonts w:hint="eastAsia"/>
              </w:rPr>
              <w:t>0.204</w:t>
            </w:r>
          </w:p>
        </w:tc>
        <w:tc>
          <w:tcPr>
            <w:tcW w:w="648" w:type="pct"/>
            <w:vAlign w:val="center"/>
          </w:tcPr>
          <w:p>
            <w:pPr>
              <w:pStyle w:val="63"/>
            </w:pPr>
            <w:r>
              <w:rPr>
                <w:rFonts w:hint="eastAsia"/>
              </w:rPr>
              <w:t>0.1</w:t>
            </w:r>
          </w:p>
        </w:tc>
        <w:tc>
          <w:tcPr>
            <w:tcW w:w="589" w:type="pct"/>
            <w:vAlign w:val="center"/>
          </w:tcPr>
          <w:p>
            <w:pPr>
              <w:pStyle w:val="63"/>
            </w:pPr>
            <w:r>
              <w:rPr>
                <w:rFonts w:hint="eastAsia"/>
              </w:rPr>
              <w:t>2.579</w:t>
            </w:r>
          </w:p>
        </w:tc>
        <w:tc>
          <w:tcPr>
            <w:tcW w:w="538" w:type="pct"/>
            <w:vAlign w:val="center"/>
          </w:tcPr>
          <w:p>
            <w:pPr>
              <w:pStyle w:val="63"/>
            </w:pPr>
            <w:r>
              <w:rPr>
                <w:rFonts w:hint="eastAsia"/>
              </w:rPr>
              <w:t>5.323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2" w:type="pct"/>
            <w:vAlign w:val="center"/>
          </w:tcPr>
          <w:p>
            <w:pPr>
              <w:pStyle w:val="63"/>
            </w:pPr>
            <w:r>
              <w:rPr>
                <w:rFonts w:hint="eastAsia"/>
              </w:rPr>
              <w:t>宜春大千微晶装饰新材料有限公司</w:t>
            </w:r>
          </w:p>
        </w:tc>
        <w:tc>
          <w:tcPr>
            <w:tcW w:w="1085" w:type="pct"/>
            <w:vAlign w:val="center"/>
          </w:tcPr>
          <w:p>
            <w:pPr>
              <w:pStyle w:val="63"/>
            </w:pPr>
            <w:r>
              <w:rPr>
                <w:rFonts w:hint="eastAsia"/>
              </w:rPr>
              <w:t>年产 48 万 m2 微晶石奢石</w:t>
            </w:r>
          </w:p>
        </w:tc>
        <w:tc>
          <w:tcPr>
            <w:tcW w:w="670" w:type="pct"/>
            <w:vAlign w:val="center"/>
          </w:tcPr>
          <w:p>
            <w:pPr>
              <w:pStyle w:val="63"/>
            </w:pPr>
            <w:r>
              <w:rPr>
                <w:rFonts w:hint="eastAsia"/>
              </w:rPr>
              <w:t>7000</w:t>
            </w:r>
          </w:p>
        </w:tc>
        <w:tc>
          <w:tcPr>
            <w:tcW w:w="648" w:type="pct"/>
            <w:vAlign w:val="center"/>
          </w:tcPr>
          <w:p>
            <w:pPr>
              <w:pStyle w:val="63"/>
            </w:pPr>
            <w:r>
              <w:rPr>
                <w:rFonts w:hint="eastAsia"/>
              </w:rPr>
              <w:t>0</w:t>
            </w:r>
          </w:p>
        </w:tc>
        <w:tc>
          <w:tcPr>
            <w:tcW w:w="648" w:type="pct"/>
            <w:vAlign w:val="center"/>
          </w:tcPr>
          <w:p>
            <w:pPr>
              <w:pStyle w:val="63"/>
            </w:pPr>
            <w:r>
              <w:rPr>
                <w:rFonts w:hint="eastAsia"/>
              </w:rPr>
              <w:t>0</w:t>
            </w:r>
          </w:p>
        </w:tc>
        <w:tc>
          <w:tcPr>
            <w:tcW w:w="589" w:type="pct"/>
            <w:vAlign w:val="center"/>
          </w:tcPr>
          <w:p>
            <w:pPr>
              <w:pStyle w:val="63"/>
            </w:pPr>
            <w:r>
              <w:rPr>
                <w:rFonts w:hint="eastAsia"/>
              </w:rPr>
              <w:t>0</w:t>
            </w:r>
          </w:p>
        </w:tc>
        <w:tc>
          <w:tcPr>
            <w:tcW w:w="538" w:type="pct"/>
            <w:vAlign w:val="center"/>
          </w:tcPr>
          <w:p>
            <w:pPr>
              <w:pStyle w:val="63"/>
            </w:pPr>
            <w:r>
              <w:rPr>
                <w:rFonts w:hint="eastAsia"/>
              </w:rPr>
              <w:t>0.0343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07" w:type="pct"/>
            <w:gridSpan w:val="2"/>
            <w:vAlign w:val="center"/>
          </w:tcPr>
          <w:p>
            <w:pPr>
              <w:pStyle w:val="63"/>
            </w:pPr>
            <w:r>
              <w:rPr>
                <w:rFonts w:hint="eastAsia"/>
              </w:rPr>
              <w:t>合计</w:t>
            </w:r>
          </w:p>
        </w:tc>
        <w:tc>
          <w:tcPr>
            <w:tcW w:w="670" w:type="pct"/>
            <w:noWrap/>
            <w:vAlign w:val="center"/>
          </w:tcPr>
          <w:p>
            <w:pPr>
              <w:pStyle w:val="63"/>
            </w:pPr>
            <w:r>
              <w:rPr>
                <w:rFonts w:hint="eastAsia"/>
              </w:rPr>
              <w:t>432167</w:t>
            </w:r>
          </w:p>
        </w:tc>
        <w:tc>
          <w:tcPr>
            <w:tcW w:w="648" w:type="pct"/>
            <w:noWrap/>
            <w:vAlign w:val="center"/>
          </w:tcPr>
          <w:p>
            <w:pPr>
              <w:pStyle w:val="63"/>
            </w:pPr>
            <w:r>
              <w:rPr>
                <w:rFonts w:hint="eastAsia"/>
              </w:rPr>
              <w:t>7</w:t>
            </w:r>
          </w:p>
        </w:tc>
        <w:tc>
          <w:tcPr>
            <w:tcW w:w="648" w:type="pct"/>
            <w:noWrap/>
            <w:vAlign w:val="center"/>
          </w:tcPr>
          <w:p>
            <w:pPr>
              <w:pStyle w:val="63"/>
            </w:pPr>
            <w:r>
              <w:rPr>
                <w:rFonts w:hint="eastAsia"/>
              </w:rPr>
              <w:t>4</w:t>
            </w:r>
          </w:p>
        </w:tc>
        <w:tc>
          <w:tcPr>
            <w:tcW w:w="589" w:type="pct"/>
            <w:noWrap/>
            <w:vAlign w:val="center"/>
          </w:tcPr>
          <w:p>
            <w:pPr>
              <w:pStyle w:val="63"/>
            </w:pPr>
            <w:r>
              <w:rPr>
                <w:rFonts w:hint="eastAsia"/>
              </w:rPr>
              <w:t>14</w:t>
            </w:r>
          </w:p>
        </w:tc>
        <w:tc>
          <w:tcPr>
            <w:tcW w:w="538" w:type="pct"/>
            <w:noWrap/>
            <w:vAlign w:val="center"/>
          </w:tcPr>
          <w:p>
            <w:pPr>
              <w:pStyle w:val="63"/>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07" w:type="pct"/>
            <w:gridSpan w:val="2"/>
            <w:noWrap/>
            <w:vAlign w:val="center"/>
          </w:tcPr>
          <w:p>
            <w:pPr>
              <w:pStyle w:val="63"/>
            </w:pPr>
            <w:r>
              <w:rPr>
                <w:rFonts w:hint="eastAsia"/>
              </w:rPr>
              <w:t>单位面积排污系数（t/a.hm2）</w:t>
            </w:r>
          </w:p>
        </w:tc>
        <w:tc>
          <w:tcPr>
            <w:tcW w:w="670" w:type="pct"/>
            <w:noWrap/>
            <w:vAlign w:val="center"/>
          </w:tcPr>
          <w:p>
            <w:pPr>
              <w:pStyle w:val="63"/>
            </w:pPr>
            <w:r>
              <w:rPr>
                <w:rFonts w:hint="eastAsia"/>
              </w:rPr>
              <w:t>/</w:t>
            </w:r>
          </w:p>
        </w:tc>
        <w:tc>
          <w:tcPr>
            <w:tcW w:w="648" w:type="pct"/>
            <w:noWrap/>
            <w:vAlign w:val="center"/>
          </w:tcPr>
          <w:p>
            <w:pPr>
              <w:pStyle w:val="63"/>
            </w:pPr>
            <w:r>
              <w:rPr>
                <w:rFonts w:hint="eastAsia"/>
              </w:rPr>
              <w:t>0.152</w:t>
            </w:r>
          </w:p>
        </w:tc>
        <w:tc>
          <w:tcPr>
            <w:tcW w:w="648" w:type="pct"/>
            <w:noWrap/>
            <w:vAlign w:val="center"/>
          </w:tcPr>
          <w:p>
            <w:pPr>
              <w:pStyle w:val="63"/>
            </w:pPr>
            <w:r>
              <w:rPr>
                <w:rFonts w:hint="eastAsia"/>
              </w:rPr>
              <w:t>0.089</w:t>
            </w:r>
          </w:p>
        </w:tc>
        <w:tc>
          <w:tcPr>
            <w:tcW w:w="589" w:type="pct"/>
            <w:noWrap/>
            <w:vAlign w:val="center"/>
          </w:tcPr>
          <w:p>
            <w:pPr>
              <w:pStyle w:val="63"/>
            </w:pPr>
            <w:r>
              <w:rPr>
                <w:rFonts w:hint="eastAsia"/>
              </w:rPr>
              <w:t>0.313</w:t>
            </w:r>
          </w:p>
        </w:tc>
        <w:tc>
          <w:tcPr>
            <w:tcW w:w="538" w:type="pct"/>
            <w:noWrap/>
            <w:vAlign w:val="center"/>
          </w:tcPr>
          <w:p>
            <w:pPr>
              <w:pStyle w:val="63"/>
            </w:pPr>
            <w:r>
              <w:rPr>
                <w:rFonts w:hint="eastAsia"/>
              </w:rPr>
              <w:t>0.221</w:t>
            </w:r>
          </w:p>
        </w:tc>
      </w:tr>
    </w:tbl>
    <w:p>
      <w:pPr>
        <w:pStyle w:val="6"/>
      </w:pPr>
      <w:r>
        <w:rPr>
          <w:rFonts w:hint="eastAsia"/>
        </w:rPr>
        <w:t>表6.1-</w:t>
      </w:r>
      <w:r>
        <w:t>13</w:t>
      </w:r>
      <w:r>
        <w:rPr>
          <w:rFonts w:hint="eastAsia"/>
        </w:rPr>
        <w:t xml:space="preserve">  滨江片区加工制造产业园工业用地废气排放系数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758"/>
        <w:gridCol w:w="1701"/>
        <w:gridCol w:w="1647"/>
        <w:gridCol w:w="1647"/>
        <w:gridCol w:w="1500"/>
        <w:gridCol w:w="136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企业名称</w:t>
            </w:r>
          </w:p>
        </w:tc>
        <w:tc>
          <w:tcPr>
            <w:tcW w:w="972" w:type="pct"/>
            <w:vAlign w:val="center"/>
          </w:tcPr>
          <w:p>
            <w:pPr>
              <w:pStyle w:val="63"/>
            </w:pPr>
            <w:r>
              <w:rPr>
                <w:rFonts w:hint="eastAsia"/>
              </w:rPr>
              <w:t>产品方案</w:t>
            </w:r>
          </w:p>
        </w:tc>
        <w:tc>
          <w:tcPr>
            <w:tcW w:w="600" w:type="pct"/>
            <w:vAlign w:val="center"/>
          </w:tcPr>
          <w:p>
            <w:pPr>
              <w:pStyle w:val="63"/>
            </w:pPr>
            <w:r>
              <w:rPr>
                <w:rFonts w:hint="eastAsia"/>
              </w:rPr>
              <w:t>占地面积（m2）</w:t>
            </w:r>
          </w:p>
        </w:tc>
        <w:tc>
          <w:tcPr>
            <w:tcW w:w="581" w:type="pct"/>
            <w:vAlign w:val="center"/>
          </w:tcPr>
          <w:p>
            <w:pPr>
              <w:pStyle w:val="63"/>
            </w:pPr>
            <w:r>
              <w:rPr>
                <w:rFonts w:hint="eastAsia"/>
              </w:rPr>
              <w:t>Nox</w:t>
            </w:r>
          </w:p>
        </w:tc>
        <w:tc>
          <w:tcPr>
            <w:tcW w:w="581" w:type="pct"/>
            <w:vAlign w:val="center"/>
          </w:tcPr>
          <w:p>
            <w:pPr>
              <w:pStyle w:val="63"/>
            </w:pPr>
            <w:r>
              <w:rPr>
                <w:rFonts w:hint="eastAsia"/>
              </w:rPr>
              <w:t>SO2</w:t>
            </w:r>
          </w:p>
        </w:tc>
        <w:tc>
          <w:tcPr>
            <w:tcW w:w="529" w:type="pct"/>
            <w:vAlign w:val="center"/>
          </w:tcPr>
          <w:p>
            <w:pPr>
              <w:pStyle w:val="63"/>
            </w:pPr>
            <w:r>
              <w:rPr>
                <w:rFonts w:hint="eastAsia"/>
              </w:rPr>
              <w:t>烟尘</w:t>
            </w:r>
          </w:p>
        </w:tc>
        <w:tc>
          <w:tcPr>
            <w:tcW w:w="483" w:type="pct"/>
            <w:vAlign w:val="center"/>
          </w:tcPr>
          <w:p>
            <w:pPr>
              <w:pStyle w:val="63"/>
            </w:pPr>
            <w:r>
              <w:rPr>
                <w:rFonts w:hint="eastAsia"/>
              </w:rPr>
              <w:t>VOCS</w:t>
            </w:r>
          </w:p>
        </w:tc>
        <w:tc>
          <w:tcPr>
            <w:tcW w:w="515" w:type="pct"/>
            <w:vAlign w:val="center"/>
          </w:tcPr>
          <w:p>
            <w:pPr>
              <w:pStyle w:val="63"/>
            </w:pPr>
            <w:r>
              <w:rPr>
                <w:rFonts w:hint="eastAsia"/>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岳阳龙盛科技有限公司</w:t>
            </w:r>
          </w:p>
        </w:tc>
        <w:tc>
          <w:tcPr>
            <w:tcW w:w="972" w:type="pct"/>
            <w:vAlign w:val="center"/>
          </w:tcPr>
          <w:p>
            <w:pPr>
              <w:pStyle w:val="63"/>
            </w:pPr>
            <w:r>
              <w:rPr>
                <w:rFonts w:hint="eastAsia"/>
              </w:rPr>
              <w:t>年加工100万组液晶显示屏</w:t>
            </w:r>
          </w:p>
        </w:tc>
        <w:tc>
          <w:tcPr>
            <w:tcW w:w="600" w:type="pct"/>
            <w:vAlign w:val="center"/>
          </w:tcPr>
          <w:p>
            <w:pPr>
              <w:pStyle w:val="63"/>
            </w:pPr>
            <w:r>
              <w:rPr>
                <w:rFonts w:hint="eastAsia"/>
              </w:rPr>
              <w:t>2580</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w:t>
            </w:r>
          </w:p>
        </w:tc>
        <w:tc>
          <w:tcPr>
            <w:tcW w:w="483" w:type="pct"/>
            <w:vAlign w:val="center"/>
          </w:tcPr>
          <w:p>
            <w:pPr>
              <w:pStyle w:val="63"/>
            </w:pPr>
            <w:r>
              <w:rPr>
                <w:rFonts w:hint="eastAsia"/>
              </w:rPr>
              <w:t>0.129</w:t>
            </w:r>
          </w:p>
        </w:tc>
        <w:tc>
          <w:tcPr>
            <w:tcW w:w="515" w:type="pct"/>
            <w:vAlign w:val="center"/>
          </w:tcPr>
          <w:p>
            <w:pPr>
              <w:pStyle w:val="63"/>
            </w:pPr>
            <w:r>
              <w:rPr>
                <w:rFonts w:hint="eastAsia"/>
              </w:rPr>
              <w:t>0.1365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湖南沛德新材料有限公司</w:t>
            </w:r>
          </w:p>
        </w:tc>
        <w:tc>
          <w:tcPr>
            <w:tcW w:w="972" w:type="pct"/>
            <w:vAlign w:val="center"/>
          </w:tcPr>
          <w:p>
            <w:pPr>
              <w:pStyle w:val="63"/>
            </w:pPr>
            <w:r>
              <w:rPr>
                <w:rFonts w:hint="eastAsia"/>
              </w:rPr>
              <w:t>年产100万平方石墨烯</w:t>
            </w:r>
          </w:p>
        </w:tc>
        <w:tc>
          <w:tcPr>
            <w:tcW w:w="600" w:type="pct"/>
            <w:vAlign w:val="center"/>
          </w:tcPr>
          <w:p>
            <w:pPr>
              <w:pStyle w:val="63"/>
            </w:pPr>
            <w:r>
              <w:rPr>
                <w:rFonts w:hint="eastAsia"/>
              </w:rPr>
              <w:t>2188</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w:t>
            </w:r>
          </w:p>
        </w:tc>
        <w:tc>
          <w:tcPr>
            <w:tcW w:w="483" w:type="pct"/>
            <w:vAlign w:val="center"/>
          </w:tcPr>
          <w:p>
            <w:pPr>
              <w:pStyle w:val="63"/>
            </w:pPr>
            <w:r>
              <w:rPr>
                <w:rFonts w:hint="eastAsia"/>
              </w:rPr>
              <w:t>0.368</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资兴市弘电电子科技有限公司</w:t>
            </w:r>
          </w:p>
        </w:tc>
        <w:tc>
          <w:tcPr>
            <w:tcW w:w="972" w:type="pct"/>
            <w:vAlign w:val="center"/>
          </w:tcPr>
          <w:p>
            <w:pPr>
              <w:pStyle w:val="63"/>
            </w:pPr>
            <w:r>
              <w:rPr>
                <w:rFonts w:hint="eastAsia"/>
              </w:rPr>
              <w:t>年产3600万件线圈</w:t>
            </w:r>
          </w:p>
        </w:tc>
        <w:tc>
          <w:tcPr>
            <w:tcW w:w="600" w:type="pct"/>
            <w:vAlign w:val="center"/>
          </w:tcPr>
          <w:p>
            <w:pPr>
              <w:pStyle w:val="63"/>
            </w:pPr>
            <w:r>
              <w:rPr>
                <w:rFonts w:hint="eastAsia"/>
              </w:rPr>
              <w:t>1170</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w:t>
            </w:r>
          </w:p>
        </w:tc>
        <w:tc>
          <w:tcPr>
            <w:tcW w:w="483" w:type="pct"/>
            <w:vAlign w:val="center"/>
          </w:tcPr>
          <w:p>
            <w:pPr>
              <w:pStyle w:val="63"/>
            </w:pPr>
            <w:r>
              <w:rPr>
                <w:rFonts w:hint="eastAsia"/>
              </w:rPr>
              <w:t>0.017</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资兴市鼎晟电子科技有限公司</w:t>
            </w:r>
          </w:p>
        </w:tc>
        <w:tc>
          <w:tcPr>
            <w:tcW w:w="972" w:type="pct"/>
            <w:vAlign w:val="center"/>
          </w:tcPr>
          <w:p>
            <w:pPr>
              <w:pStyle w:val="63"/>
            </w:pPr>
            <w:r>
              <w:rPr>
                <w:rFonts w:hint="eastAsia"/>
              </w:rPr>
              <w:t>年产3000万件音响配件</w:t>
            </w:r>
          </w:p>
        </w:tc>
        <w:tc>
          <w:tcPr>
            <w:tcW w:w="600" w:type="pct"/>
            <w:vAlign w:val="center"/>
          </w:tcPr>
          <w:p>
            <w:pPr>
              <w:pStyle w:val="63"/>
            </w:pPr>
            <w:r>
              <w:rPr>
                <w:rFonts w:hint="eastAsia"/>
              </w:rPr>
              <w:t>4363</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w:t>
            </w:r>
          </w:p>
        </w:tc>
        <w:tc>
          <w:tcPr>
            <w:tcW w:w="483" w:type="pct"/>
            <w:vAlign w:val="center"/>
          </w:tcPr>
          <w:p>
            <w:pPr>
              <w:pStyle w:val="63"/>
            </w:pPr>
            <w:r>
              <w:rPr>
                <w:rFonts w:hint="eastAsia"/>
              </w:rPr>
              <w:t>0.215</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湖南兴祥泰电子有限公司</w:t>
            </w:r>
          </w:p>
        </w:tc>
        <w:tc>
          <w:tcPr>
            <w:tcW w:w="972" w:type="pct"/>
            <w:vAlign w:val="center"/>
          </w:tcPr>
          <w:p>
            <w:pPr>
              <w:pStyle w:val="63"/>
            </w:pPr>
            <w:r>
              <w:rPr>
                <w:rFonts w:hint="eastAsia"/>
              </w:rPr>
              <w:t>年加工6000万条LED连接线</w:t>
            </w:r>
          </w:p>
        </w:tc>
        <w:tc>
          <w:tcPr>
            <w:tcW w:w="600" w:type="pct"/>
            <w:vAlign w:val="center"/>
          </w:tcPr>
          <w:p>
            <w:pPr>
              <w:pStyle w:val="63"/>
            </w:pPr>
            <w:r>
              <w:rPr>
                <w:rFonts w:hint="eastAsia"/>
              </w:rPr>
              <w:t>2067</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w:t>
            </w:r>
          </w:p>
        </w:tc>
        <w:tc>
          <w:tcPr>
            <w:tcW w:w="483" w:type="pct"/>
            <w:vAlign w:val="center"/>
          </w:tcPr>
          <w:p>
            <w:pPr>
              <w:pStyle w:val="63"/>
            </w:pPr>
            <w:r>
              <w:rPr>
                <w:rFonts w:hint="eastAsia"/>
              </w:rPr>
              <w:t>0.025</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郴州市海晟电子科技有限公司</w:t>
            </w:r>
          </w:p>
        </w:tc>
        <w:tc>
          <w:tcPr>
            <w:tcW w:w="972" w:type="pct"/>
            <w:vAlign w:val="center"/>
          </w:tcPr>
          <w:p>
            <w:pPr>
              <w:pStyle w:val="63"/>
            </w:pPr>
            <w:r>
              <w:rPr>
                <w:rFonts w:hint="eastAsia"/>
              </w:rPr>
              <w:t>年产10万台3D高清投影仪</w:t>
            </w:r>
          </w:p>
        </w:tc>
        <w:tc>
          <w:tcPr>
            <w:tcW w:w="600" w:type="pct"/>
            <w:vAlign w:val="center"/>
          </w:tcPr>
          <w:p>
            <w:pPr>
              <w:pStyle w:val="63"/>
            </w:pPr>
            <w:r>
              <w:rPr>
                <w:rFonts w:hint="eastAsia"/>
              </w:rPr>
              <w:t>48960</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0.00144</w:t>
            </w:r>
          </w:p>
        </w:tc>
        <w:tc>
          <w:tcPr>
            <w:tcW w:w="483" w:type="pct"/>
            <w:vAlign w:val="center"/>
          </w:tcPr>
          <w:p>
            <w:pPr>
              <w:pStyle w:val="63"/>
            </w:pPr>
            <w:r>
              <w:rPr>
                <w:rFonts w:hint="eastAsia"/>
              </w:rPr>
              <w:t>0</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汝城辉腾电子科技有限公司</w:t>
            </w:r>
          </w:p>
        </w:tc>
        <w:tc>
          <w:tcPr>
            <w:tcW w:w="972" w:type="pct"/>
            <w:vAlign w:val="center"/>
          </w:tcPr>
          <w:p>
            <w:pPr>
              <w:pStyle w:val="63"/>
            </w:pPr>
            <w:r>
              <w:rPr>
                <w:rFonts w:hint="eastAsia"/>
              </w:rPr>
              <w:t>年生产200万个蓝牙耳机及200万个充电盒</w:t>
            </w:r>
          </w:p>
        </w:tc>
        <w:tc>
          <w:tcPr>
            <w:tcW w:w="600" w:type="pct"/>
            <w:vAlign w:val="center"/>
          </w:tcPr>
          <w:p>
            <w:pPr>
              <w:pStyle w:val="63"/>
            </w:pPr>
            <w:r>
              <w:rPr>
                <w:rFonts w:hint="eastAsia"/>
              </w:rPr>
              <w:t>20758</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0.0004</w:t>
            </w:r>
          </w:p>
        </w:tc>
        <w:tc>
          <w:tcPr>
            <w:tcW w:w="483" w:type="pct"/>
            <w:vAlign w:val="center"/>
          </w:tcPr>
          <w:p>
            <w:pPr>
              <w:pStyle w:val="63"/>
            </w:pPr>
            <w:r>
              <w:rPr>
                <w:rFonts w:hint="eastAsia"/>
              </w:rPr>
              <w:t>0</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汝城县瑞锋电子有限公司</w:t>
            </w:r>
          </w:p>
        </w:tc>
        <w:tc>
          <w:tcPr>
            <w:tcW w:w="972" w:type="pct"/>
            <w:vAlign w:val="center"/>
          </w:tcPr>
          <w:p>
            <w:pPr>
              <w:pStyle w:val="63"/>
            </w:pPr>
            <w:r>
              <w:rPr>
                <w:rFonts w:hint="eastAsia"/>
              </w:rPr>
              <w:t>年生产100万个喇叭及60万个喇叭模组</w:t>
            </w:r>
          </w:p>
        </w:tc>
        <w:tc>
          <w:tcPr>
            <w:tcW w:w="600" w:type="pct"/>
            <w:vAlign w:val="center"/>
          </w:tcPr>
          <w:p>
            <w:pPr>
              <w:pStyle w:val="63"/>
            </w:pPr>
            <w:r>
              <w:rPr>
                <w:rFonts w:hint="eastAsia"/>
              </w:rPr>
              <w:t>1200</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p>
        </w:tc>
        <w:tc>
          <w:tcPr>
            <w:tcW w:w="483" w:type="pct"/>
            <w:vAlign w:val="center"/>
          </w:tcPr>
          <w:p>
            <w:pPr>
              <w:pStyle w:val="63"/>
            </w:pPr>
            <w:r>
              <w:rPr>
                <w:rFonts w:hint="eastAsia"/>
              </w:rPr>
              <w:t>0.129</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Align w:val="center"/>
          </w:tcPr>
          <w:p>
            <w:pPr>
              <w:pStyle w:val="63"/>
            </w:pPr>
            <w:r>
              <w:rPr>
                <w:rFonts w:hint="eastAsia"/>
              </w:rPr>
              <w:t>湖南斗禾智能电器有限公司</w:t>
            </w:r>
          </w:p>
        </w:tc>
        <w:tc>
          <w:tcPr>
            <w:tcW w:w="972" w:type="pct"/>
            <w:vAlign w:val="center"/>
          </w:tcPr>
          <w:p>
            <w:pPr>
              <w:pStyle w:val="63"/>
            </w:pPr>
            <w:r>
              <w:rPr>
                <w:rFonts w:hint="eastAsia"/>
              </w:rPr>
              <w:t>年产除湿机200万件、年产电蚊拍200万件、年产空调扇100万件、年产灭蚊器100万件、年产取暖器300万件、年产加湿器100万件、年产电暖器100万件、年产空气净化器100万件、年产驱蚊器100万件、产饭盒50万件、年产烤牛排机100万件、年产植物生长灯50万件</w:t>
            </w:r>
          </w:p>
        </w:tc>
        <w:tc>
          <w:tcPr>
            <w:tcW w:w="600" w:type="pct"/>
            <w:vAlign w:val="center"/>
          </w:tcPr>
          <w:p>
            <w:pPr>
              <w:pStyle w:val="63"/>
            </w:pPr>
            <w:r>
              <w:rPr>
                <w:rFonts w:hint="eastAsia"/>
              </w:rPr>
              <w:t>34809</w:t>
            </w:r>
          </w:p>
        </w:tc>
        <w:tc>
          <w:tcPr>
            <w:tcW w:w="581" w:type="pct"/>
            <w:vAlign w:val="center"/>
          </w:tcPr>
          <w:p>
            <w:pPr>
              <w:pStyle w:val="63"/>
            </w:pPr>
            <w:r>
              <w:rPr>
                <w:rFonts w:hint="eastAsia"/>
              </w:rPr>
              <w:t>0</w:t>
            </w:r>
          </w:p>
        </w:tc>
        <w:tc>
          <w:tcPr>
            <w:tcW w:w="581" w:type="pct"/>
            <w:vAlign w:val="center"/>
          </w:tcPr>
          <w:p>
            <w:pPr>
              <w:pStyle w:val="63"/>
            </w:pPr>
            <w:r>
              <w:rPr>
                <w:rFonts w:hint="eastAsia"/>
              </w:rPr>
              <w:t>0</w:t>
            </w:r>
          </w:p>
        </w:tc>
        <w:tc>
          <w:tcPr>
            <w:tcW w:w="529" w:type="pct"/>
            <w:vAlign w:val="center"/>
          </w:tcPr>
          <w:p>
            <w:pPr>
              <w:pStyle w:val="63"/>
            </w:pPr>
            <w:r>
              <w:rPr>
                <w:rFonts w:hint="eastAsia"/>
              </w:rPr>
              <w:t>0.471</w:t>
            </w:r>
          </w:p>
        </w:tc>
        <w:tc>
          <w:tcPr>
            <w:tcW w:w="483" w:type="pct"/>
            <w:vAlign w:val="center"/>
          </w:tcPr>
          <w:p>
            <w:pPr>
              <w:pStyle w:val="63"/>
            </w:pPr>
            <w:r>
              <w:rPr>
                <w:rFonts w:hint="eastAsia"/>
              </w:rPr>
              <w:t>0.209</w:t>
            </w:r>
          </w:p>
        </w:tc>
        <w:tc>
          <w:tcPr>
            <w:tcW w:w="515"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1" w:type="pct"/>
            <w:gridSpan w:val="2"/>
            <w:vAlign w:val="center"/>
          </w:tcPr>
          <w:p>
            <w:pPr>
              <w:pStyle w:val="63"/>
            </w:pPr>
            <w:r>
              <w:rPr>
                <w:rFonts w:hint="eastAsia"/>
              </w:rPr>
              <w:t>合计</w:t>
            </w:r>
          </w:p>
        </w:tc>
        <w:tc>
          <w:tcPr>
            <w:tcW w:w="600" w:type="pct"/>
            <w:noWrap/>
            <w:vAlign w:val="center"/>
          </w:tcPr>
          <w:p>
            <w:pPr>
              <w:pStyle w:val="63"/>
            </w:pPr>
            <w:r>
              <w:rPr>
                <w:rFonts w:hint="eastAsia"/>
              </w:rPr>
              <w:t>118095</w:t>
            </w:r>
          </w:p>
        </w:tc>
        <w:tc>
          <w:tcPr>
            <w:tcW w:w="581" w:type="pct"/>
            <w:noWrap/>
            <w:vAlign w:val="center"/>
          </w:tcPr>
          <w:p>
            <w:pPr>
              <w:pStyle w:val="63"/>
            </w:pPr>
            <w:r>
              <w:rPr>
                <w:rFonts w:hint="eastAsia"/>
              </w:rPr>
              <w:t>0</w:t>
            </w:r>
          </w:p>
        </w:tc>
        <w:tc>
          <w:tcPr>
            <w:tcW w:w="581" w:type="pct"/>
            <w:noWrap/>
            <w:vAlign w:val="center"/>
          </w:tcPr>
          <w:p>
            <w:pPr>
              <w:pStyle w:val="63"/>
            </w:pPr>
            <w:r>
              <w:rPr>
                <w:rFonts w:hint="eastAsia"/>
              </w:rPr>
              <w:t>0</w:t>
            </w:r>
          </w:p>
        </w:tc>
        <w:tc>
          <w:tcPr>
            <w:tcW w:w="529" w:type="pct"/>
            <w:noWrap/>
            <w:vAlign w:val="center"/>
          </w:tcPr>
          <w:p>
            <w:pPr>
              <w:pStyle w:val="63"/>
            </w:pPr>
            <w:r>
              <w:rPr>
                <w:rFonts w:hint="eastAsia"/>
              </w:rPr>
              <w:t>0.473</w:t>
            </w:r>
          </w:p>
        </w:tc>
        <w:tc>
          <w:tcPr>
            <w:tcW w:w="483" w:type="pct"/>
            <w:noWrap/>
            <w:vAlign w:val="center"/>
          </w:tcPr>
          <w:p>
            <w:pPr>
              <w:pStyle w:val="63"/>
            </w:pPr>
            <w:r>
              <w:rPr>
                <w:rFonts w:hint="eastAsia"/>
              </w:rPr>
              <w:t>1.093</w:t>
            </w:r>
          </w:p>
        </w:tc>
        <w:tc>
          <w:tcPr>
            <w:tcW w:w="515" w:type="pct"/>
            <w:noWrap/>
            <w:vAlign w:val="center"/>
          </w:tcPr>
          <w:p>
            <w:pPr>
              <w:pStyle w:val="63"/>
            </w:pPr>
            <w:r>
              <w:rPr>
                <w:rFonts w:hint="eastAsia"/>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1" w:type="pct"/>
            <w:gridSpan w:val="2"/>
            <w:noWrap/>
            <w:vAlign w:val="center"/>
          </w:tcPr>
          <w:p>
            <w:pPr>
              <w:pStyle w:val="63"/>
            </w:pPr>
            <w:r>
              <w:rPr>
                <w:rFonts w:hint="eastAsia"/>
              </w:rPr>
              <w:t>单位面积排污系数（t/a.hm2）</w:t>
            </w:r>
          </w:p>
        </w:tc>
        <w:tc>
          <w:tcPr>
            <w:tcW w:w="600" w:type="pct"/>
            <w:noWrap/>
            <w:vAlign w:val="center"/>
          </w:tcPr>
          <w:p>
            <w:pPr>
              <w:pStyle w:val="63"/>
            </w:pPr>
            <w:r>
              <w:rPr>
                <w:rFonts w:hint="eastAsia"/>
              </w:rPr>
              <w:t>/</w:t>
            </w:r>
          </w:p>
        </w:tc>
        <w:tc>
          <w:tcPr>
            <w:tcW w:w="581" w:type="pct"/>
            <w:noWrap/>
            <w:vAlign w:val="center"/>
          </w:tcPr>
          <w:p>
            <w:pPr>
              <w:pStyle w:val="63"/>
            </w:pPr>
            <w:r>
              <w:rPr>
                <w:rFonts w:hint="eastAsia"/>
              </w:rPr>
              <w:t>0.000</w:t>
            </w:r>
          </w:p>
        </w:tc>
        <w:tc>
          <w:tcPr>
            <w:tcW w:w="581" w:type="pct"/>
            <w:noWrap/>
            <w:vAlign w:val="center"/>
          </w:tcPr>
          <w:p>
            <w:pPr>
              <w:pStyle w:val="63"/>
            </w:pPr>
            <w:r>
              <w:rPr>
                <w:rFonts w:hint="eastAsia"/>
              </w:rPr>
              <w:t>0.000</w:t>
            </w:r>
          </w:p>
        </w:tc>
        <w:tc>
          <w:tcPr>
            <w:tcW w:w="529" w:type="pct"/>
            <w:noWrap/>
            <w:vAlign w:val="center"/>
          </w:tcPr>
          <w:p>
            <w:pPr>
              <w:pStyle w:val="63"/>
            </w:pPr>
            <w:r>
              <w:rPr>
                <w:rFonts w:hint="eastAsia"/>
              </w:rPr>
              <w:t>0.040</w:t>
            </w:r>
          </w:p>
        </w:tc>
        <w:tc>
          <w:tcPr>
            <w:tcW w:w="483" w:type="pct"/>
            <w:noWrap/>
            <w:vAlign w:val="center"/>
          </w:tcPr>
          <w:p>
            <w:pPr>
              <w:pStyle w:val="63"/>
            </w:pPr>
            <w:r>
              <w:rPr>
                <w:rFonts w:hint="eastAsia"/>
              </w:rPr>
              <w:t>0.093</w:t>
            </w:r>
          </w:p>
        </w:tc>
        <w:tc>
          <w:tcPr>
            <w:tcW w:w="515" w:type="pct"/>
            <w:noWrap/>
            <w:vAlign w:val="center"/>
          </w:tcPr>
          <w:p>
            <w:pPr>
              <w:pStyle w:val="63"/>
            </w:pPr>
            <w:r>
              <w:rPr>
                <w:rFonts w:hint="eastAsia"/>
              </w:rPr>
              <w:t>0.012</w:t>
            </w:r>
          </w:p>
        </w:tc>
      </w:tr>
    </w:tbl>
    <w:p>
      <w:pPr>
        <w:pStyle w:val="6"/>
      </w:pPr>
      <w:r>
        <w:rPr>
          <w:rFonts w:hint="eastAsia"/>
        </w:rPr>
        <w:t>表</w:t>
      </w:r>
      <w:r>
        <w:t xml:space="preserve">6.1-14  </w:t>
      </w:r>
      <w:r>
        <w:rPr>
          <w:rFonts w:hint="eastAsia"/>
        </w:rPr>
        <w:t>滨江片区绿色化工产业园工业用地废气排放系数</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701"/>
        <w:gridCol w:w="1134"/>
        <w:gridCol w:w="1233"/>
        <w:gridCol w:w="1176"/>
        <w:gridCol w:w="2126"/>
        <w:gridCol w:w="1276"/>
        <w:gridCol w:w="1134"/>
        <w:gridCol w:w="1420"/>
        <w:gridCol w:w="11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38" w:type="pct"/>
            <w:vMerge w:val="restart"/>
            <w:shd w:val="clear" w:color="auto" w:fill="auto"/>
            <w:noWrap/>
            <w:vAlign w:val="center"/>
          </w:tcPr>
          <w:p>
            <w:pPr>
              <w:pStyle w:val="63"/>
            </w:pPr>
            <w:r>
              <w:rPr>
                <w:rFonts w:hint="eastAsia"/>
              </w:rPr>
              <w:t>项目</w:t>
            </w:r>
          </w:p>
        </w:tc>
        <w:tc>
          <w:tcPr>
            <w:tcW w:w="1435" w:type="pct"/>
            <w:gridSpan w:val="3"/>
            <w:shd w:val="clear" w:color="auto" w:fill="auto"/>
            <w:noWrap/>
            <w:vAlign w:val="center"/>
          </w:tcPr>
          <w:p>
            <w:pPr>
              <w:pStyle w:val="63"/>
            </w:pPr>
            <w:r>
              <w:rPr>
                <w:rFonts w:hint="eastAsia"/>
              </w:rPr>
              <w:t>岳阳绿色化工产业园云溪片区</w:t>
            </w:r>
          </w:p>
        </w:tc>
        <w:tc>
          <w:tcPr>
            <w:tcW w:w="2015" w:type="pct"/>
            <w:gridSpan w:val="4"/>
            <w:shd w:val="clear" w:color="auto" w:fill="auto"/>
            <w:vAlign w:val="center"/>
          </w:tcPr>
          <w:p>
            <w:pPr>
              <w:pStyle w:val="63"/>
            </w:pPr>
            <w:r>
              <w:rPr>
                <w:rFonts w:hint="eastAsia"/>
              </w:rPr>
              <w:t>岳阳绿色化工产业园长岭片区</w:t>
            </w:r>
          </w:p>
        </w:tc>
        <w:tc>
          <w:tcPr>
            <w:tcW w:w="912" w:type="pct"/>
            <w:gridSpan w:val="2"/>
            <w:shd w:val="clear" w:color="auto" w:fill="auto"/>
            <w:vAlign w:val="center"/>
          </w:tcPr>
          <w:p>
            <w:pPr>
              <w:pStyle w:val="63"/>
            </w:pPr>
            <w:r>
              <w:rPr>
                <w:rFonts w:hint="eastAsia"/>
              </w:rPr>
              <w:t>滨江片区绿色化工产业园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38" w:type="pct"/>
            <w:vMerge w:val="continue"/>
            <w:vAlign w:val="center"/>
          </w:tcPr>
          <w:p>
            <w:pPr>
              <w:pStyle w:val="63"/>
            </w:pPr>
          </w:p>
        </w:tc>
        <w:tc>
          <w:tcPr>
            <w:tcW w:w="600" w:type="pct"/>
            <w:shd w:val="clear" w:color="auto" w:fill="auto"/>
            <w:noWrap/>
            <w:vAlign w:val="center"/>
          </w:tcPr>
          <w:p>
            <w:pPr>
              <w:pStyle w:val="63"/>
            </w:pPr>
            <w:r>
              <w:rPr>
                <w:rFonts w:hint="eastAsia"/>
              </w:rPr>
              <w:t>用地规模（</w:t>
            </w:r>
            <w:r>
              <w:t>hm2</w:t>
            </w:r>
            <w:r>
              <w:rPr>
                <w:rFonts w:hint="eastAsia"/>
              </w:rPr>
              <w:t>）</w:t>
            </w:r>
          </w:p>
        </w:tc>
        <w:tc>
          <w:tcPr>
            <w:tcW w:w="400" w:type="pct"/>
            <w:shd w:val="clear" w:color="auto" w:fill="auto"/>
            <w:vAlign w:val="center"/>
          </w:tcPr>
          <w:p>
            <w:pPr>
              <w:pStyle w:val="63"/>
            </w:pPr>
            <w:r>
              <w:t>VOCs</w:t>
            </w:r>
            <w:r>
              <w:rPr>
                <w:rFonts w:hint="eastAsia"/>
              </w:rPr>
              <w:t>（</w:t>
            </w:r>
            <w:r>
              <w:t>t/a</w:t>
            </w:r>
            <w:r>
              <w:rPr>
                <w:rFonts w:hint="eastAsia"/>
              </w:rPr>
              <w:t>）</w:t>
            </w:r>
          </w:p>
        </w:tc>
        <w:tc>
          <w:tcPr>
            <w:tcW w:w="435" w:type="pct"/>
            <w:shd w:val="clear" w:color="auto" w:fill="auto"/>
            <w:vAlign w:val="center"/>
          </w:tcPr>
          <w:p>
            <w:pPr>
              <w:pStyle w:val="63"/>
            </w:pPr>
            <w:r>
              <w:t>HCl</w:t>
            </w:r>
            <w:r>
              <w:rPr>
                <w:rFonts w:hint="eastAsia"/>
              </w:rPr>
              <w:t>（</w:t>
            </w:r>
            <w:r>
              <w:t>t/a</w:t>
            </w:r>
            <w:r>
              <w:rPr>
                <w:rFonts w:hint="eastAsia"/>
              </w:rPr>
              <w:t>）</w:t>
            </w:r>
          </w:p>
        </w:tc>
        <w:tc>
          <w:tcPr>
            <w:tcW w:w="415" w:type="pct"/>
            <w:shd w:val="clear" w:color="auto" w:fill="auto"/>
            <w:noWrap/>
            <w:vAlign w:val="center"/>
          </w:tcPr>
          <w:p>
            <w:pPr>
              <w:pStyle w:val="63"/>
            </w:pPr>
            <w:r>
              <w:rPr>
                <w:rFonts w:hint="eastAsia"/>
              </w:rPr>
              <w:t>项目</w:t>
            </w:r>
          </w:p>
        </w:tc>
        <w:tc>
          <w:tcPr>
            <w:tcW w:w="750" w:type="pct"/>
            <w:shd w:val="clear" w:color="auto" w:fill="auto"/>
            <w:noWrap/>
            <w:vAlign w:val="center"/>
          </w:tcPr>
          <w:p>
            <w:pPr>
              <w:pStyle w:val="63"/>
            </w:pPr>
            <w:r>
              <w:rPr>
                <w:rFonts w:hint="eastAsia"/>
              </w:rPr>
              <w:t>用地规模（</w:t>
            </w:r>
            <w:r>
              <w:t>hm2</w:t>
            </w:r>
            <w:r>
              <w:rPr>
                <w:rFonts w:hint="eastAsia"/>
              </w:rPr>
              <w:t>）</w:t>
            </w:r>
          </w:p>
        </w:tc>
        <w:tc>
          <w:tcPr>
            <w:tcW w:w="450" w:type="pct"/>
            <w:shd w:val="clear" w:color="auto" w:fill="auto"/>
            <w:vAlign w:val="center"/>
          </w:tcPr>
          <w:p>
            <w:pPr>
              <w:pStyle w:val="63"/>
            </w:pPr>
            <w:r>
              <w:t>VOCs</w:t>
            </w:r>
            <w:r>
              <w:rPr>
                <w:rFonts w:hint="eastAsia"/>
              </w:rPr>
              <w:t>（</w:t>
            </w:r>
            <w:r>
              <w:t>t/a</w:t>
            </w:r>
            <w:r>
              <w:rPr>
                <w:rFonts w:hint="eastAsia"/>
              </w:rPr>
              <w:t>）</w:t>
            </w:r>
          </w:p>
        </w:tc>
        <w:tc>
          <w:tcPr>
            <w:tcW w:w="400" w:type="pct"/>
            <w:shd w:val="clear" w:color="auto" w:fill="auto"/>
            <w:vAlign w:val="center"/>
          </w:tcPr>
          <w:p>
            <w:pPr>
              <w:pStyle w:val="63"/>
            </w:pPr>
            <w:r>
              <w:t>HCl</w:t>
            </w:r>
            <w:r>
              <w:rPr>
                <w:rFonts w:hint="eastAsia"/>
              </w:rPr>
              <w:t>（</w:t>
            </w:r>
            <w:r>
              <w:t>t/a</w:t>
            </w:r>
            <w:r>
              <w:rPr>
                <w:rFonts w:hint="eastAsia"/>
              </w:rPr>
              <w:t>）</w:t>
            </w:r>
          </w:p>
        </w:tc>
        <w:tc>
          <w:tcPr>
            <w:tcW w:w="501" w:type="pct"/>
            <w:shd w:val="clear" w:color="auto" w:fill="auto"/>
            <w:vAlign w:val="center"/>
          </w:tcPr>
          <w:p>
            <w:pPr>
              <w:pStyle w:val="63"/>
            </w:pPr>
            <w:r>
              <w:t>VOCs</w:t>
            </w:r>
            <w:r>
              <w:rPr>
                <w:rFonts w:hint="eastAsia"/>
              </w:rPr>
              <w:t>（</w:t>
            </w:r>
            <w:r>
              <w:t>t/a</w:t>
            </w:r>
            <w:r>
              <w:rPr>
                <w:rFonts w:hint="eastAsia"/>
              </w:rPr>
              <w:t>）</w:t>
            </w:r>
          </w:p>
        </w:tc>
        <w:tc>
          <w:tcPr>
            <w:tcW w:w="411" w:type="pct"/>
            <w:shd w:val="clear" w:color="auto" w:fill="auto"/>
            <w:vAlign w:val="center"/>
          </w:tcPr>
          <w:p>
            <w:pPr>
              <w:pStyle w:val="63"/>
            </w:pPr>
            <w:r>
              <w:t>HCl</w:t>
            </w:r>
            <w:r>
              <w:rPr>
                <w:rFonts w:hint="eastAsia"/>
              </w:rPr>
              <w:t>（</w:t>
            </w:r>
            <w:r>
              <w:t>t/a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38" w:type="pct"/>
            <w:shd w:val="clear" w:color="auto" w:fill="auto"/>
            <w:noWrap/>
            <w:vAlign w:val="center"/>
          </w:tcPr>
          <w:p>
            <w:pPr>
              <w:pStyle w:val="63"/>
            </w:pPr>
            <w:r>
              <w:rPr>
                <w:rFonts w:hint="eastAsia"/>
              </w:rPr>
              <w:t>现状</w:t>
            </w:r>
          </w:p>
        </w:tc>
        <w:tc>
          <w:tcPr>
            <w:tcW w:w="600" w:type="pct"/>
            <w:shd w:val="clear" w:color="auto" w:fill="auto"/>
            <w:noWrap/>
            <w:vAlign w:val="center"/>
          </w:tcPr>
          <w:p>
            <w:pPr>
              <w:pStyle w:val="63"/>
            </w:pPr>
            <w:r>
              <w:t>339.18</w:t>
            </w:r>
            <w:r>
              <w:rPr>
                <w:rFonts w:hint="eastAsia"/>
              </w:rPr>
              <w:t>（扣除己内酰胺项目）</w:t>
            </w:r>
          </w:p>
        </w:tc>
        <w:tc>
          <w:tcPr>
            <w:tcW w:w="400" w:type="pct"/>
            <w:shd w:val="clear" w:color="auto" w:fill="auto"/>
            <w:vAlign w:val="center"/>
          </w:tcPr>
          <w:p>
            <w:pPr>
              <w:pStyle w:val="63"/>
            </w:pPr>
            <w:r>
              <w:t>136.71</w:t>
            </w:r>
          </w:p>
        </w:tc>
        <w:tc>
          <w:tcPr>
            <w:tcW w:w="435" w:type="pct"/>
            <w:shd w:val="clear" w:color="auto" w:fill="auto"/>
            <w:vAlign w:val="center"/>
          </w:tcPr>
          <w:p>
            <w:pPr>
              <w:pStyle w:val="63"/>
            </w:pPr>
            <w:r>
              <w:t>2.51</w:t>
            </w:r>
          </w:p>
        </w:tc>
        <w:tc>
          <w:tcPr>
            <w:tcW w:w="415" w:type="pct"/>
            <w:shd w:val="clear" w:color="auto" w:fill="auto"/>
            <w:noWrap/>
            <w:vAlign w:val="center"/>
          </w:tcPr>
          <w:p>
            <w:pPr>
              <w:pStyle w:val="63"/>
            </w:pPr>
            <w:r>
              <w:rPr>
                <w:rFonts w:hint="eastAsia"/>
              </w:rPr>
              <w:t>现状</w:t>
            </w:r>
          </w:p>
        </w:tc>
        <w:tc>
          <w:tcPr>
            <w:tcW w:w="750" w:type="pct"/>
            <w:shd w:val="clear" w:color="auto" w:fill="auto"/>
            <w:noWrap/>
            <w:vAlign w:val="center"/>
          </w:tcPr>
          <w:p>
            <w:pPr>
              <w:pStyle w:val="63"/>
            </w:pPr>
            <w:r>
              <w:t>93.06</w:t>
            </w:r>
            <w:r>
              <w:rPr>
                <w:rFonts w:hint="eastAsia"/>
              </w:rPr>
              <w:t>（扣除长练公司和长岭催化剂厂等）</w:t>
            </w:r>
          </w:p>
        </w:tc>
        <w:tc>
          <w:tcPr>
            <w:tcW w:w="450" w:type="pct"/>
            <w:shd w:val="clear" w:color="auto" w:fill="auto"/>
            <w:vAlign w:val="center"/>
          </w:tcPr>
          <w:p>
            <w:pPr>
              <w:pStyle w:val="63"/>
            </w:pPr>
            <w:r>
              <w:t>37.4</w:t>
            </w:r>
          </w:p>
        </w:tc>
        <w:tc>
          <w:tcPr>
            <w:tcW w:w="400" w:type="pct"/>
            <w:shd w:val="clear" w:color="auto" w:fill="auto"/>
            <w:vAlign w:val="center"/>
          </w:tcPr>
          <w:p>
            <w:pPr>
              <w:pStyle w:val="63"/>
            </w:pPr>
            <w:r>
              <w:t>/</w:t>
            </w:r>
          </w:p>
        </w:tc>
        <w:tc>
          <w:tcPr>
            <w:tcW w:w="501" w:type="pct"/>
            <w:shd w:val="clear" w:color="auto" w:fill="auto"/>
            <w:vAlign w:val="center"/>
          </w:tcPr>
          <w:p>
            <w:pPr>
              <w:pStyle w:val="63"/>
            </w:pPr>
            <w:r>
              <w:t>/</w:t>
            </w:r>
          </w:p>
        </w:tc>
        <w:tc>
          <w:tcPr>
            <w:tcW w:w="411" w:type="pct"/>
            <w:shd w:val="clear" w:color="auto" w:fill="auto"/>
            <w:vAlign w:val="center"/>
          </w:tcPr>
          <w:p>
            <w:pPr>
              <w:pStyle w:val="6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38" w:type="pct"/>
            <w:shd w:val="clear" w:color="auto" w:fill="auto"/>
            <w:noWrap/>
            <w:vAlign w:val="center"/>
          </w:tcPr>
          <w:p>
            <w:pPr>
              <w:pStyle w:val="63"/>
            </w:pPr>
            <w:r>
              <w:rPr>
                <w:rFonts w:hint="eastAsia"/>
              </w:rPr>
              <w:t>排污系数t/（a·hm2）</w:t>
            </w:r>
          </w:p>
        </w:tc>
        <w:tc>
          <w:tcPr>
            <w:tcW w:w="600" w:type="pct"/>
            <w:shd w:val="clear" w:color="auto" w:fill="auto"/>
            <w:noWrap/>
            <w:vAlign w:val="center"/>
          </w:tcPr>
          <w:p>
            <w:pPr>
              <w:pStyle w:val="63"/>
            </w:pPr>
            <w:r>
              <w:t>/</w:t>
            </w:r>
          </w:p>
        </w:tc>
        <w:tc>
          <w:tcPr>
            <w:tcW w:w="400" w:type="pct"/>
            <w:shd w:val="clear" w:color="auto" w:fill="auto"/>
            <w:vAlign w:val="center"/>
          </w:tcPr>
          <w:p>
            <w:pPr>
              <w:pStyle w:val="63"/>
            </w:pPr>
            <w:r>
              <w:t>0.4</w:t>
            </w:r>
          </w:p>
        </w:tc>
        <w:tc>
          <w:tcPr>
            <w:tcW w:w="435" w:type="pct"/>
            <w:shd w:val="clear" w:color="auto" w:fill="auto"/>
            <w:vAlign w:val="center"/>
          </w:tcPr>
          <w:p>
            <w:pPr>
              <w:pStyle w:val="63"/>
            </w:pPr>
            <w:r>
              <w:t>0.0074</w:t>
            </w:r>
          </w:p>
        </w:tc>
        <w:tc>
          <w:tcPr>
            <w:tcW w:w="415" w:type="pct"/>
            <w:shd w:val="clear" w:color="auto" w:fill="auto"/>
            <w:noWrap/>
            <w:vAlign w:val="center"/>
          </w:tcPr>
          <w:p>
            <w:pPr>
              <w:pStyle w:val="63"/>
            </w:pPr>
            <w:r>
              <w:rPr>
                <w:rFonts w:hint="eastAsia"/>
              </w:rPr>
              <w:t>排污系数t/（a·hm2）</w:t>
            </w:r>
          </w:p>
        </w:tc>
        <w:tc>
          <w:tcPr>
            <w:tcW w:w="750" w:type="pct"/>
            <w:shd w:val="clear" w:color="auto" w:fill="auto"/>
            <w:noWrap/>
            <w:vAlign w:val="center"/>
          </w:tcPr>
          <w:p>
            <w:pPr>
              <w:pStyle w:val="63"/>
            </w:pPr>
            <w:r>
              <w:t>/</w:t>
            </w:r>
          </w:p>
        </w:tc>
        <w:tc>
          <w:tcPr>
            <w:tcW w:w="450" w:type="pct"/>
            <w:shd w:val="clear" w:color="auto" w:fill="auto"/>
            <w:vAlign w:val="center"/>
          </w:tcPr>
          <w:p>
            <w:pPr>
              <w:pStyle w:val="63"/>
            </w:pPr>
            <w:r>
              <w:t>0.4</w:t>
            </w:r>
          </w:p>
        </w:tc>
        <w:tc>
          <w:tcPr>
            <w:tcW w:w="400" w:type="pct"/>
            <w:shd w:val="clear" w:color="auto" w:fill="auto"/>
            <w:vAlign w:val="center"/>
          </w:tcPr>
          <w:p>
            <w:pPr>
              <w:pStyle w:val="63"/>
            </w:pPr>
            <w:r>
              <w:t>/</w:t>
            </w:r>
          </w:p>
        </w:tc>
        <w:tc>
          <w:tcPr>
            <w:tcW w:w="501" w:type="pct"/>
            <w:shd w:val="clear" w:color="auto" w:fill="auto"/>
            <w:vAlign w:val="center"/>
          </w:tcPr>
          <w:p>
            <w:pPr>
              <w:pStyle w:val="63"/>
            </w:pPr>
            <w:r>
              <w:t>0.4</w:t>
            </w:r>
          </w:p>
        </w:tc>
        <w:tc>
          <w:tcPr>
            <w:tcW w:w="411" w:type="pct"/>
            <w:shd w:val="clear" w:color="auto" w:fill="auto"/>
            <w:vAlign w:val="center"/>
          </w:tcPr>
          <w:p>
            <w:pPr>
              <w:pStyle w:val="63"/>
            </w:pPr>
            <w:r>
              <w:t>0.0074</w:t>
            </w:r>
          </w:p>
        </w:tc>
      </w:tr>
    </w:tbl>
    <w:p>
      <w:pPr>
        <w:pStyle w:val="6"/>
      </w:pPr>
      <w:r>
        <w:rPr>
          <w:rFonts w:hint="eastAsia"/>
        </w:rPr>
        <w:t>表</w:t>
      </w:r>
      <w:r>
        <w:t xml:space="preserve">6.1-15  </w:t>
      </w:r>
      <w:r>
        <w:rPr>
          <w:rFonts w:hint="eastAsia"/>
        </w:rPr>
        <w:t>滨江片区工业用地废气情况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1247"/>
        <w:gridCol w:w="1426"/>
        <w:gridCol w:w="1208"/>
        <w:gridCol w:w="1208"/>
        <w:gridCol w:w="1097"/>
        <w:gridCol w:w="1001"/>
        <w:gridCol w:w="1072"/>
        <w:gridCol w:w="975"/>
        <w:gridCol w:w="975"/>
        <w:gridCol w:w="95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5" w:type="pct"/>
            <w:vMerge w:val="restart"/>
            <w:vAlign w:val="center"/>
          </w:tcPr>
          <w:p>
            <w:pPr>
              <w:pStyle w:val="63"/>
            </w:pPr>
            <w:r>
              <w:rPr>
                <w:rFonts w:hint="eastAsia"/>
              </w:rPr>
              <w:t>片区</w:t>
            </w:r>
          </w:p>
        </w:tc>
        <w:tc>
          <w:tcPr>
            <w:tcW w:w="2182" w:type="pct"/>
            <w:gridSpan w:val="5"/>
            <w:vAlign w:val="center"/>
          </w:tcPr>
          <w:p>
            <w:pPr>
              <w:pStyle w:val="63"/>
            </w:pPr>
            <w:r>
              <w:rPr>
                <w:rFonts w:hint="eastAsia"/>
              </w:rPr>
              <w:t>污染物排放系数</w:t>
            </w:r>
          </w:p>
        </w:tc>
        <w:tc>
          <w:tcPr>
            <w:tcW w:w="353" w:type="pct"/>
            <w:vMerge w:val="restart"/>
            <w:vAlign w:val="center"/>
          </w:tcPr>
          <w:p>
            <w:pPr>
              <w:pStyle w:val="63"/>
            </w:pPr>
            <w:r>
              <w:rPr>
                <w:rFonts w:hint="eastAsia"/>
              </w:rPr>
              <w:t>规划工业用地</w:t>
            </w:r>
          </w:p>
        </w:tc>
        <w:tc>
          <w:tcPr>
            <w:tcW w:w="1750" w:type="pct"/>
            <w:gridSpan w:val="5"/>
            <w:vAlign w:val="center"/>
          </w:tcPr>
          <w:p>
            <w:pPr>
              <w:pStyle w:val="63"/>
            </w:pPr>
            <w:r>
              <w:rPr>
                <w:rFonts w:hint="eastAsia"/>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5" w:type="pct"/>
            <w:vMerge w:val="continue"/>
            <w:vAlign w:val="center"/>
          </w:tcPr>
          <w:p>
            <w:pPr>
              <w:pStyle w:val="63"/>
            </w:pPr>
          </w:p>
        </w:tc>
        <w:tc>
          <w:tcPr>
            <w:tcW w:w="440" w:type="pct"/>
            <w:vAlign w:val="center"/>
          </w:tcPr>
          <w:p>
            <w:pPr>
              <w:pStyle w:val="63"/>
            </w:pPr>
            <w:r>
              <w:rPr>
                <w:rFonts w:hint="eastAsia"/>
              </w:rPr>
              <w:t>Nox</w:t>
            </w:r>
          </w:p>
        </w:tc>
        <w:tc>
          <w:tcPr>
            <w:tcW w:w="503" w:type="pct"/>
            <w:vAlign w:val="center"/>
          </w:tcPr>
          <w:p>
            <w:pPr>
              <w:pStyle w:val="63"/>
            </w:pPr>
            <w:r>
              <w:rPr>
                <w:rFonts w:hint="eastAsia"/>
              </w:rPr>
              <w:t>SO2</w:t>
            </w:r>
          </w:p>
        </w:tc>
        <w:tc>
          <w:tcPr>
            <w:tcW w:w="426" w:type="pct"/>
            <w:vAlign w:val="center"/>
          </w:tcPr>
          <w:p>
            <w:pPr>
              <w:pStyle w:val="63"/>
            </w:pPr>
            <w:r>
              <w:rPr>
                <w:rFonts w:hint="eastAsia"/>
              </w:rPr>
              <w:t>烟尘</w:t>
            </w:r>
          </w:p>
        </w:tc>
        <w:tc>
          <w:tcPr>
            <w:tcW w:w="426" w:type="pct"/>
            <w:vAlign w:val="center"/>
          </w:tcPr>
          <w:p>
            <w:pPr>
              <w:pStyle w:val="63"/>
            </w:pPr>
            <w:r>
              <w:rPr>
                <w:rFonts w:hint="eastAsia"/>
              </w:rPr>
              <w:t>VOCS</w:t>
            </w:r>
          </w:p>
        </w:tc>
        <w:tc>
          <w:tcPr>
            <w:tcW w:w="387" w:type="pct"/>
            <w:vAlign w:val="center"/>
          </w:tcPr>
          <w:p>
            <w:pPr>
              <w:pStyle w:val="63"/>
            </w:pPr>
            <w:r>
              <w:rPr>
                <w:rFonts w:hint="eastAsia"/>
              </w:rPr>
              <w:t>HCl</w:t>
            </w:r>
          </w:p>
        </w:tc>
        <w:tc>
          <w:tcPr>
            <w:tcW w:w="353" w:type="pct"/>
            <w:vMerge w:val="continue"/>
            <w:vAlign w:val="center"/>
          </w:tcPr>
          <w:p>
            <w:pPr>
              <w:pStyle w:val="63"/>
            </w:pPr>
          </w:p>
        </w:tc>
        <w:tc>
          <w:tcPr>
            <w:tcW w:w="378" w:type="pct"/>
            <w:vAlign w:val="center"/>
          </w:tcPr>
          <w:p>
            <w:pPr>
              <w:pStyle w:val="63"/>
            </w:pPr>
            <w:r>
              <w:rPr>
                <w:rFonts w:hint="eastAsia"/>
              </w:rPr>
              <w:t>Nox</w:t>
            </w:r>
          </w:p>
        </w:tc>
        <w:tc>
          <w:tcPr>
            <w:tcW w:w="344" w:type="pct"/>
            <w:vAlign w:val="center"/>
          </w:tcPr>
          <w:p>
            <w:pPr>
              <w:pStyle w:val="63"/>
            </w:pPr>
            <w:r>
              <w:rPr>
                <w:rFonts w:hint="eastAsia"/>
              </w:rPr>
              <w:t>SO2</w:t>
            </w:r>
          </w:p>
        </w:tc>
        <w:tc>
          <w:tcPr>
            <w:tcW w:w="344" w:type="pct"/>
            <w:vAlign w:val="center"/>
          </w:tcPr>
          <w:p>
            <w:pPr>
              <w:pStyle w:val="63"/>
            </w:pPr>
            <w:r>
              <w:rPr>
                <w:rFonts w:hint="eastAsia"/>
              </w:rPr>
              <w:t>烟尘</w:t>
            </w:r>
          </w:p>
        </w:tc>
        <w:tc>
          <w:tcPr>
            <w:tcW w:w="335" w:type="pct"/>
            <w:vAlign w:val="center"/>
          </w:tcPr>
          <w:p>
            <w:pPr>
              <w:pStyle w:val="63"/>
            </w:pPr>
            <w:r>
              <w:rPr>
                <w:rFonts w:hint="eastAsia"/>
              </w:rPr>
              <w:t>VOCS</w:t>
            </w:r>
          </w:p>
        </w:tc>
        <w:tc>
          <w:tcPr>
            <w:tcW w:w="348" w:type="pct"/>
            <w:vAlign w:val="center"/>
          </w:tcPr>
          <w:p>
            <w:pPr>
              <w:pStyle w:val="63"/>
            </w:pPr>
            <w:r>
              <w:rPr>
                <w:rFonts w:hint="eastAsia"/>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5" w:type="pct"/>
            <w:vAlign w:val="center"/>
          </w:tcPr>
          <w:p>
            <w:pPr>
              <w:pStyle w:val="63"/>
            </w:pPr>
            <w:r>
              <w:rPr>
                <w:rFonts w:hint="eastAsia"/>
              </w:rPr>
              <w:t>中非工贸产业园</w:t>
            </w:r>
          </w:p>
        </w:tc>
        <w:tc>
          <w:tcPr>
            <w:tcW w:w="440" w:type="pct"/>
            <w:vAlign w:val="center"/>
          </w:tcPr>
          <w:p>
            <w:pPr>
              <w:pStyle w:val="63"/>
            </w:pPr>
            <w:r>
              <w:rPr>
                <w:rFonts w:hint="eastAsia"/>
              </w:rPr>
              <w:t>0.152</w:t>
            </w:r>
          </w:p>
        </w:tc>
        <w:tc>
          <w:tcPr>
            <w:tcW w:w="503" w:type="pct"/>
            <w:vAlign w:val="center"/>
          </w:tcPr>
          <w:p>
            <w:pPr>
              <w:pStyle w:val="63"/>
            </w:pPr>
            <w:r>
              <w:rPr>
                <w:rFonts w:hint="eastAsia"/>
              </w:rPr>
              <w:t>0.089</w:t>
            </w:r>
          </w:p>
        </w:tc>
        <w:tc>
          <w:tcPr>
            <w:tcW w:w="426" w:type="pct"/>
            <w:vAlign w:val="center"/>
          </w:tcPr>
          <w:p>
            <w:pPr>
              <w:pStyle w:val="63"/>
            </w:pPr>
            <w:r>
              <w:rPr>
                <w:rFonts w:hint="eastAsia"/>
              </w:rPr>
              <w:t>0.313</w:t>
            </w:r>
          </w:p>
        </w:tc>
        <w:tc>
          <w:tcPr>
            <w:tcW w:w="426" w:type="pct"/>
            <w:vAlign w:val="center"/>
          </w:tcPr>
          <w:p>
            <w:pPr>
              <w:pStyle w:val="63"/>
            </w:pPr>
            <w:r>
              <w:rPr>
                <w:rFonts w:hint="eastAsia"/>
              </w:rPr>
              <w:t>0.221</w:t>
            </w:r>
          </w:p>
        </w:tc>
        <w:tc>
          <w:tcPr>
            <w:tcW w:w="387" w:type="pct"/>
            <w:vAlign w:val="center"/>
          </w:tcPr>
          <w:p>
            <w:pPr>
              <w:pStyle w:val="63"/>
            </w:pPr>
            <w:r>
              <w:t>0</w:t>
            </w:r>
          </w:p>
        </w:tc>
        <w:tc>
          <w:tcPr>
            <w:tcW w:w="353" w:type="pct"/>
            <w:vAlign w:val="center"/>
          </w:tcPr>
          <w:p>
            <w:pPr>
              <w:pStyle w:val="63"/>
            </w:pPr>
            <w:r>
              <w:rPr>
                <w:rFonts w:hint="eastAsia"/>
              </w:rPr>
              <w:t>194.97</w:t>
            </w:r>
          </w:p>
        </w:tc>
        <w:tc>
          <w:tcPr>
            <w:tcW w:w="378" w:type="pct"/>
            <w:vAlign w:val="center"/>
          </w:tcPr>
          <w:p>
            <w:pPr>
              <w:pStyle w:val="63"/>
            </w:pPr>
            <w:r>
              <w:rPr>
                <w:rFonts w:hint="eastAsia"/>
              </w:rPr>
              <w:t>29.578</w:t>
            </w:r>
          </w:p>
        </w:tc>
        <w:tc>
          <w:tcPr>
            <w:tcW w:w="344" w:type="pct"/>
            <w:vAlign w:val="center"/>
          </w:tcPr>
          <w:p>
            <w:pPr>
              <w:pStyle w:val="63"/>
            </w:pPr>
            <w:r>
              <w:rPr>
                <w:rFonts w:hint="eastAsia"/>
              </w:rPr>
              <w:t>17.412</w:t>
            </w:r>
          </w:p>
        </w:tc>
        <w:tc>
          <w:tcPr>
            <w:tcW w:w="344" w:type="pct"/>
            <w:vAlign w:val="center"/>
          </w:tcPr>
          <w:p>
            <w:pPr>
              <w:pStyle w:val="63"/>
            </w:pPr>
            <w:r>
              <w:rPr>
                <w:rFonts w:hint="eastAsia"/>
              </w:rPr>
              <w:t>61.099</w:t>
            </w:r>
          </w:p>
        </w:tc>
        <w:tc>
          <w:tcPr>
            <w:tcW w:w="335" w:type="pct"/>
            <w:vAlign w:val="center"/>
          </w:tcPr>
          <w:p>
            <w:pPr>
              <w:pStyle w:val="63"/>
            </w:pPr>
            <w:r>
              <w:rPr>
                <w:rFonts w:hint="eastAsia"/>
              </w:rPr>
              <w:t>43.169</w:t>
            </w:r>
          </w:p>
        </w:tc>
        <w:tc>
          <w:tcPr>
            <w:tcW w:w="348" w:type="pct"/>
            <w:vAlign w:val="center"/>
          </w:tcPr>
          <w:p>
            <w:pPr>
              <w:pStyle w:val="63"/>
            </w:pPr>
            <w:r>
              <w:rPr>
                <w:rFonts w:hint="eastAsia"/>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5" w:type="pct"/>
            <w:vAlign w:val="center"/>
          </w:tcPr>
          <w:p>
            <w:pPr>
              <w:pStyle w:val="63"/>
            </w:pPr>
            <w:r>
              <w:rPr>
                <w:rFonts w:hint="eastAsia"/>
              </w:rPr>
              <w:t>加工制造产业园</w:t>
            </w:r>
          </w:p>
        </w:tc>
        <w:tc>
          <w:tcPr>
            <w:tcW w:w="440" w:type="pct"/>
            <w:vAlign w:val="center"/>
          </w:tcPr>
          <w:p>
            <w:pPr>
              <w:pStyle w:val="63"/>
            </w:pPr>
            <w:r>
              <w:t>0</w:t>
            </w:r>
          </w:p>
        </w:tc>
        <w:tc>
          <w:tcPr>
            <w:tcW w:w="503" w:type="pct"/>
            <w:vAlign w:val="center"/>
          </w:tcPr>
          <w:p>
            <w:pPr>
              <w:pStyle w:val="63"/>
            </w:pPr>
            <w:r>
              <w:t>0</w:t>
            </w:r>
          </w:p>
        </w:tc>
        <w:tc>
          <w:tcPr>
            <w:tcW w:w="426" w:type="pct"/>
            <w:vAlign w:val="center"/>
          </w:tcPr>
          <w:p>
            <w:pPr>
              <w:pStyle w:val="63"/>
            </w:pPr>
            <w:r>
              <w:rPr>
                <w:rFonts w:hint="eastAsia"/>
              </w:rPr>
              <w:t>0.040</w:t>
            </w:r>
          </w:p>
        </w:tc>
        <w:tc>
          <w:tcPr>
            <w:tcW w:w="426" w:type="pct"/>
            <w:vAlign w:val="center"/>
          </w:tcPr>
          <w:p>
            <w:pPr>
              <w:pStyle w:val="63"/>
            </w:pPr>
            <w:r>
              <w:rPr>
                <w:rFonts w:hint="eastAsia"/>
              </w:rPr>
              <w:t>0.093</w:t>
            </w:r>
          </w:p>
        </w:tc>
        <w:tc>
          <w:tcPr>
            <w:tcW w:w="387" w:type="pct"/>
            <w:vAlign w:val="center"/>
          </w:tcPr>
          <w:p>
            <w:pPr>
              <w:pStyle w:val="63"/>
            </w:pPr>
            <w:r>
              <w:rPr>
                <w:rFonts w:hint="eastAsia"/>
              </w:rPr>
              <w:t>0.012</w:t>
            </w:r>
          </w:p>
        </w:tc>
        <w:tc>
          <w:tcPr>
            <w:tcW w:w="353" w:type="pct"/>
            <w:vAlign w:val="center"/>
          </w:tcPr>
          <w:p>
            <w:pPr>
              <w:pStyle w:val="63"/>
            </w:pPr>
            <w:r>
              <w:rPr>
                <w:rFonts w:hint="eastAsia"/>
              </w:rPr>
              <w:t>32.56</w:t>
            </w:r>
          </w:p>
        </w:tc>
        <w:tc>
          <w:tcPr>
            <w:tcW w:w="378" w:type="pct"/>
            <w:vAlign w:val="center"/>
          </w:tcPr>
          <w:p>
            <w:pPr>
              <w:pStyle w:val="63"/>
            </w:pPr>
            <w:r>
              <w:rPr>
                <w:rFonts w:hint="eastAsia"/>
              </w:rPr>
              <w:t>0.000</w:t>
            </w:r>
          </w:p>
        </w:tc>
        <w:tc>
          <w:tcPr>
            <w:tcW w:w="344" w:type="pct"/>
            <w:vAlign w:val="center"/>
          </w:tcPr>
          <w:p>
            <w:pPr>
              <w:pStyle w:val="63"/>
            </w:pPr>
            <w:r>
              <w:rPr>
                <w:rFonts w:hint="eastAsia"/>
              </w:rPr>
              <w:t>0.000</w:t>
            </w:r>
          </w:p>
        </w:tc>
        <w:tc>
          <w:tcPr>
            <w:tcW w:w="344" w:type="pct"/>
            <w:vAlign w:val="center"/>
          </w:tcPr>
          <w:p>
            <w:pPr>
              <w:pStyle w:val="63"/>
            </w:pPr>
            <w:r>
              <w:rPr>
                <w:rFonts w:hint="eastAsia"/>
              </w:rPr>
              <w:t>1.304</w:t>
            </w:r>
          </w:p>
        </w:tc>
        <w:tc>
          <w:tcPr>
            <w:tcW w:w="335" w:type="pct"/>
            <w:vAlign w:val="center"/>
          </w:tcPr>
          <w:p>
            <w:pPr>
              <w:pStyle w:val="63"/>
            </w:pPr>
            <w:r>
              <w:rPr>
                <w:rFonts w:hint="eastAsia"/>
              </w:rPr>
              <w:t>3.013</w:t>
            </w:r>
          </w:p>
        </w:tc>
        <w:tc>
          <w:tcPr>
            <w:tcW w:w="348" w:type="pct"/>
            <w:vAlign w:val="center"/>
          </w:tcPr>
          <w:p>
            <w:pPr>
              <w:pStyle w:val="63"/>
            </w:pPr>
            <w:r>
              <w:rPr>
                <w:rFonts w:hint="eastAsia"/>
              </w:rPr>
              <w:t>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5" w:type="pct"/>
            <w:vAlign w:val="center"/>
          </w:tcPr>
          <w:p>
            <w:pPr>
              <w:pStyle w:val="63"/>
            </w:pPr>
            <w:r>
              <w:rPr>
                <w:rFonts w:hint="eastAsia"/>
              </w:rPr>
              <w:t>绿色化工产业园</w:t>
            </w:r>
          </w:p>
        </w:tc>
        <w:tc>
          <w:tcPr>
            <w:tcW w:w="440" w:type="pct"/>
            <w:vAlign w:val="center"/>
          </w:tcPr>
          <w:p>
            <w:pPr>
              <w:pStyle w:val="63"/>
            </w:pPr>
            <w:r>
              <w:t>0</w:t>
            </w:r>
          </w:p>
        </w:tc>
        <w:tc>
          <w:tcPr>
            <w:tcW w:w="503" w:type="pct"/>
            <w:vAlign w:val="center"/>
          </w:tcPr>
          <w:p>
            <w:pPr>
              <w:pStyle w:val="63"/>
            </w:pPr>
            <w:r>
              <w:t>0</w:t>
            </w:r>
          </w:p>
        </w:tc>
        <w:tc>
          <w:tcPr>
            <w:tcW w:w="426" w:type="pct"/>
            <w:vAlign w:val="center"/>
          </w:tcPr>
          <w:p>
            <w:pPr>
              <w:pStyle w:val="63"/>
            </w:pPr>
            <w:r>
              <w:t>0</w:t>
            </w:r>
          </w:p>
        </w:tc>
        <w:tc>
          <w:tcPr>
            <w:tcW w:w="426" w:type="pct"/>
            <w:vAlign w:val="center"/>
          </w:tcPr>
          <w:p>
            <w:pPr>
              <w:pStyle w:val="63"/>
            </w:pPr>
            <w:r>
              <w:rPr>
                <w:rFonts w:hint="eastAsia"/>
              </w:rPr>
              <w:t>0.4</w:t>
            </w:r>
          </w:p>
        </w:tc>
        <w:tc>
          <w:tcPr>
            <w:tcW w:w="387" w:type="pct"/>
            <w:vAlign w:val="center"/>
          </w:tcPr>
          <w:p>
            <w:pPr>
              <w:pStyle w:val="63"/>
            </w:pPr>
            <w:r>
              <w:rPr>
                <w:rFonts w:hint="eastAsia"/>
              </w:rPr>
              <w:t>0.0074</w:t>
            </w:r>
          </w:p>
        </w:tc>
        <w:tc>
          <w:tcPr>
            <w:tcW w:w="353" w:type="pct"/>
            <w:vAlign w:val="center"/>
          </w:tcPr>
          <w:p>
            <w:pPr>
              <w:pStyle w:val="63"/>
            </w:pPr>
            <w:r>
              <w:rPr>
                <w:rFonts w:hint="eastAsia"/>
              </w:rPr>
              <w:t>425.32</w:t>
            </w:r>
          </w:p>
        </w:tc>
        <w:tc>
          <w:tcPr>
            <w:tcW w:w="378" w:type="pct"/>
            <w:vAlign w:val="center"/>
          </w:tcPr>
          <w:p>
            <w:pPr>
              <w:pStyle w:val="63"/>
            </w:pPr>
            <w:r>
              <w:rPr>
                <w:rFonts w:hint="eastAsia"/>
              </w:rPr>
              <w:t>0.000</w:t>
            </w:r>
          </w:p>
        </w:tc>
        <w:tc>
          <w:tcPr>
            <w:tcW w:w="344" w:type="pct"/>
            <w:vAlign w:val="center"/>
          </w:tcPr>
          <w:p>
            <w:pPr>
              <w:pStyle w:val="63"/>
            </w:pPr>
            <w:r>
              <w:rPr>
                <w:rFonts w:hint="eastAsia"/>
              </w:rPr>
              <w:t>0.000</w:t>
            </w:r>
          </w:p>
        </w:tc>
        <w:tc>
          <w:tcPr>
            <w:tcW w:w="344" w:type="pct"/>
            <w:vAlign w:val="center"/>
          </w:tcPr>
          <w:p>
            <w:pPr>
              <w:pStyle w:val="63"/>
            </w:pPr>
            <w:r>
              <w:rPr>
                <w:rFonts w:hint="eastAsia"/>
              </w:rPr>
              <w:t>0.000</w:t>
            </w:r>
          </w:p>
        </w:tc>
        <w:tc>
          <w:tcPr>
            <w:tcW w:w="335" w:type="pct"/>
            <w:vAlign w:val="center"/>
          </w:tcPr>
          <w:p>
            <w:pPr>
              <w:pStyle w:val="63"/>
            </w:pPr>
            <w:r>
              <w:rPr>
                <w:rFonts w:hint="eastAsia"/>
              </w:rPr>
              <w:t>170.128</w:t>
            </w:r>
          </w:p>
        </w:tc>
        <w:tc>
          <w:tcPr>
            <w:tcW w:w="348" w:type="pct"/>
            <w:vAlign w:val="center"/>
          </w:tcPr>
          <w:p>
            <w:pPr>
              <w:pStyle w:val="63"/>
            </w:pPr>
            <w:r>
              <w:rPr>
                <w:rFonts w:hint="eastAsia"/>
              </w:rPr>
              <w:t>3.147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5" w:type="pct"/>
            <w:vAlign w:val="center"/>
          </w:tcPr>
          <w:p>
            <w:pPr>
              <w:pStyle w:val="63"/>
            </w:pPr>
            <w:r>
              <w:rPr>
                <w:rFonts w:hint="eastAsia"/>
              </w:rPr>
              <w:t>小计</w:t>
            </w:r>
          </w:p>
        </w:tc>
        <w:tc>
          <w:tcPr>
            <w:tcW w:w="440" w:type="pct"/>
            <w:vAlign w:val="center"/>
          </w:tcPr>
          <w:p>
            <w:pPr>
              <w:pStyle w:val="63"/>
            </w:pPr>
            <w:r>
              <w:rPr>
                <w:rFonts w:hint="eastAsia"/>
              </w:rPr>
              <w:t>/</w:t>
            </w:r>
          </w:p>
        </w:tc>
        <w:tc>
          <w:tcPr>
            <w:tcW w:w="503" w:type="pct"/>
            <w:vAlign w:val="center"/>
          </w:tcPr>
          <w:p>
            <w:pPr>
              <w:pStyle w:val="63"/>
            </w:pPr>
            <w:r>
              <w:rPr>
                <w:rFonts w:hint="eastAsia"/>
              </w:rPr>
              <w:t>/</w:t>
            </w:r>
          </w:p>
        </w:tc>
        <w:tc>
          <w:tcPr>
            <w:tcW w:w="426" w:type="pct"/>
            <w:vAlign w:val="center"/>
          </w:tcPr>
          <w:p>
            <w:pPr>
              <w:pStyle w:val="63"/>
            </w:pPr>
            <w:r>
              <w:rPr>
                <w:rFonts w:hint="eastAsia"/>
              </w:rPr>
              <w:t>/</w:t>
            </w:r>
          </w:p>
        </w:tc>
        <w:tc>
          <w:tcPr>
            <w:tcW w:w="426" w:type="pct"/>
            <w:vAlign w:val="center"/>
          </w:tcPr>
          <w:p>
            <w:pPr>
              <w:pStyle w:val="63"/>
            </w:pPr>
            <w:r>
              <w:rPr>
                <w:rFonts w:hint="eastAsia"/>
              </w:rPr>
              <w:t>/</w:t>
            </w:r>
          </w:p>
        </w:tc>
        <w:tc>
          <w:tcPr>
            <w:tcW w:w="387" w:type="pct"/>
            <w:vAlign w:val="center"/>
          </w:tcPr>
          <w:p>
            <w:pPr>
              <w:pStyle w:val="63"/>
            </w:pPr>
            <w:r>
              <w:rPr>
                <w:rFonts w:hint="eastAsia"/>
              </w:rPr>
              <w:t>/</w:t>
            </w:r>
          </w:p>
        </w:tc>
        <w:tc>
          <w:tcPr>
            <w:tcW w:w="353" w:type="pct"/>
            <w:vAlign w:val="center"/>
          </w:tcPr>
          <w:p>
            <w:pPr>
              <w:pStyle w:val="63"/>
            </w:pPr>
            <w:r>
              <w:rPr>
                <w:rFonts w:hint="eastAsia"/>
              </w:rPr>
              <w:t>/</w:t>
            </w:r>
          </w:p>
        </w:tc>
        <w:tc>
          <w:tcPr>
            <w:tcW w:w="378" w:type="pct"/>
            <w:vAlign w:val="center"/>
          </w:tcPr>
          <w:p>
            <w:pPr>
              <w:pStyle w:val="63"/>
            </w:pPr>
            <w:r>
              <w:rPr>
                <w:rFonts w:hint="eastAsia"/>
              </w:rPr>
              <w:t>29.578</w:t>
            </w:r>
          </w:p>
        </w:tc>
        <w:tc>
          <w:tcPr>
            <w:tcW w:w="344" w:type="pct"/>
            <w:vAlign w:val="center"/>
          </w:tcPr>
          <w:p>
            <w:pPr>
              <w:pStyle w:val="63"/>
            </w:pPr>
            <w:r>
              <w:rPr>
                <w:rFonts w:hint="eastAsia"/>
              </w:rPr>
              <w:t>17.412</w:t>
            </w:r>
          </w:p>
        </w:tc>
        <w:tc>
          <w:tcPr>
            <w:tcW w:w="344" w:type="pct"/>
            <w:vAlign w:val="center"/>
          </w:tcPr>
          <w:p>
            <w:pPr>
              <w:pStyle w:val="63"/>
            </w:pPr>
            <w:r>
              <w:rPr>
                <w:rFonts w:hint="eastAsia"/>
              </w:rPr>
              <w:t>62.402</w:t>
            </w:r>
          </w:p>
        </w:tc>
        <w:tc>
          <w:tcPr>
            <w:tcW w:w="335" w:type="pct"/>
            <w:vAlign w:val="center"/>
          </w:tcPr>
          <w:p>
            <w:pPr>
              <w:pStyle w:val="63"/>
            </w:pPr>
            <w:r>
              <w:rPr>
                <w:rFonts w:hint="eastAsia"/>
              </w:rPr>
              <w:t>216.311</w:t>
            </w:r>
          </w:p>
        </w:tc>
        <w:tc>
          <w:tcPr>
            <w:tcW w:w="348" w:type="pct"/>
            <w:vAlign w:val="center"/>
          </w:tcPr>
          <w:p>
            <w:pPr>
              <w:pStyle w:val="63"/>
            </w:pPr>
            <w:r>
              <w:rPr>
                <w:rFonts w:hint="eastAsia"/>
              </w:rPr>
              <w:t>3.524</w:t>
            </w:r>
          </w:p>
        </w:tc>
      </w:tr>
    </w:tbl>
    <w:p>
      <w:pPr>
        <w:ind w:firstLine="480"/>
      </w:pPr>
      <w:r>
        <w:rPr>
          <w:rFonts w:hint="eastAsia"/>
        </w:rPr>
        <w:t>三湾产业园、</w:t>
      </w:r>
      <w:r>
        <w:rPr>
          <w:rFonts w:ascii="Times New Roman" w:hAnsi="Times New Roman" w:cs="Times New Roman"/>
        </w:rPr>
        <w:t>绿色建材产业园</w:t>
      </w:r>
      <w:r>
        <w:rPr>
          <w:rFonts w:hint="eastAsia"/>
        </w:rPr>
        <w:t>用</w:t>
      </w:r>
      <w:r>
        <w:t>地</w:t>
      </w:r>
      <w:r>
        <w:rPr>
          <w:rFonts w:hint="eastAsia"/>
        </w:rPr>
        <w:t>基本</w:t>
      </w:r>
      <w:r>
        <w:t>开发完毕</w:t>
      </w:r>
      <w:r>
        <w:rPr>
          <w:rFonts w:hint="eastAsia"/>
        </w:rPr>
        <w:t>废气</w:t>
      </w:r>
      <w:r>
        <w:t>污染物</w:t>
      </w:r>
      <w:r>
        <w:rPr>
          <w:rFonts w:hint="eastAsia"/>
        </w:rPr>
        <w:t>根据</w:t>
      </w:r>
      <w:r>
        <w:t>现有污染物统计得</w:t>
      </w:r>
      <w:r>
        <w:rPr>
          <w:rFonts w:hint="eastAsia"/>
        </w:rPr>
        <w:t>出</w:t>
      </w:r>
      <w:r>
        <w:t>。</w:t>
      </w:r>
    </w:p>
    <w:p>
      <w:pPr>
        <w:pStyle w:val="6"/>
      </w:pPr>
      <w:r>
        <w:rPr>
          <w:rFonts w:hint="eastAsia"/>
        </w:rPr>
        <w:t>表</w:t>
      </w:r>
      <w:r>
        <w:t xml:space="preserve">6.1-16  </w:t>
      </w:r>
      <w:r>
        <w:rPr>
          <w:rFonts w:hint="eastAsia"/>
        </w:rPr>
        <w:t>三湾产业园、</w:t>
      </w:r>
      <w:r>
        <w:rPr>
          <w:rFonts w:ascii="Times New Roman" w:hAnsi="Times New Roman" w:cs="Times New Roman"/>
        </w:rPr>
        <w:t>绿色建材产业园</w:t>
      </w:r>
      <w:r>
        <w:rPr>
          <w:rFonts w:hint="eastAsia"/>
        </w:rPr>
        <w:t>废气情况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0"/>
        <w:gridCol w:w="2174"/>
        <w:gridCol w:w="1979"/>
        <w:gridCol w:w="1979"/>
        <w:gridCol w:w="192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50" w:type="pct"/>
            <w:vAlign w:val="center"/>
          </w:tcPr>
          <w:p>
            <w:pPr>
              <w:pStyle w:val="63"/>
            </w:pPr>
            <w:r>
              <w:rPr>
                <w:rFonts w:hint="eastAsia"/>
              </w:rPr>
              <w:t>片区</w:t>
            </w:r>
          </w:p>
        </w:tc>
        <w:tc>
          <w:tcPr>
            <w:tcW w:w="767" w:type="pct"/>
            <w:vAlign w:val="center"/>
          </w:tcPr>
          <w:p>
            <w:pPr>
              <w:pStyle w:val="63"/>
            </w:pPr>
            <w:r>
              <w:rPr>
                <w:rFonts w:hint="eastAsia"/>
              </w:rPr>
              <w:t>Nox</w:t>
            </w:r>
          </w:p>
        </w:tc>
        <w:tc>
          <w:tcPr>
            <w:tcW w:w="698" w:type="pct"/>
            <w:vAlign w:val="center"/>
          </w:tcPr>
          <w:p>
            <w:pPr>
              <w:pStyle w:val="63"/>
            </w:pPr>
            <w:r>
              <w:rPr>
                <w:rFonts w:hint="eastAsia"/>
              </w:rPr>
              <w:t>SO2</w:t>
            </w:r>
          </w:p>
        </w:tc>
        <w:tc>
          <w:tcPr>
            <w:tcW w:w="698" w:type="pct"/>
            <w:vAlign w:val="center"/>
          </w:tcPr>
          <w:p>
            <w:pPr>
              <w:pStyle w:val="63"/>
            </w:pPr>
            <w:r>
              <w:rPr>
                <w:rFonts w:hint="eastAsia"/>
              </w:rPr>
              <w:t>烟尘</w:t>
            </w:r>
          </w:p>
        </w:tc>
        <w:tc>
          <w:tcPr>
            <w:tcW w:w="680" w:type="pct"/>
            <w:vAlign w:val="center"/>
          </w:tcPr>
          <w:p>
            <w:pPr>
              <w:pStyle w:val="63"/>
            </w:pPr>
            <w:r>
              <w:rPr>
                <w:rFonts w:hint="eastAsia"/>
              </w:rPr>
              <w:t>VOCS</w:t>
            </w:r>
          </w:p>
        </w:tc>
        <w:tc>
          <w:tcPr>
            <w:tcW w:w="707" w:type="pct"/>
            <w:vAlign w:val="center"/>
          </w:tcPr>
          <w:p>
            <w:pPr>
              <w:pStyle w:val="63"/>
            </w:pPr>
            <w:r>
              <w:rPr>
                <w:rFonts w:hint="eastAsia"/>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50" w:type="pct"/>
            <w:vAlign w:val="center"/>
          </w:tcPr>
          <w:p>
            <w:pPr>
              <w:pStyle w:val="63"/>
            </w:pPr>
            <w:r>
              <w:rPr>
                <w:rFonts w:hint="eastAsia"/>
              </w:rPr>
              <w:t>三湾产业园</w:t>
            </w:r>
          </w:p>
        </w:tc>
        <w:tc>
          <w:tcPr>
            <w:tcW w:w="767" w:type="pct"/>
            <w:vAlign w:val="center"/>
          </w:tcPr>
          <w:p>
            <w:pPr>
              <w:pStyle w:val="63"/>
            </w:pPr>
            <w:r>
              <w:t>4023.736</w:t>
            </w:r>
          </w:p>
        </w:tc>
        <w:tc>
          <w:tcPr>
            <w:tcW w:w="698" w:type="pct"/>
            <w:vAlign w:val="center"/>
          </w:tcPr>
          <w:p>
            <w:pPr>
              <w:pStyle w:val="63"/>
            </w:pPr>
            <w:r>
              <w:t>924.791</w:t>
            </w:r>
          </w:p>
        </w:tc>
        <w:tc>
          <w:tcPr>
            <w:tcW w:w="698" w:type="pct"/>
            <w:vAlign w:val="center"/>
          </w:tcPr>
          <w:p>
            <w:pPr>
              <w:pStyle w:val="63"/>
            </w:pPr>
            <w:r>
              <w:t>2175.620</w:t>
            </w:r>
          </w:p>
        </w:tc>
        <w:tc>
          <w:tcPr>
            <w:tcW w:w="680" w:type="pct"/>
            <w:vAlign w:val="center"/>
          </w:tcPr>
          <w:p>
            <w:pPr>
              <w:pStyle w:val="63"/>
            </w:pPr>
            <w:r>
              <w:t>4.365</w:t>
            </w:r>
          </w:p>
        </w:tc>
        <w:tc>
          <w:tcPr>
            <w:tcW w:w="707" w:type="pct"/>
            <w:vAlign w:val="center"/>
          </w:tcPr>
          <w:p>
            <w:pPr>
              <w:pStyle w:val="63"/>
            </w:pPr>
            <w:r>
              <w:rPr>
                <w:rFonts w:hint="eastAsia"/>
              </w:rPr>
              <w:t>/</w:t>
            </w:r>
          </w:p>
        </w:tc>
      </w:tr>
    </w:tbl>
    <w:p>
      <w:pPr>
        <w:ind w:firstLine="480"/>
      </w:pPr>
      <w:r>
        <w:t>（</w:t>
      </w:r>
      <w:r>
        <w:rPr>
          <w:rFonts w:hint="eastAsia"/>
        </w:rPr>
        <w:t>3</w:t>
      </w:r>
      <w:r>
        <w:t>）大气污染物排放量</w:t>
      </w:r>
    </w:p>
    <w:p>
      <w:pPr>
        <w:ind w:firstLine="480"/>
      </w:pPr>
      <w:r>
        <w:t>叠加各片区的生活源和工业源，统计园区区内主要大气污染物排放量总量详见下表。</w:t>
      </w:r>
    </w:p>
    <w:p>
      <w:pPr>
        <w:pStyle w:val="6"/>
      </w:pPr>
      <w:r>
        <w:rPr>
          <w:rFonts w:hint="eastAsia"/>
        </w:rPr>
        <w:t>表</w:t>
      </w:r>
      <w:r>
        <w:t>6.1-17  主要大气污染物排放量预测 单位：（t/a）</w:t>
      </w:r>
    </w:p>
    <w:tbl>
      <w:tblPr>
        <w:tblStyle w:val="87"/>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0"/>
        <w:gridCol w:w="2100"/>
        <w:gridCol w:w="1780"/>
        <w:gridCol w:w="1780"/>
        <w:gridCol w:w="1620"/>
        <w:gridCol w:w="14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40" w:type="dxa"/>
            <w:gridSpan w:val="2"/>
            <w:vAlign w:val="center"/>
          </w:tcPr>
          <w:p>
            <w:pPr>
              <w:pStyle w:val="63"/>
            </w:pPr>
            <w:r>
              <w:rPr>
                <w:rFonts w:hint="eastAsia"/>
              </w:rPr>
              <w:t>片区</w:t>
            </w:r>
          </w:p>
        </w:tc>
        <w:tc>
          <w:tcPr>
            <w:tcW w:w="1780" w:type="dxa"/>
            <w:vAlign w:val="center"/>
          </w:tcPr>
          <w:p>
            <w:pPr>
              <w:pStyle w:val="63"/>
            </w:pPr>
            <w:r>
              <w:t>SO2</w:t>
            </w:r>
          </w:p>
        </w:tc>
        <w:tc>
          <w:tcPr>
            <w:tcW w:w="1780" w:type="dxa"/>
            <w:vAlign w:val="center"/>
          </w:tcPr>
          <w:p>
            <w:pPr>
              <w:pStyle w:val="63"/>
            </w:pPr>
            <w:r>
              <w:t>NOx</w:t>
            </w:r>
          </w:p>
        </w:tc>
        <w:tc>
          <w:tcPr>
            <w:tcW w:w="1620" w:type="dxa"/>
            <w:vAlign w:val="center"/>
          </w:tcPr>
          <w:p>
            <w:pPr>
              <w:pStyle w:val="63"/>
            </w:pPr>
            <w:r>
              <w:rPr>
                <w:rFonts w:hint="eastAsia"/>
              </w:rPr>
              <w:t>粉尘</w:t>
            </w:r>
          </w:p>
        </w:tc>
        <w:tc>
          <w:tcPr>
            <w:tcW w:w="1480" w:type="dxa"/>
            <w:vAlign w:val="center"/>
          </w:tcPr>
          <w:p>
            <w:pPr>
              <w:pStyle w:val="63"/>
            </w:pPr>
            <w:r>
              <w:t>VOCs</w:t>
            </w:r>
          </w:p>
        </w:tc>
        <w:tc>
          <w:tcPr>
            <w:tcW w:w="1580" w:type="dxa"/>
            <w:vAlign w:val="center"/>
          </w:tcPr>
          <w:p>
            <w:pPr>
              <w:pStyle w:val="63"/>
            </w:pPr>
            <w:r>
              <w:rPr>
                <w:rFonts w:hint="eastAsia"/>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0" w:type="dxa"/>
            <w:vMerge w:val="restart"/>
            <w:vAlign w:val="center"/>
          </w:tcPr>
          <w:p>
            <w:pPr>
              <w:pStyle w:val="63"/>
            </w:pPr>
            <w:r>
              <w:rPr>
                <w:rFonts w:hint="eastAsia"/>
              </w:rPr>
              <w:t>滨江片区</w:t>
            </w:r>
          </w:p>
        </w:tc>
        <w:tc>
          <w:tcPr>
            <w:tcW w:w="2100" w:type="dxa"/>
            <w:vAlign w:val="center"/>
          </w:tcPr>
          <w:p>
            <w:pPr>
              <w:pStyle w:val="63"/>
            </w:pPr>
            <w:r>
              <w:rPr>
                <w:rFonts w:hint="eastAsia"/>
              </w:rPr>
              <w:t>中非工贸产业园</w:t>
            </w:r>
          </w:p>
        </w:tc>
        <w:tc>
          <w:tcPr>
            <w:tcW w:w="1780" w:type="dxa"/>
            <w:vAlign w:val="center"/>
          </w:tcPr>
          <w:p>
            <w:pPr>
              <w:pStyle w:val="63"/>
            </w:pPr>
            <w:r>
              <w:rPr>
                <w:rFonts w:hint="eastAsia"/>
              </w:rPr>
              <w:t>44.012</w:t>
            </w:r>
          </w:p>
        </w:tc>
        <w:tc>
          <w:tcPr>
            <w:tcW w:w="1780" w:type="dxa"/>
            <w:vAlign w:val="center"/>
          </w:tcPr>
          <w:p>
            <w:pPr>
              <w:pStyle w:val="63"/>
            </w:pPr>
            <w:r>
              <w:rPr>
                <w:rFonts w:hint="eastAsia"/>
              </w:rPr>
              <w:t>154.000</w:t>
            </w:r>
          </w:p>
        </w:tc>
        <w:tc>
          <w:tcPr>
            <w:tcW w:w="1620" w:type="dxa"/>
            <w:vAlign w:val="center"/>
          </w:tcPr>
          <w:p>
            <w:pPr>
              <w:pStyle w:val="63"/>
            </w:pPr>
            <w:r>
              <w:rPr>
                <w:rFonts w:hint="eastAsia"/>
              </w:rPr>
              <w:t>80.118</w:t>
            </w:r>
          </w:p>
        </w:tc>
        <w:tc>
          <w:tcPr>
            <w:tcW w:w="1480" w:type="dxa"/>
            <w:vAlign w:val="center"/>
          </w:tcPr>
          <w:p>
            <w:pPr>
              <w:pStyle w:val="63"/>
            </w:pPr>
            <w:r>
              <w:rPr>
                <w:rFonts w:hint="eastAsia"/>
              </w:rPr>
              <w:t>43.169</w:t>
            </w:r>
          </w:p>
        </w:tc>
        <w:tc>
          <w:tcPr>
            <w:tcW w:w="1580"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0" w:type="dxa"/>
            <w:vMerge w:val="continue"/>
            <w:vAlign w:val="center"/>
          </w:tcPr>
          <w:p>
            <w:pPr>
              <w:pStyle w:val="63"/>
            </w:pPr>
          </w:p>
        </w:tc>
        <w:tc>
          <w:tcPr>
            <w:tcW w:w="2100" w:type="dxa"/>
            <w:vAlign w:val="center"/>
          </w:tcPr>
          <w:p>
            <w:pPr>
              <w:pStyle w:val="63"/>
            </w:pPr>
            <w:r>
              <w:rPr>
                <w:rFonts w:hint="eastAsia"/>
              </w:rPr>
              <w:t>加工制造产业园</w:t>
            </w:r>
          </w:p>
        </w:tc>
        <w:tc>
          <w:tcPr>
            <w:tcW w:w="1780" w:type="dxa"/>
            <w:vAlign w:val="center"/>
          </w:tcPr>
          <w:p>
            <w:pPr>
              <w:pStyle w:val="63"/>
            </w:pPr>
            <w:r>
              <w:rPr>
                <w:rFonts w:hint="eastAsia"/>
              </w:rPr>
              <w:t>4.442</w:t>
            </w:r>
          </w:p>
        </w:tc>
        <w:tc>
          <w:tcPr>
            <w:tcW w:w="1780" w:type="dxa"/>
            <w:vAlign w:val="center"/>
          </w:tcPr>
          <w:p>
            <w:pPr>
              <w:pStyle w:val="63"/>
            </w:pPr>
            <w:r>
              <w:rPr>
                <w:rFonts w:hint="eastAsia"/>
              </w:rPr>
              <w:t>20.778</w:t>
            </w:r>
          </w:p>
        </w:tc>
        <w:tc>
          <w:tcPr>
            <w:tcW w:w="1620" w:type="dxa"/>
            <w:vAlign w:val="center"/>
          </w:tcPr>
          <w:p>
            <w:pPr>
              <w:pStyle w:val="63"/>
            </w:pPr>
            <w:r>
              <w:rPr>
                <w:rFonts w:hint="eastAsia"/>
              </w:rPr>
              <w:t>4.480</w:t>
            </w:r>
          </w:p>
        </w:tc>
        <w:tc>
          <w:tcPr>
            <w:tcW w:w="1480" w:type="dxa"/>
            <w:vAlign w:val="center"/>
          </w:tcPr>
          <w:p>
            <w:pPr>
              <w:pStyle w:val="63"/>
            </w:pPr>
            <w:r>
              <w:rPr>
                <w:rFonts w:hint="eastAsia"/>
              </w:rPr>
              <w:t>3.013</w:t>
            </w:r>
          </w:p>
        </w:tc>
        <w:tc>
          <w:tcPr>
            <w:tcW w:w="1580" w:type="dxa"/>
            <w:vAlign w:val="center"/>
          </w:tcPr>
          <w:p>
            <w:pPr>
              <w:pStyle w:val="63"/>
            </w:pPr>
            <w:r>
              <w:rPr>
                <w:rFonts w:hint="eastAsia"/>
              </w:rPr>
              <w:t>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0" w:type="dxa"/>
            <w:vMerge w:val="continue"/>
            <w:vAlign w:val="center"/>
          </w:tcPr>
          <w:p>
            <w:pPr>
              <w:pStyle w:val="63"/>
            </w:pPr>
          </w:p>
        </w:tc>
        <w:tc>
          <w:tcPr>
            <w:tcW w:w="2100" w:type="dxa"/>
            <w:vAlign w:val="center"/>
          </w:tcPr>
          <w:p>
            <w:pPr>
              <w:pStyle w:val="63"/>
            </w:pPr>
            <w:r>
              <w:rPr>
                <w:rFonts w:hint="eastAsia"/>
              </w:rPr>
              <w:t>绿色化工产业园</w:t>
            </w:r>
          </w:p>
        </w:tc>
        <w:tc>
          <w:tcPr>
            <w:tcW w:w="1780" w:type="dxa"/>
            <w:vAlign w:val="center"/>
          </w:tcPr>
          <w:p>
            <w:pPr>
              <w:pStyle w:val="63"/>
            </w:pPr>
            <w:r>
              <w:rPr>
                <w:rFonts w:hint="eastAsia"/>
              </w:rPr>
              <w:t>289.000</w:t>
            </w:r>
          </w:p>
        </w:tc>
        <w:tc>
          <w:tcPr>
            <w:tcW w:w="1780" w:type="dxa"/>
            <w:vAlign w:val="center"/>
          </w:tcPr>
          <w:p>
            <w:pPr>
              <w:pStyle w:val="63"/>
            </w:pPr>
            <w:r>
              <w:rPr>
                <w:rFonts w:hint="eastAsia"/>
              </w:rPr>
              <w:t>484.370</w:t>
            </w:r>
          </w:p>
        </w:tc>
        <w:tc>
          <w:tcPr>
            <w:tcW w:w="1620" w:type="dxa"/>
            <w:vAlign w:val="center"/>
          </w:tcPr>
          <w:p>
            <w:pPr>
              <w:pStyle w:val="63"/>
            </w:pPr>
            <w:r>
              <w:rPr>
                <w:rFonts w:hint="eastAsia"/>
              </w:rPr>
              <w:t>61.400</w:t>
            </w:r>
          </w:p>
        </w:tc>
        <w:tc>
          <w:tcPr>
            <w:tcW w:w="1480" w:type="dxa"/>
            <w:vAlign w:val="center"/>
          </w:tcPr>
          <w:p>
            <w:pPr>
              <w:pStyle w:val="63"/>
            </w:pPr>
            <w:r>
              <w:rPr>
                <w:rFonts w:hint="eastAsia"/>
              </w:rPr>
              <w:t>170.128</w:t>
            </w:r>
          </w:p>
        </w:tc>
        <w:tc>
          <w:tcPr>
            <w:tcW w:w="1580" w:type="dxa"/>
            <w:vAlign w:val="center"/>
          </w:tcPr>
          <w:p>
            <w:pPr>
              <w:pStyle w:val="63"/>
            </w:pPr>
            <w:r>
              <w:rPr>
                <w:rFonts w:hint="eastAsia"/>
              </w:rPr>
              <w:t>3.147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0" w:type="dxa"/>
            <w:vMerge w:val="continue"/>
            <w:vAlign w:val="center"/>
          </w:tcPr>
          <w:p>
            <w:pPr>
              <w:pStyle w:val="63"/>
            </w:pPr>
          </w:p>
        </w:tc>
        <w:tc>
          <w:tcPr>
            <w:tcW w:w="2100" w:type="dxa"/>
            <w:vAlign w:val="center"/>
          </w:tcPr>
          <w:p>
            <w:pPr>
              <w:pStyle w:val="63"/>
            </w:pPr>
            <w:r>
              <w:rPr>
                <w:rFonts w:hint="eastAsia"/>
              </w:rPr>
              <w:t>小计</w:t>
            </w:r>
          </w:p>
        </w:tc>
        <w:tc>
          <w:tcPr>
            <w:tcW w:w="1780" w:type="dxa"/>
            <w:vAlign w:val="center"/>
          </w:tcPr>
          <w:p>
            <w:pPr>
              <w:pStyle w:val="63"/>
            </w:pPr>
            <w:r>
              <w:rPr>
                <w:rFonts w:hint="eastAsia"/>
              </w:rPr>
              <w:t>337.455</w:t>
            </w:r>
          </w:p>
        </w:tc>
        <w:tc>
          <w:tcPr>
            <w:tcW w:w="1780" w:type="dxa"/>
            <w:vAlign w:val="center"/>
          </w:tcPr>
          <w:p>
            <w:pPr>
              <w:pStyle w:val="63"/>
            </w:pPr>
            <w:r>
              <w:rPr>
                <w:rFonts w:hint="eastAsia"/>
              </w:rPr>
              <w:t>659.148</w:t>
            </w:r>
          </w:p>
        </w:tc>
        <w:tc>
          <w:tcPr>
            <w:tcW w:w="1620" w:type="dxa"/>
            <w:vAlign w:val="center"/>
          </w:tcPr>
          <w:p>
            <w:pPr>
              <w:pStyle w:val="63"/>
            </w:pPr>
            <w:r>
              <w:rPr>
                <w:rFonts w:hint="eastAsia"/>
              </w:rPr>
              <w:t>145.997</w:t>
            </w:r>
          </w:p>
        </w:tc>
        <w:tc>
          <w:tcPr>
            <w:tcW w:w="1480" w:type="dxa"/>
            <w:vAlign w:val="center"/>
          </w:tcPr>
          <w:p>
            <w:pPr>
              <w:pStyle w:val="63"/>
            </w:pPr>
            <w:r>
              <w:rPr>
                <w:rFonts w:hint="eastAsia"/>
              </w:rPr>
              <w:t>216.311</w:t>
            </w:r>
          </w:p>
        </w:tc>
        <w:tc>
          <w:tcPr>
            <w:tcW w:w="1580" w:type="dxa"/>
            <w:vAlign w:val="center"/>
          </w:tcPr>
          <w:p>
            <w:pPr>
              <w:pStyle w:val="63"/>
            </w:pPr>
            <w:r>
              <w:rPr>
                <w:rFonts w:hint="eastAsia"/>
              </w:rPr>
              <w:t>3.524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40" w:type="dxa"/>
            <w:gridSpan w:val="2"/>
            <w:vAlign w:val="center"/>
          </w:tcPr>
          <w:p>
            <w:pPr>
              <w:pStyle w:val="63"/>
            </w:pPr>
            <w:r>
              <w:rPr>
                <w:rFonts w:hint="eastAsia"/>
              </w:rPr>
              <w:t>三湾产业园</w:t>
            </w:r>
          </w:p>
        </w:tc>
        <w:tc>
          <w:tcPr>
            <w:tcW w:w="1780" w:type="dxa"/>
            <w:vAlign w:val="center"/>
          </w:tcPr>
          <w:p>
            <w:pPr>
              <w:pStyle w:val="63"/>
            </w:pPr>
            <w:r>
              <w:rPr>
                <w:rFonts w:hint="eastAsia"/>
              </w:rPr>
              <w:t>924.791</w:t>
            </w:r>
          </w:p>
        </w:tc>
        <w:tc>
          <w:tcPr>
            <w:tcW w:w="1780" w:type="dxa"/>
            <w:vAlign w:val="center"/>
          </w:tcPr>
          <w:p>
            <w:pPr>
              <w:pStyle w:val="63"/>
            </w:pPr>
            <w:r>
              <w:rPr>
                <w:rFonts w:hint="eastAsia"/>
              </w:rPr>
              <w:t>4023.736</w:t>
            </w:r>
          </w:p>
        </w:tc>
        <w:tc>
          <w:tcPr>
            <w:tcW w:w="1620" w:type="dxa"/>
            <w:vAlign w:val="center"/>
          </w:tcPr>
          <w:p>
            <w:pPr>
              <w:pStyle w:val="63"/>
            </w:pPr>
            <w:r>
              <w:rPr>
                <w:rFonts w:hint="eastAsia"/>
              </w:rPr>
              <w:t>2175.620</w:t>
            </w:r>
          </w:p>
        </w:tc>
        <w:tc>
          <w:tcPr>
            <w:tcW w:w="1480" w:type="dxa"/>
            <w:vAlign w:val="center"/>
          </w:tcPr>
          <w:p>
            <w:pPr>
              <w:pStyle w:val="63"/>
            </w:pPr>
            <w:r>
              <w:rPr>
                <w:rFonts w:hint="eastAsia"/>
              </w:rPr>
              <w:t>4.365</w:t>
            </w:r>
          </w:p>
        </w:tc>
        <w:tc>
          <w:tcPr>
            <w:tcW w:w="1580"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40" w:type="dxa"/>
            <w:gridSpan w:val="2"/>
            <w:vAlign w:val="center"/>
          </w:tcPr>
          <w:p>
            <w:pPr>
              <w:pStyle w:val="63"/>
            </w:pPr>
            <w:r>
              <w:rPr>
                <w:rFonts w:hint="eastAsia"/>
              </w:rPr>
              <w:t>绿色建材产业园</w:t>
            </w:r>
          </w:p>
        </w:tc>
        <w:tc>
          <w:tcPr>
            <w:tcW w:w="1780" w:type="dxa"/>
            <w:vAlign w:val="center"/>
          </w:tcPr>
          <w:p>
            <w:pPr>
              <w:pStyle w:val="63"/>
            </w:pPr>
            <w:r>
              <w:rPr>
                <w:rFonts w:hint="eastAsia"/>
              </w:rPr>
              <w:t>150.000</w:t>
            </w:r>
          </w:p>
        </w:tc>
        <w:tc>
          <w:tcPr>
            <w:tcW w:w="1780" w:type="dxa"/>
            <w:vAlign w:val="center"/>
          </w:tcPr>
          <w:p>
            <w:pPr>
              <w:pStyle w:val="63"/>
            </w:pPr>
            <w:r>
              <w:rPr>
                <w:rFonts w:hint="eastAsia"/>
              </w:rPr>
              <w:t>1120.000</w:t>
            </w:r>
          </w:p>
        </w:tc>
        <w:tc>
          <w:tcPr>
            <w:tcW w:w="1620" w:type="dxa"/>
            <w:vAlign w:val="center"/>
          </w:tcPr>
          <w:p>
            <w:pPr>
              <w:pStyle w:val="63"/>
            </w:pPr>
            <w:r>
              <w:rPr>
                <w:rFonts w:hint="eastAsia"/>
              </w:rPr>
              <w:t>186.280</w:t>
            </w:r>
          </w:p>
        </w:tc>
        <w:tc>
          <w:tcPr>
            <w:tcW w:w="1480" w:type="dxa"/>
            <w:vAlign w:val="center"/>
          </w:tcPr>
          <w:p>
            <w:pPr>
              <w:pStyle w:val="63"/>
            </w:pPr>
            <w:r>
              <w:rPr>
                <w:rFonts w:hint="eastAsia"/>
              </w:rPr>
              <w:t>/</w:t>
            </w:r>
          </w:p>
        </w:tc>
        <w:tc>
          <w:tcPr>
            <w:tcW w:w="1580"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40" w:type="dxa"/>
            <w:gridSpan w:val="2"/>
            <w:vAlign w:val="center"/>
          </w:tcPr>
          <w:p>
            <w:pPr>
              <w:pStyle w:val="63"/>
            </w:pPr>
            <w:r>
              <w:rPr>
                <w:rFonts w:hint="eastAsia"/>
              </w:rPr>
              <w:t>合计</w:t>
            </w:r>
          </w:p>
        </w:tc>
        <w:tc>
          <w:tcPr>
            <w:tcW w:w="1780" w:type="dxa"/>
            <w:vAlign w:val="center"/>
          </w:tcPr>
          <w:p>
            <w:pPr>
              <w:pStyle w:val="63"/>
            </w:pPr>
            <w:r>
              <w:rPr>
                <w:rFonts w:hint="eastAsia"/>
              </w:rPr>
              <w:t>1412.245</w:t>
            </w:r>
          </w:p>
        </w:tc>
        <w:tc>
          <w:tcPr>
            <w:tcW w:w="1780" w:type="dxa"/>
            <w:vAlign w:val="center"/>
          </w:tcPr>
          <w:p>
            <w:pPr>
              <w:pStyle w:val="63"/>
            </w:pPr>
            <w:r>
              <w:rPr>
                <w:rFonts w:hint="eastAsia"/>
              </w:rPr>
              <w:t>5802.884</w:t>
            </w:r>
          </w:p>
        </w:tc>
        <w:tc>
          <w:tcPr>
            <w:tcW w:w="1620" w:type="dxa"/>
            <w:vAlign w:val="center"/>
          </w:tcPr>
          <w:p>
            <w:pPr>
              <w:pStyle w:val="63"/>
            </w:pPr>
            <w:r>
              <w:rPr>
                <w:rFonts w:hint="eastAsia"/>
              </w:rPr>
              <w:t>2507.898</w:t>
            </w:r>
          </w:p>
        </w:tc>
        <w:tc>
          <w:tcPr>
            <w:tcW w:w="1480" w:type="dxa"/>
            <w:vAlign w:val="center"/>
          </w:tcPr>
          <w:p>
            <w:pPr>
              <w:pStyle w:val="63"/>
            </w:pPr>
            <w:r>
              <w:rPr>
                <w:rFonts w:hint="eastAsia"/>
              </w:rPr>
              <w:t>220.676</w:t>
            </w:r>
          </w:p>
        </w:tc>
        <w:tc>
          <w:tcPr>
            <w:tcW w:w="1580" w:type="dxa"/>
            <w:vAlign w:val="center"/>
          </w:tcPr>
          <w:p>
            <w:pPr>
              <w:pStyle w:val="63"/>
            </w:pPr>
            <w:r>
              <w:rPr>
                <w:rFonts w:hint="eastAsia"/>
              </w:rPr>
              <w:t>3.524</w:t>
            </w:r>
          </w:p>
        </w:tc>
      </w:tr>
    </w:tbl>
    <w:p/>
    <w:p>
      <w:pPr>
        <w:sectPr>
          <w:pgSz w:w="16838" w:h="11906" w:orient="landscape"/>
          <w:pgMar w:top="1797" w:right="1440" w:bottom="1797" w:left="1440" w:header="851" w:footer="992" w:gutter="0"/>
          <w:cols w:space="425" w:num="1"/>
          <w:docGrid w:type="lines" w:linePitch="332" w:charSpace="7591"/>
        </w:sectPr>
      </w:pPr>
    </w:p>
    <w:p>
      <w:pPr>
        <w:pStyle w:val="4"/>
      </w:pPr>
      <w:bookmarkStart w:id="504" w:name="_Toc146091953"/>
      <w:r>
        <w:t>6.1.3 噪声污染源</w:t>
      </w:r>
      <w:bookmarkEnd w:id="501"/>
      <w:bookmarkEnd w:id="502"/>
      <w:bookmarkEnd w:id="503"/>
      <w:bookmarkEnd w:id="504"/>
    </w:p>
    <w:p>
      <w:pPr>
        <w:spacing w:line="360" w:lineRule="auto"/>
        <w:ind w:firstLine="480" w:firstLineChars="200"/>
      </w:pPr>
      <w:r>
        <w:t>园区噪声源主要包括工业噪声、交通噪声以及建筑施工噪声等，主要采用类比调查和经验估算各类噪声源的源强。</w:t>
      </w:r>
    </w:p>
    <w:p>
      <w:pPr>
        <w:spacing w:line="360" w:lineRule="auto"/>
        <w:ind w:firstLine="480" w:firstLineChars="200"/>
      </w:pPr>
      <w:r>
        <w:t>（1）工业噪声源</w:t>
      </w:r>
    </w:p>
    <w:p>
      <w:pPr>
        <w:spacing w:line="360" w:lineRule="auto"/>
        <w:ind w:firstLine="480" w:firstLineChars="200"/>
      </w:pPr>
      <w:r>
        <w:t>根据园区项目类型，企业生产噪声以机械噪声为主。类比调查几种常用机械运行噪声见下表。</w:t>
      </w:r>
    </w:p>
    <w:p>
      <w:pPr>
        <w:pStyle w:val="6"/>
      </w:pPr>
      <w:r>
        <w:t>表6.1-18  企业各种机械设备噪声</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4312"/>
        <w:gridCol w:w="28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序号</w:t>
            </w:r>
          </w:p>
        </w:tc>
        <w:tc>
          <w:tcPr>
            <w:tcW w:w="2529" w:type="pct"/>
            <w:vAlign w:val="center"/>
          </w:tcPr>
          <w:p>
            <w:pPr>
              <w:pStyle w:val="63"/>
            </w:pPr>
            <w:r>
              <w:t>噪声源</w:t>
            </w:r>
          </w:p>
        </w:tc>
        <w:tc>
          <w:tcPr>
            <w:tcW w:w="1668" w:type="pct"/>
            <w:vAlign w:val="center"/>
          </w:tcPr>
          <w:p>
            <w:pPr>
              <w:pStyle w:val="63"/>
            </w:pPr>
            <w:r>
              <w:t>噪声级dB（A）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1</w:t>
            </w:r>
          </w:p>
        </w:tc>
        <w:tc>
          <w:tcPr>
            <w:tcW w:w="2529" w:type="pct"/>
            <w:vAlign w:val="center"/>
          </w:tcPr>
          <w:p>
            <w:pPr>
              <w:pStyle w:val="63"/>
            </w:pPr>
            <w:r>
              <w:t>空压机站、泵房</w:t>
            </w:r>
          </w:p>
        </w:tc>
        <w:tc>
          <w:tcPr>
            <w:tcW w:w="1668" w:type="pct"/>
            <w:vAlign w:val="center"/>
          </w:tcPr>
          <w:p>
            <w:pPr>
              <w:pStyle w:val="63"/>
            </w:pPr>
            <w: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2</w:t>
            </w:r>
          </w:p>
        </w:tc>
        <w:tc>
          <w:tcPr>
            <w:tcW w:w="2529" w:type="pct"/>
            <w:vAlign w:val="center"/>
          </w:tcPr>
          <w:p>
            <w:pPr>
              <w:pStyle w:val="63"/>
            </w:pPr>
            <w:r>
              <w:t>柴油发电机</w:t>
            </w:r>
          </w:p>
        </w:tc>
        <w:tc>
          <w:tcPr>
            <w:tcW w:w="1668" w:type="pct"/>
            <w:vAlign w:val="center"/>
          </w:tcPr>
          <w:p>
            <w:pPr>
              <w:pStyle w:val="63"/>
            </w:pPr>
            <w: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3</w:t>
            </w:r>
          </w:p>
        </w:tc>
        <w:tc>
          <w:tcPr>
            <w:tcW w:w="2529" w:type="pct"/>
            <w:vAlign w:val="center"/>
          </w:tcPr>
          <w:p>
            <w:pPr>
              <w:pStyle w:val="63"/>
            </w:pPr>
            <w:r>
              <w:t>电刨、破碎机</w:t>
            </w:r>
          </w:p>
        </w:tc>
        <w:tc>
          <w:tcPr>
            <w:tcW w:w="1668" w:type="pct"/>
            <w:vAlign w:val="center"/>
          </w:tcPr>
          <w:p>
            <w:pPr>
              <w:pStyle w:val="63"/>
            </w:pPr>
            <w: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4</w:t>
            </w:r>
          </w:p>
        </w:tc>
        <w:tc>
          <w:tcPr>
            <w:tcW w:w="2529" w:type="pct"/>
            <w:vAlign w:val="center"/>
          </w:tcPr>
          <w:p>
            <w:pPr>
              <w:pStyle w:val="63"/>
            </w:pPr>
            <w:r>
              <w:t>罗茨鼓风机、电锯</w:t>
            </w:r>
          </w:p>
        </w:tc>
        <w:tc>
          <w:tcPr>
            <w:tcW w:w="1668" w:type="pct"/>
            <w:vAlign w:val="center"/>
          </w:tcPr>
          <w:p>
            <w:pPr>
              <w:pStyle w:val="63"/>
            </w:pPr>
            <w: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5</w:t>
            </w:r>
          </w:p>
        </w:tc>
        <w:tc>
          <w:tcPr>
            <w:tcW w:w="2529" w:type="pct"/>
            <w:vAlign w:val="center"/>
          </w:tcPr>
          <w:p>
            <w:pPr>
              <w:pStyle w:val="63"/>
            </w:pPr>
            <w:r>
              <w:t>汽轮发电机</w:t>
            </w:r>
          </w:p>
        </w:tc>
        <w:tc>
          <w:tcPr>
            <w:tcW w:w="1668" w:type="pct"/>
            <w:vAlign w:val="center"/>
          </w:tcPr>
          <w:p>
            <w:pPr>
              <w:pStyle w:val="63"/>
            </w:pPr>
            <w: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6</w:t>
            </w:r>
          </w:p>
        </w:tc>
        <w:tc>
          <w:tcPr>
            <w:tcW w:w="2529" w:type="pct"/>
            <w:vAlign w:val="center"/>
          </w:tcPr>
          <w:p>
            <w:pPr>
              <w:pStyle w:val="63"/>
            </w:pPr>
            <w:r>
              <w:t>引风机</w:t>
            </w:r>
          </w:p>
        </w:tc>
        <w:tc>
          <w:tcPr>
            <w:tcW w:w="1668" w:type="pct"/>
            <w:vAlign w:val="center"/>
          </w:tcPr>
          <w:p>
            <w:pPr>
              <w:pStyle w:val="63"/>
            </w:pPr>
            <w: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7</w:t>
            </w:r>
          </w:p>
        </w:tc>
        <w:tc>
          <w:tcPr>
            <w:tcW w:w="2529" w:type="pct"/>
            <w:vAlign w:val="center"/>
          </w:tcPr>
          <w:p>
            <w:pPr>
              <w:pStyle w:val="63"/>
            </w:pPr>
            <w:r>
              <w:t>湿式球磨机</w:t>
            </w:r>
          </w:p>
        </w:tc>
        <w:tc>
          <w:tcPr>
            <w:tcW w:w="1668" w:type="pct"/>
            <w:vAlign w:val="center"/>
          </w:tcPr>
          <w:p>
            <w:pPr>
              <w:pStyle w:val="63"/>
            </w:pPr>
            <w: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Align w:val="center"/>
          </w:tcPr>
          <w:p>
            <w:pPr>
              <w:pStyle w:val="63"/>
            </w:pPr>
            <w:r>
              <w:t>8</w:t>
            </w:r>
          </w:p>
        </w:tc>
        <w:tc>
          <w:tcPr>
            <w:tcW w:w="2529" w:type="pct"/>
            <w:vAlign w:val="center"/>
          </w:tcPr>
          <w:p>
            <w:pPr>
              <w:pStyle w:val="63"/>
            </w:pPr>
            <w:r>
              <w:t>回转式包装机</w:t>
            </w:r>
          </w:p>
        </w:tc>
        <w:tc>
          <w:tcPr>
            <w:tcW w:w="1668" w:type="pct"/>
            <w:vAlign w:val="center"/>
          </w:tcPr>
          <w:p>
            <w:pPr>
              <w:pStyle w:val="63"/>
            </w:pPr>
            <w:r>
              <w:t>85</w:t>
            </w:r>
          </w:p>
        </w:tc>
      </w:tr>
    </w:tbl>
    <w:p>
      <w:pPr>
        <w:spacing w:line="360" w:lineRule="auto"/>
        <w:ind w:firstLine="480" w:firstLineChars="200"/>
      </w:pPr>
      <w:r>
        <w:t>（2）交通噪声</w:t>
      </w:r>
    </w:p>
    <w:p>
      <w:pPr>
        <w:spacing w:line="360" w:lineRule="auto"/>
        <w:ind w:firstLine="480" w:firstLineChars="200"/>
      </w:pPr>
      <w:r>
        <w:t>考虑园区规划状况以及配套的道路交通设施情况，园区内道路建议车速不超过30km/h，评价按最大30km/h依据经验公式法进行交通噪声源强估算，具体见下表。</w:t>
      </w:r>
    </w:p>
    <w:p>
      <w:pPr>
        <w:pStyle w:val="6"/>
      </w:pPr>
      <w:bookmarkStart w:id="505" w:name="_Ref498163142"/>
      <w:r>
        <w:t>表</w:t>
      </w:r>
      <w:bookmarkEnd w:id="505"/>
      <w:r>
        <w:t>6.1-19   各类型车的平均声级</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4237"/>
        <w:gridCol w:w="2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3" w:type="pct"/>
            <w:vAlign w:val="center"/>
          </w:tcPr>
          <w:p>
            <w:pPr>
              <w:pStyle w:val="63"/>
            </w:pPr>
            <w:r>
              <w:t>车型</w:t>
            </w:r>
          </w:p>
        </w:tc>
        <w:tc>
          <w:tcPr>
            <w:tcW w:w="2485" w:type="pct"/>
            <w:vAlign w:val="center"/>
          </w:tcPr>
          <w:p>
            <w:pPr>
              <w:pStyle w:val="63"/>
            </w:pPr>
            <w:r>
              <w:t>经验公式</w:t>
            </w:r>
          </w:p>
        </w:tc>
        <w:tc>
          <w:tcPr>
            <w:tcW w:w="1662" w:type="pct"/>
            <w:vAlign w:val="center"/>
          </w:tcPr>
          <w:p>
            <w:pPr>
              <w:pStyle w:val="63"/>
            </w:pPr>
            <w:r>
              <w:t>声级值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3" w:type="pct"/>
            <w:vAlign w:val="center"/>
          </w:tcPr>
          <w:p>
            <w:pPr>
              <w:pStyle w:val="63"/>
            </w:pPr>
            <w:r>
              <w:t>大车型</w:t>
            </w:r>
          </w:p>
        </w:tc>
        <w:tc>
          <w:tcPr>
            <w:tcW w:w="2485" w:type="pct"/>
            <w:vAlign w:val="center"/>
          </w:tcPr>
          <w:p>
            <w:pPr>
              <w:pStyle w:val="63"/>
            </w:pPr>
            <w:r>
              <w:t>LWL=77.21+0.18v</w:t>
            </w:r>
          </w:p>
        </w:tc>
        <w:tc>
          <w:tcPr>
            <w:tcW w:w="1662" w:type="pct"/>
            <w:vAlign w:val="center"/>
          </w:tcPr>
          <w:p>
            <w:pPr>
              <w:pStyle w:val="63"/>
            </w:pPr>
            <w:r>
              <w:t>82.61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3" w:type="pct"/>
            <w:vAlign w:val="center"/>
          </w:tcPr>
          <w:p>
            <w:pPr>
              <w:pStyle w:val="63"/>
            </w:pPr>
            <w:r>
              <w:t>中车型</w:t>
            </w:r>
          </w:p>
        </w:tc>
        <w:tc>
          <w:tcPr>
            <w:tcW w:w="2485" w:type="pct"/>
            <w:vAlign w:val="center"/>
          </w:tcPr>
          <w:p>
            <w:pPr>
              <w:pStyle w:val="63"/>
            </w:pPr>
            <w:r>
              <w:t>LWL=62.6+0.32v</w:t>
            </w:r>
          </w:p>
        </w:tc>
        <w:tc>
          <w:tcPr>
            <w:tcW w:w="1662" w:type="pct"/>
            <w:vAlign w:val="center"/>
          </w:tcPr>
          <w:p>
            <w:pPr>
              <w:pStyle w:val="63"/>
            </w:pPr>
            <w:r>
              <w:t>72.20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3" w:type="pct"/>
            <w:vAlign w:val="center"/>
          </w:tcPr>
          <w:p>
            <w:pPr>
              <w:pStyle w:val="63"/>
            </w:pPr>
            <w:r>
              <w:t>小车型</w:t>
            </w:r>
          </w:p>
        </w:tc>
        <w:tc>
          <w:tcPr>
            <w:tcW w:w="2485" w:type="pct"/>
            <w:vAlign w:val="center"/>
          </w:tcPr>
          <w:p>
            <w:pPr>
              <w:pStyle w:val="63"/>
            </w:pPr>
            <w:r>
              <w:t>LWL=59.3+0.23v</w:t>
            </w:r>
          </w:p>
        </w:tc>
        <w:tc>
          <w:tcPr>
            <w:tcW w:w="1662" w:type="pct"/>
            <w:vAlign w:val="center"/>
          </w:tcPr>
          <w:p>
            <w:pPr>
              <w:pStyle w:val="63"/>
            </w:pPr>
            <w:r>
              <w:t>66.20</w:t>
            </w:r>
          </w:p>
        </w:tc>
      </w:tr>
    </w:tbl>
    <w:p>
      <w:pPr>
        <w:spacing w:line="360" w:lineRule="auto"/>
        <w:ind w:firstLine="480" w:firstLineChars="200"/>
      </w:pPr>
      <w:r>
        <w:t>（3）建筑施工噪声</w:t>
      </w:r>
    </w:p>
    <w:p>
      <w:pPr>
        <w:spacing w:line="360" w:lineRule="auto"/>
        <w:ind w:firstLine="480" w:firstLineChars="200"/>
      </w:pPr>
      <w:r>
        <w:t>建筑施工噪声为各种施工机械和车辆运输产生的作业噪声、打桩、材料运输车的作业噪声等，施工机械噪声源强见下表。</w:t>
      </w:r>
    </w:p>
    <w:p>
      <w:pPr>
        <w:pStyle w:val="6"/>
      </w:pPr>
      <w:r>
        <w:t>表6.1-20  施工机械噪声源强一览表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043"/>
        <w:gridCol w:w="2768"/>
        <w:gridCol w:w="2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序号</w:t>
            </w:r>
          </w:p>
        </w:tc>
        <w:tc>
          <w:tcPr>
            <w:tcW w:w="1198" w:type="pct"/>
            <w:vAlign w:val="center"/>
          </w:tcPr>
          <w:p>
            <w:pPr>
              <w:pStyle w:val="63"/>
            </w:pPr>
            <w:r>
              <w:t>阶段</w:t>
            </w:r>
          </w:p>
        </w:tc>
        <w:tc>
          <w:tcPr>
            <w:tcW w:w="1623" w:type="pct"/>
            <w:vAlign w:val="center"/>
          </w:tcPr>
          <w:p>
            <w:pPr>
              <w:pStyle w:val="63"/>
            </w:pPr>
            <w:r>
              <w:t>噪声源</w:t>
            </w:r>
          </w:p>
        </w:tc>
        <w:tc>
          <w:tcPr>
            <w:tcW w:w="1673" w:type="pct"/>
            <w:vAlign w:val="center"/>
          </w:tcPr>
          <w:p>
            <w:pPr>
              <w:pStyle w:val="63"/>
            </w:pPr>
            <w:r>
              <w:t>噪声级dB（A）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1</w:t>
            </w:r>
          </w:p>
        </w:tc>
        <w:tc>
          <w:tcPr>
            <w:tcW w:w="1198" w:type="pct"/>
            <w:vMerge w:val="restart"/>
            <w:vAlign w:val="center"/>
          </w:tcPr>
          <w:p>
            <w:pPr>
              <w:pStyle w:val="63"/>
            </w:pPr>
            <w:r>
              <w:t>土石方</w:t>
            </w:r>
          </w:p>
        </w:tc>
        <w:tc>
          <w:tcPr>
            <w:tcW w:w="1623" w:type="pct"/>
            <w:vAlign w:val="center"/>
          </w:tcPr>
          <w:p>
            <w:pPr>
              <w:pStyle w:val="63"/>
            </w:pPr>
            <w:r>
              <w:t>装载机</w:t>
            </w:r>
          </w:p>
        </w:tc>
        <w:tc>
          <w:tcPr>
            <w:tcW w:w="1673" w:type="pct"/>
            <w:vAlign w:val="center"/>
          </w:tcPr>
          <w:p>
            <w:pPr>
              <w:pStyle w:val="63"/>
            </w:pPr>
            <w: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2</w:t>
            </w:r>
          </w:p>
        </w:tc>
        <w:tc>
          <w:tcPr>
            <w:tcW w:w="1198" w:type="pct"/>
            <w:vMerge w:val="continue"/>
            <w:vAlign w:val="center"/>
          </w:tcPr>
          <w:p>
            <w:pPr>
              <w:pStyle w:val="63"/>
            </w:pPr>
          </w:p>
        </w:tc>
        <w:tc>
          <w:tcPr>
            <w:tcW w:w="1623" w:type="pct"/>
            <w:vAlign w:val="center"/>
          </w:tcPr>
          <w:p>
            <w:pPr>
              <w:pStyle w:val="63"/>
            </w:pPr>
            <w:r>
              <w:t>挖掘机</w:t>
            </w:r>
          </w:p>
        </w:tc>
        <w:tc>
          <w:tcPr>
            <w:tcW w:w="1673" w:type="pct"/>
            <w:vAlign w:val="center"/>
          </w:tcPr>
          <w:p>
            <w:pPr>
              <w:pStyle w:val="63"/>
            </w:pPr>
            <w: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3</w:t>
            </w:r>
          </w:p>
        </w:tc>
        <w:tc>
          <w:tcPr>
            <w:tcW w:w="1198" w:type="pct"/>
            <w:vAlign w:val="center"/>
          </w:tcPr>
          <w:p>
            <w:pPr>
              <w:pStyle w:val="63"/>
            </w:pPr>
            <w:r>
              <w:t>打桩</w:t>
            </w:r>
          </w:p>
        </w:tc>
        <w:tc>
          <w:tcPr>
            <w:tcW w:w="1623" w:type="pct"/>
            <w:vAlign w:val="center"/>
          </w:tcPr>
          <w:p>
            <w:pPr>
              <w:pStyle w:val="63"/>
            </w:pPr>
            <w:r>
              <w:t>冲击式打桩机</w:t>
            </w:r>
          </w:p>
        </w:tc>
        <w:tc>
          <w:tcPr>
            <w:tcW w:w="1673" w:type="pct"/>
            <w:vAlign w:val="center"/>
          </w:tcPr>
          <w:p>
            <w:pPr>
              <w:pStyle w:val="63"/>
            </w:pPr>
            <w: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4</w:t>
            </w:r>
          </w:p>
        </w:tc>
        <w:tc>
          <w:tcPr>
            <w:tcW w:w="1198" w:type="pct"/>
            <w:vMerge w:val="restart"/>
            <w:vAlign w:val="center"/>
          </w:tcPr>
          <w:p>
            <w:pPr>
              <w:pStyle w:val="63"/>
            </w:pPr>
            <w:r>
              <w:t>结构</w:t>
            </w:r>
          </w:p>
        </w:tc>
        <w:tc>
          <w:tcPr>
            <w:tcW w:w="1623" w:type="pct"/>
            <w:vAlign w:val="center"/>
          </w:tcPr>
          <w:p>
            <w:pPr>
              <w:pStyle w:val="63"/>
            </w:pPr>
            <w:r>
              <w:t>混凝土振捣器</w:t>
            </w:r>
          </w:p>
        </w:tc>
        <w:tc>
          <w:tcPr>
            <w:tcW w:w="1673" w:type="pct"/>
            <w:vAlign w:val="center"/>
          </w:tcPr>
          <w:p>
            <w:pPr>
              <w:pStyle w:val="63"/>
            </w:pPr>
            <w: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5</w:t>
            </w:r>
          </w:p>
        </w:tc>
        <w:tc>
          <w:tcPr>
            <w:tcW w:w="1198" w:type="pct"/>
            <w:vMerge w:val="continue"/>
            <w:vAlign w:val="center"/>
          </w:tcPr>
          <w:p>
            <w:pPr>
              <w:pStyle w:val="63"/>
            </w:pPr>
          </w:p>
        </w:tc>
        <w:tc>
          <w:tcPr>
            <w:tcW w:w="1623" w:type="pct"/>
            <w:vAlign w:val="center"/>
          </w:tcPr>
          <w:p>
            <w:pPr>
              <w:pStyle w:val="63"/>
            </w:pPr>
            <w:r>
              <w:t>木工圆锯</w:t>
            </w:r>
          </w:p>
        </w:tc>
        <w:tc>
          <w:tcPr>
            <w:tcW w:w="1673" w:type="pct"/>
            <w:vAlign w:val="center"/>
          </w:tcPr>
          <w:p>
            <w:pPr>
              <w:pStyle w:val="63"/>
            </w:pPr>
            <w: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63"/>
            </w:pPr>
            <w:r>
              <w:t>6</w:t>
            </w:r>
          </w:p>
        </w:tc>
        <w:tc>
          <w:tcPr>
            <w:tcW w:w="1198" w:type="pct"/>
            <w:vAlign w:val="center"/>
          </w:tcPr>
          <w:p>
            <w:pPr>
              <w:pStyle w:val="63"/>
            </w:pPr>
            <w:r>
              <w:t>装修</w:t>
            </w:r>
          </w:p>
        </w:tc>
        <w:tc>
          <w:tcPr>
            <w:tcW w:w="1623" w:type="pct"/>
            <w:vAlign w:val="center"/>
          </w:tcPr>
          <w:p>
            <w:pPr>
              <w:pStyle w:val="63"/>
            </w:pPr>
            <w:r>
              <w:t>升降机</w:t>
            </w:r>
          </w:p>
        </w:tc>
        <w:tc>
          <w:tcPr>
            <w:tcW w:w="1673" w:type="pct"/>
            <w:vAlign w:val="center"/>
          </w:tcPr>
          <w:p>
            <w:pPr>
              <w:pStyle w:val="63"/>
            </w:pPr>
            <w:r>
              <w:t>85</w:t>
            </w:r>
          </w:p>
        </w:tc>
      </w:tr>
    </w:tbl>
    <w:p>
      <w:pPr>
        <w:ind w:firstLine="480"/>
        <w:sectPr>
          <w:headerReference r:id="rId24" w:type="default"/>
          <w:headerReference r:id="rId25" w:type="even"/>
          <w:footerReference r:id="rId26" w:type="even"/>
          <w:pgSz w:w="11910" w:h="16840"/>
          <w:pgMar w:top="1440" w:right="1800" w:bottom="1440" w:left="1800" w:header="877" w:footer="993" w:gutter="0"/>
          <w:cols w:space="720" w:num="1"/>
          <w:docGrid w:linePitch="326" w:charSpace="0"/>
        </w:sectPr>
      </w:pPr>
    </w:p>
    <w:p>
      <w:pPr>
        <w:pStyle w:val="4"/>
      </w:pPr>
      <w:bookmarkStart w:id="506" w:name="_Toc146091954"/>
      <w:r>
        <w:t>6.1.4 固体废物污染源</w:t>
      </w:r>
      <w:bookmarkEnd w:id="506"/>
    </w:p>
    <w:p>
      <w:pPr>
        <w:spacing w:line="360" w:lineRule="auto"/>
        <w:ind w:firstLine="480" w:firstLineChars="200"/>
      </w:pPr>
      <w:r>
        <w:t>园内的固体废物主要为生活垃圾、一般工业固体废物及危险废物。固体废物分类、来源和主要组成物见下表。</w:t>
      </w:r>
    </w:p>
    <w:p>
      <w:pPr>
        <w:spacing w:line="360" w:lineRule="auto"/>
        <w:ind w:firstLine="480" w:firstLineChars="200"/>
      </w:pPr>
      <w:r>
        <w:fldChar w:fldCharType="begin"/>
      </w:r>
      <w:r>
        <w:instrText xml:space="preserve"> = 1 \* GB3 </w:instrText>
      </w:r>
      <w:r>
        <w:fldChar w:fldCharType="separate"/>
      </w:r>
      <w:r>
        <w:rPr>
          <w:rFonts w:hint="eastAsia"/>
        </w:rPr>
        <w:t>①</w:t>
      </w:r>
      <w:r>
        <w:fldChar w:fldCharType="end"/>
      </w:r>
      <w:r>
        <w:t>生活垃圾：园区办公及服务区生活产生的垃圾，食物垃圾、纸屑、塑料、废旧生活杂用品等；</w:t>
      </w:r>
    </w:p>
    <w:p>
      <w:pPr>
        <w:spacing w:line="360" w:lineRule="auto"/>
        <w:ind w:firstLine="480" w:firstLineChars="200"/>
      </w:pPr>
      <w:r>
        <w:fldChar w:fldCharType="begin"/>
      </w:r>
      <w:r>
        <w:instrText xml:space="preserve"> = 2 \* GB3 </w:instrText>
      </w:r>
      <w:r>
        <w:fldChar w:fldCharType="separate"/>
      </w:r>
      <w:r>
        <w:rPr>
          <w:rFonts w:hint="eastAsia"/>
        </w:rPr>
        <w:t>②</w:t>
      </w:r>
      <w:r>
        <w:fldChar w:fldCharType="end"/>
      </w:r>
      <w:r>
        <w:t>一般工业固废：主要为边角余料、废包装材料、废渣等；</w:t>
      </w:r>
    </w:p>
    <w:p>
      <w:pPr>
        <w:spacing w:line="360" w:lineRule="auto"/>
        <w:ind w:firstLine="480" w:firstLineChars="200"/>
      </w:pPr>
      <w:r>
        <w:fldChar w:fldCharType="begin"/>
      </w:r>
      <w:r>
        <w:instrText xml:space="preserve"> = 3 \* GB3 </w:instrText>
      </w:r>
      <w:r>
        <w:fldChar w:fldCharType="separate"/>
      </w:r>
      <w:r>
        <w:rPr>
          <w:rFonts w:hint="eastAsia"/>
        </w:rPr>
        <w:t>③</w:t>
      </w:r>
      <w:r>
        <w:fldChar w:fldCharType="end"/>
      </w:r>
      <w:r>
        <w:t>危险废物：主要为废渣、废酸碱、废涂料、废活性炭、含油抹布、废乳化油、废润滑油、废吸附剂、部分企业废水处理污泥和杂盐、精馏残渣、焚烧炉渣、焚烧飞灰等。</w:t>
      </w:r>
    </w:p>
    <w:p>
      <w:pPr>
        <w:spacing w:line="360" w:lineRule="auto"/>
        <w:ind w:firstLine="480" w:firstLineChars="200"/>
      </w:pPr>
      <w:r>
        <w:rPr>
          <w:rFonts w:hint="eastAsia"/>
        </w:rPr>
        <w:t>（1</w:t>
      </w:r>
      <w:r>
        <w:t>）</w:t>
      </w:r>
      <w:r>
        <w:rPr>
          <w:rFonts w:hint="eastAsia"/>
        </w:rPr>
        <w:t>生活</w:t>
      </w:r>
      <w:r>
        <w:t>垃圾</w:t>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临湘高新区</w:t>
      </w:r>
      <w:r>
        <w:rPr>
          <w:color w:val="000000" w:themeColor="text1"/>
          <w14:textFill>
            <w14:solidFill>
              <w14:schemeClr w14:val="tx1"/>
            </w14:solidFill>
          </w14:textFill>
        </w:rPr>
        <w:t>规划人口约0.32万人，人均生活垃圾产生量按0.5kg/（人·d）估算，则汝城经开区生活垃圾产生量约584吨/年。</w:t>
      </w:r>
    </w:p>
    <w:p>
      <w:pPr>
        <w:spacing w:line="360" w:lineRule="auto"/>
        <w:ind w:firstLine="480" w:firstLineChars="200"/>
      </w:pPr>
      <w:r>
        <w:rPr>
          <w:rFonts w:hint="eastAsia"/>
        </w:rPr>
        <w:t>（2</w:t>
      </w:r>
      <w:r>
        <w:t>）</w:t>
      </w:r>
      <w:r>
        <w:rPr>
          <w:rFonts w:hint="eastAsia"/>
        </w:rPr>
        <w:t>工业</w:t>
      </w:r>
      <w:r>
        <w:t>固废</w:t>
      </w:r>
    </w:p>
    <w:p>
      <w:pPr>
        <w:spacing w:line="360" w:lineRule="auto"/>
        <w:ind w:firstLine="480" w:firstLineChars="200"/>
      </w:pPr>
      <w:r>
        <w:t>本次评价</w:t>
      </w:r>
      <w:r>
        <w:rPr>
          <w:rFonts w:hint="eastAsia"/>
        </w:rPr>
        <w:t>工业</w:t>
      </w:r>
      <w:r>
        <w:t>固废产</w:t>
      </w:r>
      <w:r>
        <w:rPr>
          <w:rFonts w:hint="eastAsia"/>
        </w:rPr>
        <w:t>生</w:t>
      </w:r>
      <w:r>
        <w:t>量预测采用“面积×排污系数F”，F值由</w:t>
      </w:r>
      <w:r>
        <w:rPr>
          <w:rFonts w:hint="eastAsia"/>
        </w:rPr>
        <w:t>根据</w:t>
      </w:r>
      <w:r>
        <w:t>同类型项目污染源核算出来。</w:t>
      </w:r>
    </w:p>
    <w:p>
      <w:pPr>
        <w:pStyle w:val="6"/>
      </w:pPr>
      <w:r>
        <w:rPr>
          <w:rFonts w:hint="eastAsia"/>
        </w:rPr>
        <w:t>表6.</w:t>
      </w:r>
      <w:r>
        <w:t>1-21</w:t>
      </w:r>
      <w:r>
        <w:rPr>
          <w:rFonts w:hint="eastAsia"/>
        </w:rPr>
        <w:t xml:space="preserve">  滨江片区中非工贸产业园工业固废产生系数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gridCol w:w="4182"/>
        <w:gridCol w:w="2583"/>
        <w:gridCol w:w="2217"/>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19" w:type="pct"/>
            <w:vAlign w:val="center"/>
          </w:tcPr>
          <w:p>
            <w:pPr>
              <w:pStyle w:val="63"/>
            </w:pPr>
            <w:r>
              <w:rPr>
                <w:rFonts w:hint="eastAsia"/>
              </w:rPr>
              <w:t>企业名称</w:t>
            </w:r>
          </w:p>
        </w:tc>
        <w:tc>
          <w:tcPr>
            <w:tcW w:w="1475" w:type="pct"/>
            <w:vAlign w:val="center"/>
          </w:tcPr>
          <w:p>
            <w:pPr>
              <w:pStyle w:val="63"/>
            </w:pPr>
            <w:r>
              <w:rPr>
                <w:rFonts w:hint="eastAsia"/>
              </w:rPr>
              <w:t>产品方案</w:t>
            </w:r>
          </w:p>
        </w:tc>
        <w:tc>
          <w:tcPr>
            <w:tcW w:w="911" w:type="pct"/>
            <w:vAlign w:val="center"/>
          </w:tcPr>
          <w:p>
            <w:pPr>
              <w:pStyle w:val="63"/>
            </w:pPr>
            <w:r>
              <w:rPr>
                <w:rFonts w:hint="eastAsia"/>
              </w:rPr>
              <w:t>占地面积（m2）</w:t>
            </w:r>
          </w:p>
        </w:tc>
        <w:tc>
          <w:tcPr>
            <w:tcW w:w="782" w:type="pct"/>
            <w:vAlign w:val="center"/>
          </w:tcPr>
          <w:p>
            <w:pPr>
              <w:pStyle w:val="63"/>
            </w:pPr>
            <w:r>
              <w:rPr>
                <w:rFonts w:hint="eastAsia"/>
              </w:rPr>
              <w:t>一般固废</w:t>
            </w:r>
          </w:p>
        </w:tc>
        <w:tc>
          <w:tcPr>
            <w:tcW w:w="713" w:type="pct"/>
            <w:vAlign w:val="center"/>
          </w:tcPr>
          <w:p>
            <w:pPr>
              <w:pStyle w:val="63"/>
            </w:pPr>
            <w:r>
              <w:rPr>
                <w:rFonts w:hint="eastAsia"/>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湖南誉湘农业科技开发有限公司</w:t>
            </w:r>
          </w:p>
        </w:tc>
        <w:tc>
          <w:tcPr>
            <w:tcW w:w="1475" w:type="pct"/>
            <w:vAlign w:val="center"/>
          </w:tcPr>
          <w:p>
            <w:pPr>
              <w:pStyle w:val="63"/>
            </w:pPr>
            <w:r>
              <w:rPr>
                <w:rFonts w:hint="eastAsia"/>
              </w:rPr>
              <w:t>50t/a辣椒酱、120t/a甜酒、20t/a粽子</w:t>
            </w:r>
          </w:p>
        </w:tc>
        <w:tc>
          <w:tcPr>
            <w:tcW w:w="911" w:type="pct"/>
            <w:vAlign w:val="center"/>
          </w:tcPr>
          <w:p>
            <w:pPr>
              <w:pStyle w:val="63"/>
            </w:pPr>
            <w:r>
              <w:rPr>
                <w:rFonts w:hint="eastAsia"/>
              </w:rPr>
              <w:t>5000</w:t>
            </w:r>
          </w:p>
        </w:tc>
        <w:tc>
          <w:tcPr>
            <w:tcW w:w="782" w:type="pct"/>
            <w:vAlign w:val="center"/>
          </w:tcPr>
          <w:p>
            <w:pPr>
              <w:pStyle w:val="63"/>
            </w:pPr>
            <w:r>
              <w:rPr>
                <w:rFonts w:hint="eastAsia"/>
              </w:rPr>
              <w:t>1.95</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湖南贤哥食品有限公司</w:t>
            </w:r>
          </w:p>
        </w:tc>
        <w:tc>
          <w:tcPr>
            <w:tcW w:w="1475" w:type="pct"/>
            <w:vAlign w:val="center"/>
          </w:tcPr>
          <w:p>
            <w:pPr>
              <w:pStyle w:val="63"/>
            </w:pPr>
            <w:r>
              <w:rPr>
                <w:rFonts w:hint="eastAsia"/>
              </w:rPr>
              <w:t>年产8000吨休闲食品</w:t>
            </w:r>
          </w:p>
        </w:tc>
        <w:tc>
          <w:tcPr>
            <w:tcW w:w="911" w:type="pct"/>
            <w:vAlign w:val="center"/>
          </w:tcPr>
          <w:p>
            <w:pPr>
              <w:pStyle w:val="63"/>
            </w:pPr>
            <w:r>
              <w:rPr>
                <w:rFonts w:hint="eastAsia"/>
              </w:rPr>
              <w:t>3000</w:t>
            </w:r>
          </w:p>
        </w:tc>
        <w:tc>
          <w:tcPr>
            <w:tcW w:w="782" w:type="pct"/>
            <w:vAlign w:val="center"/>
          </w:tcPr>
          <w:p>
            <w:pPr>
              <w:pStyle w:val="63"/>
            </w:pPr>
            <w:r>
              <w:rPr>
                <w:rFonts w:hint="eastAsia"/>
              </w:rPr>
              <w:t>10.10</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湖南俊美食品有限公司</w:t>
            </w:r>
          </w:p>
        </w:tc>
        <w:tc>
          <w:tcPr>
            <w:tcW w:w="1475" w:type="pct"/>
            <w:vAlign w:val="center"/>
          </w:tcPr>
          <w:p>
            <w:pPr>
              <w:pStyle w:val="63"/>
            </w:pPr>
            <w:r>
              <w:rPr>
                <w:rFonts w:hint="eastAsia"/>
              </w:rPr>
              <w:t>年产500吨鱼制品和500吨肉制品</w:t>
            </w:r>
          </w:p>
        </w:tc>
        <w:tc>
          <w:tcPr>
            <w:tcW w:w="911" w:type="pct"/>
            <w:vAlign w:val="center"/>
          </w:tcPr>
          <w:p>
            <w:pPr>
              <w:pStyle w:val="63"/>
            </w:pPr>
            <w:r>
              <w:rPr>
                <w:rFonts w:hint="eastAsia"/>
              </w:rPr>
              <w:t>3680</w:t>
            </w:r>
          </w:p>
        </w:tc>
        <w:tc>
          <w:tcPr>
            <w:tcW w:w="782" w:type="pct"/>
            <w:vAlign w:val="center"/>
          </w:tcPr>
          <w:p>
            <w:pPr>
              <w:pStyle w:val="63"/>
            </w:pPr>
            <w:r>
              <w:rPr>
                <w:rFonts w:hint="eastAsia"/>
              </w:rPr>
              <w:t>15.60</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平江本味食品有限公司</w:t>
            </w:r>
          </w:p>
        </w:tc>
        <w:tc>
          <w:tcPr>
            <w:tcW w:w="1475" w:type="pct"/>
            <w:vAlign w:val="center"/>
          </w:tcPr>
          <w:p>
            <w:pPr>
              <w:pStyle w:val="63"/>
            </w:pPr>
            <w:r>
              <w:rPr>
                <w:rFonts w:hint="eastAsia"/>
              </w:rPr>
              <w:t>年生产2000吨挤压糕点</w:t>
            </w:r>
          </w:p>
        </w:tc>
        <w:tc>
          <w:tcPr>
            <w:tcW w:w="911" w:type="pct"/>
            <w:vAlign w:val="center"/>
          </w:tcPr>
          <w:p>
            <w:pPr>
              <w:pStyle w:val="63"/>
            </w:pPr>
            <w:r>
              <w:rPr>
                <w:rFonts w:hint="eastAsia"/>
              </w:rPr>
              <w:t>2873</w:t>
            </w:r>
          </w:p>
        </w:tc>
        <w:tc>
          <w:tcPr>
            <w:tcW w:w="782" w:type="pct"/>
            <w:vAlign w:val="center"/>
          </w:tcPr>
          <w:p>
            <w:pPr>
              <w:pStyle w:val="63"/>
            </w:pPr>
            <w:r>
              <w:rPr>
                <w:rFonts w:hint="eastAsia"/>
              </w:rPr>
              <w:t>15.00</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湖南省原本记忆食品有限公司</w:t>
            </w:r>
          </w:p>
        </w:tc>
        <w:tc>
          <w:tcPr>
            <w:tcW w:w="1475" w:type="pct"/>
            <w:vAlign w:val="center"/>
          </w:tcPr>
          <w:p>
            <w:pPr>
              <w:pStyle w:val="63"/>
            </w:pPr>
            <w:r>
              <w:rPr>
                <w:rFonts w:hint="eastAsia"/>
              </w:rPr>
              <w:t>年产3500吨豆制品</w:t>
            </w:r>
          </w:p>
        </w:tc>
        <w:tc>
          <w:tcPr>
            <w:tcW w:w="911" w:type="pct"/>
            <w:vAlign w:val="center"/>
          </w:tcPr>
          <w:p>
            <w:pPr>
              <w:pStyle w:val="63"/>
            </w:pPr>
            <w:r>
              <w:rPr>
                <w:rFonts w:hint="eastAsia"/>
              </w:rPr>
              <w:t>1888</w:t>
            </w:r>
          </w:p>
        </w:tc>
        <w:tc>
          <w:tcPr>
            <w:tcW w:w="782" w:type="pct"/>
            <w:vAlign w:val="center"/>
          </w:tcPr>
          <w:p>
            <w:pPr>
              <w:pStyle w:val="63"/>
            </w:pPr>
            <w:r>
              <w:rPr>
                <w:rFonts w:hint="eastAsia"/>
              </w:rPr>
              <w:t>4321.20</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岳阳市昊昌食品科技有限公司</w:t>
            </w:r>
          </w:p>
        </w:tc>
        <w:tc>
          <w:tcPr>
            <w:tcW w:w="1475" w:type="pct"/>
            <w:vAlign w:val="center"/>
          </w:tcPr>
          <w:p>
            <w:pPr>
              <w:pStyle w:val="63"/>
            </w:pPr>
            <w:r>
              <w:rPr>
                <w:rFonts w:hint="eastAsia"/>
              </w:rPr>
              <w:t>年产3000t膨化食品</w:t>
            </w:r>
          </w:p>
        </w:tc>
        <w:tc>
          <w:tcPr>
            <w:tcW w:w="911" w:type="pct"/>
            <w:vAlign w:val="center"/>
          </w:tcPr>
          <w:p>
            <w:pPr>
              <w:pStyle w:val="63"/>
            </w:pPr>
            <w:r>
              <w:rPr>
                <w:rFonts w:hint="eastAsia"/>
              </w:rPr>
              <w:t>16385</w:t>
            </w:r>
          </w:p>
        </w:tc>
        <w:tc>
          <w:tcPr>
            <w:tcW w:w="782" w:type="pct"/>
            <w:vAlign w:val="center"/>
          </w:tcPr>
          <w:p>
            <w:pPr>
              <w:pStyle w:val="63"/>
            </w:pPr>
            <w:r>
              <w:rPr>
                <w:rFonts w:hint="eastAsia"/>
              </w:rPr>
              <w:t>32.10</w:t>
            </w:r>
          </w:p>
        </w:tc>
        <w:tc>
          <w:tcPr>
            <w:tcW w:w="713" w:type="pct"/>
            <w:vAlign w:val="center"/>
          </w:tcPr>
          <w:p>
            <w:pPr>
              <w:pStyle w:val="63"/>
            </w:pPr>
            <w:r>
              <w:rPr>
                <w:rFonts w:hint="eastAsia"/>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19" w:type="pct"/>
            <w:vAlign w:val="center"/>
          </w:tcPr>
          <w:p>
            <w:pPr>
              <w:pStyle w:val="63"/>
            </w:pPr>
            <w:r>
              <w:rPr>
                <w:rFonts w:hint="eastAsia"/>
              </w:rPr>
              <w:t>湖南省俏嘴巴食品有限公司</w:t>
            </w:r>
          </w:p>
        </w:tc>
        <w:tc>
          <w:tcPr>
            <w:tcW w:w="1475" w:type="pct"/>
            <w:vAlign w:val="center"/>
          </w:tcPr>
          <w:p>
            <w:pPr>
              <w:pStyle w:val="63"/>
            </w:pPr>
            <w:r>
              <w:rPr>
                <w:rFonts w:hint="eastAsia"/>
              </w:rPr>
              <w:t>年产1500吨肉制品、1500吨鱼制品、1000吨豆制品、1500吨蔬菜制品及2500吨调味面制品食品</w:t>
            </w:r>
          </w:p>
        </w:tc>
        <w:tc>
          <w:tcPr>
            <w:tcW w:w="911" w:type="pct"/>
            <w:vAlign w:val="center"/>
          </w:tcPr>
          <w:p>
            <w:pPr>
              <w:pStyle w:val="63"/>
            </w:pPr>
            <w:r>
              <w:rPr>
                <w:rFonts w:hint="eastAsia"/>
              </w:rPr>
              <w:t>30250</w:t>
            </w:r>
          </w:p>
        </w:tc>
        <w:tc>
          <w:tcPr>
            <w:tcW w:w="782" w:type="pct"/>
            <w:vAlign w:val="center"/>
          </w:tcPr>
          <w:p>
            <w:pPr>
              <w:pStyle w:val="63"/>
            </w:pPr>
            <w:r>
              <w:rPr>
                <w:rFonts w:hint="eastAsia"/>
              </w:rPr>
              <w:t>173.50</w:t>
            </w:r>
          </w:p>
        </w:tc>
        <w:tc>
          <w:tcPr>
            <w:tcW w:w="713" w:type="pct"/>
            <w:vAlign w:val="center"/>
          </w:tcPr>
          <w:p>
            <w:pPr>
              <w:pStyle w:val="63"/>
            </w:pPr>
            <w:r>
              <w:rPr>
                <w:rFonts w:hint="eastAsia"/>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广西璞悦粮油食品有限公司</w:t>
            </w:r>
          </w:p>
        </w:tc>
        <w:tc>
          <w:tcPr>
            <w:tcW w:w="1475" w:type="pct"/>
            <w:vAlign w:val="center"/>
          </w:tcPr>
          <w:p>
            <w:pPr>
              <w:pStyle w:val="63"/>
            </w:pPr>
            <w:r>
              <w:rPr>
                <w:rFonts w:hint="eastAsia"/>
              </w:rPr>
              <w:t>年产花生油3600t/a</w:t>
            </w:r>
          </w:p>
        </w:tc>
        <w:tc>
          <w:tcPr>
            <w:tcW w:w="911" w:type="pct"/>
            <w:vAlign w:val="center"/>
          </w:tcPr>
          <w:p>
            <w:pPr>
              <w:pStyle w:val="63"/>
            </w:pPr>
            <w:r>
              <w:rPr>
                <w:rFonts w:hint="eastAsia"/>
              </w:rPr>
              <w:t>3400</w:t>
            </w:r>
          </w:p>
        </w:tc>
        <w:tc>
          <w:tcPr>
            <w:tcW w:w="782" w:type="pct"/>
            <w:vAlign w:val="center"/>
          </w:tcPr>
          <w:p>
            <w:pPr>
              <w:pStyle w:val="63"/>
            </w:pPr>
            <w:r>
              <w:rPr>
                <w:rFonts w:hint="eastAsia"/>
              </w:rPr>
              <w:t>5.54</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湖南山润油茶科技发展有限公司</w:t>
            </w:r>
          </w:p>
        </w:tc>
        <w:tc>
          <w:tcPr>
            <w:tcW w:w="1475" w:type="pct"/>
            <w:vAlign w:val="center"/>
          </w:tcPr>
          <w:p>
            <w:pPr>
              <w:pStyle w:val="63"/>
            </w:pPr>
            <w:r>
              <w:rPr>
                <w:rFonts w:hint="eastAsia"/>
              </w:rPr>
              <w:t>干茶油籽2500t/a、水法炼茶油10000t/a、茶皂素2640t/a</w:t>
            </w:r>
          </w:p>
        </w:tc>
        <w:tc>
          <w:tcPr>
            <w:tcW w:w="911" w:type="pct"/>
            <w:vAlign w:val="center"/>
          </w:tcPr>
          <w:p>
            <w:pPr>
              <w:pStyle w:val="63"/>
            </w:pPr>
            <w:r>
              <w:rPr>
                <w:rFonts w:hint="eastAsia"/>
              </w:rPr>
              <w:t>21239</w:t>
            </w:r>
          </w:p>
        </w:tc>
        <w:tc>
          <w:tcPr>
            <w:tcW w:w="782" w:type="pct"/>
            <w:vAlign w:val="center"/>
          </w:tcPr>
          <w:p>
            <w:pPr>
              <w:pStyle w:val="63"/>
            </w:pPr>
            <w:r>
              <w:rPr>
                <w:rFonts w:hint="eastAsia"/>
              </w:rPr>
              <w:t>28048.50</w:t>
            </w:r>
          </w:p>
        </w:tc>
        <w:tc>
          <w:tcPr>
            <w:tcW w:w="713" w:type="pct"/>
            <w:vAlign w:val="center"/>
          </w:tcPr>
          <w:p>
            <w:pPr>
              <w:pStyle w:val="63"/>
            </w:pPr>
            <w:r>
              <w:rPr>
                <w:rFonts w:hint="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湖南九丰农业发展有限公司</w:t>
            </w:r>
          </w:p>
        </w:tc>
        <w:tc>
          <w:tcPr>
            <w:tcW w:w="1475" w:type="pct"/>
            <w:vAlign w:val="center"/>
          </w:tcPr>
          <w:p>
            <w:pPr>
              <w:pStyle w:val="63"/>
            </w:pPr>
            <w:r>
              <w:rPr>
                <w:rFonts w:hint="eastAsia"/>
              </w:rPr>
              <w:t>年产1000吨浓香菜籽油</w:t>
            </w:r>
          </w:p>
        </w:tc>
        <w:tc>
          <w:tcPr>
            <w:tcW w:w="911" w:type="pct"/>
            <w:vAlign w:val="center"/>
          </w:tcPr>
          <w:p>
            <w:pPr>
              <w:pStyle w:val="63"/>
            </w:pPr>
            <w:r>
              <w:rPr>
                <w:rFonts w:hint="eastAsia"/>
              </w:rPr>
              <w:t>1200</w:t>
            </w:r>
          </w:p>
        </w:tc>
        <w:tc>
          <w:tcPr>
            <w:tcW w:w="782" w:type="pct"/>
            <w:vAlign w:val="center"/>
          </w:tcPr>
          <w:p>
            <w:pPr>
              <w:pStyle w:val="63"/>
            </w:pPr>
            <w:r>
              <w:rPr>
                <w:rFonts w:hint="eastAsia"/>
              </w:rPr>
              <w:t>16.39</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临湘市创兴生物科技有限公司</w:t>
            </w:r>
          </w:p>
        </w:tc>
        <w:tc>
          <w:tcPr>
            <w:tcW w:w="1475" w:type="pct"/>
            <w:vAlign w:val="center"/>
          </w:tcPr>
          <w:p>
            <w:pPr>
              <w:pStyle w:val="63"/>
            </w:pPr>
            <w:r>
              <w:rPr>
                <w:rFonts w:hint="eastAsia"/>
              </w:rPr>
              <w:t>年产3万m3竹胶板及废弃竹木屑综合利用</w:t>
            </w:r>
          </w:p>
        </w:tc>
        <w:tc>
          <w:tcPr>
            <w:tcW w:w="911" w:type="pct"/>
            <w:vAlign w:val="center"/>
          </w:tcPr>
          <w:p>
            <w:pPr>
              <w:pStyle w:val="63"/>
            </w:pPr>
            <w:r>
              <w:rPr>
                <w:rFonts w:hint="eastAsia"/>
              </w:rPr>
              <w:t>8700</w:t>
            </w:r>
          </w:p>
        </w:tc>
        <w:tc>
          <w:tcPr>
            <w:tcW w:w="782" w:type="pct"/>
            <w:vAlign w:val="center"/>
          </w:tcPr>
          <w:p>
            <w:pPr>
              <w:pStyle w:val="63"/>
            </w:pPr>
            <w:r>
              <w:rPr>
                <w:rFonts w:hint="eastAsia"/>
              </w:rPr>
              <w:t>2811.58</w:t>
            </w:r>
          </w:p>
        </w:tc>
        <w:tc>
          <w:tcPr>
            <w:tcW w:w="713" w:type="pct"/>
            <w:vAlign w:val="center"/>
          </w:tcPr>
          <w:p>
            <w:pPr>
              <w:pStyle w:val="63"/>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临湘市孟氏盛世竹木制品有限公司</w:t>
            </w:r>
          </w:p>
        </w:tc>
        <w:tc>
          <w:tcPr>
            <w:tcW w:w="1475" w:type="pct"/>
            <w:vAlign w:val="center"/>
          </w:tcPr>
          <w:p>
            <w:pPr>
              <w:pStyle w:val="63"/>
            </w:pPr>
            <w:r>
              <w:rPr>
                <w:rFonts w:hint="eastAsia"/>
              </w:rPr>
              <w:t>年产20万件竹木制品</w:t>
            </w:r>
          </w:p>
        </w:tc>
        <w:tc>
          <w:tcPr>
            <w:tcW w:w="911" w:type="pct"/>
            <w:vAlign w:val="center"/>
          </w:tcPr>
          <w:p>
            <w:pPr>
              <w:pStyle w:val="63"/>
            </w:pPr>
            <w:r>
              <w:rPr>
                <w:rFonts w:hint="eastAsia"/>
              </w:rPr>
              <w:t>8702</w:t>
            </w:r>
          </w:p>
        </w:tc>
        <w:tc>
          <w:tcPr>
            <w:tcW w:w="782" w:type="pct"/>
            <w:vAlign w:val="center"/>
          </w:tcPr>
          <w:p>
            <w:pPr>
              <w:pStyle w:val="63"/>
            </w:pPr>
            <w:r>
              <w:rPr>
                <w:rFonts w:hint="eastAsia"/>
              </w:rPr>
              <w:t>6.46</w:t>
            </w:r>
          </w:p>
        </w:tc>
        <w:tc>
          <w:tcPr>
            <w:tcW w:w="713" w:type="pct"/>
            <w:vAlign w:val="center"/>
          </w:tcPr>
          <w:p>
            <w:pPr>
              <w:pStyle w:val="63"/>
            </w:pPr>
            <w:r>
              <w:rPr>
                <w:rFonts w:hint="eastAsia"/>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湘潭县双江竹木制品厂</w:t>
            </w:r>
          </w:p>
        </w:tc>
        <w:tc>
          <w:tcPr>
            <w:tcW w:w="1475" w:type="pct"/>
            <w:vAlign w:val="center"/>
          </w:tcPr>
          <w:p>
            <w:pPr>
              <w:pStyle w:val="63"/>
            </w:pPr>
            <w:r>
              <w:rPr>
                <w:rFonts w:hint="eastAsia"/>
              </w:rPr>
              <w:t>年产4万套竹木家具</w:t>
            </w:r>
          </w:p>
        </w:tc>
        <w:tc>
          <w:tcPr>
            <w:tcW w:w="911" w:type="pct"/>
            <w:vAlign w:val="center"/>
          </w:tcPr>
          <w:p>
            <w:pPr>
              <w:pStyle w:val="63"/>
            </w:pPr>
            <w:r>
              <w:rPr>
                <w:rFonts w:hint="eastAsia"/>
              </w:rPr>
              <w:t>5600</w:t>
            </w:r>
          </w:p>
        </w:tc>
        <w:tc>
          <w:tcPr>
            <w:tcW w:w="782" w:type="pct"/>
            <w:vAlign w:val="center"/>
          </w:tcPr>
          <w:p>
            <w:pPr>
              <w:pStyle w:val="63"/>
            </w:pPr>
            <w:r>
              <w:rPr>
                <w:rFonts w:hint="eastAsia"/>
              </w:rPr>
              <w:t>200.08</w:t>
            </w:r>
          </w:p>
        </w:tc>
        <w:tc>
          <w:tcPr>
            <w:tcW w:w="713" w:type="pct"/>
            <w:vAlign w:val="center"/>
          </w:tcPr>
          <w:p>
            <w:pPr>
              <w:pStyle w:val="63"/>
            </w:pPr>
            <w:r>
              <w:rPr>
                <w:rFonts w:hint="eastAsia"/>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长沙鼎盛重工科技有限公司</w:t>
            </w:r>
          </w:p>
        </w:tc>
        <w:tc>
          <w:tcPr>
            <w:tcW w:w="1475" w:type="pct"/>
            <w:vAlign w:val="center"/>
          </w:tcPr>
          <w:p>
            <w:pPr>
              <w:pStyle w:val="63"/>
            </w:pPr>
            <w:r>
              <w:rPr>
                <w:rFonts w:hint="eastAsia"/>
              </w:rPr>
              <w:t>每年3万吨钢构件、0.8万吨风电塔筒</w:t>
            </w:r>
          </w:p>
        </w:tc>
        <w:tc>
          <w:tcPr>
            <w:tcW w:w="911" w:type="pct"/>
            <w:vAlign w:val="center"/>
          </w:tcPr>
          <w:p>
            <w:pPr>
              <w:pStyle w:val="63"/>
            </w:pPr>
            <w:r>
              <w:rPr>
                <w:rFonts w:hint="eastAsia"/>
              </w:rPr>
              <w:t>104360</w:t>
            </w:r>
          </w:p>
        </w:tc>
        <w:tc>
          <w:tcPr>
            <w:tcW w:w="782" w:type="pct"/>
            <w:vAlign w:val="center"/>
          </w:tcPr>
          <w:p>
            <w:pPr>
              <w:pStyle w:val="63"/>
            </w:pPr>
            <w:r>
              <w:rPr>
                <w:rFonts w:hint="eastAsia"/>
              </w:rPr>
              <w:t>0.00</w:t>
            </w:r>
          </w:p>
        </w:tc>
        <w:tc>
          <w:tcPr>
            <w:tcW w:w="713" w:type="pct"/>
            <w:vAlign w:val="center"/>
          </w:tcPr>
          <w:p>
            <w:pPr>
              <w:pStyle w:val="63"/>
            </w:pPr>
            <w:r>
              <w:rPr>
                <w:rFonts w:hint="eastAsia"/>
              </w:rPr>
              <w:t>17.23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湖南华构筑工建设有限公司</w:t>
            </w:r>
          </w:p>
        </w:tc>
        <w:tc>
          <w:tcPr>
            <w:tcW w:w="1475" w:type="pct"/>
            <w:vAlign w:val="center"/>
          </w:tcPr>
          <w:p>
            <w:pPr>
              <w:pStyle w:val="63"/>
            </w:pPr>
            <w:r>
              <w:rPr>
                <w:rFonts w:hint="eastAsia"/>
              </w:rPr>
              <w:t>预制叠合楼板、楼梯20000立方</w:t>
            </w:r>
          </w:p>
        </w:tc>
        <w:tc>
          <w:tcPr>
            <w:tcW w:w="911" w:type="pct"/>
            <w:vAlign w:val="center"/>
          </w:tcPr>
          <w:p>
            <w:pPr>
              <w:pStyle w:val="63"/>
            </w:pPr>
            <w:r>
              <w:t>8000</w:t>
            </w:r>
          </w:p>
        </w:tc>
        <w:tc>
          <w:tcPr>
            <w:tcW w:w="782" w:type="pct"/>
            <w:vAlign w:val="center"/>
          </w:tcPr>
          <w:p>
            <w:pPr>
              <w:pStyle w:val="63"/>
            </w:pPr>
            <w:r>
              <w:rPr>
                <w:rFonts w:hint="eastAsia"/>
              </w:rPr>
              <w:t>16.33</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湖南金鑫建筑科技有限公司</w:t>
            </w:r>
          </w:p>
        </w:tc>
        <w:tc>
          <w:tcPr>
            <w:tcW w:w="1475" w:type="pct"/>
            <w:vAlign w:val="center"/>
          </w:tcPr>
          <w:p>
            <w:pPr>
              <w:pStyle w:val="63"/>
            </w:pPr>
            <w:r>
              <w:rPr>
                <w:rFonts w:hint="eastAsia"/>
              </w:rPr>
              <w:t>5万方的综合管廊和装配式预制PC构件</w:t>
            </w:r>
          </w:p>
        </w:tc>
        <w:tc>
          <w:tcPr>
            <w:tcW w:w="911" w:type="pct"/>
            <w:vAlign w:val="center"/>
          </w:tcPr>
          <w:p>
            <w:pPr>
              <w:pStyle w:val="63"/>
            </w:pPr>
            <w:r>
              <w:rPr>
                <w:rFonts w:hint="eastAsia"/>
              </w:rPr>
              <w:t>24000</w:t>
            </w:r>
          </w:p>
        </w:tc>
        <w:tc>
          <w:tcPr>
            <w:tcW w:w="782" w:type="pct"/>
            <w:vAlign w:val="center"/>
          </w:tcPr>
          <w:p>
            <w:pPr>
              <w:pStyle w:val="63"/>
            </w:pPr>
            <w:r>
              <w:rPr>
                <w:rFonts w:hint="eastAsia"/>
              </w:rPr>
              <w:t>1211.50</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湖南强恒装配式建筑工程有限公司</w:t>
            </w:r>
          </w:p>
        </w:tc>
        <w:tc>
          <w:tcPr>
            <w:tcW w:w="1475" w:type="pct"/>
            <w:vAlign w:val="center"/>
          </w:tcPr>
          <w:p>
            <w:pPr>
              <w:pStyle w:val="63"/>
            </w:pPr>
            <w:r>
              <w:rPr>
                <w:rFonts w:hint="eastAsia"/>
              </w:rPr>
              <w:t>建筑工程装配式混凝土预制构件生产</w:t>
            </w:r>
          </w:p>
        </w:tc>
        <w:tc>
          <w:tcPr>
            <w:tcW w:w="911" w:type="pct"/>
            <w:vAlign w:val="center"/>
          </w:tcPr>
          <w:p>
            <w:pPr>
              <w:pStyle w:val="63"/>
            </w:pPr>
            <w:r>
              <w:rPr>
                <w:rFonts w:hint="eastAsia"/>
              </w:rPr>
              <w:t>33335</w:t>
            </w:r>
          </w:p>
        </w:tc>
        <w:tc>
          <w:tcPr>
            <w:tcW w:w="782" w:type="pct"/>
            <w:vAlign w:val="center"/>
          </w:tcPr>
          <w:p>
            <w:pPr>
              <w:pStyle w:val="63"/>
            </w:pPr>
            <w:r>
              <w:rPr>
                <w:rFonts w:hint="eastAsia"/>
              </w:rPr>
              <w:t>15.20</w:t>
            </w:r>
          </w:p>
        </w:tc>
        <w:tc>
          <w:tcPr>
            <w:tcW w:w="713" w:type="pct"/>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美安（福建）实业有限公司</w:t>
            </w:r>
          </w:p>
        </w:tc>
        <w:tc>
          <w:tcPr>
            <w:tcW w:w="1475" w:type="pct"/>
            <w:vAlign w:val="center"/>
          </w:tcPr>
          <w:p>
            <w:pPr>
              <w:pStyle w:val="63"/>
            </w:pPr>
            <w:r>
              <w:rPr>
                <w:rFonts w:hint="eastAsia"/>
              </w:rPr>
              <w:t>年产</w:t>
            </w:r>
            <w:r>
              <w:t>30</w:t>
            </w:r>
            <w:r>
              <w:rPr>
                <w:rFonts w:hint="eastAsia"/>
              </w:rPr>
              <w:t>万平方米微晶石石板材</w:t>
            </w:r>
          </w:p>
        </w:tc>
        <w:tc>
          <w:tcPr>
            <w:tcW w:w="911" w:type="pct"/>
            <w:vAlign w:val="center"/>
          </w:tcPr>
          <w:p>
            <w:pPr>
              <w:pStyle w:val="63"/>
            </w:pPr>
            <w:r>
              <w:rPr>
                <w:rFonts w:hint="eastAsia"/>
              </w:rPr>
              <w:t>12599</w:t>
            </w:r>
          </w:p>
        </w:tc>
        <w:tc>
          <w:tcPr>
            <w:tcW w:w="782" w:type="pct"/>
            <w:vAlign w:val="center"/>
          </w:tcPr>
          <w:p>
            <w:pPr>
              <w:pStyle w:val="63"/>
            </w:pPr>
            <w:r>
              <w:rPr>
                <w:rFonts w:hint="eastAsia"/>
              </w:rPr>
              <w:t>988.00</w:t>
            </w:r>
          </w:p>
        </w:tc>
        <w:tc>
          <w:tcPr>
            <w:tcW w:w="713" w:type="pct"/>
            <w:vAlign w:val="center"/>
          </w:tcPr>
          <w:p>
            <w:pPr>
              <w:pStyle w:val="63"/>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vAlign w:val="center"/>
          </w:tcPr>
          <w:p>
            <w:pPr>
              <w:pStyle w:val="63"/>
            </w:pPr>
            <w:r>
              <w:rPr>
                <w:rFonts w:hint="eastAsia"/>
              </w:rPr>
              <w:t>浙江禾运科技有限公司</w:t>
            </w:r>
          </w:p>
        </w:tc>
        <w:tc>
          <w:tcPr>
            <w:tcW w:w="1475" w:type="pct"/>
            <w:vAlign w:val="center"/>
          </w:tcPr>
          <w:p>
            <w:pPr>
              <w:pStyle w:val="63"/>
            </w:pPr>
            <w:r>
              <w:rPr>
                <w:rFonts w:hint="eastAsia"/>
              </w:rPr>
              <w:t>年产1000万平方米环保微晶石地板</w:t>
            </w:r>
          </w:p>
        </w:tc>
        <w:tc>
          <w:tcPr>
            <w:tcW w:w="911" w:type="pct"/>
            <w:vAlign w:val="center"/>
          </w:tcPr>
          <w:p>
            <w:pPr>
              <w:pStyle w:val="63"/>
            </w:pPr>
            <w:r>
              <w:rPr>
                <w:rFonts w:hint="eastAsia"/>
              </w:rPr>
              <w:t>130955</w:t>
            </w:r>
          </w:p>
        </w:tc>
        <w:tc>
          <w:tcPr>
            <w:tcW w:w="782" w:type="pct"/>
            <w:vAlign w:val="center"/>
          </w:tcPr>
          <w:p>
            <w:pPr>
              <w:pStyle w:val="63"/>
            </w:pPr>
            <w:r>
              <w:rPr>
                <w:rFonts w:hint="eastAsia"/>
              </w:rPr>
              <w:t>202.89</w:t>
            </w:r>
          </w:p>
        </w:tc>
        <w:tc>
          <w:tcPr>
            <w:tcW w:w="713" w:type="pct"/>
            <w:vAlign w:val="center"/>
          </w:tcPr>
          <w:p>
            <w:pPr>
              <w:pStyle w:val="63"/>
            </w:pPr>
            <w:r>
              <w:rPr>
                <w:rFonts w:hint="eastAsia"/>
              </w:rPr>
              <w:t>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19" w:type="pct"/>
            <w:vAlign w:val="center"/>
          </w:tcPr>
          <w:p>
            <w:pPr>
              <w:pStyle w:val="63"/>
            </w:pPr>
            <w:r>
              <w:rPr>
                <w:rFonts w:hint="eastAsia"/>
              </w:rPr>
              <w:t>宜春大千微晶装饰新材料有限公司</w:t>
            </w:r>
          </w:p>
        </w:tc>
        <w:tc>
          <w:tcPr>
            <w:tcW w:w="1475" w:type="pct"/>
            <w:vAlign w:val="center"/>
          </w:tcPr>
          <w:p>
            <w:pPr>
              <w:pStyle w:val="63"/>
            </w:pPr>
            <w:r>
              <w:rPr>
                <w:rFonts w:hint="eastAsia"/>
              </w:rPr>
              <w:t>年产48万m2微晶石奢石</w:t>
            </w:r>
          </w:p>
        </w:tc>
        <w:tc>
          <w:tcPr>
            <w:tcW w:w="911" w:type="pct"/>
            <w:vAlign w:val="center"/>
          </w:tcPr>
          <w:p>
            <w:pPr>
              <w:pStyle w:val="63"/>
            </w:pPr>
            <w:r>
              <w:rPr>
                <w:rFonts w:hint="eastAsia"/>
              </w:rPr>
              <w:t>7000</w:t>
            </w:r>
          </w:p>
        </w:tc>
        <w:tc>
          <w:tcPr>
            <w:tcW w:w="782" w:type="pct"/>
            <w:vAlign w:val="center"/>
          </w:tcPr>
          <w:p>
            <w:pPr>
              <w:pStyle w:val="63"/>
            </w:pPr>
            <w:r>
              <w:rPr>
                <w:rFonts w:hint="eastAsia"/>
              </w:rPr>
              <w:t>95.475</w:t>
            </w:r>
          </w:p>
        </w:tc>
        <w:tc>
          <w:tcPr>
            <w:tcW w:w="713" w:type="pct"/>
            <w:vAlign w:val="center"/>
          </w:tcPr>
          <w:p>
            <w:pPr>
              <w:pStyle w:val="63"/>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594" w:type="pct"/>
            <w:gridSpan w:val="2"/>
            <w:vAlign w:val="center"/>
          </w:tcPr>
          <w:p>
            <w:pPr>
              <w:pStyle w:val="63"/>
            </w:pPr>
            <w:r>
              <w:rPr>
                <w:rFonts w:hint="eastAsia"/>
              </w:rPr>
              <w:t>合计</w:t>
            </w:r>
          </w:p>
        </w:tc>
        <w:tc>
          <w:tcPr>
            <w:tcW w:w="911" w:type="pct"/>
            <w:noWrap/>
            <w:vAlign w:val="center"/>
          </w:tcPr>
          <w:p>
            <w:pPr>
              <w:pStyle w:val="63"/>
            </w:pPr>
            <w:r>
              <w:rPr>
                <w:rFonts w:hint="eastAsia"/>
              </w:rPr>
              <w:t>150554</w:t>
            </w:r>
          </w:p>
        </w:tc>
        <w:tc>
          <w:tcPr>
            <w:tcW w:w="782" w:type="pct"/>
            <w:noWrap/>
            <w:vAlign w:val="center"/>
          </w:tcPr>
          <w:p>
            <w:pPr>
              <w:pStyle w:val="63"/>
            </w:pPr>
            <w:r>
              <w:rPr>
                <w:rFonts w:hint="eastAsia"/>
              </w:rPr>
              <w:t>1286.365</w:t>
            </w:r>
          </w:p>
        </w:tc>
        <w:tc>
          <w:tcPr>
            <w:tcW w:w="713" w:type="pct"/>
            <w:noWrap/>
            <w:vAlign w:val="center"/>
          </w:tcPr>
          <w:p>
            <w:pPr>
              <w:pStyle w:val="63"/>
            </w:pPr>
            <w:r>
              <w:rPr>
                <w:rFonts w:hint="eastAsia"/>
              </w:rPr>
              <w:t>19.918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594" w:type="pct"/>
            <w:gridSpan w:val="2"/>
            <w:noWrap/>
            <w:vAlign w:val="center"/>
          </w:tcPr>
          <w:p>
            <w:pPr>
              <w:pStyle w:val="63"/>
            </w:pPr>
            <w:r>
              <w:rPr>
                <w:rFonts w:hint="eastAsia"/>
              </w:rPr>
              <w:t>单位面积排污系数（t/a.hm2）</w:t>
            </w:r>
          </w:p>
        </w:tc>
        <w:tc>
          <w:tcPr>
            <w:tcW w:w="911" w:type="pct"/>
            <w:noWrap/>
            <w:vAlign w:val="center"/>
          </w:tcPr>
          <w:p>
            <w:pPr>
              <w:pStyle w:val="63"/>
            </w:pPr>
            <w:r>
              <w:rPr>
                <w:rFonts w:hint="eastAsia"/>
              </w:rPr>
              <w:t>/</w:t>
            </w:r>
          </w:p>
        </w:tc>
        <w:tc>
          <w:tcPr>
            <w:tcW w:w="782" w:type="pct"/>
            <w:noWrap/>
            <w:vAlign w:val="center"/>
          </w:tcPr>
          <w:p>
            <w:pPr>
              <w:pStyle w:val="63"/>
            </w:pPr>
            <w:r>
              <w:rPr>
                <w:rFonts w:hint="eastAsia"/>
              </w:rPr>
              <w:t>85.442</w:t>
            </w:r>
          </w:p>
        </w:tc>
        <w:tc>
          <w:tcPr>
            <w:tcW w:w="713" w:type="pct"/>
            <w:noWrap/>
            <w:vAlign w:val="center"/>
          </w:tcPr>
          <w:p>
            <w:pPr>
              <w:pStyle w:val="63"/>
            </w:pPr>
            <w:r>
              <w:rPr>
                <w:rFonts w:hint="eastAsia"/>
              </w:rPr>
              <w:t>1.323</w:t>
            </w:r>
          </w:p>
        </w:tc>
      </w:tr>
    </w:tbl>
    <w:p>
      <w:pPr>
        <w:pStyle w:val="6"/>
      </w:pPr>
      <w:r>
        <w:rPr>
          <w:rFonts w:hint="eastAsia"/>
        </w:rPr>
        <w:t>表6.1-</w:t>
      </w:r>
      <w:r>
        <w:t>22</w:t>
      </w:r>
      <w:r>
        <w:rPr>
          <w:rFonts w:hint="eastAsia"/>
        </w:rPr>
        <w:t xml:space="preserve">  滨江片区加工制造产业园工业固废产生系数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8"/>
        <w:gridCol w:w="4241"/>
        <w:gridCol w:w="2620"/>
        <w:gridCol w:w="2050"/>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企业名称</w:t>
            </w:r>
          </w:p>
        </w:tc>
        <w:tc>
          <w:tcPr>
            <w:tcW w:w="1496" w:type="pct"/>
            <w:vAlign w:val="center"/>
          </w:tcPr>
          <w:p>
            <w:pPr>
              <w:pStyle w:val="63"/>
            </w:pPr>
            <w:r>
              <w:rPr>
                <w:rFonts w:hint="eastAsia"/>
              </w:rPr>
              <w:t>产品方案</w:t>
            </w:r>
          </w:p>
        </w:tc>
        <w:tc>
          <w:tcPr>
            <w:tcW w:w="924" w:type="pct"/>
            <w:vAlign w:val="center"/>
          </w:tcPr>
          <w:p>
            <w:pPr>
              <w:pStyle w:val="63"/>
            </w:pPr>
            <w:r>
              <w:rPr>
                <w:rFonts w:hint="eastAsia"/>
              </w:rPr>
              <w:t>占地面积（m2）</w:t>
            </w:r>
          </w:p>
        </w:tc>
        <w:tc>
          <w:tcPr>
            <w:tcW w:w="723" w:type="pct"/>
            <w:vAlign w:val="center"/>
          </w:tcPr>
          <w:p>
            <w:pPr>
              <w:pStyle w:val="63"/>
            </w:pPr>
            <w:r>
              <w:rPr>
                <w:rFonts w:hint="eastAsia"/>
              </w:rPr>
              <w:t>一般固废</w:t>
            </w:r>
          </w:p>
        </w:tc>
        <w:tc>
          <w:tcPr>
            <w:tcW w:w="723" w:type="pct"/>
            <w:vAlign w:val="center"/>
          </w:tcPr>
          <w:p>
            <w:pPr>
              <w:pStyle w:val="63"/>
            </w:pPr>
            <w:r>
              <w:rPr>
                <w:rFonts w:hint="eastAsia"/>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岳阳龙盛科技有限公司</w:t>
            </w:r>
          </w:p>
        </w:tc>
        <w:tc>
          <w:tcPr>
            <w:tcW w:w="1496" w:type="pct"/>
            <w:vAlign w:val="center"/>
          </w:tcPr>
          <w:p>
            <w:pPr>
              <w:pStyle w:val="63"/>
            </w:pPr>
            <w:r>
              <w:rPr>
                <w:rFonts w:hint="eastAsia"/>
              </w:rPr>
              <w:t>年加工100万组液晶显示屏</w:t>
            </w:r>
          </w:p>
        </w:tc>
        <w:tc>
          <w:tcPr>
            <w:tcW w:w="924" w:type="pct"/>
            <w:vAlign w:val="center"/>
          </w:tcPr>
          <w:p>
            <w:pPr>
              <w:pStyle w:val="63"/>
            </w:pPr>
            <w:r>
              <w:rPr>
                <w:rFonts w:hint="eastAsia"/>
              </w:rPr>
              <w:t>2580</w:t>
            </w:r>
          </w:p>
        </w:tc>
        <w:tc>
          <w:tcPr>
            <w:tcW w:w="723" w:type="pct"/>
            <w:vAlign w:val="center"/>
          </w:tcPr>
          <w:p>
            <w:pPr>
              <w:pStyle w:val="63"/>
            </w:pPr>
            <w:r>
              <w:rPr>
                <w:rFonts w:hint="eastAsia"/>
              </w:rPr>
              <w:t>24.39</w:t>
            </w:r>
          </w:p>
        </w:tc>
        <w:tc>
          <w:tcPr>
            <w:tcW w:w="723" w:type="pct"/>
            <w:vAlign w:val="center"/>
          </w:tcPr>
          <w:p>
            <w:pPr>
              <w:pStyle w:val="63"/>
            </w:pPr>
            <w:r>
              <w:rPr>
                <w:rFonts w:hint="eastAsi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湖南沛德新材料有限公司</w:t>
            </w:r>
          </w:p>
        </w:tc>
        <w:tc>
          <w:tcPr>
            <w:tcW w:w="1496" w:type="pct"/>
            <w:vAlign w:val="center"/>
          </w:tcPr>
          <w:p>
            <w:pPr>
              <w:pStyle w:val="63"/>
            </w:pPr>
            <w:r>
              <w:rPr>
                <w:rFonts w:hint="eastAsia"/>
              </w:rPr>
              <w:t>年产100万平方石墨烯</w:t>
            </w:r>
          </w:p>
        </w:tc>
        <w:tc>
          <w:tcPr>
            <w:tcW w:w="924" w:type="pct"/>
            <w:vAlign w:val="center"/>
          </w:tcPr>
          <w:p>
            <w:pPr>
              <w:pStyle w:val="63"/>
            </w:pPr>
            <w:r>
              <w:rPr>
                <w:rFonts w:hint="eastAsia"/>
              </w:rPr>
              <w:t>2188</w:t>
            </w:r>
          </w:p>
        </w:tc>
        <w:tc>
          <w:tcPr>
            <w:tcW w:w="723" w:type="pct"/>
            <w:vAlign w:val="center"/>
          </w:tcPr>
          <w:p>
            <w:pPr>
              <w:pStyle w:val="63"/>
            </w:pPr>
            <w:r>
              <w:rPr>
                <w:rFonts w:hint="eastAsia"/>
              </w:rPr>
              <w:t>0.50</w:t>
            </w:r>
          </w:p>
        </w:tc>
        <w:tc>
          <w:tcPr>
            <w:tcW w:w="723" w:type="pct"/>
            <w:vAlign w:val="center"/>
          </w:tcPr>
          <w:p>
            <w:pPr>
              <w:pStyle w:val="63"/>
            </w:pPr>
            <w:r>
              <w:rPr>
                <w:rFonts w:hint="eastAsia"/>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资兴市弘电电子科技有限公司</w:t>
            </w:r>
          </w:p>
        </w:tc>
        <w:tc>
          <w:tcPr>
            <w:tcW w:w="1496" w:type="pct"/>
            <w:vAlign w:val="center"/>
          </w:tcPr>
          <w:p>
            <w:pPr>
              <w:pStyle w:val="63"/>
            </w:pPr>
            <w:r>
              <w:rPr>
                <w:rFonts w:hint="eastAsia"/>
              </w:rPr>
              <w:t>年产3600万件线圈</w:t>
            </w:r>
          </w:p>
        </w:tc>
        <w:tc>
          <w:tcPr>
            <w:tcW w:w="924" w:type="pct"/>
            <w:vAlign w:val="center"/>
          </w:tcPr>
          <w:p>
            <w:pPr>
              <w:pStyle w:val="63"/>
            </w:pPr>
            <w:r>
              <w:rPr>
                <w:rFonts w:hint="eastAsia"/>
              </w:rPr>
              <w:t>1170</w:t>
            </w:r>
          </w:p>
        </w:tc>
        <w:tc>
          <w:tcPr>
            <w:tcW w:w="723" w:type="pct"/>
            <w:vAlign w:val="center"/>
          </w:tcPr>
          <w:p>
            <w:pPr>
              <w:pStyle w:val="63"/>
            </w:pPr>
            <w:r>
              <w:rPr>
                <w:rFonts w:hint="eastAsia"/>
              </w:rPr>
              <w:t>0.51</w:t>
            </w:r>
          </w:p>
        </w:tc>
        <w:tc>
          <w:tcPr>
            <w:tcW w:w="723" w:type="pct"/>
            <w:vAlign w:val="center"/>
          </w:tcPr>
          <w:p>
            <w:pPr>
              <w:pStyle w:val="63"/>
            </w:pPr>
            <w:r>
              <w:rPr>
                <w:rFonts w:hint="eastAsi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资兴市鼎晟电子科技有限公司</w:t>
            </w:r>
          </w:p>
        </w:tc>
        <w:tc>
          <w:tcPr>
            <w:tcW w:w="1496" w:type="pct"/>
            <w:vAlign w:val="center"/>
          </w:tcPr>
          <w:p>
            <w:pPr>
              <w:pStyle w:val="63"/>
            </w:pPr>
            <w:r>
              <w:rPr>
                <w:rFonts w:hint="eastAsia"/>
              </w:rPr>
              <w:t>年产3000万件音响配件</w:t>
            </w:r>
          </w:p>
        </w:tc>
        <w:tc>
          <w:tcPr>
            <w:tcW w:w="924" w:type="pct"/>
            <w:vAlign w:val="center"/>
          </w:tcPr>
          <w:p>
            <w:pPr>
              <w:pStyle w:val="63"/>
            </w:pPr>
            <w:r>
              <w:rPr>
                <w:rFonts w:hint="eastAsia"/>
              </w:rPr>
              <w:t>4363</w:t>
            </w:r>
          </w:p>
        </w:tc>
        <w:tc>
          <w:tcPr>
            <w:tcW w:w="723" w:type="pct"/>
            <w:vAlign w:val="center"/>
          </w:tcPr>
          <w:p>
            <w:pPr>
              <w:pStyle w:val="63"/>
            </w:pPr>
            <w:r>
              <w:rPr>
                <w:rFonts w:hint="eastAsia"/>
              </w:rPr>
              <w:t>0.70</w:t>
            </w:r>
          </w:p>
        </w:tc>
        <w:tc>
          <w:tcPr>
            <w:tcW w:w="723" w:type="pct"/>
            <w:vAlign w:val="center"/>
          </w:tcPr>
          <w:p>
            <w:pPr>
              <w:pStyle w:val="63"/>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湖南兴祥泰电子有限公司</w:t>
            </w:r>
          </w:p>
        </w:tc>
        <w:tc>
          <w:tcPr>
            <w:tcW w:w="1496" w:type="pct"/>
            <w:vAlign w:val="center"/>
          </w:tcPr>
          <w:p>
            <w:pPr>
              <w:pStyle w:val="63"/>
            </w:pPr>
            <w:r>
              <w:rPr>
                <w:rFonts w:hint="eastAsia"/>
              </w:rPr>
              <w:t>年加工6000万条LED连接线</w:t>
            </w:r>
          </w:p>
        </w:tc>
        <w:tc>
          <w:tcPr>
            <w:tcW w:w="924" w:type="pct"/>
            <w:vAlign w:val="center"/>
          </w:tcPr>
          <w:p>
            <w:pPr>
              <w:pStyle w:val="63"/>
            </w:pPr>
            <w:r>
              <w:rPr>
                <w:rFonts w:hint="eastAsia"/>
              </w:rPr>
              <w:t>2067</w:t>
            </w:r>
          </w:p>
        </w:tc>
        <w:tc>
          <w:tcPr>
            <w:tcW w:w="723" w:type="pct"/>
            <w:vAlign w:val="center"/>
          </w:tcPr>
          <w:p>
            <w:pPr>
              <w:pStyle w:val="63"/>
            </w:pPr>
            <w:r>
              <w:rPr>
                <w:rFonts w:hint="eastAsia"/>
              </w:rPr>
              <w:t>6.83</w:t>
            </w:r>
          </w:p>
        </w:tc>
        <w:tc>
          <w:tcPr>
            <w:tcW w:w="723" w:type="pct"/>
            <w:vAlign w:val="center"/>
          </w:tcPr>
          <w:p>
            <w:pPr>
              <w:pStyle w:val="63"/>
            </w:pPr>
            <w:r>
              <w:rPr>
                <w:rFonts w:hint="eastAsi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郴州市海晟电子科技有限公司</w:t>
            </w:r>
          </w:p>
        </w:tc>
        <w:tc>
          <w:tcPr>
            <w:tcW w:w="1496" w:type="pct"/>
            <w:vAlign w:val="center"/>
          </w:tcPr>
          <w:p>
            <w:pPr>
              <w:pStyle w:val="63"/>
            </w:pPr>
            <w:r>
              <w:rPr>
                <w:rFonts w:hint="eastAsia"/>
              </w:rPr>
              <w:t>年产10万台3D高清投影仪</w:t>
            </w:r>
          </w:p>
        </w:tc>
        <w:tc>
          <w:tcPr>
            <w:tcW w:w="924" w:type="pct"/>
            <w:vAlign w:val="center"/>
          </w:tcPr>
          <w:p>
            <w:pPr>
              <w:pStyle w:val="63"/>
            </w:pPr>
            <w:r>
              <w:rPr>
                <w:rFonts w:hint="eastAsia"/>
              </w:rPr>
              <w:t>48960</w:t>
            </w:r>
          </w:p>
        </w:tc>
        <w:tc>
          <w:tcPr>
            <w:tcW w:w="723" w:type="pct"/>
            <w:vAlign w:val="center"/>
          </w:tcPr>
          <w:p>
            <w:pPr>
              <w:pStyle w:val="63"/>
            </w:pPr>
            <w:r>
              <w:rPr>
                <w:rFonts w:hint="eastAsia"/>
              </w:rPr>
              <w:t>1.25</w:t>
            </w:r>
          </w:p>
        </w:tc>
        <w:tc>
          <w:tcPr>
            <w:tcW w:w="723" w:type="pct"/>
            <w:vAlign w:val="center"/>
          </w:tcPr>
          <w:p>
            <w:pPr>
              <w:pStyle w:val="63"/>
            </w:pPr>
            <w:r>
              <w:rPr>
                <w:rFonts w:hint="eastAsia"/>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汝城辉腾电子科技有限公司</w:t>
            </w:r>
          </w:p>
        </w:tc>
        <w:tc>
          <w:tcPr>
            <w:tcW w:w="1496" w:type="pct"/>
            <w:vAlign w:val="center"/>
          </w:tcPr>
          <w:p>
            <w:pPr>
              <w:pStyle w:val="63"/>
            </w:pPr>
            <w:r>
              <w:rPr>
                <w:rFonts w:hint="eastAsia"/>
              </w:rPr>
              <w:t>年生产200万个蓝牙耳机及200万个充电盒</w:t>
            </w:r>
          </w:p>
        </w:tc>
        <w:tc>
          <w:tcPr>
            <w:tcW w:w="924" w:type="pct"/>
            <w:vAlign w:val="center"/>
          </w:tcPr>
          <w:p>
            <w:pPr>
              <w:pStyle w:val="63"/>
            </w:pPr>
            <w:r>
              <w:rPr>
                <w:rFonts w:hint="eastAsia"/>
              </w:rPr>
              <w:t>20758</w:t>
            </w:r>
          </w:p>
        </w:tc>
        <w:tc>
          <w:tcPr>
            <w:tcW w:w="723" w:type="pct"/>
            <w:vAlign w:val="center"/>
          </w:tcPr>
          <w:p>
            <w:pPr>
              <w:pStyle w:val="63"/>
            </w:pPr>
            <w:r>
              <w:rPr>
                <w:rFonts w:hint="eastAsia"/>
              </w:rPr>
              <w:t>0.42</w:t>
            </w:r>
          </w:p>
        </w:tc>
        <w:tc>
          <w:tcPr>
            <w:tcW w:w="723" w:type="pct"/>
            <w:vAlign w:val="center"/>
          </w:tcPr>
          <w:p>
            <w:pPr>
              <w:pStyle w:val="63"/>
            </w:pPr>
            <w:r>
              <w:rPr>
                <w:rFonts w:hint="eastAsi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汝城县瑞锋电子有限公司</w:t>
            </w:r>
          </w:p>
        </w:tc>
        <w:tc>
          <w:tcPr>
            <w:tcW w:w="1496" w:type="pct"/>
            <w:vAlign w:val="center"/>
          </w:tcPr>
          <w:p>
            <w:pPr>
              <w:pStyle w:val="63"/>
            </w:pPr>
            <w:r>
              <w:rPr>
                <w:rFonts w:hint="eastAsia"/>
              </w:rPr>
              <w:t>年生产100万个喇叭及60万个喇叭模组</w:t>
            </w:r>
          </w:p>
        </w:tc>
        <w:tc>
          <w:tcPr>
            <w:tcW w:w="924" w:type="pct"/>
            <w:vAlign w:val="center"/>
          </w:tcPr>
          <w:p>
            <w:pPr>
              <w:pStyle w:val="63"/>
            </w:pPr>
            <w:r>
              <w:rPr>
                <w:rFonts w:hint="eastAsia"/>
              </w:rPr>
              <w:t>1200</w:t>
            </w:r>
          </w:p>
        </w:tc>
        <w:tc>
          <w:tcPr>
            <w:tcW w:w="723" w:type="pct"/>
            <w:vAlign w:val="center"/>
          </w:tcPr>
          <w:p>
            <w:pPr>
              <w:pStyle w:val="63"/>
            </w:pPr>
            <w:r>
              <w:rPr>
                <w:rFonts w:hint="eastAsia"/>
              </w:rPr>
              <w:t>2.10</w:t>
            </w:r>
          </w:p>
        </w:tc>
        <w:tc>
          <w:tcPr>
            <w:tcW w:w="723" w:type="pct"/>
            <w:vAlign w:val="center"/>
          </w:tcPr>
          <w:p>
            <w:pPr>
              <w:pStyle w:val="63"/>
            </w:pPr>
            <w:r>
              <w:rPr>
                <w:rFonts w:hint="eastAsi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pct"/>
            <w:vAlign w:val="center"/>
          </w:tcPr>
          <w:p>
            <w:pPr>
              <w:pStyle w:val="63"/>
            </w:pPr>
            <w:r>
              <w:rPr>
                <w:rFonts w:hint="eastAsia"/>
              </w:rPr>
              <w:t>湖南斗禾智能电器有限公司</w:t>
            </w:r>
          </w:p>
        </w:tc>
        <w:tc>
          <w:tcPr>
            <w:tcW w:w="1496" w:type="pct"/>
            <w:vAlign w:val="center"/>
          </w:tcPr>
          <w:p>
            <w:pPr>
              <w:pStyle w:val="63"/>
            </w:pPr>
            <w:r>
              <w:rPr>
                <w:rFonts w:hint="eastAsia"/>
              </w:rPr>
              <w:t>年产除湿机200万件、年产电蚊拍200万件、年产空调扇100万件、年产灭蚊器100万件、年产取暖器300万件、年产加湿器100万件、年产电暖器100万件、年产空气净化器100万件、年产驱蚊器100万件、产饭盒50万件、年产烤牛排机100万件、年产植物生长灯50万件</w:t>
            </w:r>
          </w:p>
        </w:tc>
        <w:tc>
          <w:tcPr>
            <w:tcW w:w="924" w:type="pct"/>
            <w:vAlign w:val="center"/>
          </w:tcPr>
          <w:p>
            <w:pPr>
              <w:pStyle w:val="63"/>
            </w:pPr>
            <w:r>
              <w:rPr>
                <w:rFonts w:hint="eastAsia"/>
              </w:rPr>
              <w:t>34809</w:t>
            </w:r>
          </w:p>
        </w:tc>
        <w:tc>
          <w:tcPr>
            <w:tcW w:w="723" w:type="pct"/>
            <w:vAlign w:val="center"/>
          </w:tcPr>
          <w:p>
            <w:pPr>
              <w:pStyle w:val="63"/>
            </w:pPr>
            <w:r>
              <w:rPr>
                <w:rFonts w:hint="eastAsia"/>
              </w:rPr>
              <w:t>7.34</w:t>
            </w:r>
          </w:p>
        </w:tc>
        <w:tc>
          <w:tcPr>
            <w:tcW w:w="723" w:type="pct"/>
            <w:vAlign w:val="center"/>
          </w:tcPr>
          <w:p>
            <w:pPr>
              <w:pStyle w:val="63"/>
            </w:pPr>
            <w:r>
              <w:rPr>
                <w:rFonts w:hint="eastAsia"/>
              </w:rPr>
              <w:t>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1" w:type="pct"/>
            <w:gridSpan w:val="2"/>
            <w:vAlign w:val="center"/>
          </w:tcPr>
          <w:p>
            <w:pPr>
              <w:pStyle w:val="63"/>
            </w:pPr>
            <w:r>
              <w:rPr>
                <w:rFonts w:hint="eastAsia"/>
              </w:rPr>
              <w:t>合计</w:t>
            </w:r>
          </w:p>
        </w:tc>
        <w:tc>
          <w:tcPr>
            <w:tcW w:w="924" w:type="pct"/>
            <w:noWrap/>
            <w:vAlign w:val="center"/>
          </w:tcPr>
          <w:p>
            <w:pPr>
              <w:pStyle w:val="63"/>
            </w:pPr>
            <w:r>
              <w:rPr>
                <w:rFonts w:hint="eastAsia"/>
              </w:rPr>
              <w:t>118095</w:t>
            </w:r>
          </w:p>
        </w:tc>
        <w:tc>
          <w:tcPr>
            <w:tcW w:w="723" w:type="pct"/>
            <w:noWrap/>
            <w:vAlign w:val="center"/>
          </w:tcPr>
          <w:p>
            <w:pPr>
              <w:pStyle w:val="63"/>
            </w:pPr>
            <w:r>
              <w:rPr>
                <w:rFonts w:hint="eastAsia"/>
              </w:rPr>
              <w:t>44</w:t>
            </w:r>
          </w:p>
        </w:tc>
        <w:tc>
          <w:tcPr>
            <w:tcW w:w="723" w:type="pct"/>
            <w:noWrap/>
            <w:vAlign w:val="center"/>
          </w:tcPr>
          <w:p>
            <w:pPr>
              <w:pStyle w:val="63"/>
            </w:pPr>
            <w:r>
              <w:rPr>
                <w:rFonts w:hint="eastAsi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1" w:type="pct"/>
            <w:gridSpan w:val="2"/>
            <w:noWrap/>
            <w:vAlign w:val="center"/>
          </w:tcPr>
          <w:p>
            <w:pPr>
              <w:pStyle w:val="63"/>
            </w:pPr>
            <w:r>
              <w:rPr>
                <w:rFonts w:hint="eastAsia"/>
              </w:rPr>
              <w:t>单位面积排污系数（t/a.hm2）</w:t>
            </w:r>
          </w:p>
        </w:tc>
        <w:tc>
          <w:tcPr>
            <w:tcW w:w="924" w:type="pct"/>
            <w:noWrap/>
            <w:vAlign w:val="center"/>
          </w:tcPr>
          <w:p>
            <w:pPr>
              <w:pStyle w:val="63"/>
            </w:pPr>
            <w:r>
              <w:rPr>
                <w:rFonts w:hint="eastAsia"/>
              </w:rPr>
              <w:t>/</w:t>
            </w:r>
          </w:p>
        </w:tc>
        <w:tc>
          <w:tcPr>
            <w:tcW w:w="723" w:type="pct"/>
            <w:noWrap/>
            <w:vAlign w:val="center"/>
          </w:tcPr>
          <w:p>
            <w:pPr>
              <w:pStyle w:val="63"/>
            </w:pPr>
            <w:r>
              <w:rPr>
                <w:rFonts w:hint="eastAsia"/>
              </w:rPr>
              <w:t>3.729</w:t>
            </w:r>
          </w:p>
        </w:tc>
        <w:tc>
          <w:tcPr>
            <w:tcW w:w="723" w:type="pct"/>
            <w:noWrap/>
            <w:vAlign w:val="center"/>
          </w:tcPr>
          <w:p>
            <w:pPr>
              <w:pStyle w:val="63"/>
            </w:pPr>
            <w:r>
              <w:rPr>
                <w:rFonts w:hint="eastAsia"/>
              </w:rPr>
              <w:t>2.464</w:t>
            </w:r>
          </w:p>
        </w:tc>
      </w:tr>
    </w:tbl>
    <w:p>
      <w:pPr>
        <w:pStyle w:val="6"/>
      </w:pPr>
      <w:r>
        <w:rPr>
          <w:rFonts w:hint="eastAsia"/>
        </w:rPr>
        <w:t>表</w:t>
      </w:r>
      <w:r>
        <w:t xml:space="preserve">6.1-23  </w:t>
      </w:r>
      <w:r>
        <w:rPr>
          <w:rFonts w:hint="eastAsia"/>
        </w:rPr>
        <w:t>滨江片区绿色化工产业园工业固废产生系数</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1851"/>
        <w:gridCol w:w="1317"/>
        <w:gridCol w:w="899"/>
        <w:gridCol w:w="2507"/>
        <w:gridCol w:w="1107"/>
        <w:gridCol w:w="1166"/>
        <w:gridCol w:w="1403"/>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vMerge w:val="restart"/>
            <w:noWrap/>
            <w:vAlign w:val="center"/>
          </w:tcPr>
          <w:p>
            <w:pPr>
              <w:pStyle w:val="63"/>
            </w:pPr>
            <w:r>
              <w:rPr>
                <w:rFonts w:hint="eastAsia"/>
              </w:rPr>
              <w:t>项目</w:t>
            </w:r>
          </w:p>
        </w:tc>
        <w:tc>
          <w:tcPr>
            <w:tcW w:w="0" w:type="auto"/>
            <w:gridSpan w:val="3"/>
            <w:noWrap/>
            <w:vAlign w:val="center"/>
          </w:tcPr>
          <w:p>
            <w:pPr>
              <w:pStyle w:val="63"/>
            </w:pPr>
            <w:r>
              <w:rPr>
                <w:rFonts w:hint="eastAsia"/>
              </w:rPr>
              <w:t>云溪片区</w:t>
            </w:r>
          </w:p>
        </w:tc>
        <w:tc>
          <w:tcPr>
            <w:tcW w:w="4798" w:type="dxa"/>
            <w:gridSpan w:val="3"/>
            <w:vAlign w:val="center"/>
          </w:tcPr>
          <w:p>
            <w:pPr>
              <w:pStyle w:val="63"/>
            </w:pPr>
            <w:r>
              <w:rPr>
                <w:rFonts w:hint="eastAsia"/>
              </w:rPr>
              <w:t>长岭片区</w:t>
            </w:r>
          </w:p>
        </w:tc>
        <w:tc>
          <w:tcPr>
            <w:tcW w:w="2979" w:type="dxa"/>
            <w:gridSpan w:val="2"/>
            <w:vAlign w:val="center"/>
          </w:tcPr>
          <w:p>
            <w:pPr>
              <w:pStyle w:val="63"/>
            </w:pPr>
            <w:r>
              <w:rPr>
                <w:rFonts w:hint="eastAsia"/>
              </w:rPr>
              <w:t>滨江片区绿色化工产业园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Merge w:val="continue"/>
            <w:vAlign w:val="center"/>
          </w:tcPr>
          <w:p>
            <w:pPr>
              <w:pStyle w:val="63"/>
            </w:pPr>
          </w:p>
        </w:tc>
        <w:tc>
          <w:tcPr>
            <w:tcW w:w="1851" w:type="dxa"/>
            <w:noWrap/>
            <w:vAlign w:val="center"/>
          </w:tcPr>
          <w:p>
            <w:pPr>
              <w:pStyle w:val="63"/>
            </w:pPr>
            <w:r>
              <w:rPr>
                <w:rFonts w:hint="eastAsia"/>
              </w:rPr>
              <w:t>面积（公顷）</w:t>
            </w:r>
          </w:p>
        </w:tc>
        <w:tc>
          <w:tcPr>
            <w:tcW w:w="1327" w:type="dxa"/>
            <w:vAlign w:val="center"/>
          </w:tcPr>
          <w:p>
            <w:pPr>
              <w:pStyle w:val="63"/>
            </w:pPr>
            <w:r>
              <w:rPr>
                <w:rFonts w:hint="eastAsia"/>
              </w:rPr>
              <w:t>一般固废（</w:t>
            </w:r>
            <w:r>
              <w:t>t/a</w:t>
            </w:r>
            <w:r>
              <w:rPr>
                <w:rFonts w:hint="eastAsia"/>
              </w:rPr>
              <w:t>）</w:t>
            </w:r>
          </w:p>
        </w:tc>
        <w:tc>
          <w:tcPr>
            <w:tcW w:w="899" w:type="dxa"/>
            <w:vAlign w:val="center"/>
          </w:tcPr>
          <w:p>
            <w:pPr>
              <w:pStyle w:val="63"/>
            </w:pPr>
            <w:r>
              <w:rPr>
                <w:rFonts w:hint="eastAsia"/>
              </w:rPr>
              <w:t>危险废物（</w:t>
            </w:r>
            <w:r>
              <w:t>t/a</w:t>
            </w:r>
            <w:r>
              <w:rPr>
                <w:rFonts w:hint="eastAsia"/>
              </w:rPr>
              <w:t>）</w:t>
            </w:r>
          </w:p>
        </w:tc>
        <w:tc>
          <w:tcPr>
            <w:tcW w:w="2507" w:type="dxa"/>
            <w:noWrap/>
            <w:vAlign w:val="center"/>
          </w:tcPr>
          <w:p>
            <w:pPr>
              <w:pStyle w:val="63"/>
            </w:pPr>
            <w:r>
              <w:rPr>
                <w:rFonts w:hint="eastAsia"/>
              </w:rPr>
              <w:t>面积（公顷）</w:t>
            </w:r>
          </w:p>
        </w:tc>
        <w:tc>
          <w:tcPr>
            <w:tcW w:w="1115" w:type="dxa"/>
            <w:vAlign w:val="center"/>
          </w:tcPr>
          <w:p>
            <w:pPr>
              <w:pStyle w:val="63"/>
            </w:pPr>
            <w:r>
              <w:rPr>
                <w:rFonts w:hint="eastAsia"/>
              </w:rPr>
              <w:t>一般固废（</w:t>
            </w:r>
            <w:r>
              <w:t>t/a</w:t>
            </w:r>
            <w:r>
              <w:rPr>
                <w:rFonts w:hint="eastAsia"/>
              </w:rPr>
              <w:t>）</w:t>
            </w:r>
          </w:p>
        </w:tc>
        <w:tc>
          <w:tcPr>
            <w:tcW w:w="1176" w:type="dxa"/>
            <w:vAlign w:val="center"/>
          </w:tcPr>
          <w:p>
            <w:pPr>
              <w:pStyle w:val="63"/>
            </w:pPr>
            <w:r>
              <w:rPr>
                <w:rFonts w:hint="eastAsia"/>
              </w:rPr>
              <w:t>危险废物（</w:t>
            </w:r>
            <w:r>
              <w:t>t/a</w:t>
            </w:r>
            <w:r>
              <w:rPr>
                <w:rFonts w:hint="eastAsia"/>
              </w:rPr>
              <w:t>）</w:t>
            </w:r>
          </w:p>
        </w:tc>
        <w:tc>
          <w:tcPr>
            <w:tcW w:w="1403" w:type="dxa"/>
            <w:vAlign w:val="center"/>
          </w:tcPr>
          <w:p>
            <w:pPr>
              <w:pStyle w:val="63"/>
            </w:pPr>
            <w:r>
              <w:rPr>
                <w:rFonts w:hint="eastAsia"/>
              </w:rPr>
              <w:t>一般固废（</w:t>
            </w:r>
            <w:r>
              <w:t>t/a</w:t>
            </w:r>
            <w:r>
              <w:rPr>
                <w:rFonts w:hint="eastAsia"/>
              </w:rPr>
              <w:t>）</w:t>
            </w:r>
          </w:p>
        </w:tc>
        <w:tc>
          <w:tcPr>
            <w:tcW w:w="0" w:type="auto"/>
            <w:vAlign w:val="center"/>
          </w:tcPr>
          <w:p>
            <w:pPr>
              <w:pStyle w:val="63"/>
            </w:pPr>
            <w:r>
              <w:rPr>
                <w:rFonts w:hint="eastAsia"/>
              </w:rPr>
              <w:t>危险废物（</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pStyle w:val="63"/>
            </w:pPr>
            <w:r>
              <w:rPr>
                <w:rFonts w:hint="eastAsia"/>
              </w:rPr>
              <w:t>现状</w:t>
            </w:r>
          </w:p>
        </w:tc>
        <w:tc>
          <w:tcPr>
            <w:tcW w:w="1851" w:type="dxa"/>
            <w:noWrap/>
            <w:vAlign w:val="center"/>
          </w:tcPr>
          <w:p>
            <w:pPr>
              <w:pStyle w:val="63"/>
            </w:pPr>
            <w:r>
              <w:t>339.18</w:t>
            </w:r>
            <w:r>
              <w:rPr>
                <w:rFonts w:hint="eastAsia"/>
              </w:rPr>
              <w:t>（扣除己内酰胺项目）</w:t>
            </w:r>
          </w:p>
        </w:tc>
        <w:tc>
          <w:tcPr>
            <w:tcW w:w="1327" w:type="dxa"/>
            <w:vAlign w:val="center"/>
          </w:tcPr>
          <w:p>
            <w:pPr>
              <w:pStyle w:val="63"/>
            </w:pPr>
            <w:r>
              <w:t>40186.13</w:t>
            </w:r>
          </w:p>
        </w:tc>
        <w:tc>
          <w:tcPr>
            <w:tcW w:w="899" w:type="dxa"/>
            <w:vAlign w:val="center"/>
          </w:tcPr>
          <w:p>
            <w:pPr>
              <w:pStyle w:val="63"/>
            </w:pPr>
            <w:r>
              <w:t>3483.49</w:t>
            </w:r>
          </w:p>
        </w:tc>
        <w:tc>
          <w:tcPr>
            <w:tcW w:w="2507" w:type="dxa"/>
            <w:noWrap/>
            <w:vAlign w:val="center"/>
          </w:tcPr>
          <w:p>
            <w:pPr>
              <w:pStyle w:val="63"/>
            </w:pPr>
            <w:r>
              <w:t>93.06</w:t>
            </w:r>
            <w:r>
              <w:rPr>
                <w:rFonts w:hint="eastAsia"/>
              </w:rPr>
              <w:t>（扣除长练公司和长岭催化剂厂等）</w:t>
            </w:r>
          </w:p>
        </w:tc>
        <w:tc>
          <w:tcPr>
            <w:tcW w:w="1115" w:type="dxa"/>
            <w:vAlign w:val="center"/>
          </w:tcPr>
          <w:p>
            <w:pPr>
              <w:pStyle w:val="63"/>
            </w:pPr>
            <w:r>
              <w:t>45.8</w:t>
            </w:r>
          </w:p>
        </w:tc>
        <w:tc>
          <w:tcPr>
            <w:tcW w:w="1176" w:type="dxa"/>
            <w:vAlign w:val="center"/>
          </w:tcPr>
          <w:p>
            <w:pPr>
              <w:pStyle w:val="63"/>
            </w:pPr>
            <w:r>
              <w:t>132.5</w:t>
            </w:r>
          </w:p>
        </w:tc>
        <w:tc>
          <w:tcPr>
            <w:tcW w:w="1403" w:type="dxa"/>
            <w:noWrap/>
            <w:vAlign w:val="center"/>
          </w:tcPr>
          <w:p>
            <w:pPr>
              <w:pStyle w:val="63"/>
            </w:pPr>
            <w:r>
              <w:t>/</w:t>
            </w:r>
          </w:p>
        </w:tc>
        <w:tc>
          <w:tcPr>
            <w:tcW w:w="0" w:type="auto"/>
            <w:noWrap/>
            <w:vAlign w:val="center"/>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pStyle w:val="63"/>
            </w:pPr>
            <w:r>
              <w:rPr>
                <w:rFonts w:hint="eastAsia"/>
              </w:rPr>
              <w:t>排污系数t/（a·hm2）</w:t>
            </w:r>
          </w:p>
        </w:tc>
        <w:tc>
          <w:tcPr>
            <w:tcW w:w="1851" w:type="dxa"/>
            <w:noWrap/>
            <w:vAlign w:val="center"/>
          </w:tcPr>
          <w:p>
            <w:pPr>
              <w:pStyle w:val="63"/>
            </w:pPr>
            <w:r>
              <w:t>/</w:t>
            </w:r>
          </w:p>
        </w:tc>
        <w:tc>
          <w:tcPr>
            <w:tcW w:w="1327" w:type="dxa"/>
            <w:vAlign w:val="center"/>
          </w:tcPr>
          <w:p>
            <w:pPr>
              <w:pStyle w:val="63"/>
            </w:pPr>
            <w:r>
              <w:t>107.82</w:t>
            </w:r>
          </w:p>
        </w:tc>
        <w:tc>
          <w:tcPr>
            <w:tcW w:w="899" w:type="dxa"/>
            <w:vAlign w:val="center"/>
          </w:tcPr>
          <w:p>
            <w:pPr>
              <w:pStyle w:val="63"/>
            </w:pPr>
            <w:r>
              <w:t>9.35</w:t>
            </w:r>
          </w:p>
        </w:tc>
        <w:tc>
          <w:tcPr>
            <w:tcW w:w="2507" w:type="dxa"/>
            <w:noWrap/>
            <w:vAlign w:val="center"/>
          </w:tcPr>
          <w:p>
            <w:pPr>
              <w:pStyle w:val="63"/>
            </w:pPr>
            <w:r>
              <w:t>/</w:t>
            </w:r>
          </w:p>
        </w:tc>
        <w:tc>
          <w:tcPr>
            <w:tcW w:w="1115" w:type="dxa"/>
            <w:vAlign w:val="center"/>
          </w:tcPr>
          <w:p>
            <w:pPr>
              <w:pStyle w:val="63"/>
            </w:pPr>
            <w:r>
              <w:t>0.49</w:t>
            </w:r>
          </w:p>
        </w:tc>
        <w:tc>
          <w:tcPr>
            <w:tcW w:w="1176" w:type="dxa"/>
            <w:vAlign w:val="center"/>
          </w:tcPr>
          <w:p>
            <w:pPr>
              <w:pStyle w:val="63"/>
            </w:pPr>
            <w:r>
              <w:t>1.42</w:t>
            </w:r>
          </w:p>
        </w:tc>
        <w:tc>
          <w:tcPr>
            <w:tcW w:w="1403" w:type="dxa"/>
            <w:vAlign w:val="center"/>
          </w:tcPr>
          <w:p>
            <w:pPr>
              <w:pStyle w:val="63"/>
            </w:pPr>
            <w:r>
              <w:rPr>
                <w:rFonts w:hint="eastAsia"/>
              </w:rPr>
              <w:t>23035.33</w:t>
            </w:r>
          </w:p>
        </w:tc>
        <w:tc>
          <w:tcPr>
            <w:tcW w:w="0" w:type="auto"/>
            <w:noWrap/>
            <w:vAlign w:val="center"/>
          </w:tcPr>
          <w:p>
            <w:pPr>
              <w:pStyle w:val="63"/>
            </w:pPr>
            <w:r>
              <w:rPr>
                <w:rFonts w:hint="eastAsia"/>
              </w:rPr>
              <w:t>2288.22</w:t>
            </w:r>
          </w:p>
        </w:tc>
      </w:tr>
    </w:tbl>
    <w:p>
      <w:pPr>
        <w:ind w:firstLine="480"/>
      </w:pPr>
      <w:r>
        <w:rPr>
          <w:rFonts w:hint="eastAsia"/>
        </w:rPr>
        <w:t>绿色化工产业园</w:t>
      </w:r>
      <w:r>
        <w:t>拟新建热电联产项目，该项目占地14.82hm2，根据《湖南临湘工业园热电联产项目环境影响报告书》（初稿）核算可知，本项目一般固体废物产生量为391607t/a，危险废物产生量为5t/a。</w:t>
      </w:r>
    </w:p>
    <w:p>
      <w:pPr>
        <w:pStyle w:val="6"/>
      </w:pPr>
      <w:r>
        <w:rPr>
          <w:rFonts w:hint="eastAsia"/>
        </w:rPr>
        <w:t>表</w:t>
      </w:r>
      <w:r>
        <w:t xml:space="preserve">6.1-24  </w:t>
      </w:r>
      <w:r>
        <w:rPr>
          <w:rFonts w:hint="eastAsia"/>
        </w:rPr>
        <w:t>滨江片区工业固废产生情况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4"/>
        <w:gridCol w:w="2591"/>
        <w:gridCol w:w="2594"/>
        <w:gridCol w:w="2421"/>
        <w:gridCol w:w="2076"/>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75" w:type="pct"/>
            <w:vMerge w:val="restart"/>
            <w:vAlign w:val="center"/>
          </w:tcPr>
          <w:p>
            <w:pPr>
              <w:pStyle w:val="63"/>
            </w:pPr>
            <w:r>
              <w:rPr>
                <w:rFonts w:hint="eastAsia"/>
              </w:rPr>
              <w:t>片区</w:t>
            </w:r>
          </w:p>
        </w:tc>
        <w:tc>
          <w:tcPr>
            <w:tcW w:w="1829" w:type="pct"/>
            <w:gridSpan w:val="2"/>
            <w:vAlign w:val="center"/>
          </w:tcPr>
          <w:p>
            <w:pPr>
              <w:pStyle w:val="63"/>
            </w:pPr>
            <w:r>
              <w:rPr>
                <w:rFonts w:hint="eastAsia"/>
              </w:rPr>
              <w:t>工业固废产生系数t/（a·hm2）</w:t>
            </w:r>
          </w:p>
        </w:tc>
        <w:tc>
          <w:tcPr>
            <w:tcW w:w="854" w:type="pct"/>
            <w:vMerge w:val="restart"/>
            <w:vAlign w:val="center"/>
          </w:tcPr>
          <w:p>
            <w:pPr>
              <w:pStyle w:val="63"/>
            </w:pPr>
            <w:r>
              <w:rPr>
                <w:rFonts w:hint="eastAsia"/>
              </w:rPr>
              <w:t>规划工业用地</w:t>
            </w:r>
          </w:p>
          <w:p>
            <w:pPr>
              <w:pStyle w:val="63"/>
            </w:pPr>
            <w:r>
              <w:rPr>
                <w:rFonts w:hint="eastAsia"/>
              </w:rPr>
              <w:t>（hm2）</w:t>
            </w:r>
          </w:p>
        </w:tc>
        <w:tc>
          <w:tcPr>
            <w:tcW w:w="1343" w:type="pct"/>
            <w:gridSpan w:val="2"/>
            <w:vAlign w:val="center"/>
          </w:tcPr>
          <w:p>
            <w:pPr>
              <w:pStyle w:val="63"/>
            </w:pPr>
            <w:r>
              <w:rPr>
                <w:rFonts w:hint="eastAsia"/>
              </w:rPr>
              <w:t>工业固废产生量（t/a）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5" w:type="pct"/>
            <w:vMerge w:val="continue"/>
            <w:vAlign w:val="center"/>
          </w:tcPr>
          <w:p>
            <w:pPr>
              <w:pStyle w:val="63"/>
            </w:pPr>
          </w:p>
        </w:tc>
        <w:tc>
          <w:tcPr>
            <w:tcW w:w="914" w:type="pct"/>
            <w:vAlign w:val="center"/>
          </w:tcPr>
          <w:p>
            <w:pPr>
              <w:pStyle w:val="63"/>
            </w:pPr>
            <w:r>
              <w:rPr>
                <w:rFonts w:hint="eastAsia"/>
              </w:rPr>
              <w:t>一般固废</w:t>
            </w:r>
          </w:p>
        </w:tc>
        <w:tc>
          <w:tcPr>
            <w:tcW w:w="914" w:type="pct"/>
            <w:vAlign w:val="center"/>
          </w:tcPr>
          <w:p>
            <w:pPr>
              <w:pStyle w:val="63"/>
            </w:pPr>
            <w:r>
              <w:rPr>
                <w:rFonts w:hint="eastAsia"/>
              </w:rPr>
              <w:t>危险废物</w:t>
            </w:r>
          </w:p>
        </w:tc>
        <w:tc>
          <w:tcPr>
            <w:tcW w:w="854" w:type="pct"/>
            <w:vMerge w:val="continue"/>
            <w:vAlign w:val="center"/>
          </w:tcPr>
          <w:p>
            <w:pPr>
              <w:pStyle w:val="63"/>
            </w:pPr>
          </w:p>
        </w:tc>
        <w:tc>
          <w:tcPr>
            <w:tcW w:w="732" w:type="pct"/>
            <w:vAlign w:val="center"/>
          </w:tcPr>
          <w:p>
            <w:pPr>
              <w:pStyle w:val="63"/>
            </w:pPr>
            <w:r>
              <w:rPr>
                <w:rFonts w:hint="eastAsia"/>
              </w:rPr>
              <w:t>一般固废）</w:t>
            </w:r>
          </w:p>
        </w:tc>
        <w:tc>
          <w:tcPr>
            <w:tcW w:w="611" w:type="pct"/>
            <w:vAlign w:val="center"/>
          </w:tcPr>
          <w:p>
            <w:pPr>
              <w:pStyle w:val="63"/>
            </w:pPr>
            <w:r>
              <w:rPr>
                <w:rFonts w:hint="eastAsia"/>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5" w:type="pct"/>
            <w:vAlign w:val="center"/>
          </w:tcPr>
          <w:p>
            <w:pPr>
              <w:pStyle w:val="63"/>
            </w:pPr>
            <w:r>
              <w:rPr>
                <w:rFonts w:hint="eastAsia"/>
              </w:rPr>
              <w:t>中非工贸产业园</w:t>
            </w:r>
          </w:p>
        </w:tc>
        <w:tc>
          <w:tcPr>
            <w:tcW w:w="914" w:type="pct"/>
            <w:vAlign w:val="center"/>
          </w:tcPr>
          <w:p>
            <w:pPr>
              <w:pStyle w:val="63"/>
            </w:pPr>
            <w:r>
              <w:rPr>
                <w:rFonts w:hint="eastAsia"/>
              </w:rPr>
              <w:t>1286.365</w:t>
            </w:r>
          </w:p>
        </w:tc>
        <w:tc>
          <w:tcPr>
            <w:tcW w:w="914" w:type="pct"/>
            <w:vAlign w:val="center"/>
          </w:tcPr>
          <w:p>
            <w:pPr>
              <w:pStyle w:val="63"/>
            </w:pPr>
            <w:r>
              <w:rPr>
                <w:rFonts w:hint="eastAsia"/>
              </w:rPr>
              <w:t>19.918</w:t>
            </w:r>
          </w:p>
        </w:tc>
        <w:tc>
          <w:tcPr>
            <w:tcW w:w="854" w:type="pct"/>
            <w:vAlign w:val="center"/>
          </w:tcPr>
          <w:p>
            <w:pPr>
              <w:pStyle w:val="63"/>
            </w:pPr>
            <w:r>
              <w:rPr>
                <w:rFonts w:hint="eastAsia"/>
              </w:rPr>
              <w:t>194.970</w:t>
            </w:r>
          </w:p>
        </w:tc>
        <w:tc>
          <w:tcPr>
            <w:tcW w:w="732" w:type="pct"/>
            <w:vAlign w:val="center"/>
          </w:tcPr>
          <w:p>
            <w:pPr>
              <w:pStyle w:val="63"/>
            </w:pPr>
            <w:r>
              <w:rPr>
                <w:rFonts w:hint="eastAsia"/>
              </w:rPr>
              <w:t>250802.584</w:t>
            </w:r>
          </w:p>
        </w:tc>
        <w:tc>
          <w:tcPr>
            <w:tcW w:w="611" w:type="pct"/>
            <w:vAlign w:val="center"/>
          </w:tcPr>
          <w:p>
            <w:pPr>
              <w:pStyle w:val="63"/>
            </w:pPr>
            <w:r>
              <w:rPr>
                <w:rFonts w:hint="eastAsia"/>
              </w:rPr>
              <w:t>3883.412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75" w:type="pct"/>
            <w:vAlign w:val="center"/>
          </w:tcPr>
          <w:p>
            <w:pPr>
              <w:pStyle w:val="63"/>
            </w:pPr>
            <w:r>
              <w:rPr>
                <w:rFonts w:hint="eastAsia"/>
              </w:rPr>
              <w:t>加工制造产业园</w:t>
            </w:r>
          </w:p>
        </w:tc>
        <w:tc>
          <w:tcPr>
            <w:tcW w:w="914" w:type="pct"/>
            <w:vAlign w:val="center"/>
          </w:tcPr>
          <w:p>
            <w:pPr>
              <w:pStyle w:val="63"/>
            </w:pPr>
            <w:r>
              <w:t>3.729</w:t>
            </w:r>
          </w:p>
        </w:tc>
        <w:tc>
          <w:tcPr>
            <w:tcW w:w="914" w:type="pct"/>
            <w:vAlign w:val="center"/>
          </w:tcPr>
          <w:p>
            <w:pPr>
              <w:pStyle w:val="63"/>
            </w:pPr>
            <w:r>
              <w:t>2.464</w:t>
            </w:r>
          </w:p>
        </w:tc>
        <w:tc>
          <w:tcPr>
            <w:tcW w:w="854" w:type="pct"/>
            <w:vAlign w:val="center"/>
          </w:tcPr>
          <w:p>
            <w:pPr>
              <w:pStyle w:val="63"/>
            </w:pPr>
            <w:r>
              <w:rPr>
                <w:rFonts w:hint="eastAsia"/>
              </w:rPr>
              <w:t>32.560</w:t>
            </w:r>
          </w:p>
        </w:tc>
        <w:tc>
          <w:tcPr>
            <w:tcW w:w="732" w:type="pct"/>
            <w:vAlign w:val="center"/>
          </w:tcPr>
          <w:p>
            <w:pPr>
              <w:pStyle w:val="63"/>
            </w:pPr>
            <w:r>
              <w:rPr>
                <w:rFonts w:hint="eastAsia"/>
              </w:rPr>
              <w:t>121.410</w:t>
            </w:r>
          </w:p>
        </w:tc>
        <w:tc>
          <w:tcPr>
            <w:tcW w:w="611" w:type="pct"/>
            <w:vAlign w:val="center"/>
          </w:tcPr>
          <w:p>
            <w:pPr>
              <w:pStyle w:val="63"/>
            </w:pPr>
            <w:r>
              <w:rPr>
                <w:rFonts w:hint="eastAsia"/>
              </w:rPr>
              <w:t>80.237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5" w:type="pct"/>
            <w:vAlign w:val="center"/>
          </w:tcPr>
          <w:p>
            <w:pPr>
              <w:pStyle w:val="63"/>
            </w:pPr>
            <w:r>
              <w:rPr>
                <w:rFonts w:hint="eastAsia"/>
              </w:rPr>
              <w:t>绿色化工产业园</w:t>
            </w:r>
          </w:p>
        </w:tc>
        <w:tc>
          <w:tcPr>
            <w:tcW w:w="914" w:type="pct"/>
            <w:vAlign w:val="center"/>
          </w:tcPr>
          <w:p>
            <w:pPr>
              <w:pStyle w:val="63"/>
            </w:pPr>
            <w:r>
              <w:t>54.16</w:t>
            </w:r>
          </w:p>
        </w:tc>
        <w:tc>
          <w:tcPr>
            <w:tcW w:w="914" w:type="pct"/>
            <w:vAlign w:val="center"/>
          </w:tcPr>
          <w:p>
            <w:pPr>
              <w:pStyle w:val="63"/>
            </w:pPr>
            <w:r>
              <w:t>5.39</w:t>
            </w:r>
          </w:p>
        </w:tc>
        <w:tc>
          <w:tcPr>
            <w:tcW w:w="854" w:type="pct"/>
            <w:vAlign w:val="center"/>
          </w:tcPr>
          <w:p>
            <w:pPr>
              <w:pStyle w:val="63"/>
            </w:pPr>
            <w:r>
              <w:t>425.32</w:t>
            </w:r>
          </w:p>
        </w:tc>
        <w:tc>
          <w:tcPr>
            <w:tcW w:w="732" w:type="pct"/>
            <w:vAlign w:val="center"/>
          </w:tcPr>
          <w:p>
            <w:pPr>
              <w:pStyle w:val="63"/>
            </w:pPr>
            <w:r>
              <w:rPr>
                <w:rFonts w:hint="eastAsia"/>
              </w:rPr>
              <w:t>23033.205</w:t>
            </w:r>
          </w:p>
        </w:tc>
        <w:tc>
          <w:tcPr>
            <w:tcW w:w="611" w:type="pct"/>
            <w:vAlign w:val="center"/>
          </w:tcPr>
          <w:p>
            <w:pPr>
              <w:pStyle w:val="63"/>
            </w:pPr>
            <w:r>
              <w:rPr>
                <w:rFonts w:hint="eastAsia"/>
              </w:rPr>
              <w:t>2290.348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75" w:type="pct"/>
            <w:vAlign w:val="center"/>
          </w:tcPr>
          <w:p>
            <w:pPr>
              <w:pStyle w:val="63"/>
            </w:pPr>
            <w:r>
              <w:rPr>
                <w:rFonts w:hint="eastAsia"/>
              </w:rPr>
              <w:t>小计</w:t>
            </w:r>
          </w:p>
        </w:tc>
        <w:tc>
          <w:tcPr>
            <w:tcW w:w="914" w:type="pct"/>
            <w:vAlign w:val="center"/>
          </w:tcPr>
          <w:p>
            <w:pPr>
              <w:pStyle w:val="63"/>
            </w:pPr>
            <w:r>
              <w:rPr>
                <w:rFonts w:hint="eastAsia"/>
              </w:rPr>
              <w:t>/</w:t>
            </w:r>
          </w:p>
        </w:tc>
        <w:tc>
          <w:tcPr>
            <w:tcW w:w="914" w:type="pct"/>
            <w:vAlign w:val="center"/>
          </w:tcPr>
          <w:p>
            <w:pPr>
              <w:pStyle w:val="63"/>
            </w:pPr>
            <w:r>
              <w:rPr>
                <w:rFonts w:hint="eastAsia"/>
              </w:rPr>
              <w:t>/</w:t>
            </w:r>
          </w:p>
        </w:tc>
        <w:tc>
          <w:tcPr>
            <w:tcW w:w="854" w:type="pct"/>
            <w:vAlign w:val="center"/>
          </w:tcPr>
          <w:p>
            <w:pPr>
              <w:pStyle w:val="63"/>
            </w:pPr>
            <w:r>
              <w:rPr>
                <w:rFonts w:hint="eastAsia"/>
              </w:rPr>
              <w:t>/</w:t>
            </w:r>
          </w:p>
        </w:tc>
        <w:tc>
          <w:tcPr>
            <w:tcW w:w="732" w:type="pct"/>
            <w:vAlign w:val="center"/>
          </w:tcPr>
          <w:p>
            <w:pPr>
              <w:pStyle w:val="63"/>
            </w:pPr>
            <w:r>
              <w:rPr>
                <w:rFonts w:hint="eastAsia"/>
              </w:rPr>
              <w:t>273957.199</w:t>
            </w:r>
          </w:p>
        </w:tc>
        <w:tc>
          <w:tcPr>
            <w:tcW w:w="611" w:type="pct"/>
            <w:vAlign w:val="center"/>
          </w:tcPr>
          <w:p>
            <w:pPr>
              <w:pStyle w:val="63"/>
            </w:pPr>
            <w:r>
              <w:rPr>
                <w:rFonts w:hint="eastAsia"/>
              </w:rPr>
              <w:t>6253.998</w:t>
            </w:r>
          </w:p>
        </w:tc>
      </w:tr>
    </w:tbl>
    <w:p>
      <w:r>
        <w:rPr>
          <w:rFonts w:hint="eastAsia"/>
        </w:rPr>
        <w:t>三湾产业园、</w:t>
      </w:r>
      <w:r>
        <w:rPr>
          <w:rFonts w:ascii="Times New Roman" w:hAnsi="Times New Roman" w:cs="Times New Roman"/>
        </w:rPr>
        <w:t>绿色建材产业园</w:t>
      </w:r>
      <w:r>
        <w:rPr>
          <w:rFonts w:hint="eastAsia"/>
        </w:rPr>
        <w:t>用</w:t>
      </w:r>
      <w:r>
        <w:t>地</w:t>
      </w:r>
      <w:r>
        <w:rPr>
          <w:rFonts w:hint="eastAsia"/>
        </w:rPr>
        <w:t>基本</w:t>
      </w:r>
      <w:r>
        <w:t>开发完毕</w:t>
      </w:r>
      <w:r>
        <w:rPr>
          <w:rFonts w:hint="eastAsia"/>
        </w:rPr>
        <w:t>，工业固废产生情况根据</w:t>
      </w:r>
      <w:r>
        <w:t>现有污染物统计得</w:t>
      </w:r>
      <w:r>
        <w:rPr>
          <w:rFonts w:hint="eastAsia"/>
        </w:rPr>
        <w:t>出</w:t>
      </w:r>
      <w:r>
        <w:t>。</w:t>
      </w:r>
    </w:p>
    <w:p>
      <w:pPr>
        <w:pStyle w:val="6"/>
      </w:pPr>
      <w:r>
        <w:rPr>
          <w:rFonts w:hint="eastAsia"/>
        </w:rPr>
        <w:t>表</w:t>
      </w:r>
      <w:r>
        <w:t xml:space="preserve">6.1-25  </w:t>
      </w:r>
      <w:r>
        <w:rPr>
          <w:rFonts w:hint="eastAsia"/>
        </w:rPr>
        <w:t>三湾产业园、</w:t>
      </w:r>
      <w:r>
        <w:t>绿色建材产业园</w:t>
      </w:r>
      <w:r>
        <w:rPr>
          <w:rFonts w:hint="eastAsia"/>
        </w:rPr>
        <w:t>工业固废产生情况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5"/>
        <w:gridCol w:w="3769"/>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53" w:type="pct"/>
            <w:vAlign w:val="center"/>
          </w:tcPr>
          <w:p>
            <w:pPr>
              <w:pStyle w:val="63"/>
            </w:pPr>
            <w:r>
              <w:rPr>
                <w:rFonts w:hint="eastAsia"/>
              </w:rPr>
              <w:t>片区</w:t>
            </w:r>
          </w:p>
        </w:tc>
        <w:tc>
          <w:tcPr>
            <w:tcW w:w="1329" w:type="pct"/>
            <w:vAlign w:val="center"/>
          </w:tcPr>
          <w:p>
            <w:pPr>
              <w:pStyle w:val="63"/>
            </w:pPr>
            <w:r>
              <w:rPr>
                <w:rFonts w:hint="eastAsia"/>
              </w:rPr>
              <w:t>一般固废</w:t>
            </w:r>
          </w:p>
        </w:tc>
        <w:tc>
          <w:tcPr>
            <w:tcW w:w="1517" w:type="pct"/>
            <w:vAlign w:val="center"/>
          </w:tcPr>
          <w:p>
            <w:pPr>
              <w:pStyle w:val="63"/>
            </w:pPr>
            <w:r>
              <w:rPr>
                <w:rFonts w:hint="eastAsia"/>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153" w:type="pct"/>
            <w:vAlign w:val="center"/>
          </w:tcPr>
          <w:p>
            <w:pPr>
              <w:pStyle w:val="63"/>
            </w:pPr>
            <w:r>
              <w:rPr>
                <w:rFonts w:hint="eastAsia"/>
              </w:rPr>
              <w:t>三湾产业园</w:t>
            </w:r>
          </w:p>
        </w:tc>
        <w:tc>
          <w:tcPr>
            <w:tcW w:w="1329" w:type="pct"/>
            <w:vAlign w:val="center"/>
          </w:tcPr>
          <w:p>
            <w:pPr>
              <w:pStyle w:val="63"/>
            </w:pPr>
            <w:r>
              <w:t>367150.65</w:t>
            </w:r>
          </w:p>
        </w:tc>
        <w:tc>
          <w:tcPr>
            <w:tcW w:w="1517" w:type="pct"/>
            <w:vAlign w:val="center"/>
          </w:tcPr>
          <w:p>
            <w:pPr>
              <w:pStyle w:val="63"/>
            </w:pPr>
            <w:r>
              <w:t>1418.932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153" w:type="pct"/>
            <w:vAlign w:val="center"/>
          </w:tcPr>
          <w:p>
            <w:pPr>
              <w:pStyle w:val="63"/>
            </w:pPr>
            <w:r>
              <w:rPr>
                <w:rFonts w:hint="eastAsia"/>
              </w:rPr>
              <w:t>绿色建材产业园</w:t>
            </w:r>
          </w:p>
        </w:tc>
        <w:tc>
          <w:tcPr>
            <w:tcW w:w="1329" w:type="pct"/>
            <w:vAlign w:val="center"/>
          </w:tcPr>
          <w:p>
            <w:pPr>
              <w:pStyle w:val="63"/>
            </w:pPr>
            <w:r>
              <w:t>0</w:t>
            </w:r>
          </w:p>
        </w:tc>
        <w:tc>
          <w:tcPr>
            <w:tcW w:w="1517" w:type="pct"/>
            <w:vAlign w:val="center"/>
          </w:tcPr>
          <w:p>
            <w:pPr>
              <w:pStyle w:val="63"/>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153" w:type="pct"/>
            <w:vAlign w:val="center"/>
          </w:tcPr>
          <w:p>
            <w:pPr>
              <w:pStyle w:val="63"/>
            </w:pPr>
            <w:r>
              <w:rPr>
                <w:rFonts w:hint="eastAsia"/>
              </w:rPr>
              <w:t>小计</w:t>
            </w:r>
          </w:p>
        </w:tc>
        <w:tc>
          <w:tcPr>
            <w:tcW w:w="1329" w:type="pct"/>
            <w:vAlign w:val="center"/>
          </w:tcPr>
          <w:p>
            <w:pPr>
              <w:pStyle w:val="63"/>
            </w:pPr>
            <w:r>
              <w:t>367150.65</w:t>
            </w:r>
          </w:p>
        </w:tc>
        <w:tc>
          <w:tcPr>
            <w:tcW w:w="1517" w:type="pct"/>
            <w:vAlign w:val="center"/>
          </w:tcPr>
          <w:p>
            <w:pPr>
              <w:pStyle w:val="63"/>
            </w:pPr>
            <w:r>
              <w:t>1418.932</w:t>
            </w:r>
          </w:p>
        </w:tc>
      </w:tr>
    </w:tbl>
    <w:p>
      <w:pPr>
        <w:ind w:firstLine="480"/>
      </w:pPr>
      <w:r>
        <w:t>（</w:t>
      </w:r>
      <w:r>
        <w:rPr>
          <w:rFonts w:hint="eastAsia"/>
        </w:rPr>
        <w:t>3</w:t>
      </w:r>
      <w:r>
        <w:t>）</w:t>
      </w:r>
      <w:r>
        <w:rPr>
          <w:rFonts w:hint="eastAsia"/>
        </w:rPr>
        <w:t>固废产</w:t>
      </w:r>
      <w:r>
        <w:t>生量汇总</w:t>
      </w:r>
    </w:p>
    <w:p>
      <w:pPr>
        <w:ind w:firstLine="480"/>
      </w:pPr>
      <w:r>
        <w:rPr>
          <w:rFonts w:hint="eastAsia"/>
        </w:rPr>
        <w:t>生活</w:t>
      </w:r>
      <w:r>
        <w:t>垃圾经分类</w:t>
      </w:r>
      <w:r>
        <w:rPr>
          <w:rFonts w:hint="eastAsia"/>
        </w:rPr>
        <w:t>收集</w:t>
      </w:r>
      <w:r>
        <w:t>交由环卫部门处理；一般工业固废分类回收，综合利用，危险废物交由有资质单位处理，焚烧或者填埋。</w:t>
      </w:r>
    </w:p>
    <w:p>
      <w:pPr>
        <w:ind w:firstLine="480"/>
      </w:pPr>
    </w:p>
    <w:p>
      <w:pPr>
        <w:pStyle w:val="6"/>
      </w:pPr>
      <w:r>
        <w:rPr>
          <w:rFonts w:hint="eastAsia"/>
        </w:rPr>
        <w:t>表</w:t>
      </w:r>
      <w:r>
        <w:t xml:space="preserve">6.1-26  </w:t>
      </w:r>
      <w:r>
        <w:rPr>
          <w:rFonts w:hint="eastAsia"/>
        </w:rPr>
        <w:t>三湾产业园、</w:t>
      </w:r>
      <w:r>
        <w:rPr>
          <w:rFonts w:ascii="Times New Roman" w:hAnsi="Times New Roman" w:cs="Times New Roman"/>
        </w:rPr>
        <w:t>绿色建材产业园</w:t>
      </w:r>
      <w:r>
        <w:rPr>
          <w:rFonts w:hint="eastAsia" w:ascii="Times New Roman" w:hAnsi="Times New Roman" w:cs="Times New Roman"/>
        </w:rPr>
        <w:t>工业固废产生情况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1"/>
        <w:gridCol w:w="2787"/>
        <w:gridCol w:w="3796"/>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8" w:type="pct"/>
            <w:gridSpan w:val="2"/>
            <w:vAlign w:val="center"/>
          </w:tcPr>
          <w:p>
            <w:pPr>
              <w:pStyle w:val="63"/>
            </w:pPr>
            <w:r>
              <w:rPr>
                <w:rFonts w:hint="eastAsia"/>
              </w:rPr>
              <w:t>片区</w:t>
            </w:r>
          </w:p>
        </w:tc>
        <w:tc>
          <w:tcPr>
            <w:tcW w:w="1339" w:type="pct"/>
            <w:vAlign w:val="center"/>
          </w:tcPr>
          <w:p>
            <w:pPr>
              <w:pStyle w:val="63"/>
            </w:pPr>
            <w:r>
              <w:rPr>
                <w:rFonts w:hint="eastAsia"/>
              </w:rPr>
              <w:t>一般固废（</w:t>
            </w:r>
            <w:r>
              <w:t>t/a</w:t>
            </w:r>
            <w:r>
              <w:rPr>
                <w:rFonts w:hint="eastAsia"/>
              </w:rPr>
              <w:t>）</w:t>
            </w:r>
          </w:p>
        </w:tc>
        <w:tc>
          <w:tcPr>
            <w:tcW w:w="833" w:type="pct"/>
            <w:vAlign w:val="center"/>
          </w:tcPr>
          <w:p>
            <w:pPr>
              <w:pStyle w:val="63"/>
            </w:pPr>
            <w:r>
              <w:rPr>
                <w:rFonts w:hint="eastAsia"/>
              </w:rPr>
              <w:t>危险废物（</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45" w:type="pct"/>
            <w:vMerge w:val="restart"/>
            <w:vAlign w:val="center"/>
          </w:tcPr>
          <w:p>
            <w:pPr>
              <w:pStyle w:val="63"/>
            </w:pPr>
            <w:r>
              <w:rPr>
                <w:rFonts w:hint="eastAsia"/>
              </w:rPr>
              <w:t>滨江片区</w:t>
            </w:r>
          </w:p>
        </w:tc>
        <w:tc>
          <w:tcPr>
            <w:tcW w:w="983" w:type="pct"/>
            <w:vAlign w:val="center"/>
          </w:tcPr>
          <w:p>
            <w:pPr>
              <w:pStyle w:val="63"/>
            </w:pPr>
            <w:r>
              <w:rPr>
                <w:rFonts w:hint="eastAsia"/>
              </w:rPr>
              <w:t>中非工贸产业园</w:t>
            </w:r>
          </w:p>
        </w:tc>
        <w:tc>
          <w:tcPr>
            <w:tcW w:w="1339" w:type="pct"/>
            <w:vAlign w:val="center"/>
          </w:tcPr>
          <w:p>
            <w:pPr>
              <w:pStyle w:val="63"/>
            </w:pPr>
            <w:r>
              <w:rPr>
                <w:rFonts w:hint="eastAsia"/>
              </w:rPr>
              <w:t>250802.584</w:t>
            </w:r>
          </w:p>
        </w:tc>
        <w:tc>
          <w:tcPr>
            <w:tcW w:w="833" w:type="pct"/>
            <w:vAlign w:val="center"/>
          </w:tcPr>
          <w:p>
            <w:pPr>
              <w:pStyle w:val="63"/>
            </w:pPr>
            <w:r>
              <w:rPr>
                <w:rFonts w:hint="eastAsia"/>
              </w:rPr>
              <w:t>3883.412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45" w:type="pct"/>
            <w:vMerge w:val="continue"/>
            <w:vAlign w:val="center"/>
          </w:tcPr>
          <w:p>
            <w:pPr>
              <w:pStyle w:val="63"/>
            </w:pPr>
          </w:p>
        </w:tc>
        <w:tc>
          <w:tcPr>
            <w:tcW w:w="983" w:type="pct"/>
            <w:vAlign w:val="center"/>
          </w:tcPr>
          <w:p>
            <w:pPr>
              <w:pStyle w:val="63"/>
            </w:pPr>
            <w:r>
              <w:rPr>
                <w:rFonts w:hint="eastAsia"/>
              </w:rPr>
              <w:t>加工制造产业园</w:t>
            </w:r>
          </w:p>
        </w:tc>
        <w:tc>
          <w:tcPr>
            <w:tcW w:w="1339" w:type="pct"/>
            <w:vAlign w:val="center"/>
          </w:tcPr>
          <w:p>
            <w:pPr>
              <w:pStyle w:val="63"/>
            </w:pPr>
            <w:r>
              <w:rPr>
                <w:rFonts w:hint="eastAsia"/>
              </w:rPr>
              <w:t>121.410</w:t>
            </w:r>
          </w:p>
        </w:tc>
        <w:tc>
          <w:tcPr>
            <w:tcW w:w="833" w:type="pct"/>
            <w:vAlign w:val="center"/>
          </w:tcPr>
          <w:p>
            <w:pPr>
              <w:pStyle w:val="63"/>
            </w:pPr>
            <w:r>
              <w:rPr>
                <w:rFonts w:hint="eastAsia"/>
              </w:rPr>
              <w:t>80.237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845" w:type="pct"/>
            <w:vMerge w:val="continue"/>
            <w:vAlign w:val="center"/>
          </w:tcPr>
          <w:p>
            <w:pPr>
              <w:pStyle w:val="63"/>
            </w:pPr>
          </w:p>
        </w:tc>
        <w:tc>
          <w:tcPr>
            <w:tcW w:w="983" w:type="pct"/>
            <w:vAlign w:val="center"/>
          </w:tcPr>
          <w:p>
            <w:pPr>
              <w:pStyle w:val="63"/>
            </w:pPr>
            <w:r>
              <w:rPr>
                <w:rFonts w:hint="eastAsia"/>
              </w:rPr>
              <w:t>绿色化工产业园</w:t>
            </w:r>
          </w:p>
        </w:tc>
        <w:tc>
          <w:tcPr>
            <w:tcW w:w="1339" w:type="pct"/>
            <w:vAlign w:val="center"/>
          </w:tcPr>
          <w:p>
            <w:pPr>
              <w:pStyle w:val="63"/>
            </w:pPr>
            <w:r>
              <w:rPr>
                <w:rFonts w:hint="eastAsia"/>
              </w:rPr>
              <w:t>414640.205</w:t>
            </w:r>
          </w:p>
        </w:tc>
        <w:tc>
          <w:tcPr>
            <w:tcW w:w="833" w:type="pct"/>
            <w:vAlign w:val="center"/>
          </w:tcPr>
          <w:p>
            <w:pPr>
              <w:pStyle w:val="63"/>
            </w:pPr>
            <w:r>
              <w:rPr>
                <w:rFonts w:hint="eastAsia"/>
              </w:rPr>
              <w:t>2295.348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8" w:type="pct"/>
            <w:gridSpan w:val="2"/>
            <w:vAlign w:val="center"/>
          </w:tcPr>
          <w:p>
            <w:pPr>
              <w:pStyle w:val="63"/>
            </w:pPr>
            <w:r>
              <w:rPr>
                <w:rFonts w:hint="eastAsia"/>
              </w:rPr>
              <w:t>三湾产业园</w:t>
            </w:r>
          </w:p>
        </w:tc>
        <w:tc>
          <w:tcPr>
            <w:tcW w:w="1339" w:type="pct"/>
            <w:vAlign w:val="center"/>
          </w:tcPr>
          <w:p>
            <w:pPr>
              <w:pStyle w:val="63"/>
            </w:pPr>
            <w:r>
              <w:rPr>
                <w:rFonts w:hint="eastAsia"/>
              </w:rPr>
              <w:t>367150.650</w:t>
            </w:r>
          </w:p>
        </w:tc>
        <w:tc>
          <w:tcPr>
            <w:tcW w:w="833" w:type="pct"/>
            <w:vAlign w:val="center"/>
          </w:tcPr>
          <w:p>
            <w:pPr>
              <w:pStyle w:val="63"/>
            </w:pPr>
            <w:r>
              <w:rPr>
                <w:rFonts w:hint="eastAsia"/>
              </w:rPr>
              <w:t>1418.932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8" w:type="pct"/>
            <w:gridSpan w:val="2"/>
            <w:vAlign w:val="center"/>
          </w:tcPr>
          <w:p>
            <w:pPr>
              <w:pStyle w:val="63"/>
            </w:pPr>
            <w:r>
              <w:rPr>
                <w:rFonts w:hint="eastAsia"/>
              </w:rPr>
              <w:t>绿色建材产业园</w:t>
            </w:r>
          </w:p>
        </w:tc>
        <w:tc>
          <w:tcPr>
            <w:tcW w:w="1339" w:type="pct"/>
            <w:vAlign w:val="center"/>
          </w:tcPr>
          <w:p>
            <w:pPr>
              <w:pStyle w:val="63"/>
            </w:pPr>
            <w:r>
              <w:rPr>
                <w:rFonts w:hint="eastAsia"/>
              </w:rPr>
              <w:t>0.000</w:t>
            </w:r>
          </w:p>
        </w:tc>
        <w:tc>
          <w:tcPr>
            <w:tcW w:w="833" w:type="pct"/>
            <w:vAlign w:val="center"/>
          </w:tcPr>
          <w:p>
            <w:pPr>
              <w:pStyle w:val="63"/>
            </w:pPr>
            <w:r>
              <w:rPr>
                <w:rFonts w:hint="eastAsia"/>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8" w:type="pct"/>
            <w:gridSpan w:val="2"/>
            <w:vAlign w:val="center"/>
          </w:tcPr>
          <w:p>
            <w:pPr>
              <w:pStyle w:val="63"/>
            </w:pPr>
            <w:r>
              <w:rPr>
                <w:rFonts w:hint="eastAsia"/>
              </w:rPr>
              <w:t>合计</w:t>
            </w:r>
          </w:p>
        </w:tc>
        <w:tc>
          <w:tcPr>
            <w:tcW w:w="1339" w:type="pct"/>
            <w:vAlign w:val="center"/>
          </w:tcPr>
          <w:p>
            <w:pPr>
              <w:pStyle w:val="63"/>
            </w:pPr>
            <w:r>
              <w:rPr>
                <w:rFonts w:hint="eastAsia"/>
              </w:rPr>
              <w:t>781790.855</w:t>
            </w:r>
          </w:p>
        </w:tc>
        <w:tc>
          <w:tcPr>
            <w:tcW w:w="833" w:type="pct"/>
            <w:vAlign w:val="center"/>
          </w:tcPr>
          <w:p>
            <w:pPr>
              <w:pStyle w:val="63"/>
            </w:pPr>
            <w:r>
              <w:rPr>
                <w:rFonts w:hint="eastAsia"/>
              </w:rPr>
              <w:t>3714.280</w:t>
            </w:r>
          </w:p>
        </w:tc>
      </w:tr>
    </w:tbl>
    <w:p>
      <w:pPr>
        <w:ind w:firstLine="480"/>
      </w:pPr>
    </w:p>
    <w:p>
      <w:pPr>
        <w:ind w:firstLine="480"/>
        <w:sectPr>
          <w:pgSz w:w="16840" w:h="11910" w:orient="landscape"/>
          <w:pgMar w:top="1797" w:right="1440" w:bottom="1797" w:left="1440" w:header="879" w:footer="992" w:gutter="0"/>
          <w:cols w:space="720" w:num="1"/>
          <w:docGrid w:linePitch="326" w:charSpace="0"/>
        </w:sectPr>
      </w:pPr>
    </w:p>
    <w:bookmarkEnd w:id="492"/>
    <w:bookmarkEnd w:id="493"/>
    <w:bookmarkEnd w:id="494"/>
    <w:bookmarkEnd w:id="495"/>
    <w:bookmarkEnd w:id="496"/>
    <w:p>
      <w:pPr>
        <w:pStyle w:val="3"/>
      </w:pPr>
      <w:bookmarkStart w:id="507" w:name="_Toc146091955"/>
      <w:bookmarkStart w:id="508" w:name="_Toc93071879"/>
      <w:r>
        <w:t>6.2地表水环境影响预测与评价</w:t>
      </w:r>
      <w:bookmarkEnd w:id="507"/>
      <w:bookmarkEnd w:id="508"/>
    </w:p>
    <w:p>
      <w:pPr>
        <w:spacing w:line="360" w:lineRule="auto"/>
        <w:ind w:firstLine="480" w:firstLineChars="200"/>
      </w:pPr>
      <w:r>
        <w:rPr>
          <w:rFonts w:ascii="Times New Roman" w:hAnsi="Times New Roman" w:cs="Times New Roman"/>
        </w:rPr>
        <w:t>滨江片区</w:t>
      </w:r>
      <w:r>
        <w:rPr>
          <w:rFonts w:hint="eastAsia" w:ascii="Times New Roman" w:hAnsi="Times New Roman" w:cs="Times New Roman"/>
        </w:rPr>
        <w:t>废水进入</w:t>
      </w:r>
      <w:r>
        <w:rPr>
          <w:rFonts w:ascii="Times New Roman" w:hAnsi="Times New Roman" w:cs="Times New Roman"/>
        </w:rPr>
        <w:t>滨江污水处理厂</w:t>
      </w:r>
      <w:r>
        <w:t>处理后达《城镇污水处理厂污染物排放标准》（GB18918-2002）中一级A标准排放</w:t>
      </w:r>
      <w:r>
        <w:rPr>
          <w:rFonts w:hint="eastAsia" w:ascii="Times New Roman" w:hAnsi="Times New Roman" w:cs="Times New Roman"/>
        </w:rPr>
        <w:t>；</w:t>
      </w:r>
      <w:r>
        <w:rPr>
          <w:rFonts w:ascii="Times New Roman" w:hAnsi="Times New Roman" w:cs="Times New Roman"/>
        </w:rPr>
        <w:t>三湾片区</w:t>
      </w:r>
      <w:r>
        <w:rPr>
          <w:rFonts w:hint="eastAsia" w:ascii="Times New Roman" w:hAnsi="Times New Roman" w:cs="Times New Roman"/>
        </w:rPr>
        <w:t>废水进入</w:t>
      </w:r>
      <w:r>
        <w:rPr>
          <w:rFonts w:ascii="Times New Roman" w:hAnsi="Times New Roman" w:cs="Times New Roman"/>
        </w:rPr>
        <w:t>临湘污水处理厂</w:t>
      </w:r>
      <w:r>
        <w:t>处理后达《城镇污水处理厂污染物排放标准》（GB18918-2002）中一级A标准排放</w:t>
      </w:r>
      <w:r>
        <w:rPr>
          <w:rFonts w:hint="eastAsia" w:ascii="Times New Roman" w:hAnsi="Times New Roman" w:cs="Times New Roman"/>
        </w:rPr>
        <w:t>；</w:t>
      </w:r>
      <w:r>
        <w:rPr>
          <w:rFonts w:ascii="Times New Roman" w:hAnsi="Times New Roman" w:cs="Times New Roman"/>
        </w:rPr>
        <w:t>绿色建材产业园</w:t>
      </w:r>
      <w:r>
        <w:rPr>
          <w:rFonts w:hint="eastAsia" w:ascii="Times New Roman" w:hAnsi="Times New Roman" w:cs="Times New Roman"/>
        </w:rPr>
        <w:t>经厂区污水处理站处理后全部回用，不外</w:t>
      </w:r>
      <w:r>
        <w:rPr>
          <w:rFonts w:ascii="Times New Roman" w:hAnsi="Times New Roman" w:cs="Times New Roman"/>
        </w:rPr>
        <w:t>排。</w:t>
      </w:r>
    </w:p>
    <w:p>
      <w:pPr>
        <w:pStyle w:val="4"/>
      </w:pPr>
      <w:bookmarkStart w:id="509" w:name="_Toc146091956"/>
      <w:r>
        <w:t>6.2.1滨江片区</w:t>
      </w:r>
      <w:r>
        <w:rPr>
          <w:rFonts w:hint="eastAsia"/>
        </w:rPr>
        <w:t>废水</w:t>
      </w:r>
      <w:r>
        <w:t>排放环境影响分析</w:t>
      </w:r>
      <w:bookmarkEnd w:id="509"/>
    </w:p>
    <w:p>
      <w:pPr>
        <w:spacing w:line="360" w:lineRule="auto"/>
        <w:ind w:firstLine="480" w:firstLineChars="200"/>
        <w:rPr>
          <w:szCs w:val="24"/>
        </w:rPr>
      </w:pPr>
      <w:r>
        <w:rPr>
          <w:rFonts w:ascii="Times New Roman" w:hAnsi="Times New Roman" w:cs="Times New Roman"/>
          <w:szCs w:val="24"/>
        </w:rPr>
        <w:t>滨江片区</w:t>
      </w:r>
      <w:r>
        <w:rPr>
          <w:rFonts w:hint="eastAsia" w:ascii="Times New Roman" w:hAnsi="Times New Roman" w:cs="Times New Roman"/>
          <w:szCs w:val="24"/>
        </w:rPr>
        <w:t>废水进入</w:t>
      </w:r>
      <w:r>
        <w:rPr>
          <w:rFonts w:ascii="Times New Roman" w:hAnsi="Times New Roman" w:cs="Times New Roman"/>
          <w:szCs w:val="24"/>
        </w:rPr>
        <w:t>滨江污水处理厂</w:t>
      </w:r>
      <w:r>
        <w:rPr>
          <w:szCs w:val="24"/>
        </w:rPr>
        <w:t>处理后达《城镇污水处理厂污染物排放标准》（GB18918-2002）中一级A标准排放</w:t>
      </w:r>
      <w:r>
        <w:rPr>
          <w:rFonts w:hint="eastAsia"/>
          <w:szCs w:val="24"/>
        </w:rPr>
        <w:t>到</w:t>
      </w:r>
      <w:r>
        <w:rPr>
          <w:szCs w:val="24"/>
        </w:rPr>
        <w:t>长江</w:t>
      </w:r>
      <w:r>
        <w:rPr>
          <w:rFonts w:hint="eastAsia"/>
          <w:szCs w:val="24"/>
        </w:rPr>
        <w:t>，</w:t>
      </w:r>
      <w:r>
        <w:rPr>
          <w:rFonts w:ascii="Times New Roman" w:hAnsi="Times New Roman" w:cs="Times New Roman"/>
          <w:szCs w:val="24"/>
        </w:rPr>
        <w:t>滨江片区</w:t>
      </w:r>
      <w:r>
        <w:rPr>
          <w:rFonts w:hint="eastAsia" w:ascii="Times New Roman" w:hAnsi="Times New Roman" w:cs="Times New Roman"/>
          <w:szCs w:val="24"/>
        </w:rPr>
        <w:t>废水</w:t>
      </w:r>
      <w:r>
        <w:rPr>
          <w:rFonts w:ascii="Times New Roman" w:hAnsi="Times New Roman" w:cs="Times New Roman"/>
          <w:szCs w:val="24"/>
        </w:rPr>
        <w:t>核算</w:t>
      </w:r>
      <w:r>
        <w:rPr>
          <w:rFonts w:hint="eastAsia" w:ascii="Times New Roman" w:hAnsi="Times New Roman" w:cs="Times New Roman"/>
          <w:szCs w:val="24"/>
        </w:rPr>
        <w:t>产生</w:t>
      </w:r>
      <w:r>
        <w:rPr>
          <w:rFonts w:ascii="Times New Roman" w:hAnsi="Times New Roman" w:cs="Times New Roman"/>
          <w:szCs w:val="24"/>
        </w:rPr>
        <w:t>量</w:t>
      </w:r>
      <w:r>
        <w:rPr>
          <w:rFonts w:hint="eastAsia"/>
          <w:color w:val="000000"/>
          <w:szCs w:val="24"/>
        </w:rPr>
        <w:t>10168.85</w:t>
      </w:r>
      <w:r>
        <w:rPr>
          <w:color w:val="000000"/>
          <w:szCs w:val="24"/>
        </w:rPr>
        <w:t>m</w:t>
      </w:r>
      <w:r>
        <w:rPr>
          <w:color w:val="000000"/>
          <w:szCs w:val="24"/>
          <w:vertAlign w:val="superscript"/>
        </w:rPr>
        <w:t>3</w:t>
      </w:r>
      <w:r>
        <w:rPr>
          <w:color w:val="000000"/>
          <w:szCs w:val="24"/>
        </w:rPr>
        <w:t>/d</w:t>
      </w:r>
      <w:r>
        <w:rPr>
          <w:rFonts w:hint="eastAsia"/>
          <w:color w:val="000000"/>
          <w:szCs w:val="24"/>
        </w:rPr>
        <w:t>，</w:t>
      </w:r>
      <w:r>
        <w:rPr>
          <w:color w:val="000000"/>
          <w:szCs w:val="24"/>
        </w:rPr>
        <w:t>废水排放量未突破</w:t>
      </w:r>
      <w:r>
        <w:rPr>
          <w:rFonts w:hint="eastAsia"/>
          <w:szCs w:val="24"/>
        </w:rPr>
        <w:t>《湖南省生态环境厅关于临湘市白马矶人河排污口设置的批复》（湘环函[2023] 180号）批复2万m3/d</w:t>
      </w:r>
      <w:r>
        <w:rPr>
          <w:szCs w:val="24"/>
        </w:rPr>
        <w:t>许可排放量。因此本次评价引用《临湘工业园白马矶入河排污口设置论证报告》中相关内容及结论。</w:t>
      </w:r>
    </w:p>
    <w:p>
      <w:pPr>
        <w:spacing w:line="360" w:lineRule="auto"/>
        <w:ind w:firstLine="480" w:firstLineChars="200"/>
        <w:rPr>
          <w:szCs w:val="24"/>
        </w:rPr>
      </w:pPr>
      <w:r>
        <w:rPr>
          <w:szCs w:val="24"/>
        </w:rPr>
        <w:t>（1）排污影响范围：长江排污口上游1.8km至白鱀豚保护区下游边界。</w:t>
      </w:r>
    </w:p>
    <w:p>
      <w:pPr>
        <w:spacing w:line="360" w:lineRule="auto"/>
        <w:ind w:firstLine="480" w:firstLineChars="200"/>
        <w:rPr>
          <w:szCs w:val="24"/>
        </w:rPr>
      </w:pPr>
      <w:r>
        <w:rPr>
          <w:szCs w:val="24"/>
        </w:rPr>
        <w:t xml:space="preserve">（2）水功能区划和水资源条件符合性：论证排污口所在水域属渔业用水区，属于水资源开发利用区域，入河排污口的设置与水功能区管理要求是相符的。 </w:t>
      </w:r>
    </w:p>
    <w:p>
      <w:pPr>
        <w:spacing w:line="360" w:lineRule="auto"/>
        <w:ind w:firstLine="480" w:firstLineChars="200"/>
        <w:rPr>
          <w:szCs w:val="24"/>
        </w:rPr>
      </w:pPr>
      <w:r>
        <w:rPr>
          <w:szCs w:val="24"/>
        </w:rPr>
        <w:t>（3）对水功能区水质影响分析：</w:t>
      </w:r>
    </w:p>
    <w:p>
      <w:pPr>
        <w:spacing w:line="360" w:lineRule="auto"/>
        <w:ind w:firstLine="480" w:firstLineChars="200"/>
        <w:rPr>
          <w:szCs w:val="24"/>
        </w:rPr>
      </w:pPr>
      <w:r>
        <w:rPr>
          <w:rFonts w:hint="eastAsia"/>
          <w:szCs w:val="24"/>
        </w:rPr>
        <w:t>COD、氨氮、总磷和苯胺类这4个指标的污染物排放影响范围分析，</w:t>
      </w:r>
      <w:r>
        <w:rPr>
          <w:szCs w:val="24"/>
        </w:rPr>
        <w:t>产业园污水处理厂排污口</w:t>
      </w:r>
      <w:r>
        <w:rPr>
          <w:rFonts w:hint="eastAsia"/>
          <w:szCs w:val="24"/>
        </w:rPr>
        <w:t>2万</w:t>
      </w:r>
      <w:r>
        <w:rPr>
          <w:szCs w:val="24"/>
        </w:rPr>
        <w:t>t/d</w:t>
      </w:r>
      <w:r>
        <w:rPr>
          <w:rFonts w:hint="eastAsia"/>
          <w:szCs w:val="24"/>
        </w:rPr>
        <w:t>排放量</w:t>
      </w:r>
      <w:r>
        <w:rPr>
          <w:szCs w:val="24"/>
        </w:rPr>
        <w:t>，</w:t>
      </w:r>
      <w:r>
        <w:rPr>
          <w:rFonts w:hint="eastAsia"/>
          <w:szCs w:val="24"/>
        </w:rPr>
        <w:t>尾水排放</w:t>
      </w:r>
      <w:r>
        <w:rPr>
          <w:szCs w:val="24"/>
        </w:rPr>
        <w:t>浓度</w:t>
      </w:r>
      <w:r>
        <w:rPr>
          <w:rFonts w:hint="eastAsia"/>
          <w:szCs w:val="24"/>
        </w:rPr>
        <w:t>满足</w:t>
      </w:r>
      <w:r>
        <w:rPr>
          <w:szCs w:val="24"/>
        </w:rPr>
        <w:t>《城镇污水处理厂污染物排放标准》（GB18918-2002）中的一级A标准</w:t>
      </w:r>
      <w:r>
        <w:rPr>
          <w:rFonts w:hint="eastAsia"/>
          <w:szCs w:val="24"/>
        </w:rPr>
        <w:t>时</w:t>
      </w:r>
      <w:r>
        <w:rPr>
          <w:szCs w:val="24"/>
        </w:rPr>
        <w:t>，废污水排入长江，与江水掺混后均未超过《地表水环境质量标准》中的III类水标准，</w:t>
      </w:r>
      <w:r>
        <w:rPr>
          <w:rFonts w:hint="eastAsia"/>
          <w:szCs w:val="24"/>
        </w:rPr>
        <w:t>没有改变长江岳阳过渡区末端（排污口下游</w:t>
      </w:r>
      <w:r>
        <w:rPr>
          <w:szCs w:val="24"/>
        </w:rPr>
        <w:t>3.5</w:t>
      </w:r>
      <w:r>
        <w:rPr>
          <w:rFonts w:hint="eastAsia"/>
          <w:szCs w:val="24"/>
        </w:rPr>
        <w:t>km处）的水质类别，</w:t>
      </w:r>
      <w:r>
        <w:rPr>
          <w:szCs w:val="24"/>
        </w:rPr>
        <w:t>对下游长江洪湖新螺段白鱀豚保护区水质基本没有影响</w:t>
      </w:r>
      <w:r>
        <w:rPr>
          <w:rFonts w:hint="eastAsia"/>
          <w:szCs w:val="24"/>
        </w:rPr>
        <w:t>。</w:t>
      </w:r>
    </w:p>
    <w:p>
      <w:pPr>
        <w:pStyle w:val="4"/>
      </w:pPr>
      <w:bookmarkStart w:id="510" w:name="_Toc146091957"/>
      <w:r>
        <w:t>6.2.2</w:t>
      </w:r>
      <w:r>
        <w:rPr>
          <w:rFonts w:ascii="Times New Roman" w:hAnsi="Times New Roman" w:cs="Times New Roman"/>
          <w:szCs w:val="24"/>
        </w:rPr>
        <w:t>三湾片区</w:t>
      </w:r>
      <w:r>
        <w:rPr>
          <w:rFonts w:hint="eastAsia" w:ascii="Times New Roman" w:hAnsi="Times New Roman" w:cs="Times New Roman"/>
          <w:sz w:val="24"/>
          <w:szCs w:val="24"/>
        </w:rPr>
        <w:t>废水</w:t>
      </w:r>
      <w:r>
        <w:rPr>
          <w:rFonts w:ascii="Times New Roman" w:hAnsi="Times New Roman" w:cs="Times New Roman"/>
          <w:sz w:val="24"/>
          <w:szCs w:val="24"/>
        </w:rPr>
        <w:t>排放</w:t>
      </w:r>
      <w:r>
        <w:t>环境影响分析</w:t>
      </w:r>
      <w:bookmarkEnd w:id="510"/>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三湾片区</w:t>
      </w:r>
      <w:r>
        <w:rPr>
          <w:rFonts w:hint="eastAsia" w:ascii="Times New Roman" w:hAnsi="Times New Roman" w:cs="Times New Roman"/>
          <w:szCs w:val="24"/>
        </w:rPr>
        <w:t>废水</w:t>
      </w:r>
      <w:r>
        <w:rPr>
          <w:rFonts w:ascii="Times New Roman" w:hAnsi="Times New Roman" w:cs="Times New Roman"/>
          <w:szCs w:val="24"/>
        </w:rPr>
        <w:t>规划进入湘市污水净化中心处理</w:t>
      </w:r>
      <w:r>
        <w:t>后达《城镇污水处理厂污染物排放标准》（GB18918-2002）中一级A标准排放</w:t>
      </w:r>
      <w:r>
        <w:rPr>
          <w:rFonts w:hint="eastAsia" w:ascii="Times New Roman" w:hAnsi="Times New Roman" w:cs="Times New Roman"/>
        </w:rPr>
        <w:t>至长安</w:t>
      </w:r>
      <w:r>
        <w:rPr>
          <w:rFonts w:ascii="Times New Roman" w:hAnsi="Times New Roman" w:cs="Times New Roman"/>
        </w:rPr>
        <w:t>河。</w:t>
      </w:r>
    </w:p>
    <w:p>
      <w:pPr>
        <w:spacing w:line="360" w:lineRule="auto"/>
        <w:ind w:firstLine="480" w:firstLineChars="200"/>
        <w:rPr>
          <w:rFonts w:ascii="Times New Roman" w:hAnsi="Times New Roman" w:cs="Times New Roman"/>
          <w:szCs w:val="24"/>
        </w:rPr>
      </w:pPr>
      <w:r>
        <w:rPr>
          <w:rFonts w:ascii="Times New Roman" w:hAnsi="Times New Roman" w:cs="Times New Roman"/>
          <w:szCs w:val="24"/>
        </w:rPr>
        <w:t>临湘市污水净化中心实际建设规模为6万m</w:t>
      </w:r>
      <w:r>
        <w:rPr>
          <w:rFonts w:ascii="Times New Roman" w:hAnsi="Times New Roman" w:cs="Times New Roman"/>
          <w:szCs w:val="24"/>
          <w:vertAlign w:val="superscript"/>
        </w:rPr>
        <w:t>3</w:t>
      </w:r>
      <w:r>
        <w:rPr>
          <w:rFonts w:ascii="Times New Roman" w:hAnsi="Times New Roman" w:cs="Times New Roman"/>
          <w:szCs w:val="24"/>
        </w:rPr>
        <w:t>/d，2019年进行提标改造考虑近期处理规模约为4.5万m</w:t>
      </w:r>
      <w:r>
        <w:rPr>
          <w:rFonts w:ascii="Times New Roman" w:hAnsi="Times New Roman" w:cs="Times New Roman"/>
          <w:szCs w:val="24"/>
          <w:vertAlign w:val="superscript"/>
        </w:rPr>
        <w:t>3</w:t>
      </w:r>
      <w:r>
        <w:rPr>
          <w:rFonts w:ascii="Times New Roman" w:hAnsi="Times New Roman" w:cs="Times New Roman"/>
          <w:szCs w:val="24"/>
        </w:rPr>
        <w:t>/d，因此提标改造后处理规模按4.5万m</w:t>
      </w:r>
      <w:r>
        <w:rPr>
          <w:rFonts w:ascii="Times New Roman" w:hAnsi="Times New Roman" w:cs="Times New Roman"/>
          <w:szCs w:val="24"/>
          <w:vertAlign w:val="superscript"/>
        </w:rPr>
        <w:t>3</w:t>
      </w:r>
      <w:r>
        <w:rPr>
          <w:rFonts w:ascii="Times New Roman" w:hAnsi="Times New Roman" w:cs="Times New Roman"/>
          <w:szCs w:val="24"/>
        </w:rPr>
        <w:t>/d建设，出水水质提升至《城镇污水处理厂污染物排放标准》（GB18918-2002）一级A类标准。2022年4月，临湘高新技术产业开发区管理委员会已进行《临湘工业园区三湾产业区依托临湘市污水净化中心评估报告》，三湾园区废水进临湘市污水净化中心处置是可行的。</w:t>
      </w:r>
    </w:p>
    <w:p>
      <w:pPr>
        <w:pStyle w:val="4"/>
      </w:pPr>
      <w:bookmarkStart w:id="511" w:name="_Toc146091958"/>
      <w:r>
        <w:t>6.2.</w:t>
      </w:r>
      <w:r>
        <w:rPr>
          <w:rFonts w:hint="eastAsia"/>
        </w:rPr>
        <w:t>3</w:t>
      </w:r>
      <w:r>
        <w:t xml:space="preserve"> </w:t>
      </w:r>
      <w:r>
        <w:rPr>
          <w:rFonts w:hint="eastAsia"/>
        </w:rPr>
        <w:t>污水处理设施可依托性分析</w:t>
      </w:r>
      <w:bookmarkEnd w:id="511"/>
    </w:p>
    <w:p>
      <w:pPr>
        <w:spacing w:line="360" w:lineRule="auto"/>
        <w:ind w:firstLine="480" w:firstLineChars="200"/>
      </w:pPr>
      <w:r>
        <w:rPr>
          <w:rFonts w:hint="eastAsia"/>
        </w:rPr>
        <w:t>园区现状存在主要污水处理厂2座、临湘工业园污水处理厂、</w:t>
      </w:r>
      <w:r>
        <w:rPr>
          <w:rFonts w:ascii="Times New Roman" w:hAnsi="Times New Roman" w:cs="Times New Roman"/>
          <w:szCs w:val="24"/>
        </w:rPr>
        <w:t>湘市污水净化中心处理</w:t>
      </w:r>
      <w:r>
        <w:rPr>
          <w:rFonts w:hint="eastAsia"/>
        </w:rPr>
        <w:t>，主要污水处理厂规模、接纳能力、处理工艺、纳管水质要求、污水排放标准见下表。</w:t>
      </w:r>
    </w:p>
    <w:p>
      <w:pPr>
        <w:pStyle w:val="6"/>
      </w:pPr>
      <w:r>
        <w:t xml:space="preserve">表6.2-1  </w:t>
      </w:r>
      <w:r>
        <w:rPr>
          <w:rFonts w:hint="eastAsia"/>
        </w:rPr>
        <w:t>园区污水处理厂现状</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239"/>
        <w:gridCol w:w="908"/>
        <w:gridCol w:w="1156"/>
        <w:gridCol w:w="2095"/>
        <w:gridCol w:w="25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23" w:type="pct"/>
            <w:tcBorders>
              <w:tl2br w:val="nil"/>
              <w:tr2bl w:val="nil"/>
            </w:tcBorders>
            <w:vAlign w:val="center"/>
          </w:tcPr>
          <w:p>
            <w:pPr>
              <w:pStyle w:val="63"/>
            </w:pPr>
            <w:r>
              <w:rPr>
                <w:rFonts w:hint="eastAsia"/>
              </w:rPr>
              <w:t>序号</w:t>
            </w:r>
          </w:p>
        </w:tc>
        <w:tc>
          <w:tcPr>
            <w:tcW w:w="727" w:type="pct"/>
            <w:tcBorders>
              <w:tl2br w:val="nil"/>
              <w:tr2bl w:val="nil"/>
            </w:tcBorders>
            <w:vAlign w:val="center"/>
          </w:tcPr>
          <w:p>
            <w:pPr>
              <w:pStyle w:val="63"/>
            </w:pPr>
            <w:r>
              <w:rPr>
                <w:rFonts w:hint="eastAsia"/>
              </w:rPr>
              <w:t>名称</w:t>
            </w:r>
          </w:p>
        </w:tc>
        <w:tc>
          <w:tcPr>
            <w:tcW w:w="533" w:type="pct"/>
            <w:tcBorders>
              <w:tl2br w:val="nil"/>
              <w:tr2bl w:val="nil"/>
            </w:tcBorders>
            <w:vAlign w:val="center"/>
          </w:tcPr>
          <w:p>
            <w:pPr>
              <w:pStyle w:val="63"/>
            </w:pPr>
            <w:r>
              <w:rPr>
                <w:rFonts w:hint="eastAsia"/>
              </w:rPr>
              <w:t>规划规模</w:t>
            </w:r>
          </w:p>
        </w:tc>
        <w:tc>
          <w:tcPr>
            <w:tcW w:w="678" w:type="pct"/>
            <w:tcBorders>
              <w:tl2br w:val="nil"/>
              <w:tr2bl w:val="nil"/>
            </w:tcBorders>
            <w:vAlign w:val="center"/>
          </w:tcPr>
          <w:p>
            <w:pPr>
              <w:pStyle w:val="63"/>
            </w:pPr>
            <w:r>
              <w:rPr>
                <w:rFonts w:hint="eastAsia"/>
              </w:rPr>
              <w:t>纳污范围</w:t>
            </w:r>
          </w:p>
        </w:tc>
        <w:tc>
          <w:tcPr>
            <w:tcW w:w="1229" w:type="pct"/>
            <w:tcBorders>
              <w:tl2br w:val="nil"/>
              <w:tr2bl w:val="nil"/>
            </w:tcBorders>
            <w:vAlign w:val="center"/>
          </w:tcPr>
          <w:p>
            <w:pPr>
              <w:pStyle w:val="63"/>
            </w:pPr>
            <w:r>
              <w:rPr>
                <w:rFonts w:hint="eastAsia"/>
              </w:rPr>
              <w:t>处理工艺</w:t>
            </w:r>
          </w:p>
        </w:tc>
        <w:tc>
          <w:tcPr>
            <w:tcW w:w="1510" w:type="pct"/>
            <w:tcBorders>
              <w:tl2br w:val="nil"/>
              <w:tr2bl w:val="nil"/>
            </w:tcBorders>
            <w:vAlign w:val="center"/>
          </w:tcPr>
          <w:p>
            <w:pPr>
              <w:pStyle w:val="63"/>
            </w:pPr>
            <w:r>
              <w:rPr>
                <w:rFonts w:hint="eastAsia"/>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3" w:type="pct"/>
            <w:tcBorders>
              <w:tl2br w:val="nil"/>
              <w:tr2bl w:val="nil"/>
            </w:tcBorders>
            <w:vAlign w:val="center"/>
          </w:tcPr>
          <w:p>
            <w:pPr>
              <w:pStyle w:val="63"/>
            </w:pPr>
            <w:r>
              <w:rPr>
                <w:rFonts w:hint="eastAsia"/>
              </w:rPr>
              <w:t>1</w:t>
            </w:r>
          </w:p>
        </w:tc>
        <w:tc>
          <w:tcPr>
            <w:tcW w:w="727" w:type="pct"/>
            <w:tcBorders>
              <w:tl2br w:val="nil"/>
              <w:tr2bl w:val="nil"/>
            </w:tcBorders>
            <w:vAlign w:val="center"/>
          </w:tcPr>
          <w:p>
            <w:pPr>
              <w:pStyle w:val="63"/>
            </w:pPr>
            <w:r>
              <w:rPr>
                <w:rFonts w:hint="eastAsia"/>
              </w:rPr>
              <w:t>临湘工业园</w:t>
            </w:r>
            <w:r>
              <w:t>污水处理厂</w:t>
            </w:r>
          </w:p>
        </w:tc>
        <w:tc>
          <w:tcPr>
            <w:tcW w:w="533" w:type="pct"/>
            <w:tcBorders>
              <w:tl2br w:val="nil"/>
              <w:tr2bl w:val="nil"/>
            </w:tcBorders>
            <w:vAlign w:val="center"/>
          </w:tcPr>
          <w:p>
            <w:pPr>
              <w:pStyle w:val="63"/>
            </w:pPr>
            <w:r>
              <w:t>2万m3/d</w:t>
            </w:r>
          </w:p>
        </w:tc>
        <w:tc>
          <w:tcPr>
            <w:tcW w:w="678" w:type="pct"/>
            <w:tcBorders>
              <w:tl2br w:val="nil"/>
              <w:tr2bl w:val="nil"/>
            </w:tcBorders>
            <w:vAlign w:val="center"/>
          </w:tcPr>
          <w:p>
            <w:pPr>
              <w:pStyle w:val="63"/>
            </w:pPr>
            <w:r>
              <w:rPr>
                <w:rFonts w:hint="eastAsia"/>
              </w:rPr>
              <w:t>临湘</w:t>
            </w:r>
            <w:r>
              <w:t>片区</w:t>
            </w:r>
          </w:p>
        </w:tc>
        <w:tc>
          <w:tcPr>
            <w:tcW w:w="1229" w:type="pct"/>
            <w:tcBorders>
              <w:tl2br w:val="nil"/>
              <w:tr2bl w:val="nil"/>
            </w:tcBorders>
            <w:vAlign w:val="center"/>
          </w:tcPr>
          <w:p>
            <w:pPr>
              <w:pStyle w:val="63"/>
            </w:pPr>
            <w:r>
              <w:t>水解酸化＋卡鲁塞尔氧化沟+臭氧催化氧化+混凝沉淀</w:t>
            </w:r>
          </w:p>
        </w:tc>
        <w:tc>
          <w:tcPr>
            <w:tcW w:w="1510" w:type="pct"/>
            <w:tcBorders>
              <w:tl2br w:val="nil"/>
              <w:tr2bl w:val="nil"/>
            </w:tcBorders>
            <w:vAlign w:val="center"/>
          </w:tcPr>
          <w:p>
            <w:pPr>
              <w:pStyle w:val="63"/>
            </w:pPr>
            <w:r>
              <w:t>《城镇污水处理厂污染物排放标准》（GB18918-2002）中的一级A标准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3" w:type="pct"/>
            <w:tcBorders>
              <w:tl2br w:val="nil"/>
              <w:tr2bl w:val="nil"/>
            </w:tcBorders>
            <w:vAlign w:val="center"/>
          </w:tcPr>
          <w:p>
            <w:pPr>
              <w:pStyle w:val="63"/>
            </w:pPr>
            <w:r>
              <w:rPr>
                <w:rFonts w:hint="eastAsia"/>
              </w:rPr>
              <w:t>2</w:t>
            </w:r>
          </w:p>
        </w:tc>
        <w:tc>
          <w:tcPr>
            <w:tcW w:w="727" w:type="pct"/>
            <w:tcBorders>
              <w:tl2br w:val="nil"/>
              <w:tr2bl w:val="nil"/>
            </w:tcBorders>
            <w:vAlign w:val="center"/>
          </w:tcPr>
          <w:p>
            <w:pPr>
              <w:pStyle w:val="63"/>
            </w:pPr>
            <w:r>
              <w:t>临湘市污水净化中心</w:t>
            </w:r>
          </w:p>
        </w:tc>
        <w:tc>
          <w:tcPr>
            <w:tcW w:w="533" w:type="pct"/>
            <w:tcBorders>
              <w:tl2br w:val="nil"/>
              <w:tr2bl w:val="nil"/>
            </w:tcBorders>
            <w:vAlign w:val="center"/>
          </w:tcPr>
          <w:p>
            <w:pPr>
              <w:pStyle w:val="63"/>
            </w:pPr>
            <w:r>
              <w:t>4.5万m3/d</w:t>
            </w:r>
          </w:p>
        </w:tc>
        <w:tc>
          <w:tcPr>
            <w:tcW w:w="678" w:type="pct"/>
            <w:tcBorders>
              <w:tl2br w:val="nil"/>
              <w:tr2bl w:val="nil"/>
            </w:tcBorders>
            <w:vAlign w:val="center"/>
          </w:tcPr>
          <w:p>
            <w:pPr>
              <w:pStyle w:val="63"/>
            </w:pPr>
            <w:r>
              <w:rPr>
                <w:rFonts w:hint="eastAsia"/>
              </w:rPr>
              <w:t>三湾</w:t>
            </w:r>
            <w:r>
              <w:t>片区</w:t>
            </w:r>
          </w:p>
        </w:tc>
        <w:tc>
          <w:tcPr>
            <w:tcW w:w="1229" w:type="pct"/>
            <w:tcBorders>
              <w:tl2br w:val="nil"/>
              <w:tr2bl w:val="nil"/>
            </w:tcBorders>
            <w:vAlign w:val="center"/>
          </w:tcPr>
          <w:p>
            <w:pPr>
              <w:pStyle w:val="63"/>
            </w:pPr>
            <w:r>
              <w:t>DAT-IAT 工艺。</w:t>
            </w:r>
          </w:p>
        </w:tc>
        <w:tc>
          <w:tcPr>
            <w:tcW w:w="1510" w:type="pct"/>
            <w:tcBorders>
              <w:tl2br w:val="nil"/>
              <w:tr2bl w:val="nil"/>
            </w:tcBorders>
            <w:vAlign w:val="center"/>
          </w:tcPr>
          <w:p>
            <w:pPr>
              <w:pStyle w:val="63"/>
            </w:pPr>
            <w:r>
              <w:t>《城镇污水处理厂污染物排放标准》（GB18918-2002）中的一级A标准</w:t>
            </w:r>
          </w:p>
        </w:tc>
      </w:tr>
    </w:tbl>
    <w:p>
      <w:pPr>
        <w:spacing w:line="360" w:lineRule="auto"/>
        <w:ind w:firstLine="480" w:firstLineChars="200"/>
      </w:pPr>
      <w:r>
        <w:rPr>
          <w:rFonts w:hint="eastAsia"/>
        </w:rPr>
        <w:t>根据各</w:t>
      </w:r>
      <w:r>
        <w:t>污水处理厂的纳污范围</w:t>
      </w:r>
      <w:r>
        <w:rPr>
          <w:rFonts w:hint="eastAsia"/>
        </w:rPr>
        <w:t>（见</w:t>
      </w:r>
      <w:r>
        <w:t>附图</w:t>
      </w:r>
      <w:r>
        <w:rPr>
          <w:rFonts w:hint="eastAsia"/>
        </w:rPr>
        <w:t>28）</w:t>
      </w:r>
      <w:r>
        <w:t>，</w:t>
      </w:r>
      <w:r>
        <w:rPr>
          <w:rFonts w:hint="eastAsia"/>
        </w:rPr>
        <w:t>现状污水</w:t>
      </w:r>
      <w:r>
        <w:t>处理厂已配套污水管网，现状企业污水均可排入污水处理厂，</w:t>
      </w:r>
      <w:r>
        <w:rPr>
          <w:rFonts w:hint="eastAsia"/>
        </w:rPr>
        <w:t>污水</w:t>
      </w:r>
      <w:r>
        <w:t>处理设施依托可行。</w:t>
      </w:r>
    </w:p>
    <w:p>
      <w:pPr>
        <w:pStyle w:val="3"/>
      </w:pPr>
      <w:bookmarkStart w:id="512" w:name="_Toc79700771"/>
      <w:bookmarkStart w:id="513" w:name="_Toc93071880"/>
      <w:bookmarkStart w:id="514" w:name="_Toc47380216"/>
      <w:bookmarkStart w:id="515" w:name="_Toc146091959"/>
      <w:r>
        <w:t>6.3大气环境影响预测与评价</w:t>
      </w:r>
      <w:bookmarkEnd w:id="512"/>
      <w:bookmarkEnd w:id="513"/>
      <w:bookmarkEnd w:id="514"/>
      <w:bookmarkEnd w:id="515"/>
    </w:p>
    <w:p>
      <w:pPr>
        <w:pStyle w:val="4"/>
      </w:pPr>
      <w:bookmarkStart w:id="516" w:name="_Toc146091960"/>
      <w:r>
        <w:t>6.3.1大气减排措施</w:t>
      </w:r>
      <w:bookmarkEnd w:id="516"/>
    </w:p>
    <w:p>
      <w:pPr>
        <w:spacing w:line="360" w:lineRule="auto"/>
        <w:ind w:firstLine="480" w:firstLineChars="200"/>
      </w:pPr>
      <w:r>
        <w:t>（1）根据《关于加强重点行业建设项目区域削减措施监督管理的通知》（环办环评〔2020〕36号）相关要求：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r>
        <w:rPr>
          <w:rFonts w:hint="eastAsia"/>
        </w:rPr>
        <w:t>在区域环境</w:t>
      </w:r>
      <w:r>
        <w:t>空气质量未达标前，本项目规划范围内石化、化工、燃煤发电（含热电）等重点行业建设项目主要污染物均实行区域倍量削减</w:t>
      </w:r>
      <w:r>
        <w:rPr>
          <w:rFonts w:hint="eastAsia"/>
        </w:rPr>
        <w:t>，</w:t>
      </w:r>
      <w:r>
        <w:t>达标后实施等量削减。</w:t>
      </w:r>
    </w:p>
    <w:p>
      <w:pPr>
        <w:spacing w:line="360" w:lineRule="auto"/>
        <w:ind w:firstLine="480" w:firstLineChars="200"/>
      </w:pPr>
      <w:r>
        <w:t>（2）严格能评环评制度，严格执行新建项目能评、环评等约束性制度，确保新建项目能效水平达到国内先进水平。从严执行国家、省重点耗煤行业准入规定，严格控制新建、改建、扩建耗煤项目审批、核准、备案，新建高耗能项目单位产品能耗、耗煤要达到国内先进水平。严格新上耗煤项目环评审批，新建耗煤项目排污强度必须达到国内先进水平。对未能通过能评，环评审查的项目，有关部门不得批准开工建设，不得发放生产许可证、安全生产许可证、排污许可证等。</w:t>
      </w:r>
    </w:p>
    <w:p>
      <w:pPr>
        <w:spacing w:line="360" w:lineRule="auto"/>
        <w:ind w:firstLine="480" w:firstLineChars="200"/>
      </w:pPr>
      <w:r>
        <w:t>（3）规划区内加强工业锅炉环境准入管理，新建、扩建、改建工业锅炉</w:t>
      </w:r>
      <w:r>
        <w:rPr>
          <w:rFonts w:hint="eastAsia"/>
        </w:rPr>
        <w:t>优先</w:t>
      </w:r>
      <w:r>
        <w:t>使用电、天然气等清洁能源。同时根据《关于执行污染物特别排放限值（第一批）的公告》要求，规划区内燃气锅炉需执行《锅炉大气污染物排放标准》（GB13271—2014）规定的大气污染物特别排放限制。</w:t>
      </w:r>
    </w:p>
    <w:p>
      <w:pPr>
        <w:spacing w:line="360" w:lineRule="auto"/>
        <w:ind w:firstLine="480" w:firstLineChars="200"/>
      </w:pPr>
      <w:r>
        <w:t>（4）加强企业无组织排放治理。在原料运输、贮存、装卸、混合、转运、加装、工艺过程、产品出料、包装等各个生产环节，进行全流程控制、收集、净化处理。对易产生扬尘的粉状、粒状物料及燃料应当密闭储存，运输采用密闭皮带、封闭通廊、管状带式输送机或密闭车厢等密闭输送方式。块状物料采用入棚入仓或建设防风抑尘网等方式进行存储，并设有洒水、喷淋、苫盖等综合措施进行抑尘。生产工艺产尘点（装置）应封闭，采用密闭生产装置，对打磨、切割、粉碎等加工环节产生无组织排放产尘点的设置集气罩或收尘装置并配备除尘设施。卸料点设置集气罩或密闭罩，并配备除尘设施。控制企业综合无组织排放。料场路面应实施硬化，出口处配备车轮和车身净化装置。</w:t>
      </w:r>
    </w:p>
    <w:p>
      <w:pPr>
        <w:pStyle w:val="3"/>
      </w:pPr>
      <w:bookmarkStart w:id="517" w:name="_Toc47380217"/>
      <w:bookmarkStart w:id="518" w:name="_Toc93071881"/>
      <w:bookmarkStart w:id="519" w:name="_Toc74120821"/>
      <w:bookmarkStart w:id="520" w:name="_Toc146091961"/>
      <w:r>
        <w:t>6.4声环境影响预测与评价</w:t>
      </w:r>
      <w:bookmarkEnd w:id="517"/>
      <w:bookmarkEnd w:id="518"/>
      <w:bookmarkEnd w:id="519"/>
      <w:bookmarkEnd w:id="520"/>
    </w:p>
    <w:p>
      <w:pPr>
        <w:spacing w:line="360" w:lineRule="auto"/>
        <w:ind w:firstLine="480" w:firstLineChars="200"/>
      </w:pPr>
      <w:r>
        <w:t>园区噪声源主要来自企业的工业噪声、交通噪声和建筑施工噪声，本次环评主要对工业噪声、交通噪声和建筑施工噪声进行影响分析。</w:t>
      </w:r>
    </w:p>
    <w:p>
      <w:pPr>
        <w:pStyle w:val="4"/>
      </w:pPr>
      <w:bookmarkStart w:id="521" w:name="_Toc146091962"/>
      <w:r>
        <w:t>6.4.1 工业噪声影响分析</w:t>
      </w:r>
      <w:bookmarkEnd w:id="521"/>
    </w:p>
    <w:p>
      <w:pPr>
        <w:spacing w:line="360" w:lineRule="auto"/>
        <w:ind w:firstLine="480" w:firstLineChars="200"/>
      </w:pPr>
      <w:r>
        <w:t>本评价以园区外200m为评价范围，厂界噪声为园区边界外1m处的噪声。由于大部分噪声源都安置在室内，因此预测内容为主要设备噪声对规划区的贡献值和达标距离。</w:t>
      </w:r>
    </w:p>
    <w:p>
      <w:pPr>
        <w:spacing w:line="360" w:lineRule="auto"/>
        <w:ind w:firstLine="480" w:firstLineChars="200"/>
      </w:pPr>
      <w:r>
        <w:t>园区内声环境影响预测的前提是：</w:t>
      </w:r>
      <w:r>
        <w:rPr>
          <w:rFonts w:hint="eastAsia"/>
        </w:rPr>
        <w:t>①</w:t>
      </w:r>
      <w:r>
        <w:t>园区内各区块满足声功能区划要求；</w:t>
      </w:r>
      <w:r>
        <w:rPr>
          <w:rFonts w:hint="eastAsia"/>
        </w:rPr>
        <w:t>②</w:t>
      </w:r>
      <w:r>
        <w:t>各企业厂界噪声达标。</w:t>
      </w:r>
    </w:p>
    <w:p>
      <w:pPr>
        <w:spacing w:line="360" w:lineRule="auto"/>
        <w:ind w:firstLine="480" w:firstLineChars="200"/>
      </w:pPr>
      <w:r>
        <w:t>1、预测模式</w:t>
      </w:r>
    </w:p>
    <w:p>
      <w:pPr>
        <w:spacing w:line="360" w:lineRule="auto"/>
        <w:ind w:firstLine="480" w:firstLineChars="200"/>
      </w:pPr>
      <w:r>
        <w:rPr>
          <w:rFonts w:hint="eastAsia"/>
        </w:rPr>
        <w:t>①</w:t>
      </w:r>
      <w:r>
        <w:t>点声源的几何发散衰减模式</w:t>
      </w:r>
    </w:p>
    <w:p>
      <w:pPr>
        <w:spacing w:line="360" w:lineRule="auto"/>
        <w:ind w:firstLine="480" w:firstLineChars="200"/>
      </w:pPr>
      <w:r>
        <w:drawing>
          <wp:inline distT="0" distB="0" distL="0" distR="0">
            <wp:extent cx="164592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645920" cy="182880"/>
                    </a:xfrm>
                    <a:prstGeom prst="rect">
                      <a:avLst/>
                    </a:prstGeom>
                    <a:noFill/>
                    <a:ln>
                      <a:noFill/>
                    </a:ln>
                  </pic:spPr>
                </pic:pic>
              </a:graphicData>
            </a:graphic>
          </wp:inline>
        </w:drawing>
      </w:r>
    </w:p>
    <w:p>
      <w:pPr>
        <w:spacing w:line="360" w:lineRule="auto"/>
        <w:ind w:firstLine="480" w:firstLineChars="200"/>
      </w:pPr>
      <w:r>
        <w:t>式中：</w:t>
      </w:r>
      <w:r>
        <w:drawing>
          <wp:inline distT="0" distB="0" distL="0" distR="0">
            <wp:extent cx="365760" cy="1828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65760" cy="182880"/>
                    </a:xfrm>
                    <a:prstGeom prst="rect">
                      <a:avLst/>
                    </a:prstGeom>
                    <a:noFill/>
                    <a:ln>
                      <a:noFill/>
                    </a:ln>
                  </pic:spPr>
                </pic:pic>
              </a:graphicData>
            </a:graphic>
          </wp:inline>
        </w:drawing>
      </w:r>
      <w:r>
        <w:t>、</w:t>
      </w:r>
      <w:r>
        <w:drawing>
          <wp:inline distT="0" distB="0" distL="0" distR="0">
            <wp:extent cx="467360" cy="1828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67360" cy="182880"/>
                    </a:xfrm>
                    <a:prstGeom prst="rect">
                      <a:avLst/>
                    </a:prstGeom>
                    <a:noFill/>
                    <a:ln>
                      <a:noFill/>
                    </a:ln>
                  </pic:spPr>
                </pic:pic>
              </a:graphicData>
            </a:graphic>
          </wp:inline>
        </w:drawing>
      </w:r>
      <w:r>
        <w:t>为</w:t>
      </w:r>
      <w:r>
        <w:drawing>
          <wp:inline distT="0" distB="0" distL="0" distR="0">
            <wp:extent cx="162560" cy="162560"/>
            <wp:effectExtent l="0" t="0" r="889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2560" cy="162560"/>
                    </a:xfrm>
                    <a:prstGeom prst="rect">
                      <a:avLst/>
                    </a:prstGeom>
                    <a:noFill/>
                    <a:ln>
                      <a:noFill/>
                    </a:ln>
                  </pic:spPr>
                </pic:pic>
              </a:graphicData>
            </a:graphic>
          </wp:inline>
        </w:drawing>
      </w:r>
      <w:r>
        <w:t>，</w:t>
      </w:r>
      <w:r>
        <w:drawing>
          <wp:inline distT="0" distB="0" distL="0" distR="0">
            <wp:extent cx="182880" cy="182880"/>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t>处点声源的声级，dB；</w:t>
      </w:r>
    </w:p>
    <w:p>
      <w:pPr>
        <w:spacing w:line="360" w:lineRule="auto"/>
        <w:ind w:firstLine="480" w:firstLineChars="200"/>
      </w:pPr>
      <w:r>
        <w:rPr>
          <w:rFonts w:hint="eastAsia"/>
        </w:rPr>
        <w:t>②</w:t>
      </w:r>
      <w:r>
        <w:t>室内</w:t>
      </w:r>
    </w:p>
    <w:p>
      <w:pPr>
        <w:spacing w:line="360" w:lineRule="auto"/>
        <w:ind w:firstLine="480" w:firstLineChars="200"/>
      </w:pPr>
      <w:r>
        <w:drawing>
          <wp:inline distT="0" distB="0" distL="0" distR="0">
            <wp:extent cx="1828800" cy="3657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28800" cy="365760"/>
                    </a:xfrm>
                    <a:prstGeom prst="rect">
                      <a:avLst/>
                    </a:prstGeom>
                    <a:noFill/>
                    <a:ln>
                      <a:noFill/>
                    </a:ln>
                  </pic:spPr>
                </pic:pic>
              </a:graphicData>
            </a:graphic>
          </wp:inline>
        </w:drawing>
      </w:r>
    </w:p>
    <w:p>
      <w:pPr>
        <w:spacing w:line="360" w:lineRule="auto"/>
        <w:ind w:firstLine="480" w:firstLineChars="200"/>
      </w:pPr>
      <w:r>
        <w:t>式中：</w:t>
      </w:r>
      <w:r>
        <w:drawing>
          <wp:inline distT="0" distB="0" distL="0" distR="0">
            <wp:extent cx="182880" cy="182880"/>
            <wp:effectExtent l="0" t="0" r="762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t>——室内声级，dB；</w:t>
      </w:r>
    </w:p>
    <w:p>
      <w:pPr>
        <w:spacing w:line="360" w:lineRule="auto"/>
        <w:ind w:firstLine="480" w:firstLineChars="200"/>
      </w:pPr>
      <w:r>
        <w:drawing>
          <wp:inline distT="0" distB="0" distL="0" distR="0">
            <wp:extent cx="274320" cy="18288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为声源功率级，dB；</w:t>
      </w:r>
    </w:p>
    <w:p>
      <w:pPr>
        <w:spacing w:line="360" w:lineRule="auto"/>
        <w:ind w:firstLine="480" w:firstLineChars="200"/>
      </w:pPr>
      <w:r>
        <w:t>Q——指向性因数；通常对无指向性声源，当声源放在房间中心时，Q=1；当放在一面墙的中心时，Q=2；当放在两面墙夹角处时，Q=4；当放在三面墙夹角处时，Q=8；</w:t>
      </w:r>
    </w:p>
    <w:p>
      <w:pPr>
        <w:spacing w:line="360" w:lineRule="auto"/>
        <w:ind w:firstLine="480" w:firstLineChars="200"/>
      </w:pPr>
      <w:r>
        <w:t>R 为房间常数，</w:t>
      </w:r>
      <w:r>
        <w:drawing>
          <wp:inline distT="0" distB="0" distL="0" distR="0">
            <wp:extent cx="640080" cy="447040"/>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0080" cy="447040"/>
                    </a:xfrm>
                    <a:prstGeom prst="rect">
                      <a:avLst/>
                    </a:prstGeom>
                    <a:noFill/>
                    <a:ln>
                      <a:noFill/>
                    </a:ln>
                  </pic:spPr>
                </pic:pic>
              </a:graphicData>
            </a:graphic>
          </wp:inline>
        </w:drawing>
      </w:r>
    </w:p>
    <w:p>
      <w:pPr>
        <w:spacing w:line="360" w:lineRule="auto"/>
        <w:ind w:firstLine="480" w:firstLineChars="200"/>
      </w:pPr>
      <w:r>
        <w:t>然后按下式计算出所有室内声源在围护结构处产生的i倍频带叠加声压级：</w:t>
      </w:r>
    </w:p>
    <w:p>
      <w:pPr>
        <w:spacing w:line="360" w:lineRule="auto"/>
        <w:ind w:firstLine="480" w:firstLineChars="200"/>
      </w:pPr>
      <w:r>
        <w:drawing>
          <wp:inline distT="0" distB="0" distL="0" distR="0">
            <wp:extent cx="2600960" cy="579120"/>
            <wp:effectExtent l="0" t="0" r="889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600960" cy="579120"/>
                    </a:xfrm>
                    <a:prstGeom prst="rect">
                      <a:avLst/>
                    </a:prstGeom>
                    <a:noFill/>
                    <a:ln>
                      <a:noFill/>
                    </a:ln>
                  </pic:spPr>
                </pic:pic>
              </a:graphicData>
            </a:graphic>
          </wp:inline>
        </w:drawing>
      </w:r>
    </w:p>
    <w:p>
      <w:pPr>
        <w:spacing w:line="360" w:lineRule="auto"/>
        <w:ind w:firstLine="480" w:firstLineChars="200"/>
      </w:pPr>
      <w:r>
        <w:t>式中：</w:t>
      </w:r>
    </w:p>
    <w:p>
      <w:pPr>
        <w:spacing w:line="360" w:lineRule="auto"/>
        <w:ind w:firstLine="480" w:firstLineChars="200"/>
      </w:pPr>
      <w:r>
        <w:t>Lp1i（T）——靠近围护结构处室内 N 个声源 i 倍频带的叠加声压级，dB；</w:t>
      </w:r>
    </w:p>
    <w:p>
      <w:pPr>
        <w:spacing w:line="360" w:lineRule="auto"/>
        <w:ind w:firstLine="480" w:firstLineChars="200"/>
      </w:pPr>
      <w:r>
        <w:t>LP1ij ——室内 j声源 i 倍频带的声压级，dB；</w:t>
      </w:r>
    </w:p>
    <w:p>
      <w:pPr>
        <w:spacing w:line="360" w:lineRule="auto"/>
        <w:ind w:firstLine="480" w:firstLineChars="200"/>
      </w:pPr>
      <w:r>
        <w:t>N ——室内声源总数。</w:t>
      </w:r>
    </w:p>
    <w:p>
      <w:pPr>
        <w:spacing w:line="360" w:lineRule="auto"/>
        <w:ind w:firstLine="480" w:firstLineChars="200"/>
      </w:pPr>
      <w:r>
        <w:t>在室内近似为扩散声场时，按下式计算出靠近室外围护结构处的声压级：</w:t>
      </w:r>
    </w:p>
    <w:p>
      <w:pPr>
        <w:spacing w:line="360" w:lineRule="auto"/>
        <w:ind w:firstLine="480" w:firstLineChars="200"/>
      </w:pPr>
      <w:r>
        <w:drawing>
          <wp:inline distT="0" distB="0" distL="0" distR="0">
            <wp:extent cx="2092960" cy="355600"/>
            <wp:effectExtent l="0" t="0" r="254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092960" cy="355600"/>
                    </a:xfrm>
                    <a:prstGeom prst="rect">
                      <a:avLst/>
                    </a:prstGeom>
                    <a:noFill/>
                    <a:ln>
                      <a:noFill/>
                    </a:ln>
                  </pic:spPr>
                </pic:pic>
              </a:graphicData>
            </a:graphic>
          </wp:inline>
        </w:drawing>
      </w:r>
    </w:p>
    <w:p>
      <w:pPr>
        <w:spacing w:line="360" w:lineRule="auto"/>
        <w:ind w:firstLine="480" w:firstLineChars="200"/>
      </w:pPr>
      <w:r>
        <w:t>式中：</w:t>
      </w:r>
    </w:p>
    <w:p>
      <w:pPr>
        <w:spacing w:line="360" w:lineRule="auto"/>
        <w:ind w:firstLine="480" w:firstLineChars="200"/>
      </w:pPr>
      <w:r>
        <w:t>Lp21i（T）——靠近围护结构处室外N个声源i倍频带的叠加声压级，dB；</w:t>
      </w:r>
    </w:p>
    <w:p>
      <w:pPr>
        <w:spacing w:line="360" w:lineRule="auto"/>
        <w:ind w:firstLine="480" w:firstLineChars="200"/>
      </w:pPr>
      <w:r>
        <w:t>TLi——围护结构i倍频带的隔声量，dB。</w:t>
      </w:r>
    </w:p>
    <w:p>
      <w:pPr>
        <w:spacing w:line="360" w:lineRule="auto"/>
        <w:ind w:firstLine="480" w:firstLineChars="200"/>
      </w:pPr>
      <w:r>
        <w:t>按下式将室外声源的声压级和透过面积换算成等效的室外声源，计算出中心位置位于透声面积（S）处的等效声源的倍频带声功率级。</w:t>
      </w:r>
    </w:p>
    <w:p>
      <w:pPr>
        <w:spacing w:line="360" w:lineRule="auto"/>
        <w:ind w:firstLine="480" w:firstLineChars="200"/>
      </w:pPr>
      <w:r>
        <w:drawing>
          <wp:inline distT="0" distB="0" distL="0" distR="0">
            <wp:extent cx="1483360" cy="21336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483360" cy="213360"/>
                    </a:xfrm>
                    <a:prstGeom prst="rect">
                      <a:avLst/>
                    </a:prstGeom>
                    <a:noFill/>
                    <a:ln>
                      <a:noFill/>
                    </a:ln>
                  </pic:spPr>
                </pic:pic>
              </a:graphicData>
            </a:graphic>
          </wp:inline>
        </w:drawing>
      </w:r>
    </w:p>
    <w:p>
      <w:pPr>
        <w:spacing w:line="360" w:lineRule="auto"/>
        <w:ind w:firstLine="480" w:firstLineChars="200"/>
      </w:pPr>
      <w:r>
        <w:t>然后按室外声源预测方法计算预测点处的 A 声级。</w:t>
      </w:r>
    </w:p>
    <w:p>
      <w:pPr>
        <w:spacing w:line="360" w:lineRule="auto"/>
        <w:ind w:firstLine="480" w:firstLineChars="200"/>
      </w:pPr>
      <w:r>
        <w:t>根据园区产业定位，企业生产噪声以机械噪声为主。这些工业项目噪声强度与具体产品和设备有关，部分设备噪声源较大，鼓风机、空压机等，因此应注意防止噪声扰民。</w:t>
      </w:r>
    </w:p>
    <w:p>
      <w:pPr>
        <w:spacing w:line="360" w:lineRule="auto"/>
        <w:ind w:firstLine="480" w:firstLineChars="200"/>
      </w:pPr>
      <w:r>
        <w:t>通过类比调查，得到这些设备主要噪声源声级，见下表。</w:t>
      </w:r>
    </w:p>
    <w:p>
      <w:pPr>
        <w:pStyle w:val="6"/>
      </w:pPr>
      <w:r>
        <w:t>表6.4-1   企业主要设备噪声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4875"/>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序号</w:t>
            </w:r>
          </w:p>
        </w:tc>
        <w:tc>
          <w:tcPr>
            <w:tcW w:w="2860" w:type="pct"/>
            <w:vAlign w:val="center"/>
          </w:tcPr>
          <w:p>
            <w:pPr>
              <w:pStyle w:val="63"/>
            </w:pPr>
            <w:r>
              <w:t>噪声源</w:t>
            </w:r>
          </w:p>
        </w:tc>
        <w:tc>
          <w:tcPr>
            <w:tcW w:w="1483" w:type="pct"/>
            <w:vAlign w:val="center"/>
          </w:tcPr>
          <w:p>
            <w:pPr>
              <w:pStyle w:val="63"/>
            </w:pPr>
            <w:r>
              <w:t>噪声级dB（A）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1</w:t>
            </w:r>
          </w:p>
        </w:tc>
        <w:tc>
          <w:tcPr>
            <w:tcW w:w="2860" w:type="pct"/>
            <w:vAlign w:val="center"/>
          </w:tcPr>
          <w:p>
            <w:pPr>
              <w:pStyle w:val="63"/>
            </w:pPr>
            <w:r>
              <w:t>各种泵、搅拌机、焊机、气化炉等</w:t>
            </w:r>
          </w:p>
        </w:tc>
        <w:tc>
          <w:tcPr>
            <w:tcW w:w="1483" w:type="pct"/>
            <w:vAlign w:val="center"/>
          </w:tcPr>
          <w:p>
            <w:pPr>
              <w:pStyle w:val="63"/>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2</w:t>
            </w:r>
          </w:p>
        </w:tc>
        <w:tc>
          <w:tcPr>
            <w:tcW w:w="2860" w:type="pct"/>
            <w:vAlign w:val="center"/>
          </w:tcPr>
          <w:p>
            <w:pPr>
              <w:pStyle w:val="63"/>
            </w:pPr>
            <w:r>
              <w:t>泵房、冷冻机房等</w:t>
            </w:r>
          </w:p>
        </w:tc>
        <w:tc>
          <w:tcPr>
            <w:tcW w:w="1483" w:type="pct"/>
            <w:vAlign w:val="center"/>
          </w:tcPr>
          <w:p>
            <w:pPr>
              <w:pStyle w:val="63"/>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3</w:t>
            </w:r>
          </w:p>
        </w:tc>
        <w:tc>
          <w:tcPr>
            <w:tcW w:w="2860" w:type="pct"/>
            <w:vAlign w:val="center"/>
          </w:tcPr>
          <w:p>
            <w:pPr>
              <w:pStyle w:val="63"/>
            </w:pPr>
            <w:r>
              <w:t>柴油发电机</w:t>
            </w:r>
          </w:p>
        </w:tc>
        <w:tc>
          <w:tcPr>
            <w:tcW w:w="1483" w:type="pct"/>
            <w:vAlign w:val="center"/>
          </w:tcPr>
          <w:p>
            <w:pPr>
              <w:pStyle w:val="63"/>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4</w:t>
            </w:r>
          </w:p>
        </w:tc>
        <w:tc>
          <w:tcPr>
            <w:tcW w:w="2860" w:type="pct"/>
            <w:vAlign w:val="center"/>
          </w:tcPr>
          <w:p>
            <w:pPr>
              <w:pStyle w:val="63"/>
            </w:pPr>
            <w:r>
              <w:t>破碎机</w:t>
            </w:r>
          </w:p>
        </w:tc>
        <w:tc>
          <w:tcPr>
            <w:tcW w:w="1483" w:type="pct"/>
            <w:vAlign w:val="center"/>
          </w:tcPr>
          <w:p>
            <w:pPr>
              <w:pStyle w:val="63"/>
            </w:pPr>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57" w:type="pct"/>
            <w:vAlign w:val="center"/>
          </w:tcPr>
          <w:p>
            <w:pPr>
              <w:pStyle w:val="63"/>
            </w:pPr>
            <w:r>
              <w:t>5</w:t>
            </w:r>
          </w:p>
        </w:tc>
        <w:tc>
          <w:tcPr>
            <w:tcW w:w="2860" w:type="pct"/>
            <w:vAlign w:val="center"/>
          </w:tcPr>
          <w:p>
            <w:pPr>
              <w:pStyle w:val="63"/>
            </w:pPr>
            <w:r>
              <w:t>磨粉机、空压机站</w:t>
            </w:r>
          </w:p>
        </w:tc>
        <w:tc>
          <w:tcPr>
            <w:tcW w:w="1483" w:type="pct"/>
            <w:vAlign w:val="center"/>
          </w:tcPr>
          <w:p>
            <w:pPr>
              <w:pStyle w:val="63"/>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6</w:t>
            </w:r>
          </w:p>
        </w:tc>
        <w:tc>
          <w:tcPr>
            <w:tcW w:w="2860" w:type="pct"/>
            <w:vAlign w:val="center"/>
          </w:tcPr>
          <w:p>
            <w:pPr>
              <w:pStyle w:val="63"/>
            </w:pPr>
            <w:r>
              <w:t>罗茨鼓风机</w:t>
            </w:r>
          </w:p>
        </w:tc>
        <w:tc>
          <w:tcPr>
            <w:tcW w:w="1483" w:type="pct"/>
            <w:vAlign w:val="center"/>
          </w:tcPr>
          <w:p>
            <w:pPr>
              <w:pStyle w:val="63"/>
            </w:pPr>
            <w: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7</w:t>
            </w:r>
          </w:p>
        </w:tc>
        <w:tc>
          <w:tcPr>
            <w:tcW w:w="2860" w:type="pct"/>
            <w:vAlign w:val="center"/>
          </w:tcPr>
          <w:p>
            <w:pPr>
              <w:pStyle w:val="63"/>
            </w:pPr>
            <w:r>
              <w:t>磨煤机、离心机、压缩机、包装机</w:t>
            </w:r>
          </w:p>
        </w:tc>
        <w:tc>
          <w:tcPr>
            <w:tcW w:w="1483" w:type="pct"/>
            <w:vAlign w:val="center"/>
          </w:tcPr>
          <w:p>
            <w:pPr>
              <w:pStyle w:val="63"/>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8</w:t>
            </w:r>
          </w:p>
        </w:tc>
        <w:tc>
          <w:tcPr>
            <w:tcW w:w="2860" w:type="pct"/>
            <w:vAlign w:val="center"/>
          </w:tcPr>
          <w:p>
            <w:pPr>
              <w:pStyle w:val="63"/>
            </w:pPr>
            <w:r>
              <w:t>空压机、鼓风机等</w:t>
            </w:r>
          </w:p>
        </w:tc>
        <w:tc>
          <w:tcPr>
            <w:tcW w:w="1483" w:type="pct"/>
            <w:vAlign w:val="center"/>
          </w:tcPr>
          <w:p>
            <w:pPr>
              <w:pStyle w:val="63"/>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pPr>
              <w:pStyle w:val="63"/>
            </w:pPr>
            <w:r>
              <w:t>9</w:t>
            </w:r>
          </w:p>
        </w:tc>
        <w:tc>
          <w:tcPr>
            <w:tcW w:w="2860" w:type="pct"/>
            <w:vAlign w:val="center"/>
          </w:tcPr>
          <w:p>
            <w:pPr>
              <w:pStyle w:val="63"/>
            </w:pPr>
            <w:r>
              <w:t>干燥塔、膨胀机等</w:t>
            </w:r>
          </w:p>
        </w:tc>
        <w:tc>
          <w:tcPr>
            <w:tcW w:w="1483" w:type="pct"/>
            <w:vAlign w:val="center"/>
          </w:tcPr>
          <w:p>
            <w:pPr>
              <w:pStyle w:val="63"/>
            </w:pPr>
            <w:r>
              <w:t>90</w:t>
            </w:r>
          </w:p>
        </w:tc>
      </w:tr>
    </w:tbl>
    <w:p>
      <w:pPr>
        <w:spacing w:line="360" w:lineRule="auto"/>
        <w:ind w:firstLine="480" w:firstLineChars="200"/>
      </w:pPr>
      <w:r>
        <w:t>经类比分析，主要行业的主要生产车间平均声级以及计算得出的干扰半径，见下表（R65表示噪声声级衰减为65dB所需距离，亦称干扰半径，其余类推）。</w:t>
      </w:r>
    </w:p>
    <w:p>
      <w:pPr>
        <w:pStyle w:val="6"/>
      </w:pPr>
      <w:r>
        <w:t>表6.4-2   各种车间的噪声干扰半径（m）</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482"/>
        <w:gridCol w:w="992"/>
        <w:gridCol w:w="764"/>
        <w:gridCol w:w="764"/>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噪声源</w:t>
            </w:r>
          </w:p>
        </w:tc>
        <w:tc>
          <w:tcPr>
            <w:tcW w:w="1456" w:type="pct"/>
            <w:vAlign w:val="center"/>
          </w:tcPr>
          <w:p>
            <w:pPr>
              <w:pStyle w:val="63"/>
            </w:pPr>
            <w:r>
              <w:t>车间内平均声级（dB）</w:t>
            </w:r>
          </w:p>
        </w:tc>
        <w:tc>
          <w:tcPr>
            <w:tcW w:w="582" w:type="pct"/>
            <w:vAlign w:val="center"/>
          </w:tcPr>
          <w:p>
            <w:pPr>
              <w:pStyle w:val="63"/>
            </w:pPr>
            <w:r>
              <w:t>R65</w:t>
            </w:r>
          </w:p>
        </w:tc>
        <w:tc>
          <w:tcPr>
            <w:tcW w:w="448" w:type="pct"/>
            <w:vAlign w:val="center"/>
          </w:tcPr>
          <w:p>
            <w:pPr>
              <w:pStyle w:val="63"/>
            </w:pPr>
            <w:r>
              <w:t>R60</w:t>
            </w:r>
          </w:p>
        </w:tc>
        <w:tc>
          <w:tcPr>
            <w:tcW w:w="448" w:type="pct"/>
            <w:vAlign w:val="center"/>
          </w:tcPr>
          <w:p>
            <w:pPr>
              <w:pStyle w:val="63"/>
            </w:pPr>
            <w:r>
              <w:t>R55</w:t>
            </w:r>
          </w:p>
        </w:tc>
        <w:tc>
          <w:tcPr>
            <w:tcW w:w="447" w:type="pct"/>
            <w:vAlign w:val="center"/>
          </w:tcPr>
          <w:p>
            <w:pPr>
              <w:pStyle w:val="63"/>
            </w:pPr>
            <w:r>
              <w:t>R50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磨煤机、离心机、压缩机等</w:t>
            </w:r>
          </w:p>
        </w:tc>
        <w:tc>
          <w:tcPr>
            <w:tcW w:w="1456" w:type="pct"/>
            <w:vAlign w:val="center"/>
          </w:tcPr>
          <w:p>
            <w:pPr>
              <w:pStyle w:val="63"/>
            </w:pPr>
            <w:r>
              <w:t>85</w:t>
            </w:r>
          </w:p>
        </w:tc>
        <w:tc>
          <w:tcPr>
            <w:tcW w:w="582" w:type="pct"/>
            <w:vAlign w:val="center"/>
          </w:tcPr>
          <w:p>
            <w:pPr>
              <w:pStyle w:val="63"/>
            </w:pPr>
            <w:r>
              <w:t>14</w:t>
            </w:r>
          </w:p>
        </w:tc>
        <w:tc>
          <w:tcPr>
            <w:tcW w:w="448" w:type="pct"/>
            <w:vAlign w:val="center"/>
          </w:tcPr>
          <w:p>
            <w:pPr>
              <w:pStyle w:val="63"/>
            </w:pPr>
            <w:r>
              <w:t>24</w:t>
            </w:r>
          </w:p>
        </w:tc>
        <w:tc>
          <w:tcPr>
            <w:tcW w:w="448" w:type="pct"/>
            <w:vAlign w:val="center"/>
          </w:tcPr>
          <w:p>
            <w:pPr>
              <w:pStyle w:val="63"/>
            </w:pPr>
            <w:r>
              <w:t>35</w:t>
            </w:r>
          </w:p>
        </w:tc>
        <w:tc>
          <w:tcPr>
            <w:tcW w:w="447" w:type="pct"/>
            <w:vAlign w:val="center"/>
          </w:tcPr>
          <w:p>
            <w:pPr>
              <w:pStyle w:val="63"/>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搅拌机、焊机、气化炉等</w:t>
            </w:r>
          </w:p>
        </w:tc>
        <w:tc>
          <w:tcPr>
            <w:tcW w:w="1456" w:type="pct"/>
            <w:vAlign w:val="center"/>
          </w:tcPr>
          <w:p>
            <w:pPr>
              <w:pStyle w:val="63"/>
            </w:pPr>
            <w:r>
              <w:t>80</w:t>
            </w:r>
          </w:p>
        </w:tc>
        <w:tc>
          <w:tcPr>
            <w:tcW w:w="582" w:type="pct"/>
            <w:vAlign w:val="center"/>
          </w:tcPr>
          <w:p>
            <w:pPr>
              <w:pStyle w:val="63"/>
            </w:pPr>
            <w:r>
              <w:t>13</w:t>
            </w:r>
          </w:p>
        </w:tc>
        <w:tc>
          <w:tcPr>
            <w:tcW w:w="448" w:type="pct"/>
            <w:vAlign w:val="center"/>
          </w:tcPr>
          <w:p>
            <w:pPr>
              <w:pStyle w:val="63"/>
            </w:pPr>
            <w:r>
              <w:t>16</w:t>
            </w:r>
          </w:p>
        </w:tc>
        <w:tc>
          <w:tcPr>
            <w:tcW w:w="448" w:type="pct"/>
            <w:vAlign w:val="center"/>
          </w:tcPr>
          <w:p>
            <w:pPr>
              <w:pStyle w:val="63"/>
            </w:pPr>
            <w:r>
              <w:t>28</w:t>
            </w:r>
          </w:p>
        </w:tc>
        <w:tc>
          <w:tcPr>
            <w:tcW w:w="447" w:type="pct"/>
            <w:vAlign w:val="center"/>
          </w:tcPr>
          <w:p>
            <w:pPr>
              <w:pStyle w:val="63"/>
            </w:pPr>
            <w: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干燥塔、膨胀机等</w:t>
            </w:r>
          </w:p>
        </w:tc>
        <w:tc>
          <w:tcPr>
            <w:tcW w:w="1456" w:type="pct"/>
            <w:vAlign w:val="center"/>
          </w:tcPr>
          <w:p>
            <w:pPr>
              <w:pStyle w:val="63"/>
            </w:pPr>
            <w:r>
              <w:t>90</w:t>
            </w:r>
          </w:p>
        </w:tc>
        <w:tc>
          <w:tcPr>
            <w:tcW w:w="582" w:type="pct"/>
            <w:vAlign w:val="center"/>
          </w:tcPr>
          <w:p>
            <w:pPr>
              <w:pStyle w:val="63"/>
            </w:pPr>
            <w:r>
              <w:t>24</w:t>
            </w:r>
          </w:p>
        </w:tc>
        <w:tc>
          <w:tcPr>
            <w:tcW w:w="448" w:type="pct"/>
            <w:vAlign w:val="center"/>
          </w:tcPr>
          <w:p>
            <w:pPr>
              <w:pStyle w:val="63"/>
            </w:pPr>
            <w:r>
              <w:t>44</w:t>
            </w:r>
          </w:p>
        </w:tc>
        <w:tc>
          <w:tcPr>
            <w:tcW w:w="448" w:type="pct"/>
            <w:vAlign w:val="center"/>
          </w:tcPr>
          <w:p>
            <w:pPr>
              <w:pStyle w:val="63"/>
            </w:pPr>
            <w:r>
              <w:t>79</w:t>
            </w:r>
          </w:p>
        </w:tc>
        <w:tc>
          <w:tcPr>
            <w:tcW w:w="447" w:type="pct"/>
            <w:vAlign w:val="center"/>
          </w:tcPr>
          <w:p>
            <w:pPr>
              <w:pStyle w:val="63"/>
            </w:pPr>
            <w: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包装机</w:t>
            </w:r>
          </w:p>
        </w:tc>
        <w:tc>
          <w:tcPr>
            <w:tcW w:w="1456" w:type="pct"/>
            <w:vAlign w:val="center"/>
          </w:tcPr>
          <w:p>
            <w:pPr>
              <w:pStyle w:val="63"/>
            </w:pPr>
            <w:r>
              <w:t>85</w:t>
            </w:r>
          </w:p>
        </w:tc>
        <w:tc>
          <w:tcPr>
            <w:tcW w:w="582" w:type="pct"/>
            <w:vAlign w:val="center"/>
          </w:tcPr>
          <w:p>
            <w:pPr>
              <w:pStyle w:val="63"/>
            </w:pPr>
            <w:r>
              <w:t>14</w:t>
            </w:r>
          </w:p>
        </w:tc>
        <w:tc>
          <w:tcPr>
            <w:tcW w:w="448" w:type="pct"/>
            <w:vAlign w:val="center"/>
          </w:tcPr>
          <w:p>
            <w:pPr>
              <w:pStyle w:val="63"/>
            </w:pPr>
            <w:r>
              <w:t>24</w:t>
            </w:r>
          </w:p>
        </w:tc>
        <w:tc>
          <w:tcPr>
            <w:tcW w:w="448" w:type="pct"/>
            <w:vAlign w:val="center"/>
          </w:tcPr>
          <w:p>
            <w:pPr>
              <w:pStyle w:val="63"/>
            </w:pPr>
            <w:r>
              <w:t>35</w:t>
            </w:r>
          </w:p>
        </w:tc>
        <w:tc>
          <w:tcPr>
            <w:tcW w:w="447" w:type="pct"/>
            <w:vAlign w:val="center"/>
          </w:tcPr>
          <w:p>
            <w:pPr>
              <w:pStyle w:val="63"/>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空压机、鼓风机等</w:t>
            </w:r>
          </w:p>
        </w:tc>
        <w:tc>
          <w:tcPr>
            <w:tcW w:w="1456" w:type="pct"/>
            <w:vAlign w:val="center"/>
          </w:tcPr>
          <w:p>
            <w:pPr>
              <w:pStyle w:val="63"/>
            </w:pPr>
            <w:r>
              <w:t>95</w:t>
            </w:r>
          </w:p>
        </w:tc>
        <w:tc>
          <w:tcPr>
            <w:tcW w:w="582" w:type="pct"/>
            <w:vAlign w:val="center"/>
          </w:tcPr>
          <w:p>
            <w:pPr>
              <w:pStyle w:val="63"/>
            </w:pPr>
            <w:r>
              <w:t>29</w:t>
            </w:r>
          </w:p>
        </w:tc>
        <w:tc>
          <w:tcPr>
            <w:tcW w:w="448" w:type="pct"/>
            <w:vAlign w:val="center"/>
          </w:tcPr>
          <w:p>
            <w:pPr>
              <w:pStyle w:val="63"/>
            </w:pPr>
            <w:r>
              <w:t>49</w:t>
            </w:r>
          </w:p>
        </w:tc>
        <w:tc>
          <w:tcPr>
            <w:tcW w:w="448" w:type="pct"/>
            <w:vAlign w:val="center"/>
          </w:tcPr>
          <w:p>
            <w:pPr>
              <w:pStyle w:val="63"/>
            </w:pPr>
            <w:r>
              <w:t>89</w:t>
            </w:r>
          </w:p>
        </w:tc>
        <w:tc>
          <w:tcPr>
            <w:tcW w:w="447" w:type="pct"/>
            <w:vAlign w:val="center"/>
          </w:tcPr>
          <w:p>
            <w:pPr>
              <w:pStyle w:val="63"/>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各种泵</w:t>
            </w:r>
          </w:p>
        </w:tc>
        <w:tc>
          <w:tcPr>
            <w:tcW w:w="1456" w:type="pct"/>
            <w:vAlign w:val="center"/>
          </w:tcPr>
          <w:p>
            <w:pPr>
              <w:pStyle w:val="63"/>
            </w:pPr>
            <w:r>
              <w:t>80</w:t>
            </w:r>
          </w:p>
        </w:tc>
        <w:tc>
          <w:tcPr>
            <w:tcW w:w="582" w:type="pct"/>
            <w:vAlign w:val="center"/>
          </w:tcPr>
          <w:p>
            <w:pPr>
              <w:pStyle w:val="63"/>
            </w:pPr>
            <w:r>
              <w:t>13</w:t>
            </w:r>
          </w:p>
        </w:tc>
        <w:tc>
          <w:tcPr>
            <w:tcW w:w="448" w:type="pct"/>
            <w:vAlign w:val="center"/>
          </w:tcPr>
          <w:p>
            <w:pPr>
              <w:pStyle w:val="63"/>
            </w:pPr>
            <w:r>
              <w:t>16</w:t>
            </w:r>
          </w:p>
        </w:tc>
        <w:tc>
          <w:tcPr>
            <w:tcW w:w="448" w:type="pct"/>
            <w:vAlign w:val="center"/>
          </w:tcPr>
          <w:p>
            <w:pPr>
              <w:pStyle w:val="63"/>
            </w:pPr>
            <w:r>
              <w:t>28</w:t>
            </w:r>
          </w:p>
        </w:tc>
        <w:tc>
          <w:tcPr>
            <w:tcW w:w="447" w:type="pct"/>
            <w:vAlign w:val="center"/>
          </w:tcPr>
          <w:p>
            <w:pPr>
              <w:pStyle w:val="63"/>
            </w:pPr>
            <w: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8" w:type="pct"/>
            <w:vAlign w:val="center"/>
          </w:tcPr>
          <w:p>
            <w:pPr>
              <w:pStyle w:val="63"/>
            </w:pPr>
            <w:r>
              <w:t>泵房、冷冻机房等</w:t>
            </w:r>
          </w:p>
        </w:tc>
        <w:tc>
          <w:tcPr>
            <w:tcW w:w="1456" w:type="pct"/>
            <w:vAlign w:val="center"/>
          </w:tcPr>
          <w:p>
            <w:pPr>
              <w:pStyle w:val="63"/>
            </w:pPr>
            <w:r>
              <w:t>95</w:t>
            </w:r>
          </w:p>
        </w:tc>
        <w:tc>
          <w:tcPr>
            <w:tcW w:w="582" w:type="pct"/>
            <w:vAlign w:val="center"/>
          </w:tcPr>
          <w:p>
            <w:pPr>
              <w:pStyle w:val="63"/>
            </w:pPr>
            <w:r>
              <w:t>29</w:t>
            </w:r>
          </w:p>
        </w:tc>
        <w:tc>
          <w:tcPr>
            <w:tcW w:w="448" w:type="pct"/>
            <w:vAlign w:val="center"/>
          </w:tcPr>
          <w:p>
            <w:pPr>
              <w:pStyle w:val="63"/>
            </w:pPr>
            <w:r>
              <w:t>49</w:t>
            </w:r>
          </w:p>
        </w:tc>
        <w:tc>
          <w:tcPr>
            <w:tcW w:w="448" w:type="pct"/>
            <w:vAlign w:val="center"/>
          </w:tcPr>
          <w:p>
            <w:pPr>
              <w:pStyle w:val="63"/>
            </w:pPr>
            <w:r>
              <w:t>89</w:t>
            </w:r>
          </w:p>
        </w:tc>
        <w:tc>
          <w:tcPr>
            <w:tcW w:w="447" w:type="pct"/>
            <w:vAlign w:val="center"/>
          </w:tcPr>
          <w:p>
            <w:pPr>
              <w:pStyle w:val="63"/>
            </w:pPr>
            <w:r>
              <w:t>150</w:t>
            </w:r>
          </w:p>
        </w:tc>
      </w:tr>
    </w:tbl>
    <w:p>
      <w:pPr>
        <w:spacing w:line="360" w:lineRule="auto"/>
        <w:ind w:firstLine="480" w:firstLineChars="200"/>
      </w:pPr>
      <w:r>
        <w:t>根据以上计算结果，其车间噪声衰减至65dB（A）的距离为13～29m，衰减至50dB（A）的距离为51～150m。</w:t>
      </w:r>
    </w:p>
    <w:p>
      <w:pPr>
        <w:spacing w:line="360" w:lineRule="auto"/>
        <w:ind w:firstLine="480" w:firstLineChars="200"/>
      </w:pPr>
      <w:r>
        <w:t>建议园区在引进企业时，将对环境影响较小的企业布设在距敏感点较近的工业用地上；在设备选取时选择一些噪声相对较低的设备，并且产噪设备应适当远离敏感建筑物；同时应加强企业噪声的消音减震、厂界加强绿化等措施。在采取上述措施后，园区企业噪声能达标排放，企业设备噪声对外环境影响小。</w:t>
      </w:r>
    </w:p>
    <w:p>
      <w:pPr>
        <w:spacing w:line="360" w:lineRule="auto"/>
        <w:ind w:firstLine="480" w:firstLineChars="200"/>
      </w:pPr>
      <w:r>
        <w:t>园区在规划、选址、立项时，为实现声环境敏感区达标，分布于园区边界的各类型企业在实现达标排放的前提下，还应根据实际情况设置一定的防护距离，应尽量使声环境敏感点处于其达标距离之外，或者通过采取设置声屏障的措施来控制，使之达到相应功能区要求。</w:t>
      </w:r>
    </w:p>
    <w:p>
      <w:pPr>
        <w:spacing w:line="360" w:lineRule="auto"/>
        <w:ind w:firstLine="480" w:firstLineChars="200"/>
      </w:pPr>
      <w:r>
        <w:t>从前述分析可知，工业企业固定源噪声对外环境的影响程度、范围较小。但是为了减轻噪声的影响，保护声环境，建议入驻园区的各工业企业在噪声污染控制上做到：</w:t>
      </w:r>
    </w:p>
    <w:p>
      <w:pPr>
        <w:spacing w:line="360" w:lineRule="auto"/>
        <w:ind w:firstLine="480" w:firstLineChars="200"/>
      </w:pPr>
      <w:r>
        <w:t>1）生产设备和辅助设备在选型、采购时考虑使用低噪声、低振动的设备，从源头上控制噪声；</w:t>
      </w:r>
    </w:p>
    <w:p>
      <w:pPr>
        <w:spacing w:line="360" w:lineRule="auto"/>
        <w:ind w:firstLine="480" w:firstLineChars="200"/>
      </w:pPr>
      <w:r>
        <w:t>2）各工业企业应尽可能将高噪声设备布置在厂区的中央，以增大噪声自然衰减的距离，既减少车间噪声对外环境的影响，又可减少噪声治理费用；</w:t>
      </w:r>
    </w:p>
    <w:p>
      <w:pPr>
        <w:spacing w:line="360" w:lineRule="auto"/>
        <w:ind w:firstLine="480" w:firstLineChars="200"/>
      </w:pPr>
      <w:r>
        <w:t>3）噪声污染防治设施必须与主体工程同时设计、同时施工、同时投产使用；</w:t>
      </w:r>
    </w:p>
    <w:p>
      <w:pPr>
        <w:spacing w:line="360" w:lineRule="auto"/>
        <w:ind w:firstLine="480" w:firstLineChars="200"/>
      </w:pPr>
      <w:r>
        <w:t>4）维护噪声防治设施设备良好运行，并做好备用；</w:t>
      </w:r>
    </w:p>
    <w:p>
      <w:pPr>
        <w:spacing w:line="360" w:lineRule="auto"/>
        <w:ind w:firstLine="480" w:firstLineChars="200"/>
      </w:pPr>
      <w:r>
        <w:t>5）各工厂企业在厂区车间外、厂区道路两侧、厂区围墙内侧均应进行绿化设计，既可以美化环境，又有降噪、除尘作用；</w:t>
      </w:r>
    </w:p>
    <w:p>
      <w:pPr>
        <w:spacing w:line="360" w:lineRule="auto"/>
        <w:ind w:firstLine="480" w:firstLineChars="200"/>
      </w:pPr>
      <w:r>
        <w:t>6）噪声较大的工业企业的墙体及基础可采取防振抗震措施，以削减噪声影响。</w:t>
      </w:r>
    </w:p>
    <w:p>
      <w:pPr>
        <w:pStyle w:val="4"/>
      </w:pPr>
      <w:bookmarkStart w:id="522" w:name="_Toc146091963"/>
      <w:r>
        <w:t>6.4.2 交通噪声影响分析</w:t>
      </w:r>
      <w:bookmarkEnd w:id="522"/>
    </w:p>
    <w:p>
      <w:pPr>
        <w:spacing w:line="360" w:lineRule="auto"/>
        <w:ind w:firstLine="480" w:firstLineChars="200"/>
      </w:pPr>
      <w:r>
        <w:t>影响交通噪声的因素主要有车辆行驶状况（车流量、车速度）、车辆类型（大、小车、摩托车）和道路设施状况（包括道路宽度及其路面质量）等。</w:t>
      </w:r>
    </w:p>
    <w:p>
      <w:pPr>
        <w:spacing w:line="360" w:lineRule="auto"/>
        <w:ind w:firstLine="480" w:firstLineChars="200"/>
      </w:pPr>
      <w:r>
        <w:t>园区建成后由于物料、货物的运输，园区内道路以及周边道路的运输量会出现较大的增加，根据同类工业区类比，主要交通噪声源声级列于下表。</w:t>
      </w:r>
    </w:p>
    <w:p>
      <w:pPr>
        <w:pStyle w:val="6"/>
      </w:pPr>
      <w:r>
        <w:t>表6.4-3   各主要交通噪声源声级</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692"/>
        <w:gridCol w:w="1710"/>
        <w:gridCol w:w="1721"/>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restart"/>
            <w:vAlign w:val="center"/>
          </w:tcPr>
          <w:p>
            <w:pPr>
              <w:pStyle w:val="63"/>
            </w:pPr>
            <w:r>
              <w:t>类别</w:t>
            </w:r>
          </w:p>
        </w:tc>
        <w:tc>
          <w:tcPr>
            <w:tcW w:w="993" w:type="pct"/>
            <w:vMerge w:val="restart"/>
            <w:vAlign w:val="center"/>
          </w:tcPr>
          <w:p>
            <w:pPr>
              <w:pStyle w:val="63"/>
            </w:pPr>
            <w:r>
              <w:t>噪声源</w:t>
            </w:r>
          </w:p>
        </w:tc>
        <w:tc>
          <w:tcPr>
            <w:tcW w:w="1003" w:type="pct"/>
            <w:vMerge w:val="restart"/>
            <w:vAlign w:val="center"/>
          </w:tcPr>
          <w:p>
            <w:pPr>
              <w:pStyle w:val="63"/>
            </w:pPr>
            <w:r>
              <w:t>声级/dB（A）</w:t>
            </w:r>
          </w:p>
        </w:tc>
        <w:tc>
          <w:tcPr>
            <w:tcW w:w="2012" w:type="pct"/>
            <w:gridSpan w:val="2"/>
            <w:vAlign w:val="center"/>
          </w:tcPr>
          <w:p>
            <w:pPr>
              <w:pStyle w:val="63"/>
            </w:pPr>
            <w:r>
              <w:t>测量条件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continue"/>
            <w:vAlign w:val="center"/>
          </w:tcPr>
          <w:p>
            <w:pPr>
              <w:pStyle w:val="63"/>
            </w:pPr>
          </w:p>
        </w:tc>
        <w:tc>
          <w:tcPr>
            <w:tcW w:w="993" w:type="pct"/>
            <w:vMerge w:val="continue"/>
            <w:vAlign w:val="center"/>
          </w:tcPr>
          <w:p>
            <w:pPr>
              <w:pStyle w:val="63"/>
            </w:pPr>
          </w:p>
        </w:tc>
        <w:tc>
          <w:tcPr>
            <w:tcW w:w="1003" w:type="pct"/>
            <w:vMerge w:val="continue"/>
            <w:vAlign w:val="center"/>
          </w:tcPr>
          <w:p>
            <w:pPr>
              <w:pStyle w:val="63"/>
            </w:pPr>
          </w:p>
        </w:tc>
        <w:tc>
          <w:tcPr>
            <w:tcW w:w="1010" w:type="pct"/>
            <w:vAlign w:val="center"/>
          </w:tcPr>
          <w:p>
            <w:pPr>
              <w:pStyle w:val="63"/>
            </w:pPr>
            <w:r>
              <w:t>时速（km/h）</w:t>
            </w:r>
          </w:p>
        </w:tc>
        <w:tc>
          <w:tcPr>
            <w:tcW w:w="1002" w:type="pct"/>
            <w:vAlign w:val="center"/>
          </w:tcPr>
          <w:p>
            <w:pPr>
              <w:pStyle w:val="63"/>
            </w:pPr>
            <w:r>
              <w:t>测点（m）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restart"/>
            <w:vAlign w:val="center"/>
          </w:tcPr>
          <w:p>
            <w:pPr>
              <w:pStyle w:val="63"/>
            </w:pPr>
            <w:r>
              <w:t>主干道</w:t>
            </w:r>
          </w:p>
        </w:tc>
        <w:tc>
          <w:tcPr>
            <w:tcW w:w="993" w:type="pct"/>
            <w:vAlign w:val="center"/>
          </w:tcPr>
          <w:p>
            <w:pPr>
              <w:pStyle w:val="63"/>
            </w:pPr>
            <w:r>
              <w:t>大中型车</w:t>
            </w:r>
          </w:p>
        </w:tc>
        <w:tc>
          <w:tcPr>
            <w:tcW w:w="1003" w:type="pct"/>
            <w:vAlign w:val="center"/>
          </w:tcPr>
          <w:p>
            <w:pPr>
              <w:pStyle w:val="63"/>
            </w:pPr>
            <w:r>
              <w:t>80~85</w:t>
            </w:r>
          </w:p>
        </w:tc>
        <w:tc>
          <w:tcPr>
            <w:tcW w:w="1010" w:type="pct"/>
            <w:vMerge w:val="restart"/>
            <w:vAlign w:val="center"/>
          </w:tcPr>
          <w:p>
            <w:pPr>
              <w:pStyle w:val="63"/>
            </w:pPr>
            <w:r>
              <w:t>60~80</w:t>
            </w:r>
          </w:p>
        </w:tc>
        <w:tc>
          <w:tcPr>
            <w:tcW w:w="1002" w:type="pct"/>
            <w:vMerge w:val="restart"/>
            <w:vAlign w:val="center"/>
          </w:tcPr>
          <w:p>
            <w:pPr>
              <w:pStyle w:val="63"/>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continue"/>
            <w:vAlign w:val="center"/>
          </w:tcPr>
          <w:p>
            <w:pPr>
              <w:pStyle w:val="63"/>
            </w:pPr>
          </w:p>
        </w:tc>
        <w:tc>
          <w:tcPr>
            <w:tcW w:w="993" w:type="pct"/>
            <w:vAlign w:val="center"/>
          </w:tcPr>
          <w:p>
            <w:pPr>
              <w:pStyle w:val="63"/>
            </w:pPr>
            <w:r>
              <w:t>小型车</w:t>
            </w:r>
          </w:p>
        </w:tc>
        <w:tc>
          <w:tcPr>
            <w:tcW w:w="1003" w:type="pct"/>
            <w:vAlign w:val="center"/>
          </w:tcPr>
          <w:p>
            <w:pPr>
              <w:pStyle w:val="63"/>
            </w:pPr>
            <w:r>
              <w:t>62~75</w:t>
            </w:r>
          </w:p>
        </w:tc>
        <w:tc>
          <w:tcPr>
            <w:tcW w:w="1010" w:type="pct"/>
            <w:vMerge w:val="continue"/>
            <w:vAlign w:val="center"/>
          </w:tcPr>
          <w:p>
            <w:pPr>
              <w:pStyle w:val="63"/>
            </w:pPr>
          </w:p>
        </w:tc>
        <w:tc>
          <w:tcPr>
            <w:tcW w:w="1002"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restart"/>
            <w:vAlign w:val="center"/>
          </w:tcPr>
          <w:p>
            <w:pPr>
              <w:pStyle w:val="63"/>
            </w:pPr>
            <w:r>
              <w:t>次干道</w:t>
            </w:r>
          </w:p>
        </w:tc>
        <w:tc>
          <w:tcPr>
            <w:tcW w:w="993" w:type="pct"/>
            <w:vAlign w:val="center"/>
          </w:tcPr>
          <w:p>
            <w:pPr>
              <w:pStyle w:val="63"/>
            </w:pPr>
            <w:r>
              <w:t>大中型车</w:t>
            </w:r>
          </w:p>
        </w:tc>
        <w:tc>
          <w:tcPr>
            <w:tcW w:w="1003" w:type="pct"/>
            <w:vAlign w:val="center"/>
          </w:tcPr>
          <w:p>
            <w:pPr>
              <w:pStyle w:val="63"/>
            </w:pPr>
            <w:r>
              <w:t>75~85</w:t>
            </w:r>
          </w:p>
        </w:tc>
        <w:tc>
          <w:tcPr>
            <w:tcW w:w="1010" w:type="pct"/>
            <w:vMerge w:val="restart"/>
            <w:vAlign w:val="center"/>
          </w:tcPr>
          <w:p>
            <w:pPr>
              <w:pStyle w:val="63"/>
            </w:pPr>
            <w:r>
              <w:t>30~60</w:t>
            </w:r>
          </w:p>
        </w:tc>
        <w:tc>
          <w:tcPr>
            <w:tcW w:w="1002" w:type="pct"/>
            <w:vMerge w:val="restart"/>
            <w:vAlign w:val="center"/>
          </w:tcPr>
          <w:p>
            <w:pPr>
              <w:pStyle w:val="63"/>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continue"/>
            <w:vAlign w:val="center"/>
          </w:tcPr>
          <w:p>
            <w:pPr>
              <w:pStyle w:val="63"/>
            </w:pPr>
          </w:p>
        </w:tc>
        <w:tc>
          <w:tcPr>
            <w:tcW w:w="993" w:type="pct"/>
            <w:vAlign w:val="center"/>
          </w:tcPr>
          <w:p>
            <w:pPr>
              <w:pStyle w:val="63"/>
            </w:pPr>
            <w:r>
              <w:t>小型车</w:t>
            </w:r>
          </w:p>
        </w:tc>
        <w:tc>
          <w:tcPr>
            <w:tcW w:w="1003" w:type="pct"/>
            <w:vAlign w:val="center"/>
          </w:tcPr>
          <w:p>
            <w:pPr>
              <w:pStyle w:val="63"/>
            </w:pPr>
            <w:r>
              <w:t>65~75</w:t>
            </w:r>
          </w:p>
        </w:tc>
        <w:tc>
          <w:tcPr>
            <w:tcW w:w="1010" w:type="pct"/>
            <w:vMerge w:val="continue"/>
            <w:vAlign w:val="center"/>
          </w:tcPr>
          <w:p>
            <w:pPr>
              <w:pStyle w:val="63"/>
            </w:pPr>
          </w:p>
        </w:tc>
        <w:tc>
          <w:tcPr>
            <w:tcW w:w="1002" w:type="pct"/>
            <w:vMerge w:val="continue"/>
            <w:vAlign w:val="center"/>
          </w:tcPr>
          <w:p>
            <w:pPr>
              <w:pStyle w:val="63"/>
            </w:pPr>
          </w:p>
        </w:tc>
      </w:tr>
    </w:tbl>
    <w:p>
      <w:pPr>
        <w:ind w:firstLine="480"/>
      </w:pPr>
      <w:r>
        <w:t>由于各园区建成后，通行车辆主要以货车为主，根据同类园区的车流量和道路情况，预计各道路的交通噪声随距离衰减见下表。</w:t>
      </w:r>
    </w:p>
    <w:p>
      <w:pPr>
        <w:pStyle w:val="6"/>
      </w:pPr>
      <w:r>
        <w:t>表6.4-4   各类公路交通噪声噪声衰减距离</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1216"/>
        <w:gridCol w:w="1217"/>
        <w:gridCol w:w="1217"/>
        <w:gridCol w:w="1219"/>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7" w:type="pct"/>
            <w:vAlign w:val="center"/>
          </w:tcPr>
          <w:p>
            <w:pPr>
              <w:pStyle w:val="63"/>
            </w:pPr>
            <w:r>
              <w:t>道   路</w:t>
            </w:r>
          </w:p>
        </w:tc>
        <w:tc>
          <w:tcPr>
            <w:tcW w:w="713" w:type="pct"/>
            <w:vAlign w:val="center"/>
          </w:tcPr>
          <w:p>
            <w:pPr>
              <w:pStyle w:val="63"/>
            </w:pPr>
            <w:r>
              <w:t>d75</w:t>
            </w:r>
          </w:p>
        </w:tc>
        <w:tc>
          <w:tcPr>
            <w:tcW w:w="714" w:type="pct"/>
            <w:vAlign w:val="center"/>
          </w:tcPr>
          <w:p>
            <w:pPr>
              <w:pStyle w:val="63"/>
            </w:pPr>
            <w:r>
              <w:t>d70</w:t>
            </w:r>
          </w:p>
        </w:tc>
        <w:tc>
          <w:tcPr>
            <w:tcW w:w="714" w:type="pct"/>
            <w:vAlign w:val="center"/>
          </w:tcPr>
          <w:p>
            <w:pPr>
              <w:pStyle w:val="63"/>
            </w:pPr>
            <w:r>
              <w:t>d65</w:t>
            </w:r>
          </w:p>
        </w:tc>
        <w:tc>
          <w:tcPr>
            <w:tcW w:w="715" w:type="pct"/>
            <w:vAlign w:val="center"/>
          </w:tcPr>
          <w:p>
            <w:pPr>
              <w:pStyle w:val="63"/>
            </w:pPr>
            <w:r>
              <w:t>d60</w:t>
            </w:r>
          </w:p>
        </w:tc>
        <w:tc>
          <w:tcPr>
            <w:tcW w:w="715" w:type="pct"/>
            <w:vAlign w:val="center"/>
          </w:tcPr>
          <w:p>
            <w:pPr>
              <w:pStyle w:val="63"/>
            </w:pPr>
            <w:r>
              <w:t>d55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7" w:type="pct"/>
            <w:vAlign w:val="center"/>
          </w:tcPr>
          <w:p>
            <w:pPr>
              <w:pStyle w:val="63"/>
            </w:pPr>
            <w:r>
              <w:t>对外交通主干线（m）</w:t>
            </w:r>
          </w:p>
        </w:tc>
        <w:tc>
          <w:tcPr>
            <w:tcW w:w="713" w:type="pct"/>
            <w:vAlign w:val="center"/>
          </w:tcPr>
          <w:p>
            <w:pPr>
              <w:pStyle w:val="63"/>
            </w:pPr>
            <w:r>
              <w:t>20</w:t>
            </w:r>
          </w:p>
        </w:tc>
        <w:tc>
          <w:tcPr>
            <w:tcW w:w="714" w:type="pct"/>
            <w:vAlign w:val="center"/>
          </w:tcPr>
          <w:p>
            <w:pPr>
              <w:pStyle w:val="63"/>
            </w:pPr>
            <w:r>
              <w:t>37</w:t>
            </w:r>
          </w:p>
        </w:tc>
        <w:tc>
          <w:tcPr>
            <w:tcW w:w="714" w:type="pct"/>
            <w:vAlign w:val="center"/>
          </w:tcPr>
          <w:p>
            <w:pPr>
              <w:pStyle w:val="63"/>
            </w:pPr>
            <w:r>
              <w:t>67</w:t>
            </w:r>
          </w:p>
        </w:tc>
        <w:tc>
          <w:tcPr>
            <w:tcW w:w="715" w:type="pct"/>
            <w:vAlign w:val="center"/>
          </w:tcPr>
          <w:p>
            <w:pPr>
              <w:pStyle w:val="63"/>
            </w:pPr>
            <w:r>
              <w:t>84</w:t>
            </w:r>
          </w:p>
        </w:tc>
        <w:tc>
          <w:tcPr>
            <w:tcW w:w="715" w:type="pct"/>
            <w:vAlign w:val="center"/>
          </w:tcPr>
          <w:p>
            <w:pPr>
              <w:pStyle w:val="63"/>
            </w:pPr>
            <w: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7" w:type="pct"/>
            <w:vAlign w:val="center"/>
          </w:tcPr>
          <w:p>
            <w:pPr>
              <w:pStyle w:val="63"/>
            </w:pPr>
            <w:r>
              <w:t>次干道、支路（m）</w:t>
            </w:r>
          </w:p>
        </w:tc>
        <w:tc>
          <w:tcPr>
            <w:tcW w:w="713" w:type="pct"/>
            <w:vAlign w:val="center"/>
          </w:tcPr>
          <w:p>
            <w:pPr>
              <w:pStyle w:val="63"/>
            </w:pPr>
            <w:r>
              <w:t>20</w:t>
            </w:r>
          </w:p>
        </w:tc>
        <w:tc>
          <w:tcPr>
            <w:tcW w:w="714" w:type="pct"/>
            <w:vAlign w:val="center"/>
          </w:tcPr>
          <w:p>
            <w:pPr>
              <w:pStyle w:val="63"/>
            </w:pPr>
            <w:r>
              <w:t>28</w:t>
            </w:r>
          </w:p>
        </w:tc>
        <w:tc>
          <w:tcPr>
            <w:tcW w:w="714" w:type="pct"/>
            <w:vAlign w:val="center"/>
          </w:tcPr>
          <w:p>
            <w:pPr>
              <w:pStyle w:val="63"/>
            </w:pPr>
            <w:r>
              <w:t>40</w:t>
            </w:r>
          </w:p>
        </w:tc>
        <w:tc>
          <w:tcPr>
            <w:tcW w:w="715" w:type="pct"/>
            <w:vAlign w:val="center"/>
          </w:tcPr>
          <w:p>
            <w:pPr>
              <w:pStyle w:val="63"/>
            </w:pPr>
            <w:r>
              <w:t>52</w:t>
            </w:r>
          </w:p>
        </w:tc>
        <w:tc>
          <w:tcPr>
            <w:tcW w:w="715" w:type="pct"/>
            <w:vAlign w:val="center"/>
          </w:tcPr>
          <w:p>
            <w:pPr>
              <w:pStyle w:val="63"/>
            </w:pPr>
            <w:r>
              <w:t>70</w:t>
            </w:r>
          </w:p>
        </w:tc>
      </w:tr>
    </w:tbl>
    <w:p>
      <w:pPr>
        <w:spacing w:line="360" w:lineRule="auto"/>
        <w:ind w:firstLine="480" w:firstLineChars="200"/>
      </w:pPr>
      <w:r>
        <w:t>根据上表交通噪声衰减距离，园区随着企业的进入，各运货车辆和人员车辆将会有较大增加，交通噪声影响较大的园区规划的主干道两侧，噪声容易超标，根据分析，距主干道两侧征地边界37m，次干道支路28m为噪声防护距离，不得布置学校、居住区。宜尽可能将居住区布置在距主干道征地边界84m以外，次干道支路52m以外的区域，并在道路与居住区之间设置一定宽度的绿化带。同时，禁止园区内在靠近居民集中区和学校等声环境敏感点的道路上鸣喇叭。</w:t>
      </w:r>
    </w:p>
    <w:p>
      <w:pPr>
        <w:pStyle w:val="4"/>
      </w:pPr>
      <w:bookmarkStart w:id="523" w:name="_Toc146091964"/>
      <w:r>
        <w:t>6.4.3 建筑施工噪声影响分析</w:t>
      </w:r>
      <w:bookmarkEnd w:id="523"/>
    </w:p>
    <w:p>
      <w:pPr>
        <w:spacing w:line="360" w:lineRule="auto"/>
        <w:ind w:firstLine="480" w:firstLineChars="200"/>
      </w:pPr>
      <w:r>
        <w:t>区内道路、住房、企业等建设过程中均会产生施工噪声。施工噪声有阶段性和区域性，施工机械一般露天布置，噪声传播距离影响范围大，各种施工机械的影响距离可由点源模式计算得到，见下表。</w:t>
      </w:r>
    </w:p>
    <w:p>
      <w:pPr>
        <w:pStyle w:val="6"/>
      </w:pPr>
      <w:r>
        <w:t>表6.4-5   典型建筑机械的干扰半径  单位：m</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752"/>
        <w:gridCol w:w="1231"/>
        <w:gridCol w:w="1129"/>
        <w:gridCol w:w="1129"/>
        <w:gridCol w:w="112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Align w:val="center"/>
          </w:tcPr>
          <w:p>
            <w:pPr>
              <w:pStyle w:val="63"/>
            </w:pPr>
            <w:r>
              <w:t>阶段</w:t>
            </w:r>
          </w:p>
        </w:tc>
        <w:tc>
          <w:tcPr>
            <w:tcW w:w="1028" w:type="pct"/>
            <w:vAlign w:val="center"/>
          </w:tcPr>
          <w:p>
            <w:pPr>
              <w:pStyle w:val="63"/>
            </w:pPr>
            <w:r>
              <w:t>噪声源</w:t>
            </w:r>
          </w:p>
        </w:tc>
        <w:tc>
          <w:tcPr>
            <w:tcW w:w="722" w:type="pct"/>
            <w:vAlign w:val="center"/>
          </w:tcPr>
          <w:p>
            <w:pPr>
              <w:pStyle w:val="63"/>
            </w:pPr>
            <w:r>
              <w:t>r55</w:t>
            </w:r>
          </w:p>
        </w:tc>
        <w:tc>
          <w:tcPr>
            <w:tcW w:w="662" w:type="pct"/>
            <w:vAlign w:val="center"/>
          </w:tcPr>
          <w:p>
            <w:pPr>
              <w:pStyle w:val="63"/>
            </w:pPr>
            <w:r>
              <w:t>r60</w:t>
            </w:r>
          </w:p>
        </w:tc>
        <w:tc>
          <w:tcPr>
            <w:tcW w:w="662" w:type="pct"/>
            <w:vAlign w:val="center"/>
          </w:tcPr>
          <w:p>
            <w:pPr>
              <w:pStyle w:val="63"/>
            </w:pPr>
            <w:r>
              <w:t>r65</w:t>
            </w:r>
          </w:p>
        </w:tc>
        <w:tc>
          <w:tcPr>
            <w:tcW w:w="662" w:type="pct"/>
            <w:vAlign w:val="center"/>
          </w:tcPr>
          <w:p>
            <w:pPr>
              <w:pStyle w:val="63"/>
            </w:pPr>
            <w:r>
              <w:t>r70</w:t>
            </w:r>
          </w:p>
        </w:tc>
        <w:tc>
          <w:tcPr>
            <w:tcW w:w="502" w:type="pct"/>
            <w:vAlign w:val="center"/>
          </w:tcPr>
          <w:p>
            <w:pPr>
              <w:pStyle w:val="63"/>
            </w:pPr>
            <w:r>
              <w:t>r75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vAlign w:val="center"/>
          </w:tcPr>
          <w:p>
            <w:pPr>
              <w:pStyle w:val="63"/>
            </w:pPr>
            <w:r>
              <w:t>土石方</w:t>
            </w:r>
          </w:p>
        </w:tc>
        <w:tc>
          <w:tcPr>
            <w:tcW w:w="1028" w:type="pct"/>
            <w:vAlign w:val="center"/>
          </w:tcPr>
          <w:p>
            <w:pPr>
              <w:pStyle w:val="63"/>
            </w:pPr>
            <w:r>
              <w:t>装载机</w:t>
            </w:r>
          </w:p>
        </w:tc>
        <w:tc>
          <w:tcPr>
            <w:tcW w:w="722" w:type="pct"/>
            <w:vAlign w:val="center"/>
          </w:tcPr>
          <w:p>
            <w:pPr>
              <w:pStyle w:val="63"/>
            </w:pPr>
            <w:r>
              <w:t>350</w:t>
            </w:r>
          </w:p>
        </w:tc>
        <w:tc>
          <w:tcPr>
            <w:tcW w:w="662" w:type="pct"/>
            <w:vAlign w:val="center"/>
          </w:tcPr>
          <w:p>
            <w:pPr>
              <w:pStyle w:val="63"/>
            </w:pPr>
            <w:r>
              <w:t>215</w:t>
            </w:r>
          </w:p>
        </w:tc>
        <w:tc>
          <w:tcPr>
            <w:tcW w:w="662" w:type="pct"/>
            <w:vAlign w:val="center"/>
          </w:tcPr>
          <w:p>
            <w:pPr>
              <w:pStyle w:val="63"/>
            </w:pPr>
            <w:r>
              <w:t>130</w:t>
            </w:r>
          </w:p>
        </w:tc>
        <w:tc>
          <w:tcPr>
            <w:tcW w:w="662" w:type="pct"/>
            <w:vAlign w:val="center"/>
          </w:tcPr>
          <w:p>
            <w:pPr>
              <w:pStyle w:val="63"/>
            </w:pPr>
            <w:r>
              <w:t>70</w:t>
            </w:r>
          </w:p>
        </w:tc>
        <w:tc>
          <w:tcPr>
            <w:tcW w:w="502" w:type="pct"/>
            <w:vAlign w:val="center"/>
          </w:tcPr>
          <w:p>
            <w:pPr>
              <w:pStyle w:val="63"/>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vAlign w:val="center"/>
          </w:tcPr>
          <w:p>
            <w:pPr>
              <w:pStyle w:val="63"/>
            </w:pPr>
          </w:p>
        </w:tc>
        <w:tc>
          <w:tcPr>
            <w:tcW w:w="1028" w:type="pct"/>
            <w:vAlign w:val="center"/>
          </w:tcPr>
          <w:p>
            <w:pPr>
              <w:pStyle w:val="63"/>
            </w:pPr>
            <w:r>
              <w:t>挖掘机</w:t>
            </w:r>
          </w:p>
        </w:tc>
        <w:tc>
          <w:tcPr>
            <w:tcW w:w="722" w:type="pct"/>
            <w:vAlign w:val="center"/>
          </w:tcPr>
          <w:p>
            <w:pPr>
              <w:pStyle w:val="63"/>
            </w:pPr>
            <w:r>
              <w:t>190</w:t>
            </w:r>
          </w:p>
        </w:tc>
        <w:tc>
          <w:tcPr>
            <w:tcW w:w="662" w:type="pct"/>
            <w:vAlign w:val="center"/>
          </w:tcPr>
          <w:p>
            <w:pPr>
              <w:pStyle w:val="63"/>
            </w:pPr>
            <w:r>
              <w:t>120</w:t>
            </w:r>
          </w:p>
        </w:tc>
        <w:tc>
          <w:tcPr>
            <w:tcW w:w="662" w:type="pct"/>
            <w:vAlign w:val="center"/>
          </w:tcPr>
          <w:p>
            <w:pPr>
              <w:pStyle w:val="63"/>
            </w:pPr>
            <w:r>
              <w:t>75</w:t>
            </w:r>
          </w:p>
        </w:tc>
        <w:tc>
          <w:tcPr>
            <w:tcW w:w="662" w:type="pct"/>
            <w:vAlign w:val="center"/>
          </w:tcPr>
          <w:p>
            <w:pPr>
              <w:pStyle w:val="63"/>
            </w:pPr>
            <w:r>
              <w:t>40</w:t>
            </w:r>
          </w:p>
        </w:tc>
        <w:tc>
          <w:tcPr>
            <w:tcW w:w="502" w:type="pct"/>
            <w:vAlign w:val="center"/>
          </w:tcPr>
          <w:p>
            <w:pPr>
              <w:pStyle w:val="63"/>
            </w:pPr>
            <w: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Align w:val="center"/>
          </w:tcPr>
          <w:p>
            <w:pPr>
              <w:pStyle w:val="63"/>
            </w:pPr>
            <w:r>
              <w:t>打桩</w:t>
            </w:r>
          </w:p>
        </w:tc>
        <w:tc>
          <w:tcPr>
            <w:tcW w:w="1028" w:type="pct"/>
            <w:vAlign w:val="center"/>
          </w:tcPr>
          <w:p>
            <w:pPr>
              <w:pStyle w:val="63"/>
            </w:pPr>
            <w:r>
              <w:t>冲击式打桩机</w:t>
            </w:r>
          </w:p>
        </w:tc>
        <w:tc>
          <w:tcPr>
            <w:tcW w:w="722" w:type="pct"/>
            <w:vAlign w:val="center"/>
          </w:tcPr>
          <w:p>
            <w:pPr>
              <w:pStyle w:val="63"/>
            </w:pPr>
            <w:r>
              <w:t>1950</w:t>
            </w:r>
          </w:p>
        </w:tc>
        <w:tc>
          <w:tcPr>
            <w:tcW w:w="662" w:type="pct"/>
            <w:vAlign w:val="center"/>
          </w:tcPr>
          <w:p>
            <w:pPr>
              <w:pStyle w:val="63"/>
            </w:pPr>
            <w:r>
              <w:t>2450</w:t>
            </w:r>
          </w:p>
        </w:tc>
        <w:tc>
          <w:tcPr>
            <w:tcW w:w="662" w:type="pct"/>
            <w:vAlign w:val="center"/>
          </w:tcPr>
          <w:p>
            <w:pPr>
              <w:pStyle w:val="63"/>
            </w:pPr>
            <w:r>
              <w:t>1000</w:t>
            </w:r>
          </w:p>
        </w:tc>
        <w:tc>
          <w:tcPr>
            <w:tcW w:w="662" w:type="pct"/>
            <w:vAlign w:val="center"/>
          </w:tcPr>
          <w:p>
            <w:pPr>
              <w:pStyle w:val="63"/>
            </w:pPr>
            <w:r>
              <w:t>700</w:t>
            </w:r>
          </w:p>
        </w:tc>
        <w:tc>
          <w:tcPr>
            <w:tcW w:w="502" w:type="pct"/>
            <w:vAlign w:val="center"/>
          </w:tcPr>
          <w:p>
            <w:pPr>
              <w:pStyle w:val="63"/>
            </w:pPr>
            <w: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vAlign w:val="center"/>
          </w:tcPr>
          <w:p>
            <w:pPr>
              <w:pStyle w:val="63"/>
            </w:pPr>
            <w:r>
              <w:t>结构</w:t>
            </w:r>
          </w:p>
        </w:tc>
        <w:tc>
          <w:tcPr>
            <w:tcW w:w="1028" w:type="pct"/>
            <w:vAlign w:val="center"/>
          </w:tcPr>
          <w:p>
            <w:pPr>
              <w:pStyle w:val="63"/>
            </w:pPr>
            <w:r>
              <w:t>混凝土振捣器</w:t>
            </w:r>
          </w:p>
        </w:tc>
        <w:tc>
          <w:tcPr>
            <w:tcW w:w="722" w:type="pct"/>
            <w:vAlign w:val="center"/>
          </w:tcPr>
          <w:p>
            <w:pPr>
              <w:pStyle w:val="63"/>
            </w:pPr>
            <w:r>
              <w:t>200</w:t>
            </w:r>
          </w:p>
        </w:tc>
        <w:tc>
          <w:tcPr>
            <w:tcW w:w="662" w:type="pct"/>
            <w:vAlign w:val="center"/>
          </w:tcPr>
          <w:p>
            <w:pPr>
              <w:pStyle w:val="63"/>
            </w:pPr>
            <w:r>
              <w:t>110</w:t>
            </w:r>
          </w:p>
        </w:tc>
        <w:tc>
          <w:tcPr>
            <w:tcW w:w="662" w:type="pct"/>
            <w:vAlign w:val="center"/>
          </w:tcPr>
          <w:p>
            <w:pPr>
              <w:pStyle w:val="63"/>
            </w:pPr>
            <w:r>
              <w:t>66</w:t>
            </w:r>
          </w:p>
        </w:tc>
        <w:tc>
          <w:tcPr>
            <w:tcW w:w="662" w:type="pct"/>
            <w:vAlign w:val="center"/>
          </w:tcPr>
          <w:p>
            <w:pPr>
              <w:pStyle w:val="63"/>
            </w:pPr>
            <w:r>
              <w:t>37</w:t>
            </w:r>
          </w:p>
        </w:tc>
        <w:tc>
          <w:tcPr>
            <w:tcW w:w="502" w:type="pct"/>
            <w:vAlign w:val="center"/>
          </w:tcPr>
          <w:p>
            <w:pPr>
              <w:pStyle w:val="63"/>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vAlign w:val="center"/>
          </w:tcPr>
          <w:p>
            <w:pPr>
              <w:pStyle w:val="63"/>
            </w:pPr>
          </w:p>
        </w:tc>
        <w:tc>
          <w:tcPr>
            <w:tcW w:w="1028" w:type="pct"/>
            <w:vAlign w:val="center"/>
          </w:tcPr>
          <w:p>
            <w:pPr>
              <w:pStyle w:val="63"/>
            </w:pPr>
            <w:r>
              <w:t>混凝土搅拌器</w:t>
            </w:r>
          </w:p>
        </w:tc>
        <w:tc>
          <w:tcPr>
            <w:tcW w:w="722" w:type="pct"/>
            <w:vAlign w:val="center"/>
          </w:tcPr>
          <w:p>
            <w:pPr>
              <w:pStyle w:val="63"/>
            </w:pPr>
            <w:r>
              <w:t>190</w:t>
            </w:r>
          </w:p>
        </w:tc>
        <w:tc>
          <w:tcPr>
            <w:tcW w:w="662" w:type="pct"/>
            <w:vAlign w:val="center"/>
          </w:tcPr>
          <w:p>
            <w:pPr>
              <w:pStyle w:val="63"/>
            </w:pPr>
            <w:r>
              <w:t>120</w:t>
            </w:r>
          </w:p>
        </w:tc>
        <w:tc>
          <w:tcPr>
            <w:tcW w:w="662" w:type="pct"/>
            <w:vAlign w:val="center"/>
          </w:tcPr>
          <w:p>
            <w:pPr>
              <w:pStyle w:val="63"/>
            </w:pPr>
            <w:r>
              <w:t>75</w:t>
            </w:r>
          </w:p>
        </w:tc>
        <w:tc>
          <w:tcPr>
            <w:tcW w:w="662" w:type="pct"/>
            <w:vAlign w:val="center"/>
          </w:tcPr>
          <w:p>
            <w:pPr>
              <w:pStyle w:val="63"/>
            </w:pPr>
            <w:r>
              <w:t>42</w:t>
            </w:r>
          </w:p>
        </w:tc>
        <w:tc>
          <w:tcPr>
            <w:tcW w:w="502" w:type="pct"/>
            <w:vAlign w:val="center"/>
          </w:tcPr>
          <w:p>
            <w:pPr>
              <w:pStyle w:val="63"/>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vAlign w:val="center"/>
          </w:tcPr>
          <w:p>
            <w:pPr>
              <w:pStyle w:val="63"/>
            </w:pPr>
          </w:p>
        </w:tc>
        <w:tc>
          <w:tcPr>
            <w:tcW w:w="1028" w:type="pct"/>
            <w:vAlign w:val="center"/>
          </w:tcPr>
          <w:p>
            <w:pPr>
              <w:pStyle w:val="63"/>
            </w:pPr>
            <w:r>
              <w:t>木工圆锯</w:t>
            </w:r>
          </w:p>
        </w:tc>
        <w:tc>
          <w:tcPr>
            <w:tcW w:w="722" w:type="pct"/>
            <w:vAlign w:val="center"/>
          </w:tcPr>
          <w:p>
            <w:pPr>
              <w:pStyle w:val="63"/>
            </w:pPr>
            <w:r>
              <w:t>170</w:t>
            </w:r>
          </w:p>
        </w:tc>
        <w:tc>
          <w:tcPr>
            <w:tcW w:w="662" w:type="pct"/>
            <w:vAlign w:val="center"/>
          </w:tcPr>
          <w:p>
            <w:pPr>
              <w:pStyle w:val="63"/>
            </w:pPr>
            <w:r>
              <w:t>125</w:t>
            </w:r>
          </w:p>
        </w:tc>
        <w:tc>
          <w:tcPr>
            <w:tcW w:w="662" w:type="pct"/>
            <w:vAlign w:val="center"/>
          </w:tcPr>
          <w:p>
            <w:pPr>
              <w:pStyle w:val="63"/>
            </w:pPr>
            <w:r>
              <w:t>85</w:t>
            </w:r>
          </w:p>
        </w:tc>
        <w:tc>
          <w:tcPr>
            <w:tcW w:w="662" w:type="pct"/>
            <w:vAlign w:val="center"/>
          </w:tcPr>
          <w:p>
            <w:pPr>
              <w:pStyle w:val="63"/>
            </w:pPr>
            <w:r>
              <w:t>56</w:t>
            </w:r>
          </w:p>
        </w:tc>
        <w:tc>
          <w:tcPr>
            <w:tcW w:w="502" w:type="pct"/>
            <w:vAlign w:val="center"/>
          </w:tcPr>
          <w:p>
            <w:pPr>
              <w:pStyle w:val="63"/>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Align w:val="center"/>
          </w:tcPr>
          <w:p>
            <w:pPr>
              <w:pStyle w:val="63"/>
            </w:pPr>
            <w:r>
              <w:t>装修</w:t>
            </w:r>
          </w:p>
        </w:tc>
        <w:tc>
          <w:tcPr>
            <w:tcW w:w="1028" w:type="pct"/>
            <w:vAlign w:val="center"/>
          </w:tcPr>
          <w:p>
            <w:pPr>
              <w:pStyle w:val="63"/>
            </w:pPr>
            <w:r>
              <w:t>升降机</w:t>
            </w:r>
          </w:p>
        </w:tc>
        <w:tc>
          <w:tcPr>
            <w:tcW w:w="722" w:type="pct"/>
            <w:vAlign w:val="center"/>
          </w:tcPr>
          <w:p>
            <w:pPr>
              <w:pStyle w:val="63"/>
            </w:pPr>
            <w:r>
              <w:t>80</w:t>
            </w:r>
          </w:p>
        </w:tc>
        <w:tc>
          <w:tcPr>
            <w:tcW w:w="662" w:type="pct"/>
            <w:vAlign w:val="center"/>
          </w:tcPr>
          <w:p>
            <w:pPr>
              <w:pStyle w:val="63"/>
            </w:pPr>
            <w:r>
              <w:t>44</w:t>
            </w:r>
          </w:p>
        </w:tc>
        <w:tc>
          <w:tcPr>
            <w:tcW w:w="662" w:type="pct"/>
            <w:vAlign w:val="center"/>
          </w:tcPr>
          <w:p>
            <w:pPr>
              <w:pStyle w:val="63"/>
            </w:pPr>
            <w:r>
              <w:t>25</w:t>
            </w:r>
          </w:p>
        </w:tc>
        <w:tc>
          <w:tcPr>
            <w:tcW w:w="662" w:type="pct"/>
            <w:vAlign w:val="center"/>
          </w:tcPr>
          <w:p>
            <w:pPr>
              <w:pStyle w:val="63"/>
            </w:pPr>
            <w:r>
              <w:t>14</w:t>
            </w:r>
          </w:p>
        </w:tc>
        <w:tc>
          <w:tcPr>
            <w:tcW w:w="502" w:type="pct"/>
            <w:vAlign w:val="center"/>
          </w:tcPr>
          <w:p>
            <w:pPr>
              <w:pStyle w:val="63"/>
            </w:pPr>
            <w:r>
              <w:t>10</w:t>
            </w:r>
          </w:p>
        </w:tc>
      </w:tr>
    </w:tbl>
    <w:p>
      <w:pPr>
        <w:spacing w:line="360" w:lineRule="auto"/>
        <w:ind w:firstLine="480" w:firstLineChars="200"/>
      </w:pPr>
      <w:r>
        <w:t>一般单台机械昼间在50~100m、夜间200~300m才能达到施工场界噪声限值。</w:t>
      </w:r>
    </w:p>
    <w:p>
      <w:pPr>
        <w:spacing w:line="360" w:lineRule="auto"/>
        <w:ind w:firstLine="480" w:firstLineChars="200"/>
      </w:pPr>
      <w:r>
        <w:t>为避免施工噪声对周围环境产生较大影响，建议采取如下控制措施：</w:t>
      </w:r>
    </w:p>
    <w:p>
      <w:pPr>
        <w:spacing w:line="360" w:lineRule="auto"/>
        <w:ind w:firstLine="480" w:firstLineChars="200"/>
      </w:pPr>
      <w:r>
        <w:rPr>
          <w:rFonts w:hint="eastAsia"/>
        </w:rPr>
        <w:t>①</w:t>
      </w:r>
      <w:r>
        <w:t>应选用低噪声施工机械，例如采用钻孔灌柱桩机或静压式打桩机代替冲击式打桩机。</w:t>
      </w:r>
    </w:p>
    <w:p>
      <w:pPr>
        <w:spacing w:line="360" w:lineRule="auto"/>
        <w:ind w:firstLine="480" w:firstLineChars="200"/>
      </w:pPr>
      <w:r>
        <w:rPr>
          <w:rFonts w:hint="eastAsia"/>
        </w:rPr>
        <w:t>②</w:t>
      </w:r>
      <w:r>
        <w:t>合理安排施工机械（如混凝土搅拌机），尽量远离居民敏感点。</w:t>
      </w:r>
    </w:p>
    <w:p>
      <w:pPr>
        <w:spacing w:line="360" w:lineRule="auto"/>
        <w:ind w:firstLine="480" w:firstLineChars="200"/>
      </w:pPr>
      <w:r>
        <w:rPr>
          <w:rFonts w:hint="eastAsia"/>
        </w:rPr>
        <w:t>③</w:t>
      </w:r>
      <w:r>
        <w:t>严格按作业时间进行施工。建设期间尽量避免在22：00~6：00期间进行高噪声作业，若确需夜间施工，需取得主管部门的批准。</w:t>
      </w:r>
    </w:p>
    <w:p>
      <w:pPr>
        <w:pStyle w:val="3"/>
      </w:pPr>
      <w:bookmarkStart w:id="524" w:name="_Toc12951423"/>
      <w:bookmarkStart w:id="525" w:name="_Toc93071882"/>
      <w:bookmarkStart w:id="526" w:name="_Toc74120822"/>
      <w:bookmarkStart w:id="527" w:name="_Toc47380218"/>
      <w:bookmarkStart w:id="528" w:name="_Toc146091965"/>
      <w:r>
        <w:t>6.5固体废物</w:t>
      </w:r>
      <w:bookmarkEnd w:id="524"/>
      <w:r>
        <w:t>影响分析</w:t>
      </w:r>
      <w:bookmarkEnd w:id="525"/>
      <w:bookmarkEnd w:id="526"/>
      <w:bookmarkEnd w:id="527"/>
      <w:bookmarkEnd w:id="528"/>
    </w:p>
    <w:p>
      <w:pPr>
        <w:pStyle w:val="4"/>
      </w:pPr>
      <w:bookmarkStart w:id="529" w:name="_Toc146091966"/>
      <w:r>
        <w:t>6.5.1 固体废物处置</w:t>
      </w:r>
      <w:bookmarkEnd w:id="529"/>
    </w:p>
    <w:p>
      <w:pPr>
        <w:spacing w:line="360" w:lineRule="auto"/>
        <w:ind w:firstLine="480" w:firstLineChars="200"/>
      </w:pPr>
      <w:r>
        <w:t>本项目固体废物分为3类：生活垃圾、一般工业固废和危险废物。</w:t>
      </w:r>
    </w:p>
    <w:p>
      <w:pPr>
        <w:spacing w:line="360" w:lineRule="auto"/>
        <w:ind w:firstLine="480" w:firstLineChars="200"/>
      </w:pPr>
      <w:r>
        <w:t>园区内设置垃圾分类收集箱，生活垃圾由环卫部门定点收集后，送至岳阳市生活垃圾焚烧发电厂处理。企业产生的废边角料、废包装材料、不合格原材料等一般工业固废优先回收综合利用，不可回收的采用填埋处理，建筑垃圾用于填方或进入建筑垃圾消纳场处理。</w:t>
      </w:r>
    </w:p>
    <w:p>
      <w:pPr>
        <w:spacing w:line="360" w:lineRule="auto"/>
        <w:ind w:firstLine="480" w:firstLineChars="200"/>
      </w:pPr>
      <w:r>
        <w:t>园内企业产生的危险废物分类收集后暂存于企业内部危废暂存库，定期委托有危废处理资质单位进行处置。</w:t>
      </w:r>
    </w:p>
    <w:p>
      <w:pPr>
        <w:pStyle w:val="4"/>
      </w:pPr>
      <w:bookmarkStart w:id="530" w:name="_Toc146091967"/>
      <w:r>
        <w:t>6.5.2 固体废物环境影响分析</w:t>
      </w:r>
      <w:bookmarkEnd w:id="530"/>
    </w:p>
    <w:p>
      <w:pPr>
        <w:spacing w:line="360" w:lineRule="auto"/>
        <w:ind w:firstLine="480" w:firstLineChars="200"/>
      </w:pPr>
      <w:r>
        <w:t>1）生活垃圾影响分析</w:t>
      </w:r>
    </w:p>
    <w:p>
      <w:pPr>
        <w:spacing w:line="360" w:lineRule="auto"/>
        <w:ind w:firstLine="480" w:firstLineChars="200"/>
      </w:pPr>
      <w:r>
        <w:t>城市生活垃圾的恶臭污染影响居民的生活，垃圾围城更使蚊蝇滋生、老鼠横行，这既是传播疾病之源，也影响城市景观。因此，应妥善处置园区的生活垃圾，减少固体废物对环境的不利影响。</w:t>
      </w:r>
    </w:p>
    <w:p>
      <w:pPr>
        <w:spacing w:line="360" w:lineRule="auto"/>
        <w:ind w:firstLine="480" w:firstLineChars="200"/>
      </w:pPr>
      <w:r>
        <w:t>目前，园区设有生活垃圾收集转运点，生活垃圾采用由垃环卫部门将垃圾连桶转移至指定集中点，由专业运营公司专用车辆转运至垃圾焚烧发电厂进行焚烧发电。</w:t>
      </w:r>
    </w:p>
    <w:p>
      <w:pPr>
        <w:spacing w:line="360" w:lineRule="auto"/>
        <w:ind w:firstLine="480" w:firstLineChars="200"/>
      </w:pPr>
      <w:r>
        <w:t>2）一般工业固废影响分析</w:t>
      </w:r>
    </w:p>
    <w:p>
      <w:pPr>
        <w:spacing w:line="360" w:lineRule="auto"/>
        <w:ind w:firstLine="480" w:firstLineChars="200"/>
      </w:pPr>
      <w:r>
        <w:t>一般工业固体废物若处理（处置）不当，对大气、水体、土壤等环境影响较大，主要体现在临时堆存与运输方面：</w:t>
      </w:r>
      <w:r>
        <w:rPr>
          <w:rFonts w:hint="eastAsia"/>
        </w:rPr>
        <w:t>①</w:t>
      </w:r>
      <w:r>
        <w:t>固废临时堆放时，因表面干燥而引起扬尘，会对周围的大气环境造成影响；</w:t>
      </w:r>
      <w:r>
        <w:rPr>
          <w:rFonts w:hint="eastAsia"/>
        </w:rPr>
        <w:t>②</w:t>
      </w:r>
      <w:r>
        <w:t>临时堆放点由于雨水浸淋会产生固废渗出液，一方面渗出液与滤沥液会改变土壤结构，影响土壤微生物的活动，阻碍植物根茎生长，有毒物质累积造成土壤性质的变化、质量的下降，另一方面会污染地表水与地下水，造成整个地区水环境质量的下降；因此，本次评价要求区内各工厂企业的一般工业固体废物临时储存地点必须建有天棚，不允许露天堆放，同时加强监督管理。</w:t>
      </w:r>
      <w:r>
        <w:rPr>
          <w:rFonts w:hint="eastAsia"/>
        </w:rPr>
        <w:t>③</w:t>
      </w:r>
      <w:r>
        <w:t>固废运输过程中，因管理措施不严、发生交通事故等，可能对沿途的环境造成一定影响。因此，一般工业固体废物的临时堆存、运输、管理应严格按照《一般工业固体废物贮存和填埋污染控制标准》（GB18599-2020）要求执行，以减小其对环境的影响。各企业均应按照《一般工业固体废物贮存和填埋污染控制标准》（GB18599-2020）的环境保护要求建设一般工业固废暂存场所。本园区产生的一般工固废绝大部分可得到综合利用，保证园区的一般工业固废得到妥善处置。</w:t>
      </w:r>
    </w:p>
    <w:p>
      <w:pPr>
        <w:spacing w:line="360" w:lineRule="auto"/>
        <w:ind w:firstLine="480" w:firstLineChars="200"/>
      </w:pPr>
      <w:r>
        <w:t>3）危险废物影响分析</w:t>
      </w:r>
    </w:p>
    <w:p>
      <w:pPr>
        <w:spacing w:line="360" w:lineRule="auto"/>
        <w:ind w:firstLine="480" w:firstLineChars="200"/>
      </w:pPr>
      <w:r>
        <w:t>危险废物在其临时堆放、运输及处置过程中，如不严格按危险废物贮存与处置标准进行控制，可能对周围水体、土壤及生态环境造成一定的影响，还可能会对人群健康甚至生命构成威胁。</w:t>
      </w:r>
    </w:p>
    <w:p>
      <w:pPr>
        <w:spacing w:line="360" w:lineRule="auto"/>
        <w:ind w:firstLine="480" w:firstLineChars="200"/>
      </w:pPr>
      <w:r>
        <w:t>园区内各企业产生的危险废物主要有包括医药废物（HW02）、废有机溶剂与含有机溶剂废物（HW06）、废矿物油与含矿物油废物（HW08）、精（蒸）馏残渣（HW11）、染料、涂料废物（HW12）、有机树脂类废物（HW13）、有机氰化物废物（HW38）、含酚废物（HW39）、含有机卤化物废物（HW45）、其它废物（HW49）、废催化剂（HW50）等，主要来自园区化工等行业。园区内由各企业自行集中收集，定期委托具有资质单位收集处置。企业依据各类危废特点，均应按照《危险废物贮存污染控制标准》（GB18597-2023）的环境保护要求建设危险废物暂存场所，采取由建设单位回收利用、交具有处置资质的单位运输处置等措施处理。</w:t>
      </w:r>
    </w:p>
    <w:p>
      <w:pPr>
        <w:spacing w:line="360" w:lineRule="auto"/>
        <w:ind w:firstLine="480" w:firstLineChars="200"/>
      </w:pPr>
      <w:r>
        <w:t>综上所述，本园区产生的危险废物均能够在实现安全有效地处置，对周边环境影响较小。</w:t>
      </w:r>
    </w:p>
    <w:p>
      <w:pPr>
        <w:spacing w:line="360" w:lineRule="auto"/>
        <w:ind w:firstLine="480" w:firstLineChars="200"/>
      </w:pPr>
      <w:r>
        <w:t>园区主管部门以及当地生态环境主管部门对园区进驻的企业进行严格控制，对产生危险废物的企业进行重点监控，危险废物的堆存应严格执行《危险废物贮存污染控制标准》（GB18597-2023）。收集后交由有资质单位集中处置。危险废物的收集、贮存、运输、处置必须严格遵守《中华人民共和国固体废物污染环境防治法》中危险废物污染防治的规定。园区内不设置集中的危废暂存库，由各企业自行集中收集，定期委托具有资质单位收集处置。企业依据各类危废特点，均应按照《危险废物贮存污染控制标准》（GB18597-2023）的环境保护要求建设危险废物暂存场所，贮存地点做到防风、防雨、防晒、防渗漏等，达到《危险废物贮存污染控制标准》（GB18597-2023）及其修改单的要求，并执行危险废物转移联单制度。危险废物暂存间应按照《危险废物贮存污染控制标准》（GB18597-2023）及其修改单的要求进行地面和裙角防渗，并设置排水、导流、收集等设施。危废暂存间内按废物类别分区堆放，各类危险废物专用桶进行收集贮存，存放于危废间专用贮存区内，同时废油、废溶剂等易挥发危废进行了密封，做到防晒、防雨淋。危险废物仓库应按</w:t>
      </w:r>
      <w:r>
        <w:rPr>
          <w:rFonts w:hint="eastAsia"/>
        </w:rPr>
        <w:t>《危险废物识别标志设置技术规范》（HJ1276-2022）</w:t>
      </w:r>
      <w:r>
        <w:t>的规定设置警示标志；只允许专门人员进入贮存设施。危险废物最终定期送有危废处置资质的单位进行处置，危险废物运输公司须有道路运输经营许可证，危险废物处置单位应为湖南省核准的危险废物经营单位。</w:t>
      </w:r>
    </w:p>
    <w:p>
      <w:pPr>
        <w:spacing w:line="360" w:lineRule="auto"/>
        <w:ind w:firstLine="480" w:firstLineChars="200"/>
      </w:pPr>
      <w:r>
        <w:t>综上所述，评价认为各企业落实主体责任，危险废物按照相关规定进行分类、储存，并交由有危险废物经营资质的单位进行专门处理，则园区危险废物均能够得到有效处置，对周边环境影响较小。</w:t>
      </w:r>
    </w:p>
    <w:p>
      <w:pPr>
        <w:pStyle w:val="3"/>
      </w:pPr>
      <w:bookmarkStart w:id="531" w:name="_Toc93071883"/>
      <w:bookmarkStart w:id="532" w:name="_Toc15041"/>
      <w:bookmarkStart w:id="533" w:name="_Toc146091968"/>
      <w:r>
        <w:t>6.6地下水环境影响分析</w:t>
      </w:r>
      <w:bookmarkEnd w:id="531"/>
      <w:bookmarkEnd w:id="532"/>
      <w:bookmarkEnd w:id="533"/>
    </w:p>
    <w:p>
      <w:pPr>
        <w:pStyle w:val="4"/>
      </w:pPr>
      <w:bookmarkStart w:id="534" w:name="_Toc146091969"/>
      <w:r>
        <w:t>6.6.1 区域地质概况</w:t>
      </w:r>
      <w:bookmarkEnd w:id="534"/>
    </w:p>
    <w:p>
      <w:pPr>
        <w:pStyle w:val="5"/>
        <w:ind w:firstLine="482"/>
      </w:pPr>
      <w:r>
        <w:t>6.6.1.1 地层岩性</w:t>
      </w:r>
    </w:p>
    <w:p>
      <w:pPr>
        <w:spacing w:line="360" w:lineRule="auto"/>
        <w:ind w:firstLine="480" w:firstLineChars="200"/>
      </w:pPr>
      <w:r>
        <w:rPr>
          <w:rFonts w:hint="eastAsia"/>
        </w:rPr>
        <w:t>项目区位于关山街倒转背斜的南翼，荆竹大山倒转向斜的北翼。项目区内为向南倾斜的单斜构造，主要由元古界冷家溪群～寒武系地层构成。上覆第四系地层主要有人工填土（Q</w:t>
      </w:r>
      <w:r>
        <w:rPr>
          <w:vertAlign w:val="superscript"/>
        </w:rPr>
        <w:t>ml</w:t>
      </w:r>
      <w:r>
        <w:rPr>
          <w:rFonts w:hint="eastAsia"/>
        </w:rPr>
        <w:t>）、淤泥质粘土（Q</w:t>
      </w:r>
      <w:r>
        <w:rPr>
          <w:vertAlign w:val="superscript"/>
        </w:rPr>
        <w:t>l</w:t>
      </w:r>
      <w:r>
        <w:rPr>
          <w:rFonts w:hint="eastAsia"/>
        </w:rPr>
        <w:t>）、粉质粘土（Q</w:t>
      </w:r>
      <w:r>
        <w:rPr>
          <w:vertAlign w:val="superscript"/>
        </w:rPr>
        <w:t>al</w:t>
      </w:r>
      <w:r>
        <w:rPr>
          <w:rFonts w:hint="eastAsia"/>
        </w:rPr>
        <w:t>）、粘土（Q</w:t>
      </w:r>
      <w:r>
        <w:rPr>
          <w:vertAlign w:val="superscript"/>
        </w:rPr>
        <w:t>al</w:t>
      </w:r>
      <w:r>
        <w:rPr>
          <w:rFonts w:hint="eastAsia"/>
        </w:rPr>
        <w:t>）、粉质粘土（Q</w:t>
      </w:r>
      <w:r>
        <w:rPr>
          <w:vertAlign w:val="superscript"/>
        </w:rPr>
        <w:t>dl+el</w:t>
      </w:r>
      <w:r>
        <w:rPr>
          <w:rFonts w:hint="eastAsia"/>
        </w:rPr>
        <w:t>）。下伏基岩介绍如下：</w:t>
      </w:r>
    </w:p>
    <w:p>
      <w:pPr>
        <w:spacing w:line="360" w:lineRule="auto"/>
        <w:ind w:firstLine="480" w:firstLineChars="200"/>
      </w:pPr>
      <w:bookmarkStart w:id="535" w:name="_Toc805"/>
      <w:bookmarkStart w:id="536" w:name="_Toc13284"/>
      <w:r>
        <w:t>1</w:t>
      </w:r>
      <w:r>
        <w:rPr>
          <w:rFonts w:hint="eastAsia"/>
        </w:rPr>
        <w:t>、元古界冷家溪群</w:t>
      </w:r>
      <w:bookmarkEnd w:id="535"/>
      <w:bookmarkEnd w:id="536"/>
    </w:p>
    <w:p>
      <w:pPr>
        <w:spacing w:line="360" w:lineRule="auto"/>
        <w:ind w:firstLine="480" w:firstLineChars="200"/>
      </w:pPr>
      <w:r>
        <w:rPr>
          <w:rFonts w:hint="eastAsia"/>
        </w:rPr>
        <w:t>崔家坳组（P</w:t>
      </w:r>
      <w:r>
        <w:rPr>
          <w:vertAlign w:val="subscript"/>
        </w:rPr>
        <w:t>t</w:t>
      </w:r>
      <w:r>
        <w:rPr>
          <w:vertAlign w:val="superscript"/>
        </w:rPr>
        <w:t>lnc</w:t>
      </w:r>
      <w:r>
        <w:rPr>
          <w:rFonts w:hint="eastAsia"/>
        </w:rPr>
        <w:t>）：总厚度2248m。泥质板岩、千枚状粉砂质板岩、变质粉砂岩、变质细砂岩。</w:t>
      </w:r>
    </w:p>
    <w:p>
      <w:pPr>
        <w:spacing w:line="360" w:lineRule="auto"/>
        <w:ind w:firstLine="480" w:firstLineChars="200"/>
      </w:pPr>
      <w:r>
        <w:rPr>
          <w:rFonts w:hint="eastAsia"/>
        </w:rPr>
        <w:t>易家桥组上段（P</w:t>
      </w:r>
      <w:r>
        <w:rPr>
          <w:vertAlign w:val="subscript"/>
        </w:rPr>
        <w:t>t</w:t>
      </w:r>
      <w:r>
        <w:rPr>
          <w:vertAlign w:val="superscript"/>
        </w:rPr>
        <w:t>lny3</w:t>
      </w:r>
      <w:r>
        <w:rPr>
          <w:rFonts w:hint="eastAsia"/>
        </w:rPr>
        <w:t>）：总厚度1053-1921m。泥质板岩、粉砂质板岩、粉砂质千枚岩、千枚状砂质板岩、变质粉砂岩、变质细砂岩。</w:t>
      </w:r>
    </w:p>
    <w:p>
      <w:pPr>
        <w:spacing w:line="360" w:lineRule="auto"/>
        <w:ind w:firstLine="480" w:firstLineChars="200"/>
      </w:pPr>
      <w:bookmarkStart w:id="537" w:name="_Toc12768"/>
      <w:bookmarkStart w:id="538" w:name="_Toc22519"/>
      <w:r>
        <w:t>2</w:t>
      </w:r>
      <w:r>
        <w:rPr>
          <w:rFonts w:hint="eastAsia"/>
        </w:rPr>
        <w:t>、震旦系（Z）</w:t>
      </w:r>
      <w:bookmarkEnd w:id="537"/>
      <w:bookmarkEnd w:id="538"/>
    </w:p>
    <w:p>
      <w:pPr>
        <w:spacing w:line="360" w:lineRule="auto"/>
        <w:ind w:firstLine="480" w:firstLineChars="200"/>
      </w:pPr>
      <w:r>
        <w:rPr>
          <w:rFonts w:hint="eastAsia"/>
        </w:rPr>
        <w:t>震旦系地层分布于场地北部，图幅内出露上统（Z</w:t>
      </w:r>
      <w:r>
        <w:rPr>
          <w:vertAlign w:val="subscript"/>
        </w:rPr>
        <w:t>b</w:t>
      </w:r>
      <w:r>
        <w:rPr>
          <w:rFonts w:hint="eastAsia"/>
        </w:rPr>
        <w:t>），下统（Z</w:t>
      </w:r>
      <w:r>
        <w:rPr>
          <w:vertAlign w:val="subscript"/>
        </w:rPr>
        <w:t>an</w:t>
      </w:r>
      <w:r>
        <w:rPr>
          <w:rFonts w:hint="eastAsia"/>
        </w:rPr>
        <w:t>）与陆城组（Z</w:t>
      </w:r>
      <w:r>
        <w:rPr>
          <w:vertAlign w:val="subscript"/>
        </w:rPr>
        <w:t>anL</w:t>
      </w:r>
      <w:r>
        <w:rPr>
          <w:rFonts w:hint="eastAsia"/>
        </w:rPr>
        <w:t>）。总厚度646-1146m。</w:t>
      </w:r>
    </w:p>
    <w:p>
      <w:pPr>
        <w:spacing w:line="360" w:lineRule="auto"/>
        <w:ind w:firstLine="480" w:firstLineChars="200"/>
      </w:pPr>
      <w:r>
        <w:rPr>
          <w:rFonts w:hint="eastAsia"/>
        </w:rPr>
        <w:t>上统（Z</w:t>
      </w:r>
      <w:r>
        <w:rPr>
          <w:vertAlign w:val="subscript"/>
        </w:rPr>
        <w:t>b</w:t>
      </w:r>
      <w:r>
        <w:rPr>
          <w:rFonts w:hint="eastAsia"/>
        </w:rPr>
        <w:t>）：硅质岩，炭质页岩，灰岩、灰质页岩、白云质灰岩。</w:t>
      </w:r>
    </w:p>
    <w:p>
      <w:pPr>
        <w:spacing w:line="360" w:lineRule="auto"/>
        <w:ind w:firstLine="480" w:firstLineChars="200"/>
      </w:pPr>
      <w:r>
        <w:rPr>
          <w:rFonts w:hint="eastAsia"/>
        </w:rPr>
        <w:t>下统（Z</w:t>
      </w:r>
      <w:r>
        <w:rPr>
          <w:vertAlign w:val="subscript"/>
        </w:rPr>
        <w:t>an</w:t>
      </w:r>
      <w:r>
        <w:rPr>
          <w:rFonts w:hint="eastAsia"/>
        </w:rPr>
        <w:t>）：冰碛砾岩、石英砂岩、砾岩。</w:t>
      </w:r>
    </w:p>
    <w:p>
      <w:pPr>
        <w:spacing w:line="360" w:lineRule="auto"/>
        <w:ind w:firstLine="480" w:firstLineChars="200"/>
      </w:pPr>
      <w:r>
        <w:rPr>
          <w:rFonts w:hint="eastAsia"/>
        </w:rPr>
        <w:t>下统陆城组（Z</w:t>
      </w:r>
      <w:r>
        <w:rPr>
          <w:vertAlign w:val="subscript"/>
        </w:rPr>
        <w:t>anL</w:t>
      </w:r>
      <w:r>
        <w:rPr>
          <w:rFonts w:hint="eastAsia"/>
        </w:rPr>
        <w:t>）：砾岩夹砂岩、含砾砂岩、砾岩。</w:t>
      </w:r>
    </w:p>
    <w:p>
      <w:pPr>
        <w:spacing w:line="360" w:lineRule="auto"/>
        <w:ind w:firstLine="480" w:firstLineChars="200"/>
      </w:pPr>
      <w:bookmarkStart w:id="539" w:name="_Toc26595"/>
      <w:bookmarkStart w:id="540" w:name="_Toc20740"/>
      <w:r>
        <w:t>3</w:t>
      </w:r>
      <w:r>
        <w:rPr>
          <w:rFonts w:hint="eastAsia"/>
        </w:rPr>
        <w:t>、寒武系（</w:t>
      </w:r>
      <w:r>
        <w:rPr>
          <w:rFonts w:ascii="Cambria" w:hAnsi="Cambria" w:cs="Cambria"/>
        </w:rPr>
        <w:t>Є</w:t>
      </w:r>
      <w:r>
        <w:rPr>
          <w:rFonts w:hint="eastAsia" w:ascii="宋体" w:hAnsi="宋体" w:eastAsia="宋体" w:cs="宋体"/>
        </w:rPr>
        <w:t>）</w:t>
      </w:r>
      <w:bookmarkEnd w:id="539"/>
      <w:bookmarkEnd w:id="540"/>
    </w:p>
    <w:p>
      <w:pPr>
        <w:spacing w:line="360" w:lineRule="auto"/>
        <w:ind w:firstLine="480" w:firstLineChars="200"/>
      </w:pPr>
      <w:r>
        <w:rPr>
          <w:rFonts w:hint="eastAsia"/>
        </w:rPr>
        <w:t>寒武系地层分布于场地北部。根据岩性组合及沉积韵律可分为下、中、上三统，图幅内只出露下统清虚洞组（</w:t>
      </w:r>
      <w:r>
        <w:rPr>
          <w:rFonts w:ascii="Cambria" w:hAnsi="Cambria" w:cs="Cambria"/>
        </w:rPr>
        <w:t>Є</w:t>
      </w:r>
      <w:r>
        <w:rPr>
          <w:vertAlign w:val="subscript"/>
        </w:rPr>
        <w:t>1q</w:t>
      </w:r>
      <w:r>
        <w:rPr>
          <w:rFonts w:hint="eastAsia"/>
        </w:rPr>
        <w:t>）、五里牌组（</w:t>
      </w:r>
      <w:r>
        <w:rPr>
          <w:rFonts w:ascii="Cambria" w:hAnsi="Cambria" w:cs="Cambria"/>
        </w:rPr>
        <w:t>Є</w:t>
      </w:r>
      <w:r>
        <w:rPr>
          <w:vertAlign w:val="subscript"/>
        </w:rPr>
        <w:t>1w</w:t>
      </w:r>
      <w:r>
        <w:rPr>
          <w:rFonts w:hint="eastAsia"/>
        </w:rPr>
        <w:t>）和羊楼洞组（</w:t>
      </w:r>
      <w:r>
        <w:rPr>
          <w:rFonts w:ascii="Cambria" w:hAnsi="Cambria" w:cs="Cambria"/>
        </w:rPr>
        <w:t>Є</w:t>
      </w:r>
      <w:r>
        <w:rPr>
          <w:vertAlign w:val="subscript"/>
        </w:rPr>
        <w:t>1y</w:t>
      </w:r>
      <w:r>
        <w:rPr>
          <w:rFonts w:hint="eastAsia"/>
        </w:rPr>
        <w:t>）。总厚度833.5-1532.0m。</w:t>
      </w:r>
    </w:p>
    <w:p>
      <w:pPr>
        <w:spacing w:line="360" w:lineRule="auto"/>
        <w:ind w:firstLine="480" w:firstLineChars="200"/>
      </w:pPr>
      <w:r>
        <w:rPr>
          <w:rFonts w:hint="eastAsia"/>
        </w:rPr>
        <w:t>清虚洞组（</w:t>
      </w:r>
      <w:r>
        <w:rPr>
          <w:rFonts w:ascii="Cambria" w:hAnsi="Cambria" w:cs="Cambria"/>
        </w:rPr>
        <w:t>Є</w:t>
      </w:r>
      <w:r>
        <w:rPr>
          <w:vertAlign w:val="subscript"/>
        </w:rPr>
        <w:t>1q</w:t>
      </w:r>
      <w:r>
        <w:rPr>
          <w:rFonts w:hint="eastAsia"/>
        </w:rPr>
        <w:t>）：灰质白云质、白云岩，泥质条带灰岩。</w:t>
      </w:r>
    </w:p>
    <w:p>
      <w:pPr>
        <w:spacing w:line="360" w:lineRule="auto"/>
        <w:ind w:firstLine="480" w:firstLineChars="200"/>
      </w:pPr>
      <w:r>
        <w:rPr>
          <w:rFonts w:hint="eastAsia"/>
        </w:rPr>
        <w:t>五里牌组（</w:t>
      </w:r>
      <w:r>
        <w:rPr>
          <w:rFonts w:ascii="Cambria" w:hAnsi="Cambria" w:cs="Cambria"/>
        </w:rPr>
        <w:t>Є</w:t>
      </w:r>
      <w:r>
        <w:rPr>
          <w:vertAlign w:val="subscript"/>
        </w:rPr>
        <w:t>1w</w:t>
      </w:r>
      <w:r>
        <w:rPr>
          <w:rFonts w:hint="eastAsia"/>
        </w:rPr>
        <w:t>）：粉砂岩，粉砂质页岩，钙质页岩夹灰岩透镜体。</w:t>
      </w:r>
    </w:p>
    <w:p>
      <w:pPr>
        <w:spacing w:line="360" w:lineRule="auto"/>
        <w:ind w:firstLine="480" w:firstLineChars="200"/>
      </w:pPr>
      <w:r>
        <w:rPr>
          <w:rFonts w:hint="eastAsia"/>
        </w:rPr>
        <w:t>羊楼洞组（</w:t>
      </w:r>
      <w:r>
        <w:rPr>
          <w:rFonts w:ascii="Cambria" w:hAnsi="Cambria" w:cs="Cambria"/>
        </w:rPr>
        <w:t>Є</w:t>
      </w:r>
      <w:r>
        <w:rPr>
          <w:vertAlign w:val="subscript"/>
        </w:rPr>
        <w:t>1y</w:t>
      </w:r>
      <w:r>
        <w:rPr>
          <w:rFonts w:hint="eastAsia"/>
        </w:rPr>
        <w:t>）：炭质页岩夹灰岩，石煤层和含磷结核层。</w:t>
      </w:r>
    </w:p>
    <w:p>
      <w:pPr>
        <w:pStyle w:val="5"/>
        <w:ind w:firstLine="482"/>
      </w:pPr>
      <w:r>
        <w:t>6.6.1.2 地质构造</w:t>
      </w:r>
    </w:p>
    <w:p>
      <w:pPr>
        <w:spacing w:line="360" w:lineRule="auto"/>
        <w:ind w:firstLine="480" w:firstLineChars="200"/>
      </w:pPr>
      <w:r>
        <w:rPr>
          <w:rFonts w:hint="eastAsia"/>
        </w:rPr>
        <w:t>临湘市位于雪峰地盾，江汉拗陷区及下扬子台褶带的交汇处，地跨新华夏系第二构造沉降带的东部边缘地带，一级及次级大地构造分区从境内通过。区内大地构造位置决定了本区复杂的地质产物。境内主要发育浅变质岩及岩浆岩，地层出露不全。在漫长的历史时期中，经历了多次周期性的强烈构造运动，海陆几经变迁，山脉逐渐消长，形成了各种各样的构造组合形式及其展布规律。这些构造形迹，反映了当时地壳活动情况，记录了古构造应力场特征。</w:t>
      </w:r>
    </w:p>
    <w:p>
      <w:pPr>
        <w:spacing w:line="360" w:lineRule="auto"/>
        <w:ind w:firstLine="480" w:firstLineChars="200"/>
      </w:pPr>
      <w:bookmarkStart w:id="541" w:name="_Toc22667"/>
      <w:bookmarkStart w:id="542" w:name="_Toc19957"/>
      <w:r>
        <w:t>1</w:t>
      </w:r>
      <w:r>
        <w:rPr>
          <w:rFonts w:hint="eastAsia"/>
        </w:rPr>
        <w:t>、临湘东西向褶断带</w:t>
      </w:r>
      <w:bookmarkEnd w:id="541"/>
      <w:bookmarkEnd w:id="542"/>
    </w:p>
    <w:p>
      <w:pPr>
        <w:spacing w:line="360" w:lineRule="auto"/>
        <w:ind w:firstLine="480" w:firstLineChars="200"/>
      </w:pPr>
      <w:r>
        <w:rPr>
          <w:rFonts w:hint="eastAsia"/>
        </w:rPr>
        <w:t>临湘东西向褶断带临湘东西向褶断带临湘东西向褶断带横亘于临湘中部，属石门——华容——临湘东西向褶断带的东段。本带构造形迹主要由东西走向的褶皱及压性、压扭性断裂组成。该带因受新华夏系构造的影响，呈弧形展布，它与岩相界线地层等厚线、重力布格异常，航磁异常所反映的基本特征一致。这条东西带构造的南界恰与我国一级地层区，即杨子区与华南区的界线基本一致，显示其对沉积建造和构造发展的重要控制作用。</w:t>
      </w:r>
    </w:p>
    <w:p>
      <w:pPr>
        <w:spacing w:line="360" w:lineRule="auto"/>
        <w:ind w:firstLine="480" w:firstLineChars="200"/>
      </w:pPr>
      <w:bookmarkStart w:id="543" w:name="_Toc19482"/>
      <w:bookmarkStart w:id="544" w:name="_Toc20851"/>
      <w:r>
        <w:rPr>
          <w:rFonts w:hint="eastAsia"/>
        </w:rPr>
        <w:t>（1）褶皱</w:t>
      </w:r>
      <w:bookmarkEnd w:id="543"/>
      <w:bookmarkEnd w:id="544"/>
    </w:p>
    <w:p>
      <w:pPr>
        <w:spacing w:line="360" w:lineRule="auto"/>
        <w:ind w:firstLine="480" w:firstLineChars="200"/>
      </w:pPr>
      <w:r>
        <w:rPr>
          <w:rFonts w:hint="eastAsia"/>
        </w:rPr>
        <w:t>临湘向斜：以临湘为中心，西起长江西岸的杨林矶，东抵“湘鄂边界”，向斜核部由志留系黄绿色粉砂质页岩组成。南翼为奥陶——震旦纪及冷家溪群地层。受后期断裂破坏，地层常出露不全。向斜北翼岩层产状基本正常，向南西或南东倾斜，倾角40-75°。南翼产状较复杂，常常发生倒转，倾角50-84°。向斜轴线走向从95°转为北东60°左右，组成了一个向南突出的弧形。</w:t>
      </w:r>
    </w:p>
    <w:p>
      <w:pPr>
        <w:spacing w:line="360" w:lineRule="auto"/>
        <w:ind w:firstLine="480" w:firstLineChars="200"/>
      </w:pPr>
      <w:r>
        <w:rPr>
          <w:rFonts w:hint="eastAsia"/>
        </w:rPr>
        <w:t>源潭——关山街背斜：该背斜西起临湘市源潭，东至雷打尖，向东被下古生界地层所覆。背斜核部地层由冷家溪群黄浒洞组下段组成，两翼由冷家溪群小木坪组组成。受后期构造的影响，背斜两翼地层不对称，北翼主要由冷家溪群小木坪组和下古生界地层组成，岩层产状倒转，倾角30-40°；南翼由冷家溪群小木坪组、坪源组及下古生界地层组成，岩层倾向南，倾角25-85°。</w:t>
      </w:r>
    </w:p>
    <w:p>
      <w:pPr>
        <w:spacing w:line="360" w:lineRule="auto"/>
        <w:ind w:firstLine="480" w:firstLineChars="200"/>
      </w:pPr>
      <w:bookmarkStart w:id="545" w:name="_Toc12506"/>
      <w:bookmarkStart w:id="546" w:name="_Toc11798"/>
      <w:r>
        <w:rPr>
          <w:rFonts w:hint="eastAsia"/>
        </w:rPr>
        <w:t>（2）断裂</w:t>
      </w:r>
      <w:bookmarkEnd w:id="545"/>
      <w:bookmarkEnd w:id="546"/>
    </w:p>
    <w:p>
      <w:pPr>
        <w:spacing w:line="360" w:lineRule="auto"/>
        <w:ind w:firstLine="480" w:firstLineChars="200"/>
      </w:pPr>
      <w:r>
        <w:rPr>
          <w:rFonts w:hint="eastAsia"/>
        </w:rPr>
        <w:t>文桥——陀鹤压性断裂：分布于临湘向斜东段北翼，断裂倾向北，倾角42°，斜切冷家溪群及下古生界地层，断裂硅化破碎现象普遍，断裂北盘为冷家溪群小木坪组浅变质砂岩，南盘为震旦系上统硅质岩及炭质页岩等，缺少震旦系上统。</w:t>
      </w:r>
    </w:p>
    <w:p>
      <w:pPr>
        <w:spacing w:line="360" w:lineRule="auto"/>
        <w:ind w:firstLine="480" w:firstLineChars="200"/>
      </w:pPr>
      <w:r>
        <w:rPr>
          <w:rFonts w:hint="eastAsia"/>
        </w:rPr>
        <w:t>安山冲——羊楼司压性——压扭性断裂：分布于临湘向斜东段南翼，断裂倾向南东，倾角61-74°，断裂切割冷家溪群、震旦系、寒武系及志留系，地层缺失，挤压破碎，断裂带内鳞片状、构造透镜体分布普遍，有时砾石拉长为眼球状，并有镜面出现，以压性为主，局部具压扭性。</w:t>
      </w:r>
    </w:p>
    <w:p>
      <w:pPr>
        <w:spacing w:line="360" w:lineRule="auto"/>
        <w:ind w:firstLine="480" w:firstLineChars="200"/>
      </w:pPr>
      <w:r>
        <w:rPr>
          <w:rFonts w:hint="eastAsia"/>
        </w:rPr>
        <w:t>源潭——临湘断裂：分布于源潭至关山街背斜的北翼，断裂切割冷家溪群、震旦系、寒武系及奥陶系，断裂带硅化破碎，在湖北省五洪山一带出现温泉群。延入陆水水库之后，造成背斜倒转，北翼岩层产状平缓。断裂挽近期仍有活动，1954年在湖北省五洪山曾发生4.75级地震。</w:t>
      </w:r>
    </w:p>
    <w:p>
      <w:pPr>
        <w:spacing w:line="360" w:lineRule="auto"/>
        <w:ind w:firstLine="480" w:firstLineChars="200"/>
      </w:pPr>
      <w:bookmarkStart w:id="547" w:name="_Toc4416"/>
      <w:bookmarkStart w:id="548" w:name="_Toc30599"/>
      <w:r>
        <w:t>2</w:t>
      </w:r>
      <w:r>
        <w:rPr>
          <w:rFonts w:hint="eastAsia"/>
        </w:rPr>
        <w:t>、新华夏系构造</w:t>
      </w:r>
      <w:bookmarkEnd w:id="547"/>
      <w:bookmarkEnd w:id="548"/>
    </w:p>
    <w:p>
      <w:pPr>
        <w:spacing w:line="360" w:lineRule="auto"/>
        <w:ind w:firstLine="480" w:firstLineChars="200"/>
      </w:pPr>
      <w:r>
        <w:rPr>
          <w:rFonts w:hint="eastAsia"/>
        </w:rPr>
        <w:t>临湘市南东于雪峰期、加里东期属早期华夏系隆起带，印支期归晚期华夏系拗陷带，燕山期被支解大部卷入早——晚期华夏系范畴，呈右型雁列，系新华夏系第二复式沉降地带的次级隆起，属幕阜山望湘新华夏系隆起带的组成部分。该构造带在境内主要由幕阜山花岗岩体组成，岩体内许多补充期岩体组成的北东向花岗杂岩带，它们均属燕山早期产物。南东边缘被公田——灰汤——新宁断裂带斜切，该断裂为一规模巨大的复式断裂，总体走向30°，由一系列北东向断裂组成，但单条断裂规模不大，呈舒缓波状断续伸展。</w:t>
      </w:r>
    </w:p>
    <w:p>
      <w:pPr>
        <w:pStyle w:val="5"/>
        <w:ind w:firstLine="482"/>
      </w:pPr>
      <w:r>
        <w:t>6.6.1.3 地震效应</w:t>
      </w:r>
    </w:p>
    <w:p>
      <w:pPr>
        <w:spacing w:line="360" w:lineRule="auto"/>
        <w:ind w:firstLine="480" w:firstLineChars="200"/>
      </w:pPr>
      <w:r>
        <w:t>1、抗震设防基本参数</w:t>
      </w:r>
    </w:p>
    <w:p>
      <w:pPr>
        <w:spacing w:line="360" w:lineRule="auto"/>
        <w:ind w:firstLine="480" w:firstLineChars="200"/>
      </w:pPr>
      <w:r>
        <w:t>根据本次勘察结果，参照《建筑抗震设计规范》（GB50011-2010）2016年修订版、《中国地震动参数区划图》（GB18306-2015），拟建场地抗震设防烈度为6度，设计地震分组为第一组，设计基本地震加速度值为0.05g。</w:t>
      </w:r>
    </w:p>
    <w:p>
      <w:pPr>
        <w:spacing w:line="360" w:lineRule="auto"/>
        <w:ind w:firstLine="480" w:firstLineChars="200"/>
      </w:pPr>
      <w:r>
        <w:t>2、特征周期</w:t>
      </w:r>
    </w:p>
    <w:p>
      <w:pPr>
        <w:spacing w:line="360" w:lineRule="auto"/>
        <w:ind w:firstLine="480" w:firstLineChars="200"/>
      </w:pPr>
      <w:r>
        <w:t>根据《中国地震动参数区划图》（GB18306-2015），场地设计特征周期为0.35s。</w:t>
      </w:r>
    </w:p>
    <w:p>
      <w:pPr>
        <w:pStyle w:val="4"/>
      </w:pPr>
      <w:bookmarkStart w:id="549" w:name="_Toc146091970"/>
      <w:r>
        <w:t>6.6.2 区域水文地质条件</w:t>
      </w:r>
      <w:bookmarkEnd w:id="549"/>
    </w:p>
    <w:p>
      <w:pPr>
        <w:pStyle w:val="5"/>
        <w:ind w:firstLine="482"/>
      </w:pPr>
      <w:r>
        <w:t>6.6.2.1 地下水类型及含水岩组特征</w:t>
      </w:r>
    </w:p>
    <w:p>
      <w:pPr>
        <w:spacing w:line="360" w:lineRule="auto"/>
        <w:ind w:firstLine="480" w:firstLineChars="200"/>
      </w:pPr>
      <w:r>
        <w:rPr>
          <w:rFonts w:hint="eastAsia"/>
        </w:rPr>
        <w:t>项目区所在区域地下水主要以板岩区基岩裂隙水及湖区平原和河谷的松散岩类孔隙水为主，项目区所处区域地下水系统分别为冶湖地下水系统与洋溪湖地下水系统，地下水分水岭与地表水分水岭一致。分水岭以东为冶湖地下水系统，地下水向北排泄，进入冶湖，经人工渠道与洋溪湖沟通，并排泄至洋溪湖，最后排入长江；分水岭以西为洋溪湖地下水系统，地下水向北排泄，进入洋溪湖，最后排入长江。</w:t>
      </w:r>
    </w:p>
    <w:p>
      <w:pPr>
        <w:spacing w:line="360" w:lineRule="auto"/>
        <w:ind w:firstLine="480" w:firstLineChars="200"/>
      </w:pPr>
      <w:r>
        <w:rPr>
          <w:rFonts w:hint="eastAsia"/>
        </w:rPr>
        <w:t>黄皋山至南竹园、上塘坡、刘家冲、瞎坡冲、张家坳、曾家炮屋、丁家坳、六房、国材里、周家坳地表分水岭由南往北从场地内经过，该段基岩以板岩、千枚岩为主，为相对隔水层，属基岩裂隙水水量贫乏区，而从周家坳至李家坡、榨树咀段以白云岩为主，为含水岩层区，属基岩裂隙水水量丰富区，故将场区分成三个地下水系统，分别为冶湖地下水系统、洋溪湖地下水系统和鸭栏－旗杆地下水系统。冶湖地下水系统从南往北、从西往东流入冶湖，再由冶湖排入长江；洋溪湖地下水系统从南往北、从东往西流入洋溪湖，再由洋溪湖排入长江；鸭栏－旗杆地下水系统一部分水直接排入长江，一部分排入冶湖，另外一部分排入洋溪湖，区地下水系统划分情况见图4.1.6-2所示。</w:t>
      </w:r>
    </w:p>
    <w:p>
      <w:pPr>
        <w:spacing w:line="360" w:lineRule="auto"/>
        <w:ind w:firstLine="480" w:firstLineChars="200"/>
      </w:pPr>
      <w:r>
        <w:rPr>
          <w:rFonts w:hint="eastAsia"/>
        </w:rPr>
        <w:t>（1）冶湖地下水系统</w:t>
      </w:r>
    </w:p>
    <w:p>
      <w:pPr>
        <w:spacing w:line="360" w:lineRule="auto"/>
        <w:ind w:firstLine="480" w:firstLineChars="200"/>
      </w:pPr>
      <w:r>
        <w:rPr>
          <w:rFonts w:hint="eastAsia"/>
        </w:rPr>
        <w:t>冶湖地下水系统位于黄皋山至南竹园、上塘坡、刘家冲、瞎坡冲、张家坳、曾家炮屋、丁家坳、六房、国材里、周家坳近南北向地表分水岭以东，李家大屋至旗杆村、王五冲近东西向地表分水岭以南，其接受大气降水补给，入渗形成孔隙水和基岩风化壳裂隙水，顺斜坡地形潜流至侵蚀沟谷溢出形成地表径流汇入冶湖。</w:t>
      </w:r>
    </w:p>
    <w:p>
      <w:pPr>
        <w:spacing w:line="360" w:lineRule="auto"/>
        <w:ind w:firstLine="480" w:firstLineChars="200"/>
      </w:pPr>
      <w:r>
        <w:rPr>
          <w:rFonts w:hint="eastAsia"/>
        </w:rPr>
        <w:t>冶湖地下水运动主要受地形及地势控制，冶湖岸线构成了该地下水的东部边界。场区上游段（中部及南部）均为板岩、千枚岩、岩质页岩、硅质岩，地下水系均不发育，接受大气降水补给，入渗形成孔隙水和基岩风化壳裂隙水，顺斜坡地形潜流至形成溢出地表径流入冶湖。</w:t>
      </w:r>
    </w:p>
    <w:p>
      <w:pPr>
        <w:spacing w:line="360" w:lineRule="auto"/>
        <w:ind w:firstLine="480" w:firstLineChars="200"/>
      </w:pPr>
      <w:r>
        <w:rPr>
          <w:rFonts w:hint="eastAsia"/>
        </w:rPr>
        <w:t>（2）洋溪湖地下水系统</w:t>
      </w:r>
    </w:p>
    <w:p>
      <w:pPr>
        <w:spacing w:line="360" w:lineRule="auto"/>
        <w:ind w:firstLine="480" w:firstLineChars="200"/>
      </w:pPr>
      <w:r>
        <w:rPr>
          <w:rFonts w:hint="eastAsia"/>
        </w:rPr>
        <w:t>洋溪湖地下水系统位于黄皋山至南竹园、上塘坡、刘家冲、瞎坡冲、张家坳、曾家炮屋、丁家坳、六房、国材里、周家坳近南北向地表分水岭以西，李家大屋至旗杆村、王五冲近东西向地表分水岭以南，其接受大气降水补给，入渗形成孔隙水和基岩风华壳裂隙水，顺斜坡地形潜流至侵蚀沟谷溢出形成地表径流汇入洋溪湖。</w:t>
      </w:r>
    </w:p>
    <w:p>
      <w:pPr>
        <w:spacing w:line="360" w:lineRule="auto"/>
        <w:ind w:firstLine="480" w:firstLineChars="200"/>
      </w:pPr>
      <w:r>
        <w:rPr>
          <w:rFonts w:hint="eastAsia"/>
        </w:rPr>
        <w:t>洋溪湖地下水运动主要受地势控制，洋溪湖岸线构成该地下水西部边界。</w:t>
      </w:r>
    </w:p>
    <w:p>
      <w:pPr>
        <w:spacing w:line="360" w:lineRule="auto"/>
        <w:ind w:firstLine="480" w:firstLineChars="200"/>
      </w:pPr>
      <w:r>
        <w:rPr>
          <w:rFonts w:hint="eastAsia"/>
        </w:rPr>
        <w:t>场区上游段（中部及南部）均为板岩、千枚岩、岩质页岩、硅质岩，地下水系均不发育，接受大气降水补给，入渗形成孔隙水和基岩风化壳裂隙水，顺斜坡地形潜流至侵蚀沟谷溢出形成地表径流汇入洋溪湖。</w:t>
      </w:r>
    </w:p>
    <w:p>
      <w:pPr>
        <w:spacing w:line="360" w:lineRule="auto"/>
        <w:ind w:firstLine="480" w:firstLineChars="200"/>
      </w:pPr>
      <w:r>
        <w:rPr>
          <w:rFonts w:hint="eastAsia"/>
        </w:rPr>
        <w:t>（3）鸭栏－旗杆地下水系统</w:t>
      </w:r>
    </w:p>
    <w:p>
      <w:pPr>
        <w:spacing w:line="360" w:lineRule="auto"/>
        <w:ind w:firstLine="480" w:firstLineChars="200"/>
      </w:pPr>
      <w:r>
        <w:rPr>
          <w:rFonts w:hint="eastAsia"/>
        </w:rPr>
        <w:t>鸭栏－旗杆地下水系统位于李家大屋至旗杆村、王五冲近东西向地表分水岭以北，其接受大气降水补给，入渗形成孔隙水和基岩风华壳裂隙水，顺斜坡地形潜流至侵蚀沟谷溢出形成地表径流汇入长江。本地下水系统为碳酸盐岩分布区，清虚洞组灰质白云岩、白云岩、泥质条带灰岩与震旦系的灰岩及白云质灰岩组成了该区的含水岩组。</w:t>
      </w:r>
    </w:p>
    <w:p>
      <w:pPr>
        <w:spacing w:line="360" w:lineRule="auto"/>
        <w:ind w:firstLine="480" w:firstLineChars="200"/>
      </w:pPr>
      <w:r>
        <w:rPr>
          <w:rFonts w:hint="eastAsia"/>
        </w:rPr>
        <w:t>冶湖与洋溪湖构成该地下水的东部与西部边界。</w:t>
      </w:r>
    </w:p>
    <w:p>
      <w:pPr>
        <w:spacing w:line="360" w:lineRule="auto"/>
        <w:ind w:firstLine="480" w:firstLineChars="200"/>
      </w:pPr>
      <w:r>
        <w:rPr>
          <w:rFonts w:hint="eastAsia"/>
        </w:rPr>
        <w:t>区域地下水的主要补给源为大气降水，其次是地表水。降水量的变化是地下水动态变化的主要原因。4~7月降雨量最大，为雨季，地下水丰富，为丰水期；2~3月、8~11月常有干旱，为平水期，地下水相对贫乏；12月至1月降雨量最小，地下水贫乏，为枯水期。区内地下水一般以泉水和地下隐伏流形式排泄，地表水系为主要排泄地带。</w:t>
      </w:r>
    </w:p>
    <w:p>
      <w:pPr>
        <w:spacing w:line="360" w:lineRule="auto"/>
        <w:ind w:firstLine="480" w:firstLineChars="200"/>
      </w:pPr>
      <w:r>
        <w:rPr>
          <w:rFonts w:hint="eastAsia"/>
        </w:rPr>
        <w:t>地层岩性有第四系松散岩类、碎屑岩、碳酸盐岩等，根据地下水赋存条件，地下水类型可划分为松散岩类孔隙水、基岩裂隙水二大类。</w:t>
      </w:r>
    </w:p>
    <w:p>
      <w:pPr>
        <w:pStyle w:val="5"/>
        <w:ind w:firstLine="482"/>
      </w:pPr>
      <w:bookmarkStart w:id="550" w:name="_Toc21128"/>
      <w:r>
        <w:t>6.6.2.2</w:t>
      </w:r>
      <w:r>
        <w:rPr>
          <w:rFonts w:hint="eastAsia"/>
        </w:rPr>
        <w:t>地下水的补给、径流、排泄特征</w:t>
      </w:r>
      <w:bookmarkEnd w:id="550"/>
    </w:p>
    <w:p>
      <w:pPr>
        <w:spacing w:line="360" w:lineRule="auto"/>
        <w:ind w:firstLine="480" w:firstLineChars="200"/>
      </w:pPr>
      <w:r>
        <w:rPr>
          <w:rFonts w:hint="eastAsia"/>
        </w:rPr>
        <w:t>（1）冶湖地下水系统</w:t>
      </w:r>
    </w:p>
    <w:p>
      <w:pPr>
        <w:spacing w:line="360" w:lineRule="auto"/>
        <w:ind w:firstLine="480" w:firstLineChars="200"/>
      </w:pPr>
      <w:r>
        <w:t>a</w:t>
      </w:r>
      <w:r>
        <w:rPr>
          <w:rFonts w:hint="eastAsia"/>
        </w:rPr>
        <w:t>.松散岩类孔隙水</w:t>
      </w:r>
    </w:p>
    <w:p>
      <w:pPr>
        <w:spacing w:line="360" w:lineRule="auto"/>
        <w:ind w:firstLine="480" w:firstLineChars="200"/>
      </w:pPr>
      <w:r>
        <w:rPr>
          <w:rFonts w:hint="eastAsia"/>
        </w:rPr>
        <w:t>补给：松散岩类孔隙水的补给源主要是大气降水，其次是地表水。本区地层均为粘性土层，渗透性较差，入渗系数为0.001~0.180。</w:t>
      </w:r>
    </w:p>
    <w:p>
      <w:pPr>
        <w:spacing w:line="360" w:lineRule="auto"/>
        <w:ind w:firstLine="480" w:firstLineChars="200"/>
      </w:pPr>
      <w:r>
        <w:rPr>
          <w:rFonts w:hint="eastAsia"/>
        </w:rPr>
        <w:t>径流：枯、平季节阶地内孔隙水水位高于冶湖水位，流向斜交冶湖，以渗流形式补给冶湖。</w:t>
      </w:r>
    </w:p>
    <w:p>
      <w:pPr>
        <w:spacing w:line="360" w:lineRule="auto"/>
        <w:ind w:firstLine="480" w:firstLineChars="200"/>
      </w:pPr>
      <w:r>
        <w:rPr>
          <w:rFonts w:hint="eastAsia"/>
        </w:rPr>
        <w:t>排泄：孔隙水在枯、平季节多以渗流形式排泄至冶湖中。</w:t>
      </w:r>
    </w:p>
    <w:p>
      <w:pPr>
        <w:spacing w:line="360" w:lineRule="auto"/>
        <w:ind w:firstLine="480" w:firstLineChars="200"/>
      </w:pPr>
      <w:r>
        <w:t>b</w:t>
      </w:r>
      <w:r>
        <w:rPr>
          <w:rFonts w:hint="eastAsia"/>
        </w:rPr>
        <w:t>.基岩裂隙水</w:t>
      </w:r>
    </w:p>
    <w:p>
      <w:pPr>
        <w:spacing w:line="360" w:lineRule="auto"/>
        <w:ind w:firstLine="480" w:firstLineChars="200"/>
      </w:pPr>
      <w:r>
        <w:rPr>
          <w:rFonts w:hint="eastAsia"/>
        </w:rPr>
        <w:t>补给：基岩裂隙水多分布于丘陵地带，最大降雨量可达1909mm以上，丰沛的降水是基岩裂隙水的主要补给源，补给强度取决于降雨量，频率和形式、地貌、岩性、构造及岩石的风化状况诸因素。</w:t>
      </w:r>
    </w:p>
    <w:p>
      <w:pPr>
        <w:spacing w:line="360" w:lineRule="auto"/>
        <w:ind w:firstLine="480" w:firstLineChars="200"/>
      </w:pPr>
      <w:r>
        <w:rPr>
          <w:rFonts w:hint="eastAsia"/>
        </w:rPr>
        <w:t>径流：基岩裂隙水径流条件与地貌和岩性关系密切。从场区简易水文观测得知，高程越高，水位埋深越大，高程越低，水位埋深越小，山脊处水位埋深大于山坡处，陡坡处大于缓坡处，水位埋深与地形起伏大体呈正相关。基岩裂隙水分布的丘陵地带，地形较缓，水力坡度较小，径流速度慢，强度弱。</w:t>
      </w:r>
    </w:p>
    <w:p>
      <w:pPr>
        <w:spacing w:line="360" w:lineRule="auto"/>
        <w:ind w:firstLine="480" w:firstLineChars="200"/>
      </w:pPr>
      <w:r>
        <w:rPr>
          <w:rFonts w:hint="eastAsia"/>
        </w:rPr>
        <w:t>排泄：基岩裂隙水在斜坡或谷底以下降泉的形式排泄于地表。场区基岩均为相对隔水层，渗透性较差，因此通过接触带的补给性较弱。</w:t>
      </w:r>
    </w:p>
    <w:p>
      <w:pPr>
        <w:spacing w:line="360" w:lineRule="auto"/>
        <w:ind w:firstLine="480" w:firstLineChars="200"/>
      </w:pPr>
      <w:r>
        <w:rPr>
          <w:rFonts w:hint="eastAsia"/>
        </w:rPr>
        <w:t>（2）洋溪湖地下水系统</w:t>
      </w:r>
    </w:p>
    <w:p>
      <w:pPr>
        <w:spacing w:line="360" w:lineRule="auto"/>
        <w:ind w:firstLine="480" w:firstLineChars="200"/>
      </w:pPr>
      <w:r>
        <w:t>a</w:t>
      </w:r>
      <w:r>
        <w:rPr>
          <w:rFonts w:hint="eastAsia"/>
        </w:rPr>
        <w:t>.松散岩类孔隙水</w:t>
      </w:r>
    </w:p>
    <w:p>
      <w:pPr>
        <w:spacing w:line="360" w:lineRule="auto"/>
        <w:ind w:firstLine="480" w:firstLineChars="200"/>
      </w:pPr>
      <w:r>
        <w:rPr>
          <w:rFonts w:hint="eastAsia"/>
        </w:rPr>
        <w:t>补给：松散岩类孔隙水的补给源主要是大气降水，其次是地表水。本区地层均为粘性土层，渗透性较差，入渗系数为0.001~0.180。</w:t>
      </w:r>
    </w:p>
    <w:p>
      <w:pPr>
        <w:spacing w:line="360" w:lineRule="auto"/>
        <w:ind w:firstLine="480" w:firstLineChars="200"/>
      </w:pPr>
      <w:r>
        <w:rPr>
          <w:rFonts w:hint="eastAsia"/>
        </w:rPr>
        <w:t>径流：枯、平季节阶地内孔隙水水位高于洋溪湖水位，流向斜交洋溪湖，以渗流形式补给洋溪湖。</w:t>
      </w:r>
    </w:p>
    <w:p>
      <w:pPr>
        <w:spacing w:line="360" w:lineRule="auto"/>
        <w:ind w:firstLine="480" w:firstLineChars="200"/>
      </w:pPr>
      <w:r>
        <w:rPr>
          <w:rFonts w:hint="eastAsia"/>
        </w:rPr>
        <w:t>排泄：孔隙水在枯、平季节多以渗流形式排泄至洋溪湖中。</w:t>
      </w:r>
    </w:p>
    <w:p>
      <w:pPr>
        <w:spacing w:line="360" w:lineRule="auto"/>
        <w:ind w:firstLine="480" w:firstLineChars="200"/>
      </w:pPr>
      <w:r>
        <w:t>b</w:t>
      </w:r>
      <w:r>
        <w:rPr>
          <w:rFonts w:hint="eastAsia"/>
        </w:rPr>
        <w:t>.基岩裂隙水</w:t>
      </w:r>
    </w:p>
    <w:p>
      <w:pPr>
        <w:spacing w:line="360" w:lineRule="auto"/>
        <w:ind w:firstLine="480" w:firstLineChars="200"/>
      </w:pPr>
      <w:r>
        <w:rPr>
          <w:rFonts w:hint="eastAsia"/>
        </w:rPr>
        <w:t>补给：基岩裂隙水多分布于丘陵地带，最大降雨量可达1909mm以上，丰沛的降水是基岩裂隙水的主要补给源，补给强度取决于降雨量，频率和形式、地貌、岩性、构造及岩石的风化状况诸因素。</w:t>
      </w:r>
    </w:p>
    <w:p>
      <w:pPr>
        <w:spacing w:line="360" w:lineRule="auto"/>
        <w:ind w:firstLine="480" w:firstLineChars="200"/>
      </w:pPr>
      <w:r>
        <w:rPr>
          <w:rFonts w:hint="eastAsia"/>
        </w:rPr>
        <w:t>径流：基岩裂隙水径流条件与地貌和岩性关系密切。从场区简易水文观测得知，高程越高，水位埋深越大，高程越低，水位埋深越小，山脊处水位埋深大于山坡处，陡坡处大于缓坡处，水位埋深与地形起伏大体呈正相关。基岩裂隙水分布的丘陵地带，地形较缓，水力坡度较小，径流速度慢，强度弱。</w:t>
      </w:r>
    </w:p>
    <w:p>
      <w:pPr>
        <w:spacing w:line="360" w:lineRule="auto"/>
        <w:ind w:firstLine="480" w:firstLineChars="200"/>
      </w:pPr>
      <w:r>
        <w:rPr>
          <w:rFonts w:hint="eastAsia"/>
        </w:rPr>
        <w:t>排泄：基岩裂隙水在斜坡或谷底以下降泉的形式排泄于地表。场区基岩均为相对隔水层，渗透性较差，因此通过接触带的补给性较弱。</w:t>
      </w:r>
    </w:p>
    <w:p>
      <w:pPr>
        <w:spacing w:line="360" w:lineRule="auto"/>
        <w:ind w:firstLine="480" w:firstLineChars="200"/>
      </w:pPr>
      <w:r>
        <w:rPr>
          <w:rFonts w:hint="eastAsia"/>
        </w:rPr>
        <w:t>（3）鸭栏－旗杆地下水系统</w:t>
      </w:r>
    </w:p>
    <w:p>
      <w:pPr>
        <w:spacing w:line="360" w:lineRule="auto"/>
        <w:ind w:firstLine="480" w:firstLineChars="200"/>
      </w:pPr>
      <w:r>
        <w:t>a</w:t>
      </w:r>
      <w:r>
        <w:rPr>
          <w:rFonts w:hint="eastAsia"/>
        </w:rPr>
        <w:t>.松散岩类孔隙水</w:t>
      </w:r>
    </w:p>
    <w:p>
      <w:pPr>
        <w:spacing w:line="360" w:lineRule="auto"/>
        <w:ind w:firstLine="480" w:firstLineChars="200"/>
      </w:pPr>
      <w:r>
        <w:rPr>
          <w:rFonts w:hint="eastAsia"/>
        </w:rPr>
        <w:t>补给：松散岩类孔隙水的补给源主要是大气降水，其次是地表水，丰水季节，长江水补给地下水。本区地层均为粘性土层，渗透性较差，入渗系数为0.001~0.180。</w:t>
      </w:r>
    </w:p>
    <w:p>
      <w:pPr>
        <w:spacing w:line="360" w:lineRule="auto"/>
        <w:ind w:firstLine="480" w:firstLineChars="200"/>
      </w:pPr>
      <w:r>
        <w:rPr>
          <w:rFonts w:hint="eastAsia"/>
        </w:rPr>
        <w:t>径流：枯、平季节阶地内孔隙水水位高于长江水位，流向斜交长江，以渗流形式补给长江。</w:t>
      </w:r>
    </w:p>
    <w:p>
      <w:pPr>
        <w:spacing w:line="360" w:lineRule="auto"/>
        <w:ind w:firstLine="480" w:firstLineChars="200"/>
      </w:pPr>
      <w:r>
        <w:rPr>
          <w:rFonts w:hint="eastAsia"/>
        </w:rPr>
        <w:t>排泄：孔隙水在枯、平季节多以渗流形式排泄至长江中。</w:t>
      </w:r>
    </w:p>
    <w:p>
      <w:pPr>
        <w:spacing w:line="360" w:lineRule="auto"/>
        <w:ind w:firstLine="480" w:firstLineChars="200"/>
      </w:pPr>
      <w:r>
        <w:t>b</w:t>
      </w:r>
      <w:r>
        <w:rPr>
          <w:rFonts w:hint="eastAsia"/>
        </w:rPr>
        <w:t>.碳酸盐岩类裂隙水</w:t>
      </w:r>
    </w:p>
    <w:p>
      <w:pPr>
        <w:spacing w:line="360" w:lineRule="auto"/>
        <w:ind w:firstLine="480" w:firstLineChars="200"/>
      </w:pPr>
      <w:r>
        <w:rPr>
          <w:rFonts w:hint="eastAsia"/>
        </w:rPr>
        <w:t>补给：大气降水为碳酸盐岩裂隙水的主要补给源。补给强度主要取决于岩溶发育程度，本区岩溶发育程度一般，区内无地下河及大型岩溶管道</w:t>
      </w:r>
    </w:p>
    <w:p>
      <w:pPr>
        <w:spacing w:line="360" w:lineRule="auto"/>
        <w:ind w:firstLine="480" w:firstLineChars="200"/>
      </w:pPr>
      <w:r>
        <w:rPr>
          <w:rFonts w:hint="eastAsia"/>
        </w:rPr>
        <w:t>径流：碳酸盐岩类裂隙水径流条件与地貌和岩性关系密切。场区地形较缓，水力坡度较小，径流速度慢，强度弱。</w:t>
      </w:r>
    </w:p>
    <w:p>
      <w:pPr>
        <w:spacing w:line="360" w:lineRule="auto"/>
        <w:ind w:firstLine="480" w:firstLineChars="200"/>
      </w:pPr>
      <w:r>
        <w:rPr>
          <w:rFonts w:hint="eastAsia"/>
        </w:rPr>
        <w:t>排泄：碳酸盐岩类埋藏相对较深，上部为弱透水～微透水的粘性土层，渗透性较差，因此通过接触带的补给性较弱。一般情况下地下水穿越第四系松散堆积层，以上升泉形式排泄地表，排泄条件较差，但水动态稳定。</w:t>
      </w:r>
    </w:p>
    <w:p>
      <w:pPr>
        <w:pStyle w:val="4"/>
      </w:pPr>
      <w:bookmarkStart w:id="551" w:name="_Toc146091971"/>
      <w:bookmarkStart w:id="552" w:name="_Toc39489904"/>
      <w:r>
        <w:t>6.6.</w:t>
      </w:r>
      <w:r>
        <w:rPr>
          <w:rFonts w:hint="eastAsia"/>
        </w:rPr>
        <w:t>3</w:t>
      </w:r>
      <w:r>
        <w:t xml:space="preserve"> 地下水环境影响预测</w:t>
      </w:r>
      <w:bookmarkEnd w:id="551"/>
    </w:p>
    <w:p>
      <w:pPr>
        <w:pStyle w:val="5"/>
        <w:ind w:firstLine="482"/>
      </w:pPr>
      <w:r>
        <w:t>6.6.</w:t>
      </w:r>
      <w:r>
        <w:rPr>
          <w:rFonts w:hint="eastAsia"/>
        </w:rPr>
        <w:t>6</w:t>
      </w:r>
      <w:r>
        <w:t>.1 污染源分布、预测因子及源强</w:t>
      </w:r>
    </w:p>
    <w:p>
      <w:pPr>
        <w:spacing w:line="360" w:lineRule="auto"/>
        <w:ind w:firstLine="480" w:firstLineChars="200"/>
      </w:pPr>
      <w:r>
        <w:t>由于规划项目及污染物的不确定性，本次评价</w:t>
      </w:r>
      <w:r>
        <w:rPr>
          <w:rFonts w:hint="eastAsia"/>
        </w:rPr>
        <w:t>引用《岳阳福瑞材料科技有限公司5000吨/年精细化工新材料建设项目环境影响报告书》</w:t>
      </w:r>
      <w:r>
        <w:t>地</w:t>
      </w:r>
      <w:r>
        <w:rPr>
          <w:rFonts w:hint="eastAsia"/>
        </w:rPr>
        <w:t>下水</w:t>
      </w:r>
      <w:r>
        <w:t>评价相关内容。</w:t>
      </w:r>
    </w:p>
    <w:p>
      <w:pPr>
        <w:pStyle w:val="5"/>
        <w:ind w:firstLine="482"/>
      </w:pPr>
      <w:r>
        <w:t>6.6.</w:t>
      </w:r>
      <w:r>
        <w:rPr>
          <w:rFonts w:hint="eastAsia"/>
        </w:rPr>
        <w:t>6</w:t>
      </w:r>
      <w:r>
        <w:t>.2 预测模型</w:t>
      </w:r>
    </w:p>
    <w:p>
      <w:pPr>
        <w:spacing w:line="360" w:lineRule="auto"/>
        <w:ind w:firstLine="480" w:firstLineChars="200"/>
      </w:pPr>
      <w:bookmarkStart w:id="553" w:name="_Toc35931868"/>
      <w:bookmarkStart w:id="554" w:name="_Toc126849630"/>
      <w:bookmarkStart w:id="555" w:name="_Toc456487034"/>
      <w:bookmarkStart w:id="556" w:name="_Toc493023033"/>
      <w:r>
        <w:rPr>
          <w:rFonts w:hint="eastAsia"/>
        </w:rPr>
        <w:t>（1</w:t>
      </w:r>
      <w:r>
        <w:t>）</w:t>
      </w:r>
      <w:r>
        <w:rPr>
          <w:rFonts w:hint="eastAsia"/>
        </w:rPr>
        <w:t>溶质运移</w:t>
      </w:r>
      <w:bookmarkEnd w:id="553"/>
      <w:bookmarkEnd w:id="554"/>
      <w:bookmarkEnd w:id="555"/>
      <w:bookmarkEnd w:id="556"/>
    </w:p>
    <w:p>
      <w:pPr>
        <w:spacing w:line="360" w:lineRule="auto"/>
        <w:ind w:firstLine="480" w:firstLineChars="200"/>
      </w:pPr>
      <w:r>
        <w:rPr>
          <w:rFonts w:hint="eastAsia"/>
        </w:rPr>
        <w:t>由于污染物在地下水中的迁移转化过程十分复杂，存在包括吸附、沉淀、生物吸收、化学与生物降解等作用。本次预测评价本着风险最大原则，在模拟污染物扩散时并不考虑吸附、化学反应等降解作用，仅考虑典型污染物在对流、弥散作用下的扩散过程及其规律。</w:t>
      </w:r>
    </w:p>
    <w:p>
      <w:pPr>
        <w:spacing w:line="360" w:lineRule="auto"/>
        <w:ind w:firstLine="480" w:firstLineChars="200"/>
      </w:pPr>
      <w:r>
        <w:rPr>
          <w:rFonts w:hint="eastAsia"/>
        </w:rPr>
        <w:t>（2</w:t>
      </w:r>
      <w:r>
        <w:t>）</w:t>
      </w:r>
      <w:r>
        <w:rPr>
          <w:rFonts w:hint="eastAsia"/>
        </w:rPr>
        <w:t>数学方程</w:t>
      </w:r>
    </w:p>
    <w:p>
      <w:pPr>
        <w:spacing w:line="360" w:lineRule="auto"/>
        <w:ind w:firstLine="480" w:firstLineChars="200"/>
      </w:pPr>
      <w:r>
        <w:rPr>
          <w:rFonts w:hint="eastAsia"/>
        </w:rPr>
        <w:t>溶质运移的三维水动力弥散方程的数学模型如下：</w:t>
      </w:r>
    </w:p>
    <w:p>
      <w:pPr>
        <w:spacing w:line="360" w:lineRule="auto"/>
        <w:ind w:firstLine="480" w:firstLineChars="200"/>
      </w:pPr>
      <w:r>
        <w:drawing>
          <wp:inline distT="0" distB="0" distL="0" distR="0">
            <wp:extent cx="5133975" cy="4095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133975" cy="409575"/>
                    </a:xfrm>
                    <a:prstGeom prst="rect">
                      <a:avLst/>
                    </a:prstGeom>
                    <a:noFill/>
                    <a:ln>
                      <a:noFill/>
                    </a:ln>
                  </pic:spPr>
                </pic:pic>
              </a:graphicData>
            </a:graphic>
          </wp:inline>
        </w:drawing>
      </w:r>
    </w:p>
    <w:p>
      <w:pPr>
        <w:spacing w:line="360" w:lineRule="auto"/>
        <w:ind w:firstLine="480" w:firstLineChars="200"/>
      </w:pPr>
      <w:r>
        <w:drawing>
          <wp:inline distT="0" distB="0" distL="0" distR="0">
            <wp:extent cx="3562350" cy="2190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562350" cy="219075"/>
                    </a:xfrm>
                    <a:prstGeom prst="rect">
                      <a:avLst/>
                    </a:prstGeom>
                    <a:noFill/>
                    <a:ln>
                      <a:noFill/>
                    </a:ln>
                  </pic:spPr>
                </pic:pic>
              </a:graphicData>
            </a:graphic>
          </wp:inline>
        </w:drawing>
      </w:r>
    </w:p>
    <w:p>
      <w:pPr>
        <w:spacing w:line="360" w:lineRule="auto"/>
        <w:ind w:firstLine="480" w:firstLineChars="200"/>
      </w:pPr>
      <w:r>
        <w:rPr>
          <w:rFonts w:hint="eastAsia"/>
        </w:rPr>
        <w:t>式中，右端前三项为弥散项，后三项为对流项，最后一项为由于化学反应或吸附解析所产生的溶质的增量；Dxx、Dyy、Dzz分别为x、y、z三个主方向的弥散系数；μ</w:t>
      </w:r>
      <w:r>
        <w:rPr>
          <w:vertAlign w:val="subscript"/>
        </w:rPr>
        <w:t>x</w:t>
      </w:r>
      <w:r>
        <w:rPr>
          <w:rFonts w:hint="eastAsia"/>
        </w:rPr>
        <w:t>，μ</w:t>
      </w:r>
      <w:r>
        <w:rPr>
          <w:vertAlign w:val="subscript"/>
        </w:rPr>
        <w:t>y</w:t>
      </w:r>
      <w:r>
        <w:rPr>
          <w:rFonts w:hint="eastAsia"/>
        </w:rPr>
        <w:t>、μ</w:t>
      </w:r>
      <w:r>
        <w:rPr>
          <w:vertAlign w:val="subscript"/>
        </w:rPr>
        <w:t>z</w:t>
      </w:r>
      <w:r>
        <w:rPr>
          <w:rFonts w:hint="eastAsia"/>
        </w:rPr>
        <w:t>为x、y、z方向的实际水流速度；c为溶质浓度，量纲：ML</w:t>
      </w:r>
      <w:r>
        <w:rPr>
          <w:vertAlign w:val="superscript"/>
        </w:rPr>
        <w:t>-3</w:t>
      </w:r>
      <w:r>
        <w:rPr>
          <w:rFonts w:hint="eastAsia"/>
        </w:rPr>
        <w:t>；Ω为溶质渗流的区域，量纲：L</w:t>
      </w:r>
      <w:r>
        <w:rPr>
          <w:vertAlign w:val="superscript"/>
        </w:rPr>
        <w:t>2</w:t>
      </w:r>
      <w:r>
        <w:rPr>
          <w:rFonts w:hint="eastAsia"/>
        </w:rPr>
        <w:t>；c</w:t>
      </w:r>
      <w:r>
        <w:rPr>
          <w:vertAlign w:val="subscript"/>
        </w:rPr>
        <w:t>0</w:t>
      </w:r>
      <w:r>
        <w:rPr>
          <w:rFonts w:hint="eastAsia"/>
        </w:rPr>
        <w:t>为初始浓度，量纲：ML</w:t>
      </w:r>
      <w:r>
        <w:rPr>
          <w:vertAlign w:val="superscript"/>
        </w:rPr>
        <w:t>-3</w:t>
      </w:r>
      <w:r>
        <w:rPr>
          <w:rFonts w:hint="eastAsia"/>
        </w:rPr>
        <w:t>。</w:t>
      </w:r>
    </w:p>
    <w:p>
      <w:pPr>
        <w:spacing w:line="360" w:lineRule="auto"/>
        <w:ind w:firstLine="480" w:firstLineChars="200"/>
      </w:pPr>
      <w:r>
        <w:rPr>
          <w:rFonts w:hint="eastAsia"/>
        </w:rPr>
        <w:t>（3</w:t>
      </w:r>
      <w:r>
        <w:t>）</w:t>
      </w:r>
      <w:r>
        <w:rPr>
          <w:rFonts w:hint="eastAsia"/>
        </w:rPr>
        <w:t>模型参数</w:t>
      </w:r>
    </w:p>
    <w:p>
      <w:pPr>
        <w:spacing w:line="360" w:lineRule="auto"/>
        <w:ind w:firstLine="480" w:firstLineChars="200"/>
      </w:pPr>
      <w:r>
        <w:rPr>
          <w:rFonts w:hint="eastAsia"/>
        </w:rPr>
        <w:t>弥散度是研究污染物在土壤及地下水中迁移转化规律的最重要参数之一，弥散系数D是反映渗流系统弥散特征的一个综合参数，忽略分子扩散时，它是介质弥散度仅和孔隙流速V的函数。在地下水溶质运移方程中，表征含水层介质弥散特征的参数是水动力弥散系数，它可表示为：</w:t>
      </w:r>
    </w:p>
    <w:p>
      <w:pPr>
        <w:spacing w:line="360" w:lineRule="auto"/>
        <w:ind w:firstLine="480" w:firstLineChars="200"/>
      </w:pPr>
      <w:r>
        <w:drawing>
          <wp:inline distT="0" distB="0" distL="0" distR="0">
            <wp:extent cx="1914525" cy="3524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914525" cy="352425"/>
                    </a:xfrm>
                    <a:prstGeom prst="rect">
                      <a:avLst/>
                    </a:prstGeom>
                    <a:noFill/>
                    <a:ln>
                      <a:noFill/>
                    </a:ln>
                  </pic:spPr>
                </pic:pic>
              </a:graphicData>
            </a:graphic>
          </wp:inline>
        </w:drawing>
      </w:r>
    </w:p>
    <w:p>
      <w:pPr>
        <w:spacing w:line="360" w:lineRule="auto"/>
        <w:ind w:firstLine="480" w:firstLineChars="200"/>
      </w:pPr>
      <w:r>
        <w:rPr>
          <w:rFonts w:hint="eastAsia"/>
        </w:rPr>
        <w:t>式中：</w:t>
      </w:r>
      <w:r>
        <w:drawing>
          <wp:inline distT="0" distB="0" distL="0" distR="0">
            <wp:extent cx="771525" cy="2190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71525" cy="219075"/>
                    </a:xfrm>
                    <a:prstGeom prst="rect">
                      <a:avLst/>
                    </a:prstGeom>
                    <a:noFill/>
                    <a:ln>
                      <a:noFill/>
                    </a:ln>
                  </pic:spPr>
                </pic:pic>
              </a:graphicData>
            </a:graphic>
          </wp:inline>
        </w:drawing>
      </w:r>
      <w:r>
        <w:rPr>
          <w:rFonts w:hint="eastAsia"/>
        </w:rPr>
        <w:t>分别为纵向和横向孔隙尺度弥散度，是仅与介质特性有关的参数。</w:t>
      </w:r>
    </w:p>
    <w:p>
      <w:pPr>
        <w:spacing w:line="360" w:lineRule="auto"/>
        <w:ind w:firstLine="480" w:firstLineChars="200"/>
      </w:pPr>
      <w:r>
        <w:rPr>
          <w:rFonts w:hint="eastAsia"/>
        </w:rPr>
        <w:t>大量的室内弥散试验结果表明，纵向弥散度一般为毫米量级，称为孔隙尺度的水动力弥散作用，而实际上野外试验所得出的弥散度远远大于在试验室所测出的值，相差可达4-5个数量级，野外得到的弥散度随研究问题尺度的增大而增大，并随着溶质运移时间而增大，这种空隙介质中弥散度随着溶质运移距离和研究问题尺度增大而增大的现象称为多孔介质水动力弥散的尺度效应。对于造成水动力弥散尺度效应的原因，目前人们趋于一致的看法是：野外条件下介质的不均匀性造成了室内试验结果与野外试验结果之间的巨大差别。</w:t>
      </w:r>
    </w:p>
    <w:p>
      <w:pPr>
        <w:spacing w:line="360" w:lineRule="auto"/>
        <w:ind w:firstLine="480" w:firstLineChars="200"/>
      </w:pPr>
      <w:r>
        <w:rPr>
          <w:rFonts w:hint="eastAsia"/>
        </w:rPr>
        <w:t>水动力弥散尺度效应的存在为模拟和预测地下水中溶质在介质中的运移规律带来了困难。本次溶质运移模型中弥散度的确定主要依据是Geihar等（1992）对世界范围内所收集的59个大区域弥散资料进行的整理分析。按照偏保守原则，最终确定的溶质运移模型参数见下表。</w:t>
      </w:r>
    </w:p>
    <w:p>
      <w:pPr>
        <w:pStyle w:val="6"/>
        <w:ind w:firstLine="482"/>
      </w:pPr>
      <w:bookmarkStart w:id="557" w:name="_Toc510952515"/>
      <w:bookmarkStart w:id="558" w:name="_Toc457222759"/>
      <w:bookmarkStart w:id="559" w:name="_Toc496774683"/>
      <w:r>
        <w:rPr>
          <w:rFonts w:hint="eastAsia"/>
        </w:rPr>
        <w:t>表</w:t>
      </w:r>
      <w:r>
        <w:t xml:space="preserve">6.6-1  </w:t>
      </w:r>
      <w:r>
        <w:rPr>
          <w:rFonts w:hint="eastAsia"/>
        </w:rPr>
        <w:t>溶质运移模型参数表</w:t>
      </w:r>
      <w:bookmarkEnd w:id="557"/>
      <w:bookmarkEnd w:id="558"/>
      <w:bookmarkEnd w:id="559"/>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9"/>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vAlign w:val="center"/>
          </w:tcPr>
          <w:p>
            <w:pPr>
              <w:pStyle w:val="63"/>
            </w:pPr>
            <w:r>
              <w:rPr>
                <w:rFonts w:hint="eastAsia"/>
              </w:rPr>
              <w:t>参数</w:t>
            </w:r>
          </w:p>
        </w:tc>
        <w:tc>
          <w:tcPr>
            <w:tcW w:w="2648" w:type="pct"/>
            <w:vAlign w:val="center"/>
          </w:tcPr>
          <w:p>
            <w:pPr>
              <w:pStyle w:val="63"/>
            </w:pPr>
            <w:r>
              <w:rPr>
                <w:rFonts w:hint="eastAsia"/>
              </w:rPr>
              <w:t>第四系孔隙含水层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vAlign w:val="center"/>
          </w:tcPr>
          <w:p>
            <w:pPr>
              <w:pStyle w:val="63"/>
            </w:pPr>
            <w:r>
              <w:rPr>
                <w:rFonts w:hint="eastAsia"/>
              </w:rPr>
              <w:t>纵向弥散度（m）</w:t>
            </w:r>
          </w:p>
        </w:tc>
        <w:tc>
          <w:tcPr>
            <w:tcW w:w="2648" w:type="pct"/>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vAlign w:val="center"/>
          </w:tcPr>
          <w:p>
            <w:pPr>
              <w:pStyle w:val="63"/>
            </w:pPr>
            <w:r>
              <w:rPr>
                <w:rFonts w:hint="eastAsia"/>
              </w:rPr>
              <w:t>横向弥散度（m）</w:t>
            </w:r>
          </w:p>
        </w:tc>
        <w:tc>
          <w:tcPr>
            <w:tcW w:w="2648" w:type="pct"/>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vAlign w:val="center"/>
          </w:tcPr>
          <w:p>
            <w:pPr>
              <w:pStyle w:val="63"/>
            </w:pPr>
            <w:r>
              <w:rPr>
                <w:rFonts w:hint="eastAsia"/>
              </w:rPr>
              <w:t>有效孔隙度</w:t>
            </w:r>
          </w:p>
        </w:tc>
        <w:tc>
          <w:tcPr>
            <w:tcW w:w="2648" w:type="pct"/>
            <w:vAlign w:val="center"/>
          </w:tcPr>
          <w:p>
            <w:pPr>
              <w:pStyle w:val="63"/>
            </w:pPr>
            <w:r>
              <w:t>0.3</w:t>
            </w:r>
          </w:p>
        </w:tc>
      </w:tr>
    </w:tbl>
    <w:p>
      <w:pPr>
        <w:pStyle w:val="5"/>
        <w:ind w:firstLine="482"/>
      </w:pPr>
      <w:bookmarkStart w:id="560" w:name="_Toc35931869"/>
      <w:bookmarkStart w:id="561" w:name="_Toc126849631"/>
      <w:bookmarkStart w:id="562" w:name="_Toc456487035"/>
      <w:bookmarkStart w:id="563" w:name="_Toc493023034"/>
      <w:r>
        <w:t>6.6.</w:t>
      </w:r>
      <w:r>
        <w:rPr>
          <w:rFonts w:hint="eastAsia"/>
        </w:rPr>
        <w:t>6</w:t>
      </w:r>
      <w:r>
        <w:t xml:space="preserve">.3 </w:t>
      </w:r>
      <w:r>
        <w:rPr>
          <w:rFonts w:hint="eastAsia"/>
        </w:rPr>
        <w:t>预测时段</w:t>
      </w:r>
      <w:bookmarkEnd w:id="560"/>
      <w:bookmarkEnd w:id="561"/>
      <w:bookmarkEnd w:id="562"/>
      <w:bookmarkEnd w:id="563"/>
    </w:p>
    <w:p>
      <w:pPr>
        <w:spacing w:line="360" w:lineRule="auto"/>
        <w:ind w:firstLine="480" w:firstLineChars="200"/>
        <w:rPr>
          <w:rFonts w:ascii="Times New Roman" w:hAnsi="Times New Roman"/>
        </w:rPr>
      </w:pPr>
      <w:r>
        <w:rPr>
          <w:rFonts w:hint="eastAsia" w:ascii="Times New Roman" w:hAnsi="Times New Roman"/>
        </w:rPr>
        <w:t>根据拟建项目特点，施工期污染较小，主要产污时段为运营期，故选取10年为总模拟时间。计算时间步长为自适应模式，保存记录第100天、1000天和每年的模拟预测结果，共计12个时间点的数据，为污染物迁移规律的分析工作提供数据支撑。</w:t>
      </w:r>
    </w:p>
    <w:p>
      <w:pPr>
        <w:pStyle w:val="5"/>
        <w:ind w:firstLine="482"/>
      </w:pPr>
      <w:r>
        <w:t>6.6.</w:t>
      </w:r>
      <w:r>
        <w:rPr>
          <w:rFonts w:hint="eastAsia"/>
        </w:rPr>
        <w:t>6</w:t>
      </w:r>
      <w:bookmarkStart w:id="564" w:name="_Toc35931870"/>
      <w:bookmarkStart w:id="565" w:name="_Toc126849632"/>
      <w:r>
        <w:t>.4</w:t>
      </w:r>
      <w:r>
        <w:rPr>
          <w:rFonts w:hint="eastAsia"/>
        </w:rPr>
        <w:t>预测因子</w:t>
      </w:r>
      <w:bookmarkEnd w:id="564"/>
      <w:bookmarkEnd w:id="565"/>
    </w:p>
    <w:p>
      <w:pPr>
        <w:spacing w:line="360" w:lineRule="auto"/>
        <w:ind w:firstLine="480" w:firstLineChars="200"/>
        <w:rPr>
          <w:rFonts w:ascii="Times New Roman" w:hAnsi="Times New Roman"/>
        </w:rPr>
      </w:pPr>
      <w:r>
        <w:rPr>
          <w:rFonts w:hint="eastAsia" w:ascii="Times New Roman" w:hAnsi="Times New Roman"/>
        </w:rPr>
        <w:t>根据本项目的实际情况，污染地下水的非正常状况下地下水污染主要为废水处理站生产废水发生泄漏，废水通过损坏防渗层通过包气带进入地下水，从而影响地下水水质；项目储存原料的储罐不慎泄漏，恰好储罐区防渗层发生破损，原料通过损坏防渗层通过包气带进入地下水，从而影响地下水水质。</w:t>
      </w:r>
    </w:p>
    <w:p>
      <w:pPr>
        <w:spacing w:line="360" w:lineRule="auto"/>
        <w:ind w:firstLine="480" w:firstLineChars="200"/>
        <w:rPr>
          <w:rFonts w:ascii="Times New Roman" w:hAnsi="Times New Roman"/>
        </w:rPr>
      </w:pPr>
      <w:r>
        <w:rPr>
          <w:rFonts w:hint="eastAsia" w:ascii="Times New Roman" w:hAnsi="Times New Roman"/>
        </w:rPr>
        <w:t>依据地下水环境影响识别，对废水收集中主要污染特征因子最大监测值计算标准指数，其中COD、氨氮、氯化物标准指数最大，故选取COD、氨氮、氯化物作为本次废水收集的预测评价因子；在项目风险事故下，二氯甲烷、甲苯、氰化物泄漏对环境影响大，故选取二氯甲烷、甲苯、氰化物最为风险事故下的预测评价因子，则本项目地下水预测评价因子为COD、氨氮、氯化物、二氯甲烷、甲苯、氰化物。</w:t>
      </w:r>
    </w:p>
    <w:p>
      <w:pPr>
        <w:pStyle w:val="5"/>
        <w:ind w:firstLine="482"/>
      </w:pPr>
      <w:bookmarkStart w:id="566" w:name="_Toc456487037"/>
      <w:bookmarkStart w:id="567" w:name="_Toc126849633"/>
      <w:bookmarkStart w:id="568" w:name="_Toc493023036"/>
      <w:bookmarkStart w:id="569" w:name="_Toc35931871"/>
      <w:r>
        <w:t>6.6.</w:t>
      </w:r>
      <w:r>
        <w:rPr>
          <w:rFonts w:hint="eastAsia"/>
        </w:rPr>
        <w:t>6</w:t>
      </w:r>
      <w:r>
        <w:t>.5</w:t>
      </w:r>
      <w:r>
        <w:rPr>
          <w:rFonts w:hint="eastAsia"/>
        </w:rPr>
        <w:t>情景源强</w:t>
      </w:r>
      <w:bookmarkEnd w:id="566"/>
      <w:bookmarkEnd w:id="567"/>
      <w:bookmarkEnd w:id="568"/>
      <w:bookmarkEnd w:id="569"/>
    </w:p>
    <w:p>
      <w:pPr>
        <w:spacing w:line="360" w:lineRule="auto"/>
        <w:ind w:firstLine="480" w:firstLineChars="200"/>
      </w:pPr>
      <w:r>
        <w:rPr>
          <w:rFonts w:hint="eastAsia"/>
        </w:rPr>
        <w:t>（1</w:t>
      </w:r>
      <w:r>
        <w:t>）正常状况</w:t>
      </w:r>
    </w:p>
    <w:p>
      <w:pPr>
        <w:spacing w:line="360" w:lineRule="auto"/>
        <w:ind w:firstLine="480" w:firstLineChars="200"/>
        <w:rPr>
          <w:rFonts w:ascii="Times New Roman" w:hAnsi="Times New Roman"/>
        </w:rPr>
      </w:pPr>
      <w:r>
        <w:rPr>
          <w:rFonts w:hint="eastAsia" w:ascii="Times New Roman" w:hAnsi="Times New Roman"/>
        </w:rPr>
        <w:t>正常状况下，地下水可能的污染来源为废水收集等渗层出现跑冒滴漏，在采取严格的防渗措施的前提下，污水不会渗漏进入地下，对地下水不会造成污染，故依据地下水导则，正常状况情景下不开展预测工作。</w:t>
      </w:r>
    </w:p>
    <w:p>
      <w:pPr>
        <w:spacing w:line="360" w:lineRule="auto"/>
        <w:ind w:firstLine="480" w:firstLineChars="200"/>
      </w:pPr>
      <w:r>
        <w:rPr>
          <w:rFonts w:hint="eastAsia"/>
        </w:rPr>
        <w:t>（2</w:t>
      </w:r>
      <w:r>
        <w:t>）</w:t>
      </w:r>
      <w:r>
        <w:rPr>
          <w:rFonts w:hint="eastAsia"/>
        </w:rPr>
        <w:t>非正常状况</w:t>
      </w:r>
    </w:p>
    <w:p>
      <w:pPr>
        <w:spacing w:line="360" w:lineRule="auto"/>
        <w:ind w:firstLine="480" w:firstLineChars="200"/>
        <w:rPr>
          <w:rFonts w:ascii="Times New Roman" w:hAnsi="Times New Roman"/>
        </w:rPr>
      </w:pPr>
      <w:r>
        <w:rPr>
          <w:rFonts w:hint="eastAsia" w:ascii="Times New Roman" w:hAnsi="Times New Roman"/>
        </w:rPr>
        <w:t>模拟情景一：根据HJ610-2016《环境影响评价技术导则-地下水》，非正常排放情况下，预测源强可考虑防渗层老化情况，对于本项目地下水污染非正常排放源强，考虑废水收集防渗层的防渗效果变差，污染物发生渗透。</w:t>
      </w:r>
    </w:p>
    <w:p>
      <w:pPr>
        <w:spacing w:line="360" w:lineRule="auto"/>
        <w:ind w:firstLine="480" w:firstLineChars="200"/>
        <w:rPr>
          <w:rFonts w:ascii="Times New Roman" w:hAnsi="Times New Roman"/>
        </w:rPr>
      </w:pPr>
      <w:r>
        <w:rPr>
          <w:rFonts w:hint="eastAsia" w:ascii="Times New Roman" w:hAnsi="Times New Roman"/>
        </w:rPr>
        <w:t>模拟污染物：COD、氨氮、氯化物。</w:t>
      </w:r>
    </w:p>
    <w:p>
      <w:pPr>
        <w:spacing w:line="360" w:lineRule="auto"/>
        <w:ind w:firstLine="480" w:firstLineChars="200"/>
        <w:rPr>
          <w:rFonts w:ascii="Times New Roman" w:hAnsi="Times New Roman"/>
        </w:rPr>
      </w:pPr>
      <w:r>
        <w:rPr>
          <w:rFonts w:hint="eastAsia" w:ascii="Times New Roman" w:hAnsi="Times New Roman"/>
        </w:rPr>
        <w:t>污染源概化：连续恒定排放，面源。</w:t>
      </w:r>
    </w:p>
    <w:p>
      <w:pPr>
        <w:spacing w:line="360" w:lineRule="auto"/>
        <w:ind w:firstLine="480" w:firstLineChars="200"/>
        <w:rPr>
          <w:rFonts w:ascii="Times New Roman" w:hAnsi="Times New Roman"/>
        </w:rPr>
      </w:pPr>
      <w:r>
        <w:rPr>
          <w:rFonts w:hint="eastAsia" w:ascii="Times New Roman" w:hAnsi="Times New Roman"/>
        </w:rPr>
        <w:t>泄漏点：废水收集。</w:t>
      </w:r>
    </w:p>
    <w:p>
      <w:pPr>
        <w:spacing w:line="360" w:lineRule="auto"/>
        <w:ind w:firstLine="480" w:firstLineChars="200"/>
        <w:rPr>
          <w:rFonts w:ascii="Times New Roman" w:hAnsi="Times New Roman"/>
        </w:rPr>
      </w:pPr>
      <w:r>
        <w:rPr>
          <w:rFonts w:hint="eastAsia" w:ascii="Times New Roman" w:hAnsi="Times New Roman"/>
        </w:rPr>
        <w:t>泄漏面积：设定废水收集池10</w:t>
      </w:r>
      <w:r>
        <w:rPr>
          <w:rFonts w:ascii="Times New Roman" w:hAnsi="Times New Roman"/>
        </w:rPr>
        <w:t>m</w:t>
      </w:r>
      <w:r>
        <w:rPr>
          <w:rFonts w:ascii="Times New Roman" w:hAnsi="Times New Roman"/>
          <w:vertAlign w:val="superscript"/>
        </w:rPr>
        <w:t>2</w:t>
      </w:r>
    </w:p>
    <w:p>
      <w:pPr>
        <w:spacing w:line="360" w:lineRule="auto"/>
        <w:ind w:firstLine="480" w:firstLineChars="200"/>
        <w:rPr>
          <w:rFonts w:ascii="Times New Roman" w:hAnsi="Times New Roman"/>
        </w:rPr>
      </w:pPr>
      <w:r>
        <w:rPr>
          <w:rFonts w:hint="eastAsia" w:ascii="Times New Roman" w:hAnsi="Times New Roman"/>
        </w:rPr>
        <w:t>泄漏时间：废水收集池持续性泄漏，共10年。</w:t>
      </w:r>
    </w:p>
    <w:p>
      <w:pPr>
        <w:spacing w:line="360" w:lineRule="auto"/>
        <w:ind w:firstLine="480" w:firstLineChars="200"/>
        <w:rPr>
          <w:rFonts w:ascii="Times New Roman" w:hAnsi="Times New Roman"/>
        </w:rPr>
      </w:pPr>
      <w:r>
        <w:rPr>
          <w:rFonts w:hint="eastAsia" w:ascii="Times New Roman" w:hAnsi="Times New Roman"/>
        </w:rPr>
        <w:t>泄漏浓度：废水收集池，COD初始浓度为20000</w:t>
      </w:r>
      <w:r>
        <w:rPr>
          <w:rFonts w:ascii="Times New Roman" w:hAnsi="Times New Roman"/>
        </w:rPr>
        <w:t>mg/L</w:t>
      </w:r>
      <w:r>
        <w:rPr>
          <w:rFonts w:hint="eastAsia" w:ascii="Times New Roman" w:hAnsi="Times New Roman"/>
        </w:rPr>
        <w:t>，氨氮初始浓度为400</w:t>
      </w:r>
      <w:r>
        <w:rPr>
          <w:rFonts w:ascii="Times New Roman" w:hAnsi="Times New Roman"/>
        </w:rPr>
        <w:t>mg/L</w:t>
      </w:r>
      <w:r>
        <w:rPr>
          <w:rFonts w:hint="eastAsia" w:ascii="Times New Roman" w:hAnsi="Times New Roman"/>
        </w:rPr>
        <w:t>，氯化物初始浓度为</w:t>
      </w:r>
      <w:r>
        <w:rPr>
          <w:rFonts w:ascii="Times New Roman" w:hAnsi="Times New Roman"/>
        </w:rPr>
        <w:t>3000mg/L</w:t>
      </w:r>
      <w:r>
        <w:rPr>
          <w:rFonts w:hint="eastAsia" w:ascii="Times New Roman" w:hAnsi="Times New Roman"/>
        </w:rPr>
        <w:t>。</w:t>
      </w:r>
    </w:p>
    <w:p>
      <w:pPr>
        <w:spacing w:line="360" w:lineRule="auto"/>
        <w:ind w:firstLine="480" w:firstLineChars="200"/>
        <w:rPr>
          <w:rFonts w:ascii="Times New Roman" w:hAnsi="Times New Roman"/>
        </w:rPr>
      </w:pPr>
      <w:r>
        <w:rPr>
          <w:rFonts w:hint="eastAsia" w:ascii="Times New Roman" w:hAnsi="Times New Roman"/>
        </w:rPr>
        <w:t>模拟情景二：</w:t>
      </w:r>
    </w:p>
    <w:p>
      <w:pPr>
        <w:spacing w:line="360" w:lineRule="auto"/>
        <w:ind w:firstLine="480" w:firstLineChars="200"/>
        <w:rPr>
          <w:rFonts w:ascii="Times New Roman" w:hAnsi="Times New Roman"/>
        </w:rPr>
      </w:pPr>
      <w:r>
        <w:rPr>
          <w:rFonts w:hint="eastAsia" w:ascii="Times New Roman" w:hAnsi="Times New Roman"/>
        </w:rPr>
        <w:t>在风险事故情况下，二氯甲烷、甲苯储罐发生泄漏，导致污染物泄漏。</w:t>
      </w:r>
    </w:p>
    <w:p>
      <w:pPr>
        <w:spacing w:line="360" w:lineRule="auto"/>
        <w:ind w:firstLine="480" w:firstLineChars="200"/>
        <w:rPr>
          <w:rFonts w:ascii="Times New Roman" w:hAnsi="Times New Roman"/>
        </w:rPr>
      </w:pPr>
      <w:r>
        <w:rPr>
          <w:rFonts w:hint="eastAsia" w:ascii="Times New Roman" w:hAnsi="Times New Roman"/>
        </w:rPr>
        <w:t>模拟污染物：二氯甲烷，甲苯。</w:t>
      </w:r>
    </w:p>
    <w:p>
      <w:pPr>
        <w:spacing w:line="360" w:lineRule="auto"/>
        <w:ind w:firstLine="480" w:firstLineChars="200"/>
        <w:rPr>
          <w:rFonts w:ascii="Times New Roman" w:hAnsi="Times New Roman"/>
        </w:rPr>
      </w:pPr>
      <w:r>
        <w:rPr>
          <w:rFonts w:hint="eastAsia" w:ascii="Times New Roman" w:hAnsi="Times New Roman"/>
        </w:rPr>
        <w:t>污染源概化：瞬时排放，面源。</w:t>
      </w:r>
    </w:p>
    <w:p>
      <w:pPr>
        <w:spacing w:line="360" w:lineRule="auto"/>
        <w:ind w:firstLine="480" w:firstLineChars="200"/>
        <w:rPr>
          <w:rFonts w:ascii="Times New Roman" w:hAnsi="Times New Roman"/>
        </w:rPr>
      </w:pPr>
      <w:r>
        <w:rPr>
          <w:rFonts w:hint="eastAsia" w:ascii="Times New Roman" w:hAnsi="Times New Roman"/>
        </w:rPr>
        <w:t>泄漏点：储罐区。</w:t>
      </w:r>
    </w:p>
    <w:p>
      <w:pPr>
        <w:spacing w:line="360" w:lineRule="auto"/>
        <w:ind w:firstLine="480" w:firstLineChars="200"/>
        <w:rPr>
          <w:rFonts w:ascii="Times New Roman" w:hAnsi="Times New Roman"/>
        </w:rPr>
      </w:pPr>
      <w:r>
        <w:rPr>
          <w:rFonts w:hint="eastAsia" w:ascii="Times New Roman" w:hAnsi="Times New Roman"/>
        </w:rPr>
        <w:t>泄漏时间：短时泄漏。</w:t>
      </w:r>
    </w:p>
    <w:p>
      <w:pPr>
        <w:spacing w:line="360" w:lineRule="auto"/>
        <w:ind w:firstLine="480" w:firstLineChars="200"/>
        <w:rPr>
          <w:rFonts w:ascii="Times New Roman" w:hAnsi="Times New Roman"/>
        </w:rPr>
      </w:pPr>
      <w:r>
        <w:rPr>
          <w:rFonts w:hint="eastAsia" w:ascii="Times New Roman" w:hAnsi="Times New Roman"/>
        </w:rPr>
        <w:t>泄漏量：</w:t>
      </w:r>
    </w:p>
    <w:p>
      <w:pPr>
        <w:spacing w:line="360" w:lineRule="auto"/>
        <w:ind w:firstLine="480" w:firstLineChars="200"/>
        <w:rPr>
          <w:rFonts w:ascii="Times New Roman" w:hAnsi="Times New Roman"/>
        </w:rPr>
      </w:pPr>
      <w:r>
        <w:rPr>
          <w:rFonts w:hint="eastAsia" w:ascii="Times New Roman" w:hAnsi="Times New Roman"/>
        </w:rPr>
        <w:t>1）二氯甲烷最大储存量为1.5</w:t>
      </w:r>
      <w:r>
        <w:rPr>
          <w:rFonts w:ascii="Times New Roman" w:hAnsi="Times New Roman"/>
        </w:rPr>
        <w:t>t</w:t>
      </w:r>
      <w:r>
        <w:rPr>
          <w:rFonts w:hint="eastAsia" w:ascii="Times New Roman" w:hAnsi="Times New Roman"/>
        </w:rPr>
        <w:t>，设定0.1</w:t>
      </w:r>
      <w:r>
        <w:rPr>
          <w:rFonts w:ascii="Times New Roman" w:hAnsi="Times New Roman"/>
          <w:color w:val="333333"/>
          <w:shd w:val="clear" w:color="auto" w:fill="FFFFFF"/>
        </w:rPr>
        <w:t>‰</w:t>
      </w:r>
      <w:r>
        <w:rPr>
          <w:rFonts w:hint="eastAsia" w:ascii="Times New Roman" w:hAnsi="Times New Roman"/>
        </w:rPr>
        <w:t>进入地下水。计算得到渗入地下水的二氯甲烷的量Q=0.1</w:t>
      </w:r>
      <w:r>
        <w:rPr>
          <w:rFonts w:ascii="Times New Roman" w:hAnsi="Times New Roman"/>
          <w:color w:val="333333"/>
          <w:shd w:val="clear" w:color="auto" w:fill="FFFFFF"/>
        </w:rPr>
        <w:t>‰×</w:t>
      </w:r>
      <w:r>
        <w:rPr>
          <w:rFonts w:hint="eastAsia" w:ascii="Times New Roman" w:hAnsi="Times New Roman"/>
          <w:color w:val="333333"/>
          <w:shd w:val="clear" w:color="auto" w:fill="FFFFFF"/>
        </w:rPr>
        <w:t>1.5</w:t>
      </w:r>
      <w:r>
        <w:rPr>
          <w:rFonts w:ascii="Times New Roman" w:hAnsi="Times New Roman"/>
          <w:color w:val="333333"/>
          <w:shd w:val="clear" w:color="auto" w:fill="FFFFFF"/>
        </w:rPr>
        <w:t>=</w:t>
      </w:r>
      <w:r>
        <w:rPr>
          <w:rFonts w:hint="eastAsia" w:ascii="Times New Roman" w:hAnsi="Times New Roman"/>
          <w:color w:val="333333"/>
          <w:shd w:val="clear" w:color="auto" w:fill="FFFFFF"/>
        </w:rPr>
        <w:t>0.15kg，泄露体积为0.001</w:t>
      </w:r>
      <w:r>
        <w:rPr>
          <w:rFonts w:ascii="Times New Roman" w:hAnsi="Times New Roman"/>
        </w:rPr>
        <w:t>m</w:t>
      </w:r>
      <w:r>
        <w:rPr>
          <w:rFonts w:ascii="Times New Roman" w:hAnsi="Times New Roman"/>
          <w:vertAlign w:val="superscript"/>
        </w:rPr>
        <w:t>3</w:t>
      </w:r>
      <w:r>
        <w:rPr>
          <w:rFonts w:hint="eastAsia" w:ascii="Times New Roman" w:hAnsi="Times New Roman"/>
        </w:rPr>
        <w:t>，泄露浓度约为150000</w:t>
      </w:r>
      <w:r>
        <w:rPr>
          <w:rFonts w:ascii="Times New Roman" w:hAnsi="Times New Roman"/>
        </w:rPr>
        <w:t>mg/L</w:t>
      </w:r>
      <w:r>
        <w:rPr>
          <w:rFonts w:hint="eastAsia" w:ascii="Times New Roman" w:hAnsi="Times New Roman"/>
        </w:rPr>
        <w:t>。</w:t>
      </w:r>
    </w:p>
    <w:p>
      <w:pPr>
        <w:spacing w:line="360" w:lineRule="auto"/>
        <w:ind w:firstLine="480" w:firstLineChars="200"/>
        <w:rPr>
          <w:rFonts w:ascii="Times New Roman" w:hAnsi="Times New Roman"/>
        </w:rPr>
      </w:pPr>
      <w:r>
        <w:rPr>
          <w:rFonts w:hint="eastAsia" w:ascii="Times New Roman" w:hAnsi="Times New Roman"/>
        </w:rPr>
        <w:t>2）甲苯（</w:t>
      </w:r>
      <w:r>
        <w:rPr>
          <w:rFonts w:ascii="Times New Roman" w:hAnsi="Times New Roman"/>
          <w:color w:val="333333"/>
          <w:shd w:val="clear" w:color="auto" w:fill="FFFFFF"/>
        </w:rPr>
        <w:t>0.866</w:t>
      </w:r>
      <w:r>
        <w:rPr>
          <w:rFonts w:ascii="Times New Roman" w:hAnsi="Times New Roman"/>
        </w:rPr>
        <w:t xml:space="preserve"> g/cm</w:t>
      </w:r>
      <w:r>
        <w:rPr>
          <w:rFonts w:ascii="Times New Roman" w:hAnsi="Times New Roman"/>
          <w:vertAlign w:val="superscript"/>
        </w:rPr>
        <w:t>3</w:t>
      </w:r>
      <w:r>
        <w:rPr>
          <w:rFonts w:hint="eastAsia" w:ascii="Times New Roman" w:hAnsi="Times New Roman"/>
        </w:rPr>
        <w:t>）储罐最大存储量为50m</w:t>
      </w:r>
      <w:r>
        <w:rPr>
          <w:rFonts w:hint="eastAsia" w:ascii="Times New Roman" w:hAnsi="Times New Roman"/>
          <w:vertAlign w:val="superscript"/>
        </w:rPr>
        <w:t>3</w:t>
      </w:r>
      <w:r>
        <w:rPr>
          <w:rFonts w:hint="eastAsia" w:ascii="Times New Roman" w:hAnsi="Times New Roman"/>
        </w:rPr>
        <w:t>，最大储存量为43.3</w:t>
      </w:r>
      <w:r>
        <w:rPr>
          <w:rFonts w:ascii="Times New Roman" w:hAnsi="Times New Roman"/>
        </w:rPr>
        <w:t>t</w:t>
      </w:r>
      <w:r>
        <w:rPr>
          <w:rFonts w:hint="eastAsia" w:ascii="Times New Roman" w:hAnsi="Times New Roman"/>
        </w:rPr>
        <w:t>，设定0.1</w:t>
      </w:r>
      <w:r>
        <w:rPr>
          <w:rFonts w:ascii="Times New Roman" w:hAnsi="Times New Roman"/>
          <w:color w:val="333333"/>
          <w:shd w:val="clear" w:color="auto" w:fill="FFFFFF"/>
        </w:rPr>
        <w:t>‰</w:t>
      </w:r>
      <w:r>
        <w:rPr>
          <w:rFonts w:hint="eastAsia" w:ascii="Times New Roman" w:hAnsi="Times New Roman"/>
        </w:rPr>
        <w:t>进入地下水。计算得到渗入地下水的甲苯的量Q=0.1</w:t>
      </w:r>
      <w:r>
        <w:rPr>
          <w:rFonts w:ascii="Times New Roman" w:hAnsi="Times New Roman"/>
          <w:color w:val="333333"/>
          <w:shd w:val="clear" w:color="auto" w:fill="FFFFFF"/>
        </w:rPr>
        <w:t>‰×</w:t>
      </w:r>
      <w:r>
        <w:rPr>
          <w:rFonts w:hint="eastAsia" w:ascii="Times New Roman" w:hAnsi="Times New Roman"/>
          <w:color w:val="333333"/>
          <w:shd w:val="clear" w:color="auto" w:fill="FFFFFF"/>
        </w:rPr>
        <w:t>43.3</w:t>
      </w:r>
      <w:r>
        <w:rPr>
          <w:rFonts w:ascii="Times New Roman" w:hAnsi="Times New Roman"/>
          <w:color w:val="333333"/>
          <w:shd w:val="clear" w:color="auto" w:fill="FFFFFF"/>
        </w:rPr>
        <w:t>=</w:t>
      </w:r>
      <w:r>
        <w:rPr>
          <w:rFonts w:hint="eastAsia" w:ascii="Times New Roman" w:hAnsi="Times New Roman"/>
          <w:color w:val="333333"/>
          <w:shd w:val="clear" w:color="auto" w:fill="FFFFFF"/>
        </w:rPr>
        <w:t>4.33kg，泄露体积为</w:t>
      </w:r>
      <w:r>
        <w:rPr>
          <w:rFonts w:hint="eastAsia" w:ascii="Times New Roman" w:hAnsi="Times New Roman"/>
        </w:rPr>
        <w:t>0.005</w:t>
      </w:r>
      <w:r>
        <w:rPr>
          <w:rFonts w:ascii="Times New Roman" w:hAnsi="Times New Roman"/>
        </w:rPr>
        <w:t>m</w:t>
      </w:r>
      <w:r>
        <w:rPr>
          <w:rFonts w:ascii="Times New Roman" w:hAnsi="Times New Roman"/>
          <w:vertAlign w:val="superscript"/>
        </w:rPr>
        <w:t>3</w:t>
      </w:r>
      <w:r>
        <w:rPr>
          <w:rFonts w:hint="eastAsia" w:ascii="Times New Roman" w:hAnsi="Times New Roman"/>
        </w:rPr>
        <w:t>，泄露浓度约为866000</w:t>
      </w:r>
      <w:r>
        <w:rPr>
          <w:rFonts w:ascii="Times New Roman" w:hAnsi="Times New Roman"/>
        </w:rPr>
        <w:t>mg/L</w:t>
      </w:r>
      <w:r>
        <w:rPr>
          <w:rFonts w:hint="eastAsia" w:ascii="Times New Roman" w:hAnsi="Times New Roman"/>
        </w:rPr>
        <w:t>。</w:t>
      </w:r>
    </w:p>
    <w:p>
      <w:pPr>
        <w:spacing w:line="360" w:lineRule="auto"/>
        <w:ind w:firstLine="480" w:firstLineChars="200"/>
        <w:rPr>
          <w:rFonts w:ascii="Times New Roman" w:hAnsi="Times New Roman"/>
        </w:rPr>
      </w:pPr>
      <w:r>
        <w:rPr>
          <w:rFonts w:hint="eastAsia" w:ascii="Times New Roman" w:hAnsi="Times New Roman"/>
        </w:rPr>
        <w:t>模拟情景三：</w:t>
      </w:r>
    </w:p>
    <w:p>
      <w:pPr>
        <w:spacing w:line="360" w:lineRule="auto"/>
        <w:ind w:firstLine="480" w:firstLineChars="200"/>
        <w:rPr>
          <w:rFonts w:ascii="Times New Roman" w:hAnsi="Times New Roman"/>
        </w:rPr>
      </w:pPr>
      <w:r>
        <w:rPr>
          <w:rFonts w:hint="eastAsia" w:ascii="Times New Roman" w:hAnsi="Times New Roman"/>
        </w:rPr>
        <w:t>在风险事故情况下，反应过程中，反应釜生成的氰化物发生泄漏。</w:t>
      </w:r>
    </w:p>
    <w:p>
      <w:pPr>
        <w:spacing w:line="360" w:lineRule="auto"/>
        <w:ind w:firstLine="480" w:firstLineChars="200"/>
        <w:rPr>
          <w:rFonts w:ascii="Times New Roman" w:hAnsi="Times New Roman"/>
        </w:rPr>
      </w:pPr>
      <w:r>
        <w:rPr>
          <w:rFonts w:hint="eastAsia" w:ascii="Times New Roman" w:hAnsi="Times New Roman"/>
        </w:rPr>
        <w:t>模拟污染物：氰化物。</w:t>
      </w:r>
    </w:p>
    <w:p>
      <w:pPr>
        <w:spacing w:line="360" w:lineRule="auto"/>
        <w:ind w:firstLine="480" w:firstLineChars="200"/>
        <w:rPr>
          <w:rFonts w:ascii="Times New Roman" w:hAnsi="Times New Roman"/>
        </w:rPr>
      </w:pPr>
      <w:r>
        <w:rPr>
          <w:rFonts w:hint="eastAsia" w:ascii="Times New Roman" w:hAnsi="Times New Roman"/>
        </w:rPr>
        <w:t>污染源概化：瞬时排放，面源。</w:t>
      </w:r>
    </w:p>
    <w:p>
      <w:pPr>
        <w:spacing w:line="360" w:lineRule="auto"/>
        <w:ind w:firstLine="480" w:firstLineChars="200"/>
        <w:rPr>
          <w:rFonts w:ascii="Times New Roman" w:hAnsi="Times New Roman"/>
        </w:rPr>
      </w:pPr>
      <w:r>
        <w:rPr>
          <w:rFonts w:hint="eastAsia" w:ascii="Times New Roman" w:hAnsi="Times New Roman"/>
        </w:rPr>
        <w:t>泄漏点：生产装置区。</w:t>
      </w:r>
    </w:p>
    <w:p>
      <w:pPr>
        <w:spacing w:line="360" w:lineRule="auto"/>
        <w:ind w:firstLine="480" w:firstLineChars="200"/>
        <w:rPr>
          <w:rFonts w:ascii="Times New Roman" w:hAnsi="Times New Roman"/>
        </w:rPr>
      </w:pPr>
      <w:r>
        <w:rPr>
          <w:rFonts w:hint="eastAsia" w:ascii="Times New Roman" w:hAnsi="Times New Roman"/>
        </w:rPr>
        <w:t>泄漏时间：短时泄漏。</w:t>
      </w:r>
    </w:p>
    <w:p>
      <w:pPr>
        <w:spacing w:line="360" w:lineRule="auto"/>
        <w:ind w:firstLine="480" w:firstLineChars="200"/>
        <w:rPr>
          <w:rFonts w:ascii="Times New Roman" w:hAnsi="Times New Roman"/>
        </w:rPr>
      </w:pPr>
      <w:r>
        <w:rPr>
          <w:rFonts w:hint="eastAsia" w:ascii="Times New Roman" w:hAnsi="Times New Roman"/>
        </w:rPr>
        <w:t>泄漏量：氰化物溶液单次泄漏量是110.45kg，浓度3320mg/L。</w:t>
      </w:r>
    </w:p>
    <w:p>
      <w:pPr>
        <w:pStyle w:val="5"/>
        <w:ind w:firstLine="482"/>
      </w:pPr>
      <w:r>
        <w:t>6.6.</w:t>
      </w:r>
      <w:r>
        <w:rPr>
          <w:rFonts w:hint="eastAsia"/>
        </w:rPr>
        <w:t>6</w:t>
      </w:r>
      <w:r>
        <w:t>.6</w:t>
      </w:r>
      <w:bookmarkStart w:id="570" w:name="_Toc493023037"/>
      <w:bookmarkStart w:id="571" w:name="_Toc126849634"/>
      <w:bookmarkStart w:id="572" w:name="_Toc456487038"/>
      <w:bookmarkStart w:id="573" w:name="_Toc35931872"/>
      <w:r>
        <w:rPr>
          <w:rFonts w:hint="eastAsia"/>
        </w:rPr>
        <w:t>预测重点</w:t>
      </w:r>
      <w:bookmarkEnd w:id="570"/>
      <w:bookmarkEnd w:id="571"/>
      <w:bookmarkEnd w:id="572"/>
      <w:bookmarkEnd w:id="573"/>
    </w:p>
    <w:p>
      <w:pPr>
        <w:spacing w:line="360" w:lineRule="auto"/>
        <w:ind w:firstLine="480" w:firstLineChars="200"/>
        <w:rPr>
          <w:rFonts w:ascii="Times New Roman" w:hAnsi="Times New Roman"/>
        </w:rPr>
      </w:pPr>
      <w:r>
        <w:rPr>
          <w:rFonts w:hint="eastAsia" w:ascii="Times New Roman" w:hAnsi="Times New Roman"/>
        </w:rPr>
        <w:t>将情景与源强输入模型，即可开展预测工作，预测重点主要为不同时段下污染物的影响范围、程度，最大迁移距离。</w:t>
      </w:r>
    </w:p>
    <w:p>
      <w:pPr>
        <w:pStyle w:val="4"/>
      </w:pPr>
      <w:bookmarkStart w:id="574" w:name="_Toc456487039"/>
      <w:bookmarkStart w:id="575" w:name="_Toc35931873"/>
      <w:bookmarkStart w:id="576" w:name="_Toc510952551"/>
      <w:bookmarkStart w:id="577" w:name="_Toc493023038"/>
      <w:bookmarkStart w:id="578" w:name="_Toc126849635"/>
      <w:bookmarkStart w:id="579" w:name="_Toc146091972"/>
      <w:bookmarkStart w:id="580" w:name="_Toc454662314"/>
      <w:bookmarkStart w:id="581" w:name="_Toc445714520"/>
      <w:bookmarkStart w:id="582" w:name="_Toc455412560"/>
      <w:bookmarkStart w:id="583" w:name="_Toc449025096"/>
      <w:bookmarkStart w:id="584" w:name="_Toc455528976"/>
      <w:r>
        <w:rPr>
          <w:rFonts w:hint="eastAsia"/>
        </w:rPr>
        <w:t>6.6.4地下水环境影响评价工作</w:t>
      </w:r>
      <w:bookmarkEnd w:id="574"/>
      <w:bookmarkEnd w:id="575"/>
      <w:bookmarkEnd w:id="576"/>
      <w:bookmarkEnd w:id="577"/>
      <w:bookmarkEnd w:id="578"/>
      <w:bookmarkEnd w:id="579"/>
    </w:p>
    <w:p>
      <w:pPr>
        <w:pStyle w:val="5"/>
        <w:ind w:firstLine="482"/>
      </w:pPr>
      <w:bookmarkStart w:id="585" w:name="_Toc35931874"/>
      <w:bookmarkStart w:id="586" w:name="_Toc456487040"/>
      <w:bookmarkStart w:id="587" w:name="_Toc493023039"/>
      <w:bookmarkStart w:id="588" w:name="_Toc126849636"/>
      <w:r>
        <w:rPr>
          <w:rFonts w:hint="eastAsia"/>
        </w:rPr>
        <w:t>6.6.4.</w:t>
      </w:r>
      <w:r>
        <w:t>1</w:t>
      </w:r>
      <w:r>
        <w:rPr>
          <w:rFonts w:hint="eastAsia"/>
        </w:rPr>
        <w:t>评价原则与评价方法</w:t>
      </w:r>
      <w:bookmarkEnd w:id="585"/>
      <w:bookmarkEnd w:id="586"/>
      <w:bookmarkEnd w:id="587"/>
      <w:bookmarkEnd w:id="588"/>
    </w:p>
    <w:p>
      <w:pPr>
        <w:spacing w:line="360" w:lineRule="auto"/>
        <w:ind w:firstLine="480" w:firstLineChars="200"/>
        <w:rPr>
          <w:rFonts w:ascii="Times New Roman" w:hAnsi="Times New Roman"/>
        </w:rPr>
      </w:pPr>
      <w:r>
        <w:rPr>
          <w:rFonts w:hint="eastAsia" w:ascii="Times New Roman" w:hAnsi="Times New Roman"/>
        </w:rPr>
        <w:t>通过上述预测工作，得到不同情景下的预测结果后，进而开展地下水环境影响评价工作。该工作以现状调查和预测结果为依据，将地下水环境质量现状值叠加进入预测结果后，利用GB/T 14848中的水质标准值对结果进行评价，将叠加后的污染晕按标准限值分为超标和未超标部分，并将超标部分予以显示。</w:t>
      </w:r>
    </w:p>
    <w:p>
      <w:pPr>
        <w:widowControl/>
        <w:ind w:firstLine="480"/>
        <w:jc w:val="center"/>
        <w:rPr>
          <w:rFonts w:ascii="Times New Roman" w:hAnsi="Times New Roman"/>
          <w:kern w:val="0"/>
        </w:rPr>
      </w:pPr>
      <w:r>
        <w:rPr>
          <w:rFonts w:ascii="Times New Roman" w:hAnsi="Times New Roman"/>
        </w:rPr>
        <w:drawing>
          <wp:inline distT="0" distB="0" distL="0" distR="0">
            <wp:extent cx="4663440" cy="2194560"/>
            <wp:effectExtent l="0" t="0" r="3810" b="0"/>
            <wp:docPr id="50" name="图片 50" descr="说明: C:\Users\lvjie623609\Documents\Tencent Files\273928990\Image\C2C\NIAIU%GONUL2]RAOHT38L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说明: C:\Users\lvjie623609\Documents\Tencent Files\273928990\Image\C2C\NIAIU%GONUL2]RAOHT38LZN.png"/>
                    <pic:cNvPicPr>
                      <a:picLocks noChangeAspect="1" noChangeArrowheads="1"/>
                    </pic:cNvPicPr>
                  </pic:nvPicPr>
                  <pic:blipFill>
                    <a:blip r:embed="rId56">
                      <a:extLst>
                        <a:ext uri="{28A0092B-C50C-407E-A947-70E740481C1C}">
                          <a14:useLocalDpi xmlns:a14="http://schemas.microsoft.com/office/drawing/2010/main" val="0"/>
                        </a:ext>
                      </a:extLst>
                    </a:blip>
                    <a:srcRect l="7114" r="4498" b="13638"/>
                    <a:stretch>
                      <a:fillRect/>
                    </a:stretch>
                  </pic:blipFill>
                  <pic:spPr>
                    <a:xfrm>
                      <a:off x="0" y="0"/>
                      <a:ext cx="4663440" cy="2194560"/>
                    </a:xfrm>
                    <a:prstGeom prst="rect">
                      <a:avLst/>
                    </a:prstGeom>
                    <a:noFill/>
                    <a:ln>
                      <a:noFill/>
                    </a:ln>
                  </pic:spPr>
                </pic:pic>
              </a:graphicData>
            </a:graphic>
          </wp:inline>
        </w:drawing>
      </w:r>
    </w:p>
    <w:p>
      <w:pPr>
        <w:pStyle w:val="6"/>
      </w:pPr>
      <w:bookmarkStart w:id="589" w:name="_Toc443419039"/>
      <w:bookmarkStart w:id="590" w:name="_Toc455412692"/>
      <w:bookmarkStart w:id="591" w:name="_Toc510952485"/>
      <w:bookmarkStart w:id="592" w:name="_Toc454662371"/>
      <w:bookmarkStart w:id="593" w:name="_Toc449021073"/>
      <w:bookmarkStart w:id="594" w:name="_Toc445714574"/>
      <w:bookmarkStart w:id="595" w:name="_Toc432279284"/>
      <w:bookmarkStart w:id="596" w:name="_Toc455558577"/>
      <w:bookmarkStart w:id="597" w:name="_Toc496774662"/>
      <w:bookmarkStart w:id="598" w:name="_Toc457222724"/>
      <w:r>
        <w:rPr>
          <w:rFonts w:hint="eastAsia"/>
        </w:rPr>
        <w:t>图6.6-2  标准限值下污染晕范围与污染物扩散范围关系示意图</w:t>
      </w:r>
      <w:bookmarkEnd w:id="589"/>
      <w:bookmarkEnd w:id="590"/>
      <w:bookmarkEnd w:id="591"/>
      <w:bookmarkEnd w:id="592"/>
      <w:bookmarkEnd w:id="593"/>
      <w:bookmarkEnd w:id="594"/>
      <w:bookmarkEnd w:id="595"/>
      <w:bookmarkEnd w:id="596"/>
      <w:bookmarkEnd w:id="597"/>
      <w:bookmarkEnd w:id="598"/>
    </w:p>
    <w:bookmarkEnd w:id="580"/>
    <w:bookmarkEnd w:id="581"/>
    <w:bookmarkEnd w:id="582"/>
    <w:bookmarkEnd w:id="583"/>
    <w:bookmarkEnd w:id="584"/>
    <w:p>
      <w:pPr>
        <w:pStyle w:val="5"/>
        <w:ind w:firstLine="482"/>
      </w:pPr>
      <w:bookmarkStart w:id="599" w:name="_Toc110504143"/>
      <w:bookmarkStart w:id="600" w:name="_Toc126849637"/>
      <w:bookmarkStart w:id="601" w:name="_Toc35931875"/>
      <w:r>
        <w:rPr>
          <w:rFonts w:hint="eastAsia"/>
        </w:rPr>
        <w:t>6.6.4.</w:t>
      </w:r>
      <w:r>
        <w:t>2</w:t>
      </w:r>
      <w:r>
        <w:rPr>
          <w:rFonts w:hint="eastAsia"/>
        </w:rPr>
        <w:t>非正常状况下废水收集池COD泄漏预测结果的评价结果</w:t>
      </w:r>
      <w:bookmarkEnd w:id="599"/>
      <w:bookmarkEnd w:id="600"/>
    </w:p>
    <w:p>
      <w:pPr>
        <w:spacing w:line="360" w:lineRule="auto"/>
        <w:ind w:firstLine="480" w:firstLineChars="200"/>
        <w:rPr>
          <w:rFonts w:ascii="Times New Roman" w:hAnsi="Times New Roman"/>
        </w:rPr>
      </w:pPr>
      <w:r>
        <w:rPr>
          <w:rFonts w:hint="eastAsia" w:ascii="Times New Roman" w:hAnsi="Times New Roman"/>
        </w:rPr>
        <w:t>假设在废水收集池出现渗漏，利用FEFLOW运行溶质运移模型，将水文地质参数、溶质运移参数等代入模型中，其中COD浓度设为20000mg/L，持续泄漏10年，预测模拟结果的制图工作利用FEFLOW软件完成，数据后处理工作利用ArcGIS软件完成，其中污染晕浓度边界《地下水质量标准》（GB/T 14848-2017）</w:t>
      </w:r>
      <w:r>
        <w:rPr>
          <w:rFonts w:hint="eastAsia" w:ascii="宋体" w:hAnsi="宋体" w:cs="宋体"/>
        </w:rPr>
        <w:t>Ⅲ</w:t>
      </w:r>
      <w:r>
        <w:rPr>
          <w:rFonts w:hint="eastAsia" w:ascii="Times New Roman" w:hAnsi="Times New Roman"/>
        </w:rPr>
        <w:t>类标准值浓度3</w:t>
      </w:r>
      <w:r>
        <w:rPr>
          <w:rFonts w:ascii="Times New Roman" w:hAnsi="Times New Roman"/>
        </w:rPr>
        <w:t>mg/L</w:t>
      </w:r>
      <w:r>
        <w:rPr>
          <w:rFonts w:hint="eastAsia" w:ascii="Times New Roman" w:hAnsi="Times New Roman"/>
        </w:rPr>
        <w:t>为界。污染物下渗进入地下水中，形成超标污染晕，其迁移方向主要受水动力场控制，向东北扩散，污染范围持续扩大，迁移情况见图5.4-2。图5.4-2展示了模型运行100天、1000天、3600天三个时段下地下水中污染物的迁移扩散情况。表5.4-1针对典型时间段，统计了污染晕的运移距离、污染面积。</w:t>
      </w:r>
    </w:p>
    <w:p>
      <w:pPr>
        <w:spacing w:line="360" w:lineRule="auto"/>
        <w:ind w:firstLine="480" w:firstLineChars="200"/>
        <w:rPr>
          <w:rFonts w:ascii="Times New Roman" w:hAnsi="Times New Roman"/>
        </w:rPr>
      </w:pPr>
      <w:r>
        <w:rPr>
          <w:rFonts w:hint="eastAsia" w:ascii="Times New Roman" w:hAnsi="Times New Roman"/>
        </w:rPr>
        <w:t>在模型运行100天时，最远超标距离为47m，污染面积为1689m</w:t>
      </w:r>
      <w:r>
        <w:rPr>
          <w:rFonts w:hint="eastAsia" w:ascii="Times New Roman" w:hAnsi="Times New Roman"/>
          <w:vertAlign w:val="superscript"/>
        </w:rPr>
        <w:t>2</w:t>
      </w:r>
      <w:r>
        <w:rPr>
          <w:rFonts w:hint="eastAsia" w:ascii="Times New Roman" w:hAnsi="Times New Roman"/>
        </w:rPr>
        <w:t>，超出厂界，尚未达到下游居民饮用水井；在模型运行1000天时，最远超标距离为141m，污染面积为6787m</w:t>
      </w:r>
      <w:r>
        <w:rPr>
          <w:rFonts w:hint="eastAsia" w:ascii="Times New Roman" w:hAnsi="Times New Roman"/>
          <w:vertAlign w:val="superscript"/>
        </w:rPr>
        <w:t>2</w:t>
      </w:r>
      <w:r>
        <w:rPr>
          <w:rFonts w:hint="eastAsia" w:ascii="Times New Roman" w:hAnsi="Times New Roman"/>
        </w:rPr>
        <w:t>，超出厂界，尚未达到下游居民饮用水井；在模型运行3600天时，最远超标距离为225m，污染面积为11417m</w:t>
      </w:r>
      <w:r>
        <w:rPr>
          <w:rFonts w:hint="eastAsia" w:ascii="Times New Roman" w:hAnsi="Times New Roman"/>
          <w:vertAlign w:val="superscript"/>
        </w:rPr>
        <w:t>2</w:t>
      </w:r>
      <w:r>
        <w:rPr>
          <w:rFonts w:hint="eastAsia" w:ascii="Times New Roman" w:hAnsi="Times New Roman"/>
        </w:rPr>
        <w:t>，超出厂界范围，尚未达到下游居民饮用水井。</w:t>
      </w:r>
    </w:p>
    <w:p>
      <w:pPr>
        <w:pStyle w:val="6"/>
      </w:pPr>
      <w:r>
        <w:rPr>
          <w:rFonts w:hint="eastAsia"/>
        </w:rPr>
        <w:t>表6.6-2   COD污染晕情景预测结果</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820"/>
        <w:gridCol w:w="2582"/>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Align w:val="center"/>
          </w:tcPr>
          <w:p>
            <w:pPr>
              <w:pStyle w:val="63"/>
            </w:pPr>
            <w:r>
              <w:rPr>
                <w:rFonts w:hint="eastAsia"/>
              </w:rPr>
              <w:t>污染物种类</w:t>
            </w:r>
          </w:p>
        </w:tc>
        <w:tc>
          <w:tcPr>
            <w:tcW w:w="1068" w:type="pct"/>
            <w:vAlign w:val="center"/>
          </w:tcPr>
          <w:p>
            <w:pPr>
              <w:pStyle w:val="63"/>
            </w:pPr>
            <w:r>
              <w:rPr>
                <w:rFonts w:hint="eastAsia"/>
              </w:rPr>
              <w:t>运移时间（天）</w:t>
            </w:r>
          </w:p>
        </w:tc>
        <w:tc>
          <w:tcPr>
            <w:tcW w:w="1515" w:type="pct"/>
            <w:vAlign w:val="center"/>
          </w:tcPr>
          <w:p>
            <w:pPr>
              <w:pStyle w:val="63"/>
            </w:pPr>
            <w:r>
              <w:rPr>
                <w:rFonts w:hint="eastAsia"/>
              </w:rPr>
              <w:t>最远污染距离（m）</w:t>
            </w:r>
          </w:p>
        </w:tc>
        <w:tc>
          <w:tcPr>
            <w:tcW w:w="1514" w:type="pct"/>
            <w:vAlign w:val="center"/>
          </w:tcPr>
          <w:p>
            <w:pPr>
              <w:pStyle w:val="63"/>
            </w:pPr>
            <w:r>
              <w:rPr>
                <w:rFonts w:hint="eastAsia"/>
              </w:rPr>
              <w:t>污染面积（m</w:t>
            </w:r>
            <w: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Merge w:val="restart"/>
            <w:vAlign w:val="center"/>
          </w:tcPr>
          <w:p>
            <w:pPr>
              <w:pStyle w:val="63"/>
            </w:pPr>
            <w:r>
              <w:rPr>
                <w:rFonts w:hint="eastAsia"/>
              </w:rPr>
              <w:t>COD</w:t>
            </w:r>
          </w:p>
        </w:tc>
        <w:tc>
          <w:tcPr>
            <w:tcW w:w="1068" w:type="pct"/>
            <w:vAlign w:val="center"/>
          </w:tcPr>
          <w:p>
            <w:pPr>
              <w:pStyle w:val="63"/>
            </w:pPr>
            <w:r>
              <w:t>100</w:t>
            </w:r>
          </w:p>
        </w:tc>
        <w:tc>
          <w:tcPr>
            <w:tcW w:w="1515" w:type="pct"/>
            <w:vAlign w:val="center"/>
          </w:tcPr>
          <w:p>
            <w:pPr>
              <w:pStyle w:val="63"/>
            </w:pPr>
            <w:r>
              <w:rPr>
                <w:rFonts w:hint="eastAsia"/>
              </w:rPr>
              <w:t>47</w:t>
            </w:r>
          </w:p>
        </w:tc>
        <w:tc>
          <w:tcPr>
            <w:tcW w:w="1514" w:type="pct"/>
            <w:vAlign w:val="center"/>
          </w:tcPr>
          <w:p>
            <w:pPr>
              <w:pStyle w:val="63"/>
            </w:pPr>
            <w:r>
              <w:rPr>
                <w:rFonts w:hint="eastAsia"/>
              </w:rPr>
              <w:t>1689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Merge w:val="continue"/>
            <w:vAlign w:val="center"/>
          </w:tcPr>
          <w:p>
            <w:pPr>
              <w:pStyle w:val="63"/>
            </w:pPr>
          </w:p>
        </w:tc>
        <w:tc>
          <w:tcPr>
            <w:tcW w:w="1068" w:type="pct"/>
            <w:vAlign w:val="center"/>
          </w:tcPr>
          <w:p>
            <w:pPr>
              <w:pStyle w:val="63"/>
            </w:pPr>
            <w:r>
              <w:rPr>
                <w:rFonts w:hint="eastAsia"/>
              </w:rPr>
              <w:t>1000</w:t>
            </w:r>
          </w:p>
        </w:tc>
        <w:tc>
          <w:tcPr>
            <w:tcW w:w="1515" w:type="pct"/>
            <w:vAlign w:val="center"/>
          </w:tcPr>
          <w:p>
            <w:pPr>
              <w:pStyle w:val="63"/>
            </w:pPr>
            <w:r>
              <w:rPr>
                <w:rFonts w:hint="eastAsia"/>
              </w:rPr>
              <w:t>141</w:t>
            </w:r>
          </w:p>
        </w:tc>
        <w:tc>
          <w:tcPr>
            <w:tcW w:w="1514" w:type="pct"/>
            <w:vAlign w:val="center"/>
          </w:tcPr>
          <w:p>
            <w:pPr>
              <w:pStyle w:val="63"/>
            </w:pPr>
            <w:r>
              <w:rPr>
                <w:rFonts w:hint="eastAsia"/>
              </w:rPr>
              <w:t>6787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Merge w:val="continue"/>
            <w:vAlign w:val="center"/>
          </w:tcPr>
          <w:p>
            <w:pPr>
              <w:pStyle w:val="63"/>
            </w:pPr>
          </w:p>
        </w:tc>
        <w:tc>
          <w:tcPr>
            <w:tcW w:w="1068" w:type="pct"/>
            <w:vAlign w:val="center"/>
          </w:tcPr>
          <w:p>
            <w:pPr>
              <w:pStyle w:val="63"/>
            </w:pPr>
            <w:r>
              <w:rPr>
                <w:rFonts w:hint="eastAsia"/>
              </w:rPr>
              <w:t>3600</w:t>
            </w:r>
          </w:p>
        </w:tc>
        <w:tc>
          <w:tcPr>
            <w:tcW w:w="1515" w:type="pct"/>
            <w:vAlign w:val="center"/>
          </w:tcPr>
          <w:p>
            <w:pPr>
              <w:pStyle w:val="63"/>
            </w:pPr>
            <w:r>
              <w:rPr>
                <w:rFonts w:hint="eastAsia"/>
              </w:rPr>
              <w:t>225</w:t>
            </w:r>
          </w:p>
        </w:tc>
        <w:tc>
          <w:tcPr>
            <w:tcW w:w="1514" w:type="pct"/>
            <w:vAlign w:val="center"/>
          </w:tcPr>
          <w:p>
            <w:pPr>
              <w:pStyle w:val="63"/>
            </w:pPr>
            <w:r>
              <w:rPr>
                <w:rFonts w:hint="eastAsia"/>
              </w:rPr>
              <w:t>11417</w:t>
            </w:r>
          </w:p>
        </w:tc>
      </w:tr>
    </w:tbl>
    <w:p>
      <w:pPr>
        <w:pStyle w:val="5"/>
        <w:ind w:firstLine="482"/>
      </w:pPr>
      <w:bookmarkStart w:id="602" w:name="_Toc110504144"/>
      <w:bookmarkStart w:id="603" w:name="_Toc126849638"/>
      <w:r>
        <w:rPr>
          <w:rFonts w:hint="eastAsia"/>
        </w:rPr>
        <w:t>6.6.4.</w:t>
      </w:r>
      <w:r>
        <w:t xml:space="preserve">3 </w:t>
      </w:r>
      <w:r>
        <w:rPr>
          <w:rFonts w:hint="eastAsia"/>
        </w:rPr>
        <w:t>非非正常状况下废水收集池氨氮泄漏预测结果的评价结果</w:t>
      </w:r>
      <w:bookmarkEnd w:id="602"/>
      <w:bookmarkEnd w:id="603"/>
    </w:p>
    <w:p>
      <w:pPr>
        <w:spacing w:line="360" w:lineRule="auto"/>
        <w:ind w:firstLine="480" w:firstLineChars="200"/>
        <w:rPr>
          <w:rFonts w:ascii="Times New Roman" w:hAnsi="Times New Roman"/>
        </w:rPr>
      </w:pPr>
      <w:r>
        <w:rPr>
          <w:rFonts w:hint="eastAsia" w:ascii="Times New Roman" w:hAnsi="Times New Roman"/>
        </w:rPr>
        <w:t>假设在废水收集池出现渗漏，利用FEFLOW运行溶质运移模型，将水文地质参数、溶质运移参数等代入模型中，其中氨氮浓度设为400</w:t>
      </w:r>
      <w:r>
        <w:rPr>
          <w:rFonts w:ascii="Times New Roman" w:hAnsi="Times New Roman"/>
        </w:rPr>
        <w:t>mg/L</w:t>
      </w:r>
      <w:r>
        <w:rPr>
          <w:rFonts w:hint="eastAsia" w:ascii="Times New Roman" w:hAnsi="Times New Roman"/>
        </w:rPr>
        <w:t>，持续泄漏10年，预测模拟结果的制图工作利用FEFLOW软件完成，数据后处理工作利用ArcGIS软件完成，其中污染晕浓度边界《地下水质量标准》（GB/T 14848-2017）</w:t>
      </w:r>
      <w:r>
        <w:rPr>
          <w:rFonts w:hint="eastAsia" w:ascii="宋体" w:hAnsi="宋体" w:cs="宋体"/>
        </w:rPr>
        <w:t>Ⅲ</w:t>
      </w:r>
      <w:r>
        <w:rPr>
          <w:rFonts w:hint="eastAsia" w:ascii="Times New Roman" w:hAnsi="Times New Roman"/>
        </w:rPr>
        <w:t>类标准值浓度0.5</w:t>
      </w:r>
      <w:r>
        <w:rPr>
          <w:rFonts w:ascii="Times New Roman" w:hAnsi="Times New Roman"/>
        </w:rPr>
        <w:t>mg/L</w:t>
      </w:r>
      <w:r>
        <w:rPr>
          <w:rFonts w:hint="eastAsia" w:ascii="Times New Roman" w:hAnsi="Times New Roman"/>
        </w:rPr>
        <w:t>为界。污染物下渗进入地下水中，形成超标污染晕，其迁移方向主要受水动力场控制，向东北扩散，污染范围持续扩大，迁移情况见图5.4-3。图5.4-3展示了模型运行100天、1000天、3600天三个时段下地下水中污染物的迁移扩散情况。表5.4-2针对典型时间段，统计了污染晕的运移距离、污染面积。</w:t>
      </w:r>
    </w:p>
    <w:p>
      <w:pPr>
        <w:spacing w:line="360" w:lineRule="auto"/>
        <w:ind w:firstLine="480" w:firstLineChars="200"/>
        <w:rPr>
          <w:rFonts w:ascii="Times New Roman" w:hAnsi="Times New Roman"/>
        </w:rPr>
      </w:pPr>
      <w:r>
        <w:rPr>
          <w:rFonts w:hint="eastAsia" w:ascii="Times New Roman" w:hAnsi="Times New Roman"/>
        </w:rPr>
        <w:t>在模型运行100天时，最远超标距离为51m，污染面积为1887m</w:t>
      </w:r>
      <w:r>
        <w:rPr>
          <w:rFonts w:hint="eastAsia" w:ascii="Times New Roman" w:hAnsi="Times New Roman"/>
          <w:vertAlign w:val="superscript"/>
        </w:rPr>
        <w:t>2</w:t>
      </w:r>
      <w:r>
        <w:rPr>
          <w:rFonts w:hint="eastAsia" w:ascii="Times New Roman" w:hAnsi="Times New Roman"/>
        </w:rPr>
        <w:t>，超出厂界，尚未达到下游居民饮用水井；在模型运行1000天时，最远超标距离为152m，污染面积为8132m</w:t>
      </w:r>
      <w:r>
        <w:rPr>
          <w:rFonts w:hint="eastAsia" w:ascii="Times New Roman" w:hAnsi="Times New Roman"/>
          <w:vertAlign w:val="superscript"/>
        </w:rPr>
        <w:t>2</w:t>
      </w:r>
      <w:r>
        <w:rPr>
          <w:rFonts w:hint="eastAsia" w:ascii="Times New Roman" w:hAnsi="Times New Roman"/>
        </w:rPr>
        <w:t>，超出厂界，尚未达到下游居民饮用水井；在模型运行3600天时，最远超标距离为247m，污染面积为13827m</w:t>
      </w:r>
      <w:r>
        <w:rPr>
          <w:rFonts w:hint="eastAsia" w:ascii="Times New Roman" w:hAnsi="Times New Roman"/>
          <w:vertAlign w:val="superscript"/>
        </w:rPr>
        <w:t>2</w:t>
      </w:r>
      <w:r>
        <w:rPr>
          <w:rFonts w:hint="eastAsia" w:ascii="Times New Roman" w:hAnsi="Times New Roman"/>
        </w:rPr>
        <w:t>，超出厂界范围，尚未达到下游居民饮用水井。</w:t>
      </w:r>
    </w:p>
    <w:p>
      <w:pPr>
        <w:pStyle w:val="6"/>
      </w:pPr>
      <w:r>
        <w:rPr>
          <w:rFonts w:hint="eastAsia"/>
        </w:rPr>
        <w:t>表6.6-3</w:t>
      </w:r>
      <w:r>
        <w:t xml:space="preserve"> </w:t>
      </w:r>
      <w:r>
        <w:rPr>
          <w:rFonts w:hint="eastAsia"/>
        </w:rPr>
        <w:t xml:space="preserve"> 氨氮污染晕情景预测结果</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820"/>
        <w:gridCol w:w="2582"/>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Align w:val="center"/>
          </w:tcPr>
          <w:p>
            <w:pPr>
              <w:pStyle w:val="63"/>
            </w:pPr>
            <w:r>
              <w:rPr>
                <w:rFonts w:hint="eastAsia"/>
              </w:rPr>
              <w:t>污染物种类</w:t>
            </w:r>
          </w:p>
        </w:tc>
        <w:tc>
          <w:tcPr>
            <w:tcW w:w="1068" w:type="pct"/>
            <w:vAlign w:val="center"/>
          </w:tcPr>
          <w:p>
            <w:pPr>
              <w:pStyle w:val="63"/>
            </w:pPr>
            <w:r>
              <w:rPr>
                <w:rFonts w:hint="eastAsia"/>
              </w:rPr>
              <w:t>运移时间（天）</w:t>
            </w:r>
          </w:p>
        </w:tc>
        <w:tc>
          <w:tcPr>
            <w:tcW w:w="1515" w:type="pct"/>
            <w:vAlign w:val="center"/>
          </w:tcPr>
          <w:p>
            <w:pPr>
              <w:pStyle w:val="63"/>
            </w:pPr>
            <w:r>
              <w:rPr>
                <w:rFonts w:hint="eastAsia"/>
              </w:rPr>
              <w:t>最远污染距离（m）</w:t>
            </w:r>
          </w:p>
        </w:tc>
        <w:tc>
          <w:tcPr>
            <w:tcW w:w="1514" w:type="pct"/>
            <w:vAlign w:val="center"/>
          </w:tcPr>
          <w:p>
            <w:pPr>
              <w:pStyle w:val="63"/>
            </w:pPr>
            <w:r>
              <w:rPr>
                <w:rFonts w:hint="eastAsia"/>
              </w:rPr>
              <w:t>污染面积（m</w:t>
            </w:r>
            <w: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Merge w:val="restart"/>
            <w:vAlign w:val="center"/>
          </w:tcPr>
          <w:p>
            <w:pPr>
              <w:pStyle w:val="63"/>
            </w:pPr>
            <w:r>
              <w:rPr>
                <w:rFonts w:hint="eastAsia"/>
              </w:rPr>
              <w:t>氨氮</w:t>
            </w:r>
          </w:p>
        </w:tc>
        <w:tc>
          <w:tcPr>
            <w:tcW w:w="1068" w:type="pct"/>
            <w:vAlign w:val="center"/>
          </w:tcPr>
          <w:p>
            <w:pPr>
              <w:pStyle w:val="63"/>
            </w:pPr>
            <w:r>
              <w:t>100</w:t>
            </w:r>
          </w:p>
        </w:tc>
        <w:tc>
          <w:tcPr>
            <w:tcW w:w="1515" w:type="pct"/>
            <w:vAlign w:val="center"/>
          </w:tcPr>
          <w:p>
            <w:pPr>
              <w:pStyle w:val="63"/>
            </w:pPr>
            <w:r>
              <w:rPr>
                <w:rFonts w:hint="eastAsia"/>
              </w:rPr>
              <w:t>51</w:t>
            </w:r>
          </w:p>
        </w:tc>
        <w:tc>
          <w:tcPr>
            <w:tcW w:w="1514" w:type="pct"/>
            <w:vAlign w:val="center"/>
          </w:tcPr>
          <w:p>
            <w:pPr>
              <w:pStyle w:val="63"/>
            </w:pPr>
            <w:r>
              <w:rPr>
                <w:rFonts w:hint="eastAsia"/>
              </w:rPr>
              <w:t>1887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Merge w:val="continue"/>
            <w:vAlign w:val="center"/>
          </w:tcPr>
          <w:p>
            <w:pPr>
              <w:pStyle w:val="63"/>
            </w:pPr>
          </w:p>
        </w:tc>
        <w:tc>
          <w:tcPr>
            <w:tcW w:w="1068" w:type="pct"/>
            <w:vAlign w:val="center"/>
          </w:tcPr>
          <w:p>
            <w:pPr>
              <w:pStyle w:val="63"/>
            </w:pPr>
            <w:r>
              <w:rPr>
                <w:rFonts w:hint="eastAsia"/>
              </w:rPr>
              <w:t>1000</w:t>
            </w:r>
          </w:p>
        </w:tc>
        <w:tc>
          <w:tcPr>
            <w:tcW w:w="1515" w:type="pct"/>
            <w:vAlign w:val="center"/>
          </w:tcPr>
          <w:p>
            <w:pPr>
              <w:pStyle w:val="63"/>
            </w:pPr>
            <w:r>
              <w:rPr>
                <w:rFonts w:hint="eastAsia"/>
              </w:rPr>
              <w:t>152</w:t>
            </w:r>
          </w:p>
        </w:tc>
        <w:tc>
          <w:tcPr>
            <w:tcW w:w="1514" w:type="pct"/>
            <w:vAlign w:val="center"/>
          </w:tcPr>
          <w:p>
            <w:pPr>
              <w:pStyle w:val="63"/>
            </w:pPr>
            <w:r>
              <w:rPr>
                <w:rFonts w:hint="eastAsia"/>
              </w:rPr>
              <w:t>8132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Merge w:val="continue"/>
            <w:vAlign w:val="center"/>
          </w:tcPr>
          <w:p>
            <w:pPr>
              <w:pStyle w:val="63"/>
            </w:pPr>
          </w:p>
        </w:tc>
        <w:tc>
          <w:tcPr>
            <w:tcW w:w="1068" w:type="pct"/>
            <w:vAlign w:val="center"/>
          </w:tcPr>
          <w:p>
            <w:pPr>
              <w:pStyle w:val="63"/>
            </w:pPr>
            <w:r>
              <w:rPr>
                <w:rFonts w:hint="eastAsia"/>
              </w:rPr>
              <w:t>3600</w:t>
            </w:r>
          </w:p>
        </w:tc>
        <w:tc>
          <w:tcPr>
            <w:tcW w:w="1515" w:type="pct"/>
            <w:vAlign w:val="center"/>
          </w:tcPr>
          <w:p>
            <w:pPr>
              <w:pStyle w:val="63"/>
            </w:pPr>
            <w:r>
              <w:rPr>
                <w:rFonts w:hint="eastAsia"/>
              </w:rPr>
              <w:t>247</w:t>
            </w:r>
          </w:p>
        </w:tc>
        <w:tc>
          <w:tcPr>
            <w:tcW w:w="1514" w:type="pct"/>
            <w:vAlign w:val="center"/>
          </w:tcPr>
          <w:p>
            <w:pPr>
              <w:pStyle w:val="63"/>
            </w:pPr>
            <w:r>
              <w:rPr>
                <w:rFonts w:hint="eastAsia"/>
              </w:rPr>
              <w:t>13827</w:t>
            </w:r>
          </w:p>
        </w:tc>
      </w:tr>
    </w:tbl>
    <w:p>
      <w:pPr>
        <w:pStyle w:val="5"/>
        <w:ind w:firstLine="482"/>
      </w:pPr>
      <w:bookmarkStart w:id="604" w:name="_Toc126849639"/>
      <w:bookmarkStart w:id="605" w:name="_Toc110504145"/>
      <w:r>
        <w:rPr>
          <w:rFonts w:hint="eastAsia"/>
        </w:rPr>
        <w:t>6.6.4.</w:t>
      </w:r>
      <w:r>
        <w:t xml:space="preserve">4 </w:t>
      </w:r>
      <w:r>
        <w:rPr>
          <w:rFonts w:hint="eastAsia"/>
        </w:rPr>
        <w:t>非正常状况下废水收集池氯化物泄漏预测结果的评价结果</w:t>
      </w:r>
      <w:bookmarkEnd w:id="604"/>
    </w:p>
    <w:p>
      <w:pPr>
        <w:spacing w:line="360" w:lineRule="auto"/>
        <w:ind w:firstLine="480" w:firstLineChars="200"/>
        <w:rPr>
          <w:rFonts w:ascii="Times New Roman" w:hAnsi="Times New Roman"/>
        </w:rPr>
      </w:pPr>
      <w:r>
        <w:rPr>
          <w:rFonts w:hint="eastAsia" w:ascii="Times New Roman" w:hAnsi="Times New Roman"/>
        </w:rPr>
        <w:t>假设在废水收集池出现渗漏，利用FEFLOW运行溶质运移模型，将水文地质参数、溶质运移参数等代入模型中，其中氯化物浓度设为3000</w:t>
      </w:r>
      <w:r>
        <w:rPr>
          <w:rFonts w:ascii="Times New Roman" w:hAnsi="Times New Roman"/>
        </w:rPr>
        <w:t>mg/L</w:t>
      </w:r>
      <w:r>
        <w:rPr>
          <w:rFonts w:hint="eastAsia" w:ascii="Times New Roman" w:hAnsi="Times New Roman"/>
        </w:rPr>
        <w:t>，持续泄漏10年，预测模拟结果的制图工作利用FEFLOW软件完成，数据后处理工作利用ArcGIS软件完成，其中污染晕浓度边界《地下水质量标准》（GB/T 14848-2017）</w:t>
      </w:r>
      <w:r>
        <w:rPr>
          <w:rFonts w:hint="eastAsia" w:ascii="宋体" w:hAnsi="宋体" w:cs="宋体"/>
        </w:rPr>
        <w:t>Ⅲ</w:t>
      </w:r>
      <w:r>
        <w:rPr>
          <w:rFonts w:hint="eastAsia" w:ascii="Times New Roman" w:hAnsi="Times New Roman"/>
        </w:rPr>
        <w:t>类标准值浓度250</w:t>
      </w:r>
      <w:r>
        <w:rPr>
          <w:rFonts w:ascii="Times New Roman" w:hAnsi="Times New Roman"/>
        </w:rPr>
        <w:t>mg/L</w:t>
      </w:r>
      <w:r>
        <w:rPr>
          <w:rFonts w:hint="eastAsia" w:ascii="Times New Roman" w:hAnsi="Times New Roman"/>
        </w:rPr>
        <w:t>为界。污染物下渗进入地下水中，形成超标污染晕，其迁移方向主要受水动力场控制，向东北扩散，污染范围持续扩大，迁移情况见图5.4-4。图5.4-4展示了模型运行100天、1000天、3600天三个时段下地下水中污染物的迁移扩散情况。表5.4-3针对典型时间段，统计了污染晕的运移距离、污染面积。</w:t>
      </w:r>
    </w:p>
    <w:p>
      <w:pPr>
        <w:spacing w:line="360" w:lineRule="auto"/>
        <w:ind w:firstLine="480" w:firstLineChars="200"/>
        <w:rPr>
          <w:rFonts w:ascii="Times New Roman" w:hAnsi="Times New Roman"/>
        </w:rPr>
      </w:pPr>
      <w:r>
        <w:rPr>
          <w:rFonts w:hint="eastAsia" w:ascii="Times New Roman" w:hAnsi="Times New Roman"/>
        </w:rPr>
        <w:t>在模型运行100天时，最远超标距离为21m，污染面积为931m</w:t>
      </w:r>
      <w:r>
        <w:rPr>
          <w:rFonts w:hint="eastAsia" w:ascii="Times New Roman" w:hAnsi="Times New Roman"/>
          <w:vertAlign w:val="superscript"/>
        </w:rPr>
        <w:t>2</w:t>
      </w:r>
      <w:r>
        <w:rPr>
          <w:rFonts w:hint="eastAsia" w:ascii="Times New Roman" w:hAnsi="Times New Roman"/>
        </w:rPr>
        <w:t>，超出厂界，尚未达到下游居民饮用水井；在模型运行1000天时，最远超标距离为57m，污染面积为1997m</w:t>
      </w:r>
      <w:r>
        <w:rPr>
          <w:rFonts w:hint="eastAsia" w:ascii="Times New Roman" w:hAnsi="Times New Roman"/>
          <w:vertAlign w:val="superscript"/>
        </w:rPr>
        <w:t>2</w:t>
      </w:r>
      <w:r>
        <w:rPr>
          <w:rFonts w:hint="eastAsia" w:ascii="Times New Roman" w:hAnsi="Times New Roman"/>
        </w:rPr>
        <w:t>，超出厂界，尚未达到下游居民饮用水井；在模型运行3600天时，最远超标距离为162m，污染面积为8175m</w:t>
      </w:r>
      <w:r>
        <w:rPr>
          <w:rFonts w:hint="eastAsia" w:ascii="Times New Roman" w:hAnsi="Times New Roman"/>
          <w:vertAlign w:val="superscript"/>
        </w:rPr>
        <w:t>2</w:t>
      </w:r>
      <w:r>
        <w:rPr>
          <w:rFonts w:hint="eastAsia" w:ascii="Times New Roman" w:hAnsi="Times New Roman"/>
        </w:rPr>
        <w:t>，超出厂界范围，尚未达到下游居民饮用水井。</w:t>
      </w:r>
    </w:p>
    <w:p>
      <w:pPr>
        <w:pStyle w:val="6"/>
      </w:pPr>
      <w:r>
        <w:rPr>
          <w:rFonts w:hint="eastAsia"/>
        </w:rPr>
        <w:t xml:space="preserve">表6.6-4 </w:t>
      </w:r>
      <w:r>
        <w:t xml:space="preserve"> </w:t>
      </w:r>
      <w:r>
        <w:rPr>
          <w:rFonts w:hint="eastAsia"/>
        </w:rPr>
        <w:t>氯化物污染晕情景预测结果</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820"/>
        <w:gridCol w:w="2582"/>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Align w:val="center"/>
          </w:tcPr>
          <w:p>
            <w:pPr>
              <w:pStyle w:val="63"/>
            </w:pPr>
            <w:r>
              <w:rPr>
                <w:rFonts w:hint="eastAsia"/>
              </w:rPr>
              <w:t>污染物种类</w:t>
            </w:r>
          </w:p>
        </w:tc>
        <w:tc>
          <w:tcPr>
            <w:tcW w:w="1068" w:type="pct"/>
            <w:vAlign w:val="center"/>
          </w:tcPr>
          <w:p>
            <w:pPr>
              <w:pStyle w:val="63"/>
            </w:pPr>
            <w:r>
              <w:rPr>
                <w:rFonts w:hint="eastAsia"/>
              </w:rPr>
              <w:t>运移时间（天）</w:t>
            </w:r>
          </w:p>
        </w:tc>
        <w:tc>
          <w:tcPr>
            <w:tcW w:w="1515" w:type="pct"/>
            <w:vAlign w:val="center"/>
          </w:tcPr>
          <w:p>
            <w:pPr>
              <w:pStyle w:val="63"/>
            </w:pPr>
            <w:r>
              <w:rPr>
                <w:rFonts w:hint="eastAsia"/>
              </w:rPr>
              <w:t>最远污染距离（m）</w:t>
            </w:r>
          </w:p>
        </w:tc>
        <w:tc>
          <w:tcPr>
            <w:tcW w:w="1514" w:type="pct"/>
            <w:vAlign w:val="center"/>
          </w:tcPr>
          <w:p>
            <w:pPr>
              <w:pStyle w:val="63"/>
            </w:pPr>
            <w:r>
              <w:rPr>
                <w:rFonts w:hint="eastAsia"/>
              </w:rPr>
              <w:t>污染面积（m</w:t>
            </w:r>
            <w: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Merge w:val="restart"/>
            <w:vAlign w:val="center"/>
          </w:tcPr>
          <w:p>
            <w:pPr>
              <w:pStyle w:val="63"/>
            </w:pPr>
            <w:r>
              <w:rPr>
                <w:rFonts w:hint="eastAsia"/>
              </w:rPr>
              <w:t>氯化物</w:t>
            </w:r>
          </w:p>
        </w:tc>
        <w:tc>
          <w:tcPr>
            <w:tcW w:w="1068" w:type="pct"/>
            <w:vAlign w:val="center"/>
          </w:tcPr>
          <w:p>
            <w:pPr>
              <w:pStyle w:val="63"/>
            </w:pPr>
            <w:r>
              <w:t>100</w:t>
            </w:r>
          </w:p>
        </w:tc>
        <w:tc>
          <w:tcPr>
            <w:tcW w:w="1515" w:type="pct"/>
            <w:vAlign w:val="center"/>
          </w:tcPr>
          <w:p>
            <w:pPr>
              <w:pStyle w:val="63"/>
            </w:pPr>
            <w:r>
              <w:rPr>
                <w:rFonts w:hint="eastAsia"/>
              </w:rPr>
              <w:t>21</w:t>
            </w:r>
          </w:p>
        </w:tc>
        <w:tc>
          <w:tcPr>
            <w:tcW w:w="1514" w:type="pct"/>
            <w:vAlign w:val="center"/>
          </w:tcPr>
          <w:p>
            <w:pPr>
              <w:pStyle w:val="63"/>
            </w:pPr>
            <w:r>
              <w:rPr>
                <w:rFonts w:hint="eastAsia"/>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Merge w:val="continue"/>
            <w:vAlign w:val="center"/>
          </w:tcPr>
          <w:p>
            <w:pPr>
              <w:pStyle w:val="63"/>
            </w:pPr>
          </w:p>
        </w:tc>
        <w:tc>
          <w:tcPr>
            <w:tcW w:w="1068" w:type="pct"/>
            <w:vAlign w:val="center"/>
          </w:tcPr>
          <w:p>
            <w:pPr>
              <w:pStyle w:val="63"/>
            </w:pPr>
            <w:r>
              <w:rPr>
                <w:rFonts w:hint="eastAsia"/>
              </w:rPr>
              <w:t>1000</w:t>
            </w:r>
          </w:p>
        </w:tc>
        <w:tc>
          <w:tcPr>
            <w:tcW w:w="1515" w:type="pct"/>
            <w:vAlign w:val="center"/>
          </w:tcPr>
          <w:p>
            <w:pPr>
              <w:pStyle w:val="63"/>
            </w:pPr>
            <w:r>
              <w:rPr>
                <w:rFonts w:hint="eastAsia"/>
              </w:rPr>
              <w:t>57</w:t>
            </w:r>
          </w:p>
        </w:tc>
        <w:tc>
          <w:tcPr>
            <w:tcW w:w="1514" w:type="pct"/>
            <w:vAlign w:val="center"/>
          </w:tcPr>
          <w:p>
            <w:pPr>
              <w:pStyle w:val="63"/>
            </w:pPr>
            <w:r>
              <w:rPr>
                <w:rFonts w:hint="eastAsia"/>
              </w:rPr>
              <w:t>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4" w:type="pct"/>
            <w:vMerge w:val="continue"/>
            <w:vAlign w:val="center"/>
          </w:tcPr>
          <w:p>
            <w:pPr>
              <w:pStyle w:val="63"/>
            </w:pPr>
          </w:p>
        </w:tc>
        <w:tc>
          <w:tcPr>
            <w:tcW w:w="1068" w:type="pct"/>
            <w:vAlign w:val="center"/>
          </w:tcPr>
          <w:p>
            <w:pPr>
              <w:pStyle w:val="63"/>
            </w:pPr>
            <w:r>
              <w:rPr>
                <w:rFonts w:hint="eastAsia"/>
              </w:rPr>
              <w:t>3600</w:t>
            </w:r>
          </w:p>
        </w:tc>
        <w:tc>
          <w:tcPr>
            <w:tcW w:w="1515" w:type="pct"/>
            <w:vAlign w:val="center"/>
          </w:tcPr>
          <w:p>
            <w:pPr>
              <w:pStyle w:val="63"/>
            </w:pPr>
            <w:r>
              <w:rPr>
                <w:rFonts w:hint="eastAsia"/>
              </w:rPr>
              <w:t>162</w:t>
            </w:r>
          </w:p>
        </w:tc>
        <w:tc>
          <w:tcPr>
            <w:tcW w:w="1514" w:type="pct"/>
            <w:vAlign w:val="center"/>
          </w:tcPr>
          <w:p>
            <w:pPr>
              <w:pStyle w:val="63"/>
            </w:pPr>
            <w:r>
              <w:rPr>
                <w:rFonts w:hint="eastAsia"/>
              </w:rPr>
              <w:t>8175</w:t>
            </w:r>
          </w:p>
        </w:tc>
      </w:tr>
      <w:bookmarkEnd w:id="601"/>
      <w:bookmarkEnd w:id="605"/>
    </w:tbl>
    <w:p>
      <w:pPr>
        <w:pStyle w:val="5"/>
        <w:ind w:firstLine="482"/>
      </w:pPr>
      <w:bookmarkStart w:id="606" w:name="_Toc126849641"/>
      <w:r>
        <w:rPr>
          <w:rFonts w:hint="eastAsia"/>
        </w:rPr>
        <w:t>6.6.4.</w:t>
      </w:r>
      <w:r>
        <w:t xml:space="preserve">5 </w:t>
      </w:r>
      <w:r>
        <w:rPr>
          <w:rFonts w:hint="eastAsia"/>
        </w:rPr>
        <w:t>非非正常状况下储罐区二氯甲烷泄漏预测结果的评价结果</w:t>
      </w:r>
    </w:p>
    <w:p>
      <w:pPr>
        <w:spacing w:line="360" w:lineRule="auto"/>
        <w:ind w:firstLine="480" w:firstLineChars="200"/>
        <w:rPr>
          <w:rFonts w:ascii="Times New Roman" w:hAnsi="Times New Roman"/>
        </w:rPr>
      </w:pPr>
      <w:r>
        <w:rPr>
          <w:rFonts w:hint="eastAsia" w:ascii="Times New Roman" w:hAnsi="Times New Roman"/>
        </w:rPr>
        <w:t>假设在储罐区出现渗漏，利用FEFLOW运行溶质运移模型，将水文地质参数、溶质运移参数等代入模型中，其中二氯甲烷泄露量为0.15kg，预测模拟结果的制图工作利用FEFLOW软件完成，数据后处理工作利用ArcGIS软件完成，其中污染晕浓度边界参考《地表水环境质量标准》（GB3838-2002）</w:t>
      </w:r>
      <w:r>
        <w:rPr>
          <w:rFonts w:hint="eastAsia" w:ascii="宋体" w:hAnsi="宋体" w:cs="宋体"/>
        </w:rPr>
        <w:t>Ⅲ</w:t>
      </w:r>
      <w:r>
        <w:rPr>
          <w:rFonts w:hint="eastAsia" w:ascii="Times New Roman" w:hAnsi="Times New Roman"/>
        </w:rPr>
        <w:t>类标准值浓度20</w:t>
      </w:r>
      <w:r>
        <w:rPr>
          <w:rFonts w:ascii="Times New Roman" w:hAnsi="Times New Roman"/>
        </w:rPr>
        <w:t>mg/L</w:t>
      </w:r>
      <w:r>
        <w:rPr>
          <w:rFonts w:hint="eastAsia" w:ascii="Times New Roman" w:hAnsi="Times New Roman"/>
        </w:rPr>
        <w:t>为界。污染物下渗进入地下水中，形成超标污染晕，其迁移方向主要受水动力场控制，向东北扩散，污染范围持续扩大，迁移情况见图5.4-5。图5.4-5展示了模型运行100天、1000天、3600天三个时段下地下水中污染物的迁移扩散情况。表5.4-5针对典型时间段，统计了污染晕的运移距离、污染面积。</w:t>
      </w:r>
    </w:p>
    <w:p>
      <w:pPr>
        <w:spacing w:line="360" w:lineRule="auto"/>
        <w:ind w:firstLine="480" w:firstLineChars="200"/>
        <w:rPr>
          <w:rFonts w:ascii="Times New Roman" w:hAnsi="Times New Roman"/>
        </w:rPr>
      </w:pPr>
      <w:r>
        <w:rPr>
          <w:rFonts w:hint="eastAsia" w:ascii="Times New Roman" w:hAnsi="Times New Roman"/>
        </w:rPr>
        <w:t>在模型运行100天时，最远超标距离为15m，污染面积为</w:t>
      </w:r>
      <w:r>
        <w:rPr>
          <w:rFonts w:ascii="Times New Roman" w:hAnsi="Times New Roman"/>
        </w:rPr>
        <w:t>498</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；在模型运行1000天时，最远超标距离为</w:t>
      </w:r>
      <w:r>
        <w:rPr>
          <w:rFonts w:ascii="Times New Roman" w:hAnsi="Times New Roman"/>
        </w:rPr>
        <w:t>41</w:t>
      </w:r>
      <w:r>
        <w:rPr>
          <w:rFonts w:hint="eastAsia" w:ascii="Times New Roman" w:hAnsi="Times New Roman"/>
        </w:rPr>
        <w:t>m，污染面积为</w:t>
      </w:r>
      <w:r>
        <w:rPr>
          <w:rFonts w:ascii="Times New Roman" w:hAnsi="Times New Roman"/>
        </w:rPr>
        <w:t>1437</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；在模型运行3600天时，最远超标距离为</w:t>
      </w:r>
      <w:r>
        <w:rPr>
          <w:rFonts w:ascii="Times New Roman" w:hAnsi="Times New Roman"/>
        </w:rPr>
        <w:t>134</w:t>
      </w:r>
      <w:r>
        <w:rPr>
          <w:rFonts w:hint="eastAsia" w:ascii="Times New Roman" w:hAnsi="Times New Roman"/>
        </w:rPr>
        <w:t>m，污染面积为</w:t>
      </w:r>
      <w:r>
        <w:rPr>
          <w:rFonts w:ascii="Times New Roman" w:hAnsi="Times New Roman"/>
        </w:rPr>
        <w:t>6317</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，模拟期间，污染物超出厂界范围，但尚未达到下游居民饮用水井。</w:t>
      </w:r>
    </w:p>
    <w:p>
      <w:pPr>
        <w:pStyle w:val="6"/>
      </w:pPr>
      <w:r>
        <w:rPr>
          <w:rFonts w:hint="eastAsia"/>
        </w:rPr>
        <w:t>表6.6-5  二氯甲烷污染晕情景预测结果</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820"/>
        <w:gridCol w:w="2582"/>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Align w:val="center"/>
          </w:tcPr>
          <w:p>
            <w:pPr>
              <w:pStyle w:val="63"/>
            </w:pPr>
            <w:r>
              <w:rPr>
                <w:rFonts w:hint="eastAsia"/>
              </w:rPr>
              <w:t>污染物种类</w:t>
            </w:r>
          </w:p>
        </w:tc>
        <w:tc>
          <w:tcPr>
            <w:tcW w:w="1068" w:type="pct"/>
            <w:vAlign w:val="center"/>
          </w:tcPr>
          <w:p>
            <w:pPr>
              <w:pStyle w:val="63"/>
            </w:pPr>
            <w:r>
              <w:rPr>
                <w:rFonts w:hint="eastAsia"/>
              </w:rPr>
              <w:t>运移时间（天）</w:t>
            </w:r>
          </w:p>
        </w:tc>
        <w:tc>
          <w:tcPr>
            <w:tcW w:w="1515" w:type="pct"/>
            <w:vAlign w:val="center"/>
          </w:tcPr>
          <w:p>
            <w:pPr>
              <w:pStyle w:val="63"/>
            </w:pPr>
            <w:r>
              <w:rPr>
                <w:rFonts w:hint="eastAsia"/>
              </w:rPr>
              <w:t>最远污染距离（m）</w:t>
            </w:r>
          </w:p>
        </w:tc>
        <w:tc>
          <w:tcPr>
            <w:tcW w:w="1514" w:type="pct"/>
            <w:vAlign w:val="center"/>
          </w:tcPr>
          <w:p>
            <w:pPr>
              <w:pStyle w:val="63"/>
            </w:pPr>
            <w:r>
              <w:rPr>
                <w:rFonts w:hint="eastAsia"/>
              </w:rPr>
              <w:t>污染面积（m</w:t>
            </w:r>
            <w: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Merge w:val="restart"/>
            <w:vAlign w:val="center"/>
          </w:tcPr>
          <w:p>
            <w:pPr>
              <w:pStyle w:val="63"/>
            </w:pPr>
            <w:r>
              <w:rPr>
                <w:rFonts w:hint="eastAsia"/>
              </w:rPr>
              <w:t>二氯甲烷</w:t>
            </w:r>
          </w:p>
        </w:tc>
        <w:tc>
          <w:tcPr>
            <w:tcW w:w="1068" w:type="pct"/>
            <w:vAlign w:val="center"/>
          </w:tcPr>
          <w:p>
            <w:pPr>
              <w:pStyle w:val="63"/>
            </w:pPr>
            <w:r>
              <w:t>100</w:t>
            </w:r>
          </w:p>
        </w:tc>
        <w:tc>
          <w:tcPr>
            <w:tcW w:w="1515" w:type="pct"/>
            <w:vAlign w:val="center"/>
          </w:tcPr>
          <w:p>
            <w:pPr>
              <w:pStyle w:val="63"/>
            </w:pPr>
            <w:r>
              <w:rPr>
                <w:rFonts w:hint="eastAsia"/>
              </w:rPr>
              <w:t>15</w:t>
            </w:r>
          </w:p>
        </w:tc>
        <w:tc>
          <w:tcPr>
            <w:tcW w:w="1514" w:type="pct"/>
            <w:vAlign w:val="center"/>
          </w:tcPr>
          <w:p>
            <w:pPr>
              <w:pStyle w:val="63"/>
            </w:pPr>
            <w:r>
              <w:rPr>
                <w:rFonts w:hint="eastAsia"/>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Merge w:val="continue"/>
            <w:vAlign w:val="center"/>
          </w:tcPr>
          <w:p>
            <w:pPr>
              <w:pStyle w:val="63"/>
            </w:pPr>
          </w:p>
        </w:tc>
        <w:tc>
          <w:tcPr>
            <w:tcW w:w="1068" w:type="pct"/>
            <w:vAlign w:val="center"/>
          </w:tcPr>
          <w:p>
            <w:pPr>
              <w:pStyle w:val="63"/>
            </w:pPr>
            <w:r>
              <w:rPr>
                <w:rFonts w:hint="eastAsia"/>
              </w:rPr>
              <w:t>1000</w:t>
            </w:r>
          </w:p>
        </w:tc>
        <w:tc>
          <w:tcPr>
            <w:tcW w:w="1515" w:type="pct"/>
            <w:vAlign w:val="center"/>
          </w:tcPr>
          <w:p>
            <w:pPr>
              <w:pStyle w:val="63"/>
            </w:pPr>
            <w:r>
              <w:rPr>
                <w:rFonts w:hint="eastAsia"/>
              </w:rPr>
              <w:t>41</w:t>
            </w:r>
          </w:p>
        </w:tc>
        <w:tc>
          <w:tcPr>
            <w:tcW w:w="1514" w:type="pct"/>
            <w:vAlign w:val="center"/>
          </w:tcPr>
          <w:p>
            <w:pPr>
              <w:pStyle w:val="63"/>
            </w:pPr>
            <w:r>
              <w:rPr>
                <w:rFonts w:hint="eastAsia"/>
              </w:rPr>
              <w:t>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4" w:type="pct"/>
            <w:vMerge w:val="continue"/>
            <w:vAlign w:val="center"/>
          </w:tcPr>
          <w:p>
            <w:pPr>
              <w:pStyle w:val="63"/>
            </w:pPr>
          </w:p>
        </w:tc>
        <w:tc>
          <w:tcPr>
            <w:tcW w:w="1068" w:type="pct"/>
            <w:vAlign w:val="center"/>
          </w:tcPr>
          <w:p>
            <w:pPr>
              <w:pStyle w:val="63"/>
            </w:pPr>
            <w:r>
              <w:rPr>
                <w:rFonts w:hint="eastAsia"/>
              </w:rPr>
              <w:t>3600</w:t>
            </w:r>
          </w:p>
        </w:tc>
        <w:tc>
          <w:tcPr>
            <w:tcW w:w="1515" w:type="pct"/>
            <w:vAlign w:val="center"/>
          </w:tcPr>
          <w:p>
            <w:pPr>
              <w:pStyle w:val="63"/>
            </w:pPr>
            <w:r>
              <w:rPr>
                <w:rFonts w:hint="eastAsia"/>
              </w:rPr>
              <w:t>134</w:t>
            </w:r>
          </w:p>
        </w:tc>
        <w:tc>
          <w:tcPr>
            <w:tcW w:w="1514" w:type="pct"/>
            <w:vAlign w:val="center"/>
          </w:tcPr>
          <w:p>
            <w:pPr>
              <w:pStyle w:val="63"/>
            </w:pPr>
            <w:r>
              <w:rPr>
                <w:rFonts w:hint="eastAsia"/>
              </w:rPr>
              <w:t>6317</w:t>
            </w:r>
          </w:p>
        </w:tc>
      </w:tr>
    </w:tbl>
    <w:p>
      <w:pPr>
        <w:pStyle w:val="5"/>
        <w:ind w:firstLine="482"/>
      </w:pPr>
      <w:r>
        <w:rPr>
          <w:rFonts w:hint="eastAsia"/>
        </w:rPr>
        <w:t>6.6.4.</w:t>
      </w:r>
      <w:r>
        <w:t xml:space="preserve">6 </w:t>
      </w:r>
      <w:r>
        <w:rPr>
          <w:rFonts w:hint="eastAsia"/>
        </w:rPr>
        <w:t>非非正常状况下储罐区甲苯泄漏预测结果的评价结果</w:t>
      </w:r>
      <w:bookmarkEnd w:id="606"/>
    </w:p>
    <w:p>
      <w:pPr>
        <w:spacing w:line="360" w:lineRule="auto"/>
        <w:ind w:firstLine="480" w:firstLineChars="200"/>
        <w:rPr>
          <w:rFonts w:ascii="Times New Roman" w:hAnsi="Times New Roman"/>
        </w:rPr>
      </w:pPr>
      <w:r>
        <w:rPr>
          <w:rFonts w:hint="eastAsia" w:ascii="Times New Roman" w:hAnsi="Times New Roman"/>
        </w:rPr>
        <w:t>假设在储罐区出现渗漏，利用FEFLOW运行溶质运移模型，将水文地质参数、溶质运移参数等代入模型中，其中甲苯泄露量为</w:t>
      </w:r>
      <w:r>
        <w:rPr>
          <w:rFonts w:ascii="Times New Roman" w:hAnsi="Times New Roman"/>
        </w:rPr>
        <w:t>4.33</w:t>
      </w:r>
      <w:r>
        <w:rPr>
          <w:rFonts w:hint="eastAsia" w:ascii="Times New Roman" w:hAnsi="Times New Roman"/>
        </w:rPr>
        <w:t>kg，预测模拟结果的制图工作利用FEFLOW软件完成，数据后处理工作利用ArcGIS软件完成，其中污染晕浓度边界参考《地表水环境质量标准》（GB3838-2002）</w:t>
      </w:r>
      <w:r>
        <w:rPr>
          <w:rFonts w:hint="eastAsia" w:ascii="宋体" w:hAnsi="宋体" w:cs="宋体"/>
        </w:rPr>
        <w:t>Ⅲ</w:t>
      </w:r>
      <w:r>
        <w:rPr>
          <w:rFonts w:hint="eastAsia" w:ascii="Times New Roman" w:hAnsi="Times New Roman"/>
        </w:rPr>
        <w:t>类标准值浓度0.05</w:t>
      </w:r>
      <w:r>
        <w:rPr>
          <w:rFonts w:ascii="Times New Roman" w:hAnsi="Times New Roman"/>
        </w:rPr>
        <w:t>mg/L</w:t>
      </w:r>
      <w:r>
        <w:rPr>
          <w:rFonts w:hint="eastAsia" w:ascii="Times New Roman" w:hAnsi="Times New Roman"/>
        </w:rPr>
        <w:t>为界。污染物下渗进入地下水中，形成超标污染晕，其迁移方向主要受水动力场控制，向东北扩散，污染范围持续扩大，迁移情况见图5.4-6。图5.4-6展示了模型运行100天、1000天、3600天三个时段下地下水中污染物的迁移扩散情况。表5.4-5针对典型时间段，统计了污染晕的运移距离、污染面积。</w:t>
      </w:r>
    </w:p>
    <w:p>
      <w:pPr>
        <w:spacing w:line="360" w:lineRule="auto"/>
        <w:ind w:firstLine="480" w:firstLineChars="200"/>
        <w:rPr>
          <w:rFonts w:ascii="Times New Roman" w:hAnsi="Times New Roman"/>
        </w:rPr>
      </w:pPr>
      <w:r>
        <w:rPr>
          <w:rFonts w:hint="eastAsia" w:ascii="Times New Roman" w:hAnsi="Times New Roman"/>
        </w:rPr>
        <w:t>在模型运行100天时，最远超标距离为19m，污染面积为698m</w:t>
      </w:r>
      <w:r>
        <w:rPr>
          <w:rFonts w:hint="eastAsia" w:ascii="Times New Roman" w:hAnsi="Times New Roman"/>
          <w:vertAlign w:val="superscript"/>
        </w:rPr>
        <w:t>2</w:t>
      </w:r>
      <w:r>
        <w:rPr>
          <w:rFonts w:hint="eastAsia" w:ascii="Times New Roman" w:hAnsi="Times New Roman"/>
        </w:rPr>
        <w:t>；在模型运行1000天时，最远超标距离为47m，污染面积为1877m</w:t>
      </w:r>
      <w:r>
        <w:rPr>
          <w:rFonts w:hint="eastAsia" w:ascii="Times New Roman" w:hAnsi="Times New Roman"/>
          <w:vertAlign w:val="superscript"/>
        </w:rPr>
        <w:t>2</w:t>
      </w:r>
      <w:r>
        <w:rPr>
          <w:rFonts w:hint="eastAsia" w:ascii="Times New Roman" w:hAnsi="Times New Roman"/>
        </w:rPr>
        <w:t>；在模型运行3600天时，最远超标距离为161m，污染面积为8132m</w:t>
      </w:r>
      <w:r>
        <w:rPr>
          <w:rFonts w:hint="eastAsia" w:ascii="Times New Roman" w:hAnsi="Times New Roman"/>
          <w:vertAlign w:val="superscript"/>
        </w:rPr>
        <w:t>2</w:t>
      </w:r>
      <w:r>
        <w:rPr>
          <w:rFonts w:hint="eastAsia" w:ascii="Times New Roman" w:hAnsi="Times New Roman"/>
        </w:rPr>
        <w:t>，模拟期间，污染物超出厂界范围，但尚未达到下游居民饮用水井。</w:t>
      </w:r>
    </w:p>
    <w:p>
      <w:pPr>
        <w:pStyle w:val="6"/>
      </w:pPr>
      <w:r>
        <w:rPr>
          <w:rFonts w:hint="eastAsia"/>
        </w:rPr>
        <w:t>表</w:t>
      </w:r>
      <w:r>
        <w:t>6.6-6</w:t>
      </w:r>
      <w:r>
        <w:rPr>
          <w:rFonts w:hint="eastAsia"/>
        </w:rPr>
        <w:t xml:space="preserve">  甲苯污染晕情景预测结果</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820"/>
        <w:gridCol w:w="2582"/>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Align w:val="center"/>
          </w:tcPr>
          <w:p>
            <w:pPr>
              <w:pStyle w:val="63"/>
            </w:pPr>
            <w:r>
              <w:rPr>
                <w:rFonts w:hint="eastAsia"/>
              </w:rPr>
              <w:t>污染物种类</w:t>
            </w:r>
          </w:p>
        </w:tc>
        <w:tc>
          <w:tcPr>
            <w:tcW w:w="1068" w:type="pct"/>
            <w:vAlign w:val="center"/>
          </w:tcPr>
          <w:p>
            <w:pPr>
              <w:pStyle w:val="63"/>
            </w:pPr>
            <w:r>
              <w:rPr>
                <w:rFonts w:hint="eastAsia"/>
              </w:rPr>
              <w:t>运移时间（天）</w:t>
            </w:r>
          </w:p>
        </w:tc>
        <w:tc>
          <w:tcPr>
            <w:tcW w:w="1515" w:type="pct"/>
            <w:vAlign w:val="center"/>
          </w:tcPr>
          <w:p>
            <w:pPr>
              <w:pStyle w:val="63"/>
            </w:pPr>
            <w:r>
              <w:rPr>
                <w:rFonts w:hint="eastAsia"/>
              </w:rPr>
              <w:t>最远污染距离（m）</w:t>
            </w:r>
          </w:p>
        </w:tc>
        <w:tc>
          <w:tcPr>
            <w:tcW w:w="1514" w:type="pct"/>
            <w:vAlign w:val="center"/>
          </w:tcPr>
          <w:p>
            <w:pPr>
              <w:pStyle w:val="63"/>
            </w:pPr>
            <w:r>
              <w:rPr>
                <w:rFonts w:hint="eastAsia"/>
              </w:rPr>
              <w:t>污染面积（m</w:t>
            </w:r>
            <w: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Merge w:val="restart"/>
            <w:vAlign w:val="center"/>
          </w:tcPr>
          <w:p>
            <w:pPr>
              <w:pStyle w:val="63"/>
            </w:pPr>
            <w:r>
              <w:rPr>
                <w:rFonts w:hint="eastAsia"/>
              </w:rPr>
              <w:t>甲苯</w:t>
            </w:r>
          </w:p>
        </w:tc>
        <w:tc>
          <w:tcPr>
            <w:tcW w:w="1068" w:type="pct"/>
            <w:vAlign w:val="center"/>
          </w:tcPr>
          <w:p>
            <w:pPr>
              <w:pStyle w:val="63"/>
            </w:pPr>
            <w:r>
              <w:t>100</w:t>
            </w:r>
          </w:p>
        </w:tc>
        <w:tc>
          <w:tcPr>
            <w:tcW w:w="1515" w:type="pct"/>
            <w:vAlign w:val="center"/>
          </w:tcPr>
          <w:p>
            <w:pPr>
              <w:pStyle w:val="63"/>
            </w:pPr>
            <w:r>
              <w:rPr>
                <w:rFonts w:hint="eastAsia"/>
              </w:rPr>
              <w:t>19</w:t>
            </w:r>
          </w:p>
        </w:tc>
        <w:tc>
          <w:tcPr>
            <w:tcW w:w="1514" w:type="pct"/>
            <w:vAlign w:val="center"/>
          </w:tcPr>
          <w:p>
            <w:pPr>
              <w:pStyle w:val="63"/>
            </w:pPr>
            <w:r>
              <w:rPr>
                <w:rFonts w:hint="eastAsia"/>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Merge w:val="continue"/>
            <w:vAlign w:val="center"/>
          </w:tcPr>
          <w:p>
            <w:pPr>
              <w:pStyle w:val="63"/>
            </w:pPr>
          </w:p>
        </w:tc>
        <w:tc>
          <w:tcPr>
            <w:tcW w:w="1068" w:type="pct"/>
            <w:vAlign w:val="center"/>
          </w:tcPr>
          <w:p>
            <w:pPr>
              <w:pStyle w:val="63"/>
            </w:pPr>
            <w:r>
              <w:rPr>
                <w:rFonts w:hint="eastAsia"/>
              </w:rPr>
              <w:t>1000</w:t>
            </w:r>
          </w:p>
        </w:tc>
        <w:tc>
          <w:tcPr>
            <w:tcW w:w="1515" w:type="pct"/>
            <w:vAlign w:val="center"/>
          </w:tcPr>
          <w:p>
            <w:pPr>
              <w:pStyle w:val="63"/>
            </w:pPr>
            <w:r>
              <w:rPr>
                <w:rFonts w:hint="eastAsia"/>
              </w:rPr>
              <w:t>47</w:t>
            </w:r>
          </w:p>
        </w:tc>
        <w:tc>
          <w:tcPr>
            <w:tcW w:w="1514" w:type="pct"/>
            <w:vAlign w:val="center"/>
          </w:tcPr>
          <w:p>
            <w:pPr>
              <w:pStyle w:val="63"/>
            </w:pPr>
            <w:r>
              <w:rPr>
                <w:rFonts w:hint="eastAsia"/>
              </w:rPr>
              <w:t>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Merge w:val="continue"/>
            <w:vAlign w:val="center"/>
          </w:tcPr>
          <w:p>
            <w:pPr>
              <w:pStyle w:val="63"/>
            </w:pPr>
          </w:p>
        </w:tc>
        <w:tc>
          <w:tcPr>
            <w:tcW w:w="1068" w:type="pct"/>
            <w:vAlign w:val="center"/>
          </w:tcPr>
          <w:p>
            <w:pPr>
              <w:pStyle w:val="63"/>
            </w:pPr>
            <w:r>
              <w:rPr>
                <w:rFonts w:hint="eastAsia"/>
              </w:rPr>
              <w:t>3600</w:t>
            </w:r>
          </w:p>
        </w:tc>
        <w:tc>
          <w:tcPr>
            <w:tcW w:w="1515" w:type="pct"/>
            <w:vAlign w:val="center"/>
          </w:tcPr>
          <w:p>
            <w:pPr>
              <w:pStyle w:val="63"/>
            </w:pPr>
            <w:r>
              <w:rPr>
                <w:rFonts w:hint="eastAsia"/>
              </w:rPr>
              <w:t>161</w:t>
            </w:r>
          </w:p>
        </w:tc>
        <w:tc>
          <w:tcPr>
            <w:tcW w:w="1514" w:type="pct"/>
            <w:vAlign w:val="center"/>
          </w:tcPr>
          <w:p>
            <w:pPr>
              <w:pStyle w:val="63"/>
            </w:pPr>
            <w:r>
              <w:rPr>
                <w:rFonts w:hint="eastAsia"/>
              </w:rPr>
              <w:t>8132</w:t>
            </w:r>
          </w:p>
        </w:tc>
      </w:tr>
    </w:tbl>
    <w:p>
      <w:pPr>
        <w:pStyle w:val="5"/>
        <w:ind w:firstLine="482"/>
      </w:pPr>
      <w:r>
        <w:rPr>
          <w:rFonts w:hint="eastAsia"/>
        </w:rPr>
        <w:t>6.6.4.</w:t>
      </w:r>
      <w:r>
        <w:t xml:space="preserve">6 </w:t>
      </w:r>
      <w:r>
        <w:rPr>
          <w:rFonts w:hint="eastAsia"/>
        </w:rPr>
        <w:t>非正常状况下氰化物泄露预测结果的评价结果</w:t>
      </w:r>
    </w:p>
    <w:p>
      <w:pPr>
        <w:spacing w:line="360" w:lineRule="auto"/>
        <w:ind w:firstLine="480" w:firstLineChars="200"/>
        <w:rPr>
          <w:rFonts w:ascii="Times New Roman" w:hAnsi="Times New Roman"/>
        </w:rPr>
      </w:pPr>
      <w:r>
        <w:rPr>
          <w:rFonts w:hint="eastAsia" w:ascii="Times New Roman" w:hAnsi="Times New Roman"/>
        </w:rPr>
        <w:t>假设在生产过程中出现氰化物渗漏，利用FEFLOW运行溶质运移模型，将水文地质参数、溶质运移参数等代入模型中，其中氰化物泄露量浓度3320mg/L，预测模拟结果的制图工作利用FEFLOW软件完成，数据后处理工作利用ArcGIS软件完成，其中污染晕浓度边界参考《地表水环境质量标准》（GB3838-2002）</w:t>
      </w:r>
      <w:r>
        <w:rPr>
          <w:rFonts w:hint="eastAsia" w:ascii="宋体" w:hAnsi="宋体" w:cs="宋体"/>
        </w:rPr>
        <w:t>Ⅲ</w:t>
      </w:r>
      <w:r>
        <w:rPr>
          <w:rFonts w:hint="eastAsia" w:ascii="Times New Roman" w:hAnsi="Times New Roman"/>
        </w:rPr>
        <w:t>类标准值浓度0.005mg/L为界。污染物下渗进入地下水中，形成超标污染晕，其迁移方向主要受水动力场控制，向东北扩散，污染范围持续扩大，迁移情况见图5.4-7。图5.4-7展示了模型运行100天、1000天、3600天三个时段下地下水中污染物的迁移扩散情况。表5.4-6针对典型时间段，统计了污染晕的运移距离、污染面积。</w:t>
      </w:r>
    </w:p>
    <w:p>
      <w:pPr>
        <w:spacing w:line="360" w:lineRule="auto"/>
        <w:ind w:firstLine="480" w:firstLineChars="200"/>
        <w:rPr>
          <w:rFonts w:ascii="Times New Roman" w:hAnsi="Times New Roman"/>
        </w:rPr>
      </w:pPr>
      <w:r>
        <w:rPr>
          <w:rFonts w:hint="eastAsia" w:ascii="Times New Roman" w:hAnsi="Times New Roman"/>
        </w:rPr>
        <w:t>在模型运行100天时，最远超标距离为22m，污染面积为728m</w:t>
      </w:r>
      <w:r>
        <w:rPr>
          <w:rFonts w:hint="eastAsia" w:ascii="Times New Roman" w:hAnsi="Times New Roman"/>
          <w:vertAlign w:val="superscript"/>
        </w:rPr>
        <w:t>2</w:t>
      </w:r>
      <w:r>
        <w:rPr>
          <w:rFonts w:hint="eastAsia" w:ascii="Times New Roman" w:hAnsi="Times New Roman"/>
        </w:rPr>
        <w:t>；在模型运行1000天时，最远超标距离为53m，污染面积为2011m</w:t>
      </w:r>
      <w:r>
        <w:rPr>
          <w:rFonts w:hint="eastAsia" w:ascii="Times New Roman" w:hAnsi="Times New Roman"/>
          <w:vertAlign w:val="superscript"/>
        </w:rPr>
        <w:t>2</w:t>
      </w:r>
      <w:r>
        <w:rPr>
          <w:rFonts w:hint="eastAsia" w:ascii="Times New Roman" w:hAnsi="Times New Roman"/>
        </w:rPr>
        <w:t>；在模型运行3600天时，最远超标距离为173m，污染面积为10324m</w:t>
      </w:r>
      <w:r>
        <w:rPr>
          <w:rFonts w:hint="eastAsia" w:ascii="Times New Roman" w:hAnsi="Times New Roman"/>
          <w:vertAlign w:val="superscript"/>
        </w:rPr>
        <w:t>2</w:t>
      </w:r>
      <w:r>
        <w:rPr>
          <w:rFonts w:hint="eastAsia" w:ascii="Times New Roman" w:hAnsi="Times New Roman"/>
        </w:rPr>
        <w:t>，模拟期间，污染物超出厂界范围，但尚未达到下游居民饮用水井。</w:t>
      </w:r>
    </w:p>
    <w:p>
      <w:pPr>
        <w:pStyle w:val="6"/>
      </w:pPr>
      <w:r>
        <w:rPr>
          <w:rFonts w:hint="eastAsia"/>
        </w:rPr>
        <w:t>表6.6-7  氰化物污染晕情景预测结果</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820"/>
        <w:gridCol w:w="2582"/>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Align w:val="center"/>
          </w:tcPr>
          <w:p>
            <w:pPr>
              <w:pStyle w:val="63"/>
            </w:pPr>
            <w:r>
              <w:rPr>
                <w:rFonts w:hint="eastAsia"/>
              </w:rPr>
              <w:t>污染物种类</w:t>
            </w:r>
          </w:p>
        </w:tc>
        <w:tc>
          <w:tcPr>
            <w:tcW w:w="1068" w:type="pct"/>
            <w:vAlign w:val="center"/>
          </w:tcPr>
          <w:p>
            <w:pPr>
              <w:pStyle w:val="63"/>
            </w:pPr>
            <w:r>
              <w:rPr>
                <w:rFonts w:hint="eastAsia"/>
              </w:rPr>
              <w:t>运移时间（天）</w:t>
            </w:r>
          </w:p>
        </w:tc>
        <w:tc>
          <w:tcPr>
            <w:tcW w:w="1515" w:type="pct"/>
            <w:vAlign w:val="center"/>
          </w:tcPr>
          <w:p>
            <w:pPr>
              <w:pStyle w:val="63"/>
            </w:pPr>
            <w:r>
              <w:rPr>
                <w:rFonts w:hint="eastAsia"/>
              </w:rPr>
              <w:t>最远污染距离（m）</w:t>
            </w:r>
          </w:p>
        </w:tc>
        <w:tc>
          <w:tcPr>
            <w:tcW w:w="1514" w:type="pct"/>
            <w:vAlign w:val="center"/>
          </w:tcPr>
          <w:p>
            <w:pPr>
              <w:pStyle w:val="63"/>
            </w:pPr>
            <w:r>
              <w:rPr>
                <w:rFonts w:hint="eastAsia"/>
              </w:rPr>
              <w:t>污染面积（m</w:t>
            </w:r>
            <w: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Merge w:val="restart"/>
            <w:vAlign w:val="center"/>
          </w:tcPr>
          <w:p>
            <w:pPr>
              <w:pStyle w:val="63"/>
            </w:pPr>
            <w:r>
              <w:rPr>
                <w:rFonts w:hint="eastAsia"/>
              </w:rPr>
              <w:t>氰化物</w:t>
            </w:r>
          </w:p>
        </w:tc>
        <w:tc>
          <w:tcPr>
            <w:tcW w:w="1068" w:type="pct"/>
            <w:vAlign w:val="center"/>
          </w:tcPr>
          <w:p>
            <w:pPr>
              <w:pStyle w:val="63"/>
            </w:pPr>
            <w:r>
              <w:t>100</w:t>
            </w:r>
          </w:p>
        </w:tc>
        <w:tc>
          <w:tcPr>
            <w:tcW w:w="1515" w:type="pct"/>
            <w:vAlign w:val="center"/>
          </w:tcPr>
          <w:p>
            <w:pPr>
              <w:pStyle w:val="63"/>
            </w:pPr>
            <w:r>
              <w:rPr>
                <w:rFonts w:hint="eastAsia"/>
              </w:rPr>
              <w:t>22</w:t>
            </w:r>
          </w:p>
        </w:tc>
        <w:tc>
          <w:tcPr>
            <w:tcW w:w="1514" w:type="pct"/>
            <w:vAlign w:val="center"/>
          </w:tcPr>
          <w:p>
            <w:pPr>
              <w:pStyle w:val="63"/>
            </w:pPr>
            <w:r>
              <w:rPr>
                <w:rFonts w:hint="eastAsia"/>
              </w:rPr>
              <w:t>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Merge w:val="continue"/>
            <w:vAlign w:val="center"/>
          </w:tcPr>
          <w:p>
            <w:pPr>
              <w:pStyle w:val="63"/>
            </w:pPr>
          </w:p>
        </w:tc>
        <w:tc>
          <w:tcPr>
            <w:tcW w:w="1068" w:type="pct"/>
            <w:vAlign w:val="center"/>
          </w:tcPr>
          <w:p>
            <w:pPr>
              <w:pStyle w:val="63"/>
            </w:pPr>
            <w:r>
              <w:rPr>
                <w:rFonts w:hint="eastAsia"/>
              </w:rPr>
              <w:t>1000</w:t>
            </w:r>
          </w:p>
        </w:tc>
        <w:tc>
          <w:tcPr>
            <w:tcW w:w="1515" w:type="pct"/>
            <w:vAlign w:val="center"/>
          </w:tcPr>
          <w:p>
            <w:pPr>
              <w:pStyle w:val="63"/>
            </w:pPr>
            <w:r>
              <w:rPr>
                <w:rFonts w:hint="eastAsia"/>
              </w:rPr>
              <w:t>53</w:t>
            </w:r>
          </w:p>
        </w:tc>
        <w:tc>
          <w:tcPr>
            <w:tcW w:w="1514" w:type="pct"/>
            <w:vAlign w:val="center"/>
          </w:tcPr>
          <w:p>
            <w:pPr>
              <w:pStyle w:val="63"/>
            </w:pPr>
            <w:r>
              <w:rPr>
                <w:rFonts w:hint="eastAsia"/>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pct"/>
            <w:vMerge w:val="continue"/>
            <w:vAlign w:val="center"/>
          </w:tcPr>
          <w:p>
            <w:pPr>
              <w:pStyle w:val="63"/>
            </w:pPr>
          </w:p>
        </w:tc>
        <w:tc>
          <w:tcPr>
            <w:tcW w:w="1068" w:type="pct"/>
            <w:vAlign w:val="center"/>
          </w:tcPr>
          <w:p>
            <w:pPr>
              <w:pStyle w:val="63"/>
            </w:pPr>
            <w:r>
              <w:rPr>
                <w:rFonts w:hint="eastAsia"/>
              </w:rPr>
              <w:t>3600</w:t>
            </w:r>
          </w:p>
        </w:tc>
        <w:tc>
          <w:tcPr>
            <w:tcW w:w="1515" w:type="pct"/>
            <w:vAlign w:val="center"/>
          </w:tcPr>
          <w:p>
            <w:pPr>
              <w:pStyle w:val="63"/>
            </w:pPr>
            <w:r>
              <w:rPr>
                <w:rFonts w:hint="eastAsia"/>
              </w:rPr>
              <w:t>173</w:t>
            </w:r>
          </w:p>
        </w:tc>
        <w:tc>
          <w:tcPr>
            <w:tcW w:w="1514" w:type="pct"/>
            <w:vAlign w:val="center"/>
          </w:tcPr>
          <w:p>
            <w:pPr>
              <w:pStyle w:val="63"/>
            </w:pPr>
            <w:r>
              <w:rPr>
                <w:rFonts w:hint="eastAsia"/>
              </w:rPr>
              <w:t>10324</w:t>
            </w:r>
          </w:p>
        </w:tc>
      </w:tr>
    </w:tbl>
    <w:p>
      <w:pPr>
        <w:pStyle w:val="4"/>
      </w:pPr>
      <w:bookmarkStart w:id="607" w:name="_Toc146091973"/>
      <w:bookmarkStart w:id="608" w:name="_Toc126849642"/>
      <w:r>
        <w:rPr>
          <w:rFonts w:hint="eastAsia"/>
        </w:rPr>
        <w:t>6.6.5预测评价结论</w:t>
      </w:r>
      <w:bookmarkEnd w:id="607"/>
      <w:bookmarkEnd w:id="608"/>
    </w:p>
    <w:p>
      <w:pPr>
        <w:spacing w:line="360" w:lineRule="auto"/>
        <w:ind w:firstLine="480" w:firstLineChars="200"/>
        <w:rPr>
          <w:rFonts w:ascii="Times New Roman" w:hAnsi="Times New Roman" w:cs="Times New Roman"/>
        </w:rPr>
      </w:pPr>
      <w:r>
        <w:rPr>
          <w:rFonts w:ascii="Times New Roman" w:hAnsi="Times New Roman" w:cs="Times New Roman"/>
        </w:rPr>
        <w:t>正常状况下，按地下水环境导则要求采取防渗措施后，污染物不会对地下水造成污染，不进行预测。非正常状况下，污染物下渗进入地下水中，形成超标污染晕，其迁移方向主要受水动力场控制，向东北迁移，污染范围持续扩大。</w:t>
      </w:r>
    </w:p>
    <w:p>
      <w:pPr>
        <w:spacing w:line="360" w:lineRule="auto"/>
        <w:ind w:firstLine="480" w:firstLineChars="200"/>
        <w:rPr>
          <w:rFonts w:ascii="Times New Roman" w:hAnsi="Times New Roman" w:cs="Times New Roman"/>
        </w:rPr>
      </w:pPr>
      <w:r>
        <w:rPr>
          <w:rFonts w:ascii="Times New Roman" w:hAnsi="Times New Roman" w:cs="Times New Roman"/>
        </w:rPr>
        <w:t>在废水收集池非正常状况下，污染物COD在模型运行100天时，最远超标距离为47m，污染面积为1689m</w:t>
      </w:r>
      <w:r>
        <w:rPr>
          <w:rFonts w:ascii="Times New Roman" w:hAnsi="Times New Roman" w:cs="Times New Roman"/>
          <w:vertAlign w:val="superscript"/>
        </w:rPr>
        <w:t>2</w:t>
      </w:r>
      <w:r>
        <w:rPr>
          <w:rFonts w:ascii="Times New Roman" w:hAnsi="Times New Roman" w:cs="Times New Roman"/>
        </w:rPr>
        <w:t>；在模型运行1000天时，最远超标距离为141m，污染面积为6787m</w:t>
      </w:r>
      <w:r>
        <w:rPr>
          <w:rFonts w:ascii="Times New Roman" w:hAnsi="Times New Roman" w:cs="Times New Roman"/>
          <w:vertAlign w:val="superscript"/>
        </w:rPr>
        <w:t>2</w:t>
      </w:r>
      <w:r>
        <w:rPr>
          <w:rFonts w:ascii="Times New Roman" w:hAnsi="Times New Roman" w:cs="Times New Roman"/>
        </w:rPr>
        <w:t>；在模型运行3600天时，最远超标距离为225m，污染面积为11417m</w:t>
      </w:r>
      <w:r>
        <w:rPr>
          <w:rFonts w:ascii="Times New Roman" w:hAnsi="Times New Roman" w:cs="Times New Roman"/>
          <w:vertAlign w:val="superscript"/>
        </w:rPr>
        <w:t>2</w:t>
      </w:r>
      <w:r>
        <w:rPr>
          <w:rFonts w:ascii="Times New Roman" w:hAnsi="Times New Roman" w:cs="Times New Roman"/>
        </w:rPr>
        <w:t>，模拟期间污染物超出厂界范围，尚未达到下游居民饮用水井；污染物氨氮在模型运行100天时，最远超标距离为51m，污染面积为1887m</w:t>
      </w:r>
      <w:r>
        <w:rPr>
          <w:rFonts w:ascii="Times New Roman" w:hAnsi="Times New Roman" w:cs="Times New Roman"/>
          <w:vertAlign w:val="superscript"/>
        </w:rPr>
        <w:t>2</w:t>
      </w:r>
      <w:r>
        <w:rPr>
          <w:rFonts w:ascii="Times New Roman" w:hAnsi="Times New Roman" w:cs="Times New Roman"/>
        </w:rPr>
        <w:t>，在模型运行1000天时，最远超标距离为152m，污染面积为8132m</w:t>
      </w:r>
      <w:r>
        <w:rPr>
          <w:rFonts w:ascii="Times New Roman" w:hAnsi="Times New Roman" w:cs="Times New Roman"/>
          <w:vertAlign w:val="superscript"/>
        </w:rPr>
        <w:t>2</w:t>
      </w:r>
      <w:r>
        <w:rPr>
          <w:rFonts w:ascii="Times New Roman" w:hAnsi="Times New Roman" w:cs="Times New Roman"/>
        </w:rPr>
        <w:t>，在模型运行3600天时，最远超标距离为247m，污染面积为13827m</w:t>
      </w:r>
      <w:r>
        <w:rPr>
          <w:rFonts w:ascii="Times New Roman" w:hAnsi="Times New Roman" w:cs="Times New Roman"/>
          <w:vertAlign w:val="superscript"/>
        </w:rPr>
        <w:t>2</w:t>
      </w:r>
      <w:r>
        <w:rPr>
          <w:rFonts w:ascii="Times New Roman" w:hAnsi="Times New Roman" w:cs="Times New Roman"/>
        </w:rPr>
        <w:t>，模拟期间污染物超出厂界范围，尚未达到下游居民饮用水井；污染物氯化物在模型运行100天时，最远超标距离为21m，污染面积为931m</w:t>
      </w:r>
      <w:r>
        <w:rPr>
          <w:rFonts w:ascii="Times New Roman" w:hAnsi="Times New Roman" w:cs="Times New Roman"/>
          <w:vertAlign w:val="superscript"/>
        </w:rPr>
        <w:t>2</w:t>
      </w:r>
      <w:r>
        <w:rPr>
          <w:rFonts w:ascii="Times New Roman" w:hAnsi="Times New Roman" w:cs="Times New Roman"/>
        </w:rPr>
        <w:t>，在模型运行1000天时，最远超标距离为57m，污染面积为1997m</w:t>
      </w:r>
      <w:r>
        <w:rPr>
          <w:rFonts w:ascii="Times New Roman" w:hAnsi="Times New Roman" w:cs="Times New Roman"/>
          <w:vertAlign w:val="superscript"/>
        </w:rPr>
        <w:t>2</w:t>
      </w:r>
      <w:r>
        <w:rPr>
          <w:rFonts w:ascii="Times New Roman" w:hAnsi="Times New Roman" w:cs="Times New Roman"/>
        </w:rPr>
        <w:t>，在模型运行3600天时，最远超标距离为162m，污染面积为8175m</w:t>
      </w:r>
      <w:r>
        <w:rPr>
          <w:rFonts w:ascii="Times New Roman" w:hAnsi="Times New Roman" w:cs="Times New Roman"/>
          <w:vertAlign w:val="superscript"/>
        </w:rPr>
        <w:t>2</w:t>
      </w:r>
      <w:r>
        <w:rPr>
          <w:rFonts w:ascii="Times New Roman" w:hAnsi="Times New Roman" w:cs="Times New Roman"/>
        </w:rPr>
        <w:t>，模拟期间污染物超出厂界范围，尚未达到下游居民饮用水井。</w:t>
      </w:r>
    </w:p>
    <w:p>
      <w:pPr>
        <w:spacing w:line="360" w:lineRule="auto"/>
        <w:ind w:firstLine="480" w:firstLineChars="200"/>
        <w:rPr>
          <w:rFonts w:ascii="Times New Roman" w:hAnsi="Times New Roman" w:cs="Times New Roman"/>
        </w:rPr>
      </w:pPr>
      <w:r>
        <w:rPr>
          <w:rFonts w:ascii="Times New Roman" w:hAnsi="Times New Roman" w:cs="Times New Roman"/>
        </w:rPr>
        <w:t>在储罐区非正常状况下，污染物</w:t>
      </w:r>
      <w:r>
        <w:rPr>
          <w:rFonts w:hint="eastAsia" w:ascii="Times New Roman" w:hAnsi="Times New Roman" w:cs="Times New Roman"/>
        </w:rPr>
        <w:t>氰</w:t>
      </w:r>
      <w:r>
        <w:rPr>
          <w:rFonts w:ascii="Times New Roman" w:hAnsi="Times New Roman" w:cs="Times New Roman"/>
        </w:rPr>
        <w:t>化物在模型运行100天时，最远超标距离为2</w:t>
      </w:r>
      <w:r>
        <w:rPr>
          <w:rFonts w:hint="eastAsia" w:ascii="Times New Roman" w:hAnsi="Times New Roman" w:cs="Times New Roman"/>
        </w:rPr>
        <w:t>2</w:t>
      </w:r>
      <w:r>
        <w:rPr>
          <w:rFonts w:ascii="Times New Roman" w:hAnsi="Times New Roman" w:cs="Times New Roman"/>
        </w:rPr>
        <w:t>m，污染面积为7</w:t>
      </w:r>
      <w:r>
        <w:rPr>
          <w:rFonts w:hint="eastAsia" w:ascii="Times New Roman" w:hAnsi="Times New Roman" w:cs="Times New Roman"/>
        </w:rPr>
        <w:t>2</w:t>
      </w:r>
      <w:r>
        <w:rPr>
          <w:rFonts w:ascii="Times New Roman" w:hAnsi="Times New Roman" w:cs="Times New Roman"/>
        </w:rPr>
        <w:t>8m</w:t>
      </w:r>
      <w:r>
        <w:rPr>
          <w:rFonts w:ascii="Times New Roman" w:hAnsi="Times New Roman" w:cs="Times New Roman"/>
          <w:vertAlign w:val="superscript"/>
        </w:rPr>
        <w:t>2</w:t>
      </w:r>
      <w:r>
        <w:rPr>
          <w:rFonts w:ascii="Times New Roman" w:hAnsi="Times New Roman" w:cs="Times New Roman"/>
        </w:rPr>
        <w:t>；在模型运行1000天时，最远超标距离为5</w:t>
      </w:r>
      <w:r>
        <w:rPr>
          <w:rFonts w:hint="eastAsia" w:ascii="Times New Roman" w:hAnsi="Times New Roman" w:cs="Times New Roman"/>
        </w:rPr>
        <w:t>3</w:t>
      </w:r>
      <w:r>
        <w:rPr>
          <w:rFonts w:ascii="Times New Roman" w:hAnsi="Times New Roman" w:cs="Times New Roman"/>
        </w:rPr>
        <w:t>m，污染面积为2</w:t>
      </w:r>
      <w:r>
        <w:rPr>
          <w:rFonts w:hint="eastAsia" w:ascii="Times New Roman" w:hAnsi="Times New Roman" w:cs="Times New Roman"/>
        </w:rPr>
        <w:t>011</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；在模型运行3600天时，最远超标距离为17</w:t>
      </w:r>
      <w:r>
        <w:rPr>
          <w:rFonts w:hint="eastAsia" w:ascii="Times New Roman" w:hAnsi="Times New Roman" w:cs="Times New Roman"/>
        </w:rPr>
        <w:t>3</w:t>
      </w:r>
      <w:r>
        <w:rPr>
          <w:rFonts w:ascii="Times New Roman" w:hAnsi="Times New Roman" w:cs="Times New Roman"/>
        </w:rPr>
        <w:t>m，污染面积为</w:t>
      </w:r>
      <w:r>
        <w:rPr>
          <w:rFonts w:hint="eastAsia" w:ascii="Times New Roman" w:hAnsi="Times New Roman" w:cs="Times New Roman"/>
        </w:rPr>
        <w:t>10324</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，模拟期间，污染物均超出厂界范围，但尚未达到下游居民饮用水井；污染物甲苯在模型运行100天时，最远超标距离为19m，污染面积为698m</w:t>
      </w:r>
      <w:r>
        <w:rPr>
          <w:rFonts w:ascii="Times New Roman" w:hAnsi="Times New Roman" w:cs="Times New Roman"/>
          <w:vertAlign w:val="superscript"/>
        </w:rPr>
        <w:t>2</w:t>
      </w:r>
      <w:r>
        <w:rPr>
          <w:rFonts w:ascii="Times New Roman" w:hAnsi="Times New Roman" w:cs="Times New Roman"/>
        </w:rPr>
        <w:t>；在模型运行1000天时，最远超标距离为47m，污染面积为1877m</w:t>
      </w:r>
      <w:r>
        <w:rPr>
          <w:rFonts w:ascii="Times New Roman" w:hAnsi="Times New Roman" w:cs="Times New Roman"/>
          <w:vertAlign w:val="superscript"/>
        </w:rPr>
        <w:t>2</w:t>
      </w:r>
      <w:r>
        <w:rPr>
          <w:rFonts w:ascii="Times New Roman" w:hAnsi="Times New Roman" w:cs="Times New Roman"/>
        </w:rPr>
        <w:t>；在模型运行3600天时，最远超标距离为161m，污染面积为8132m</w:t>
      </w:r>
      <w:r>
        <w:rPr>
          <w:rFonts w:ascii="Times New Roman" w:hAnsi="Times New Roman" w:cs="Times New Roman"/>
          <w:vertAlign w:val="superscript"/>
        </w:rPr>
        <w:t>2</w:t>
      </w:r>
      <w:r>
        <w:rPr>
          <w:rFonts w:ascii="Times New Roman" w:hAnsi="Times New Roman" w:cs="Times New Roman"/>
        </w:rPr>
        <w:t>，模拟期间，污染物均超出厂界范围，但尚未达到下游居民饮用水井。</w:t>
      </w:r>
      <w:r>
        <w:rPr>
          <w:rFonts w:hint="eastAsia" w:ascii="Times New Roman" w:hAnsi="Times New Roman" w:cs="Times New Roman"/>
        </w:rPr>
        <w:t>污染物二氯甲烷</w:t>
      </w:r>
      <w:r>
        <w:rPr>
          <w:rFonts w:ascii="Times New Roman" w:hAnsi="Times New Roman" w:cs="Times New Roman"/>
        </w:rPr>
        <w:t>在模型运行100天时，最远超标距离为15m，污染面积为498m</w:t>
      </w:r>
      <w:r>
        <w:rPr>
          <w:rFonts w:ascii="Times New Roman" w:hAnsi="Times New Roman" w:cs="Times New Roman"/>
          <w:vertAlign w:val="superscript"/>
        </w:rPr>
        <w:t>2</w:t>
      </w:r>
      <w:r>
        <w:rPr>
          <w:rFonts w:ascii="Times New Roman" w:hAnsi="Times New Roman" w:cs="Times New Roman"/>
        </w:rPr>
        <w:t>；在模型运行1000天时，最远超标距离为41m，污染面积为1437m</w:t>
      </w:r>
      <w:r>
        <w:rPr>
          <w:rFonts w:ascii="Times New Roman" w:hAnsi="Times New Roman" w:cs="Times New Roman"/>
          <w:vertAlign w:val="superscript"/>
        </w:rPr>
        <w:t>2</w:t>
      </w:r>
      <w:r>
        <w:rPr>
          <w:rFonts w:ascii="Times New Roman" w:hAnsi="Times New Roman" w:cs="Times New Roman"/>
        </w:rPr>
        <w:t>；在模型运行3600天时，最远超标距离为134m，污染面积为6317m</w:t>
      </w:r>
      <w:r>
        <w:rPr>
          <w:rFonts w:ascii="Times New Roman" w:hAnsi="Times New Roman" w:cs="Times New Roman"/>
          <w:vertAlign w:val="superscript"/>
        </w:rPr>
        <w:t>2</w:t>
      </w:r>
      <w:r>
        <w:rPr>
          <w:rFonts w:ascii="Times New Roman" w:hAnsi="Times New Roman" w:cs="Times New Roman"/>
        </w:rPr>
        <w:t>，模拟期间，污染物超出厂界范围，但尚未达到下游居民饮用水井。</w:t>
      </w:r>
    </w:p>
    <w:p>
      <w:pPr>
        <w:spacing w:line="360" w:lineRule="auto"/>
        <w:ind w:firstLine="480" w:firstLineChars="200"/>
      </w:pPr>
      <w:r>
        <w:rPr>
          <w:rFonts w:ascii="Times New Roman" w:hAnsi="Times New Roman" w:cs="Times New Roman"/>
        </w:rPr>
        <w:t>建议在污染装置下布设防渗措施，并在其下游布设监测井和应急抽排水井，防止地下水污染物对场区外地下水环境造成影响</w:t>
      </w:r>
    </w:p>
    <w:bookmarkEnd w:id="552"/>
    <w:p>
      <w:pPr>
        <w:pStyle w:val="4"/>
      </w:pPr>
      <w:bookmarkStart w:id="609" w:name="_Toc146091974"/>
      <w:bookmarkStart w:id="610" w:name="_Toc39489906"/>
      <w:r>
        <w:t>6.6.</w:t>
      </w:r>
      <w:r>
        <w:rPr>
          <w:rFonts w:hint="eastAsia"/>
        </w:rPr>
        <w:t>6</w:t>
      </w:r>
      <w:r>
        <w:t xml:space="preserve"> 地下水预测小结</w:t>
      </w:r>
      <w:bookmarkEnd w:id="609"/>
      <w:bookmarkEnd w:id="610"/>
    </w:p>
    <w:p>
      <w:pPr>
        <w:spacing w:line="360" w:lineRule="auto"/>
        <w:ind w:firstLine="480" w:firstLineChars="200"/>
      </w:pPr>
      <w:r>
        <w:t>预测结果表明：在污染物非正常泄漏后对，对周围地下水环境影响范围相对较小。同时，规划园区入驻各企业应在生产装置区、高、低浓度废水收集池等易发生泄漏的场所地需进行重点防渗处理；因此，对地下水的影响是微弱的。</w:t>
      </w:r>
    </w:p>
    <w:p>
      <w:pPr>
        <w:spacing w:line="360" w:lineRule="auto"/>
        <w:ind w:firstLine="480" w:firstLineChars="200"/>
      </w:pPr>
      <w:r>
        <w:t>规划园区入驻各企业对地下水可能受污染的区域以及按照相关要求进行设置重点防渗措施，特殊区域主要包括污染装置区和厂区内各构筑物防渗参照《环境影响评价技术导则 地下水环境》（HJ610-2016）和相应行业标准规范中相关防渗要求进行防渗，对一般区域采取“基础层+天然材料衬层”防渗，同时对防渗区域填土垫高，设置观测井等措施，只要措施得当，运营过程中基本不会发生污染区域地下水的事件，故从地下水环境保护角度看，规划实施对区域地下水环境的影响在可控范围内，其影响是可以接受的。</w:t>
      </w:r>
    </w:p>
    <w:p>
      <w:pPr>
        <w:pStyle w:val="3"/>
      </w:pPr>
      <w:bookmarkStart w:id="611" w:name="_Toc74120825"/>
      <w:bookmarkStart w:id="612" w:name="_Toc93071884"/>
      <w:bookmarkStart w:id="613" w:name="_Toc146091975"/>
      <w:bookmarkStart w:id="614" w:name="_Toc47380220"/>
      <w:bookmarkStart w:id="615" w:name="_Toc12951425"/>
      <w:r>
        <w:t>6.7生态环境影响分析</w:t>
      </w:r>
      <w:bookmarkEnd w:id="611"/>
      <w:bookmarkEnd w:id="612"/>
      <w:bookmarkEnd w:id="613"/>
    </w:p>
    <w:p>
      <w:pPr>
        <w:spacing w:line="360" w:lineRule="auto"/>
        <w:ind w:firstLine="480" w:firstLineChars="200"/>
      </w:pPr>
      <w:r>
        <w:t>园区属于亚热带季风气候，四季分明，春季多雨，秋季晴朗干旱，常年多雾，为各种动植物的生长繁殖提供了适宜的环境，园内及松杨湖周围植物生长较好，在未开发区域还有低矮丘陵零星分布，树木繁茂，种类较多，其主要种类如下：</w:t>
      </w:r>
    </w:p>
    <w:p>
      <w:pPr>
        <w:spacing w:line="360" w:lineRule="auto"/>
        <w:ind w:firstLine="480" w:firstLineChars="200"/>
      </w:pPr>
      <w:r>
        <w:t>林木类：马尾松、杉木、小叶砾、苦精、石砾、特树、棒树喜树、植桐、枣，榕叶冬青，根桃、珍珠莲等生种野。</w:t>
      </w:r>
    </w:p>
    <w:p>
      <w:pPr>
        <w:spacing w:line="360" w:lineRule="auto"/>
        <w:ind w:firstLine="480" w:firstLineChars="200"/>
      </w:pPr>
      <w:r>
        <w:t>灌木类：问期，会搜子，盐肤木，朝椒，水竹、操竹、油茶、鸡婆糊、相枝子、黄栀子，野鸦椿等。丰高的植物位源为动物的栖息，提供了重要条件。园区内除桥息着诸多鸟类如斑鸣，野鸡等外，蛇，野兔、野鼠等也经常出现。</w:t>
      </w:r>
    </w:p>
    <w:p>
      <w:pPr>
        <w:spacing w:line="360" w:lineRule="auto"/>
        <w:ind w:firstLine="480" w:firstLineChars="200"/>
      </w:pPr>
      <w:r>
        <w:t>依据《中国植被》划分类型的原则，园区内的植被可以分为针叶林、阔叶林和灌丛、从园区的建设情况来看，园区已开发区域有明显的人类干扰的痕迹，植被和动植物的数量锐减，而未开发的园区范围内植被和动植物情况基本保持原貌。园区规划范围内区域生态环境一般。</w:t>
      </w:r>
    </w:p>
    <w:p>
      <w:pPr>
        <w:pStyle w:val="4"/>
      </w:pPr>
      <w:bookmarkStart w:id="616" w:name="_Toc146091976"/>
      <w:r>
        <w:t>6.7.1 土地利用类型的变化</w:t>
      </w:r>
      <w:bookmarkEnd w:id="616"/>
    </w:p>
    <w:p>
      <w:pPr>
        <w:spacing w:line="360" w:lineRule="auto"/>
        <w:ind w:firstLine="480" w:firstLineChars="200"/>
      </w:pPr>
      <w:r>
        <w:t>在园区后续发展过程中，土地的利用类型发生较大的改变，其中农业用地面积将大大减少，工业用地及其相关用地将大幅度增加，这种用地类型的改变是不可避免的，也是不可逆转的，这种改变会造成一定的土壤环境破坏。</w:t>
      </w:r>
    </w:p>
    <w:p>
      <w:pPr>
        <w:spacing w:line="360" w:lineRule="auto"/>
        <w:ind w:firstLine="480" w:firstLineChars="200"/>
      </w:pPr>
      <w:r>
        <w:t>规划区内耕地将全部被征收，区内多数农民将失去土地，规划区内农民需要拆迁至安置区内，农民的生产、生活将发生质的改变，由依赖农业生产的农业人口转化为城镇人口，这种变化将对农民的生活带来较大的影响，园区应按照国家相关政策做好拆迁补偿和安置工作，同时还应为拆迁户居民提供就业机会，减少拆迁对社会环境的不利影响。</w:t>
      </w:r>
    </w:p>
    <w:p>
      <w:pPr>
        <w:spacing w:line="360" w:lineRule="auto"/>
        <w:ind w:firstLine="480" w:firstLineChars="200"/>
      </w:pPr>
      <w:r>
        <w:t>同时随着园区的开发，原有的农林生产绿地系统被园区规划的工业用地、配套设施用地、防护绿地绿地等取代，区域景观格局将彻底改变。</w:t>
      </w:r>
    </w:p>
    <w:p>
      <w:pPr>
        <w:pStyle w:val="4"/>
      </w:pPr>
      <w:bookmarkStart w:id="617" w:name="_Toc146091977"/>
      <w:r>
        <w:t>6.7.2 生态结构影响分析</w:t>
      </w:r>
      <w:bookmarkEnd w:id="617"/>
    </w:p>
    <w:p>
      <w:pPr>
        <w:spacing w:line="360" w:lineRule="auto"/>
        <w:ind w:firstLine="480" w:firstLineChars="200"/>
      </w:pPr>
      <w:r>
        <w:t>园区规划拟建地现状大部分为林地以及居民建筑用地，是一个城乡结合带的生态系统，随着规划方案的逐步实施，所在区域的土地利用将由目前的以农业用地为主的方式转变为以工业和仓储用地为主，生态系统也将由农业生态系统转变为城市生态系统。</w:t>
      </w:r>
    </w:p>
    <w:p>
      <w:pPr>
        <w:spacing w:line="360" w:lineRule="auto"/>
        <w:ind w:firstLine="480" w:firstLineChars="200"/>
      </w:pPr>
      <w:r>
        <w:t>（1）人口增加的影响</w:t>
      </w:r>
    </w:p>
    <w:p>
      <w:pPr>
        <w:spacing w:line="360" w:lineRule="auto"/>
        <w:ind w:firstLine="480" w:firstLineChars="200"/>
      </w:pPr>
      <w:r>
        <w:t>园区处于岳阳市临湘市，是城市向农村过渡地带，兼有城市和农村双重特征。人口的增加，将会对区域生态环境带来一系列问题，主要如下：</w:t>
      </w:r>
    </w:p>
    <w:p>
      <w:pPr>
        <w:spacing w:line="360" w:lineRule="auto"/>
        <w:ind w:firstLine="480" w:firstLineChars="200"/>
      </w:pPr>
      <w:r>
        <w:t>1）对土地资源的压力</w:t>
      </w:r>
    </w:p>
    <w:p>
      <w:pPr>
        <w:spacing w:line="360" w:lineRule="auto"/>
        <w:ind w:firstLine="480" w:firstLineChars="200"/>
      </w:pPr>
      <w:r>
        <w:t>人口的增加，一系列住房、教育、工作、休闲和交通等配套设施将随之增加，其占用土地量也随之增加，林地和农田面积将随之减少，部分动物失去生存环境或食物来源而被迫迁徙。</w:t>
      </w:r>
    </w:p>
    <w:p>
      <w:pPr>
        <w:spacing w:line="360" w:lineRule="auto"/>
        <w:ind w:firstLine="480" w:firstLineChars="200"/>
      </w:pPr>
      <w:r>
        <w:t>2）对水资源的压力</w:t>
      </w:r>
    </w:p>
    <w:p>
      <w:pPr>
        <w:spacing w:line="360" w:lineRule="auto"/>
        <w:ind w:firstLine="480" w:firstLineChars="200"/>
      </w:pPr>
      <w:r>
        <w:t>随着人口的增加其生产生活用水将随之增加，需要利用更多的水资源，污染物排放量增加，增加了水的自净负荷。</w:t>
      </w:r>
    </w:p>
    <w:p>
      <w:pPr>
        <w:spacing w:line="360" w:lineRule="auto"/>
        <w:ind w:firstLine="480" w:firstLineChars="200"/>
      </w:pPr>
      <w:r>
        <w:t>3）能源的压力</w:t>
      </w:r>
    </w:p>
    <w:p>
      <w:pPr>
        <w:spacing w:line="360" w:lineRule="auto"/>
        <w:ind w:firstLine="480" w:firstLineChars="200"/>
      </w:pPr>
      <w:r>
        <w:t>随着人口增加和经济发展，人类对能源的需求量越来越大。车用汽油、液化天然气等燃料的利用量越来越大，一方面缩短了其耗竭时间，另一方面释放出大量的SO2、NOx和粉尘，使当地空气环境质量下降，并且给周围生物的生长带来不同程度的影响。</w:t>
      </w:r>
    </w:p>
    <w:p>
      <w:pPr>
        <w:spacing w:line="360" w:lineRule="auto"/>
        <w:ind w:firstLine="480" w:firstLineChars="200"/>
      </w:pPr>
      <w:r>
        <w:t>（2）植被的变化</w:t>
      </w:r>
    </w:p>
    <w:p>
      <w:pPr>
        <w:spacing w:line="360" w:lineRule="auto"/>
        <w:ind w:firstLine="480" w:firstLineChars="200"/>
      </w:pPr>
      <w:r>
        <w:t>园区调扩区完成后，现有的林地将被建设用地所取代，现有的菜地农田将全部消失，人工栽种的花草树木将取而代之，主要功能是防污防噪、防护隔离等，主要是街头绿化，由于人类活动，这些绿地已无林地生态系统功能，成为高新区生态系统的一部分，美化景观成为其主要作用。其对区域生态环境的影响主要有以下几方面。</w:t>
      </w:r>
    </w:p>
    <w:p>
      <w:pPr>
        <w:spacing w:line="360" w:lineRule="auto"/>
        <w:ind w:firstLine="480" w:firstLineChars="200"/>
      </w:pPr>
      <w:r>
        <w:t>1）区域生态系统完整性下降</w:t>
      </w:r>
    </w:p>
    <w:p>
      <w:pPr>
        <w:spacing w:line="360" w:lineRule="auto"/>
        <w:ind w:firstLine="480" w:firstLineChars="200"/>
      </w:pPr>
      <w:r>
        <w:t>园区规划区域原是以农业和林业生态系统为主，生态系统较为完整。建成后，车间厂房代替了林地、农田，形成了城市生态系统，周围自然生态系统的全面连通被隔开，物质和能量流动能力下降，区域生态系统的完整性将被迫形成新的平衡，但其功能和质量将有所下降。</w:t>
      </w:r>
    </w:p>
    <w:p>
      <w:pPr>
        <w:spacing w:line="360" w:lineRule="auto"/>
        <w:ind w:firstLine="480" w:firstLineChars="200"/>
      </w:pPr>
      <w:r>
        <w:t>2）区域生物多样性程度降低</w:t>
      </w:r>
    </w:p>
    <w:p>
      <w:pPr>
        <w:spacing w:line="360" w:lineRule="auto"/>
        <w:ind w:firstLine="480" w:firstLineChars="200"/>
      </w:pPr>
      <w:r>
        <w:t>园区的建设是一个由相对自然的生态系统向人工城市生态系统转变的过程，人工景观逐步取代了自然景观，特别是生产生活建筑和人工绿地取代了自然山林，人工绿地由于加上频繁干扰和环境污染，对鸟类、兽类和两栖爬行类动物产生了一定影响，各生物群落的丰富度及其物种多样性将随着高新区建设而逐步下降。而物种多样性的下降、区域生态系统间的物质能量流动程度相对削弱、生物链中的生产者减少，因此，区域生态系统多样性在一定程度上有所下降。</w:t>
      </w:r>
    </w:p>
    <w:p>
      <w:pPr>
        <w:spacing w:line="360" w:lineRule="auto"/>
        <w:ind w:firstLine="480" w:firstLineChars="200"/>
      </w:pPr>
      <w:r>
        <w:t>综上所述，随着园区的建设，区内生态结构发生较大变化，其所在区域的生态系统将被迫形成新的平衡，而此水平的平衡无论在其完整性、恢复性和生物多样性方面均比原来有所下降。</w:t>
      </w:r>
    </w:p>
    <w:p>
      <w:pPr>
        <w:spacing w:line="360" w:lineRule="auto"/>
        <w:ind w:firstLine="480" w:firstLineChars="200"/>
      </w:pPr>
      <w:r>
        <w:t>（3）对动物的影响</w:t>
      </w:r>
    </w:p>
    <w:p>
      <w:pPr>
        <w:spacing w:line="360" w:lineRule="auto"/>
        <w:ind w:firstLine="480" w:firstLineChars="200"/>
      </w:pPr>
      <w:r>
        <w:t>随着园区的开发建设，区内的各种动物都会因为受扰而四处逃离，大部分都将转移到区外，区内现有动物种类和数量将会大幅下降。</w:t>
      </w:r>
    </w:p>
    <w:p>
      <w:pPr>
        <w:spacing w:line="360" w:lineRule="auto"/>
        <w:ind w:firstLine="480" w:firstLineChars="200"/>
      </w:pPr>
      <w:bookmarkStart w:id="618" w:name="_Toc79559734"/>
      <w:bookmarkStart w:id="619" w:name="_Toc79901494"/>
      <w:bookmarkStart w:id="620" w:name="_Toc70255413"/>
      <w:bookmarkStart w:id="621" w:name="_Toc70253978"/>
      <w:bookmarkStart w:id="622" w:name="_Toc75261975"/>
      <w:bookmarkStart w:id="623" w:name="_Toc70678111"/>
      <w:bookmarkStart w:id="624" w:name="_Toc79297454"/>
      <w:bookmarkStart w:id="625" w:name="_Toc153807333"/>
      <w:r>
        <w:t>1）对鸟类的影响</w:t>
      </w:r>
      <w:bookmarkEnd w:id="618"/>
      <w:bookmarkEnd w:id="619"/>
      <w:bookmarkEnd w:id="620"/>
      <w:bookmarkEnd w:id="621"/>
      <w:bookmarkEnd w:id="622"/>
      <w:bookmarkEnd w:id="623"/>
      <w:bookmarkEnd w:id="624"/>
      <w:bookmarkEnd w:id="625"/>
    </w:p>
    <w:p>
      <w:pPr>
        <w:spacing w:line="360" w:lineRule="auto"/>
        <w:ind w:firstLine="480" w:firstLineChars="200"/>
      </w:pPr>
      <w:r>
        <w:t>园区的发展是一个由原来相对自然的土地向城市用地和工业用地转化的过程，在此过程中对鸟类产生影响：</w:t>
      </w:r>
      <w:r>
        <w:fldChar w:fldCharType="begin"/>
      </w:r>
      <w:r>
        <w:instrText xml:space="preserve"> = 1 \* GB3 </w:instrText>
      </w:r>
      <w:r>
        <w:fldChar w:fldCharType="separate"/>
      </w:r>
      <w:r>
        <w:rPr>
          <w:rFonts w:hint="eastAsia"/>
        </w:rPr>
        <w:t>①</w:t>
      </w:r>
      <w:r>
        <w:fldChar w:fldCharType="end"/>
      </w:r>
      <w:r>
        <w:t>人造景观逐渐取代了自然景观，特别是建筑和人工树木取代了自然林地；</w:t>
      </w:r>
      <w:r>
        <w:fldChar w:fldCharType="begin"/>
      </w:r>
      <w:r>
        <w:instrText xml:space="preserve"> = 2 \* GB3 </w:instrText>
      </w:r>
      <w:r>
        <w:fldChar w:fldCharType="separate"/>
      </w:r>
      <w:r>
        <w:rPr>
          <w:rFonts w:hint="eastAsia"/>
        </w:rPr>
        <w:t>②</w:t>
      </w:r>
      <w:r>
        <w:fldChar w:fldCharType="end"/>
      </w:r>
      <w:r>
        <w:t>干扰频繁，污染相对严重。</w:t>
      </w:r>
      <w:r>
        <w:fldChar w:fldCharType="begin"/>
      </w:r>
      <w:r>
        <w:instrText xml:space="preserve"> = 3 \* GB3 </w:instrText>
      </w:r>
      <w:r>
        <w:fldChar w:fldCharType="separate"/>
      </w:r>
      <w:r>
        <w:rPr>
          <w:rFonts w:hint="eastAsia"/>
        </w:rPr>
        <w:t>③</w:t>
      </w:r>
      <w:r>
        <w:fldChar w:fldCharType="end"/>
      </w:r>
      <w:r>
        <w:t>绿地呈斑块状分布，对于鸟类来说犹如一座座“栖息地岛屿”。</w:t>
      </w:r>
      <w:r>
        <w:rPr>
          <w:rFonts w:hint="eastAsia"/>
        </w:rPr>
        <w:t>④</w:t>
      </w:r>
      <w:r>
        <w:t>鸟类群落的丰富度（物种数）和物种多样性将随着开发程度的提高而下降。</w:t>
      </w:r>
    </w:p>
    <w:p>
      <w:pPr>
        <w:spacing w:line="360" w:lineRule="auto"/>
        <w:ind w:firstLine="480" w:firstLineChars="200"/>
      </w:pPr>
      <w:bookmarkStart w:id="626" w:name="_Toc79901495"/>
      <w:bookmarkStart w:id="627" w:name="_Toc79297455"/>
      <w:bookmarkStart w:id="628" w:name="_Toc70678112"/>
      <w:bookmarkStart w:id="629" w:name="_Toc79559735"/>
      <w:bookmarkStart w:id="630" w:name="_Toc153807334"/>
      <w:r>
        <w:t>2）对兽类资源的影响</w:t>
      </w:r>
      <w:bookmarkEnd w:id="626"/>
      <w:bookmarkEnd w:id="627"/>
      <w:bookmarkEnd w:id="628"/>
      <w:bookmarkEnd w:id="629"/>
      <w:bookmarkEnd w:id="630"/>
    </w:p>
    <w:p>
      <w:pPr>
        <w:spacing w:line="360" w:lineRule="auto"/>
        <w:ind w:firstLine="480" w:firstLineChars="200"/>
      </w:pPr>
      <w:r>
        <w:t>园区现状人类干扰程度较大，已少有兽类动物的踪迹，随着园区的发展和开发，自然栖息地变更不但降低了兽类物种多样性，破坏了生物资源，而且带来了许多生态环境问题，自然栖息地的变更，特别是其面积减少、破碎和质量下降，造成已有稀少的兽类动物向周边同样生境的区域进行迁移，同时园区开发建设过程会带来次生环境，许多适应于次生环境的害虫和害鼠猖撅。</w:t>
      </w:r>
      <w:bookmarkStart w:id="631" w:name="_Toc70678113"/>
      <w:bookmarkStart w:id="632" w:name="_Toc70255414"/>
      <w:bookmarkStart w:id="633" w:name="_Toc75261976"/>
      <w:bookmarkStart w:id="634" w:name="_Toc70253979"/>
    </w:p>
    <w:p>
      <w:pPr>
        <w:spacing w:line="360" w:lineRule="auto"/>
        <w:ind w:firstLine="480" w:firstLineChars="200"/>
      </w:pPr>
      <w:bookmarkStart w:id="635" w:name="_Toc79901496"/>
      <w:bookmarkStart w:id="636" w:name="_Toc79559736"/>
      <w:bookmarkStart w:id="637" w:name="_Toc153807335"/>
      <w:bookmarkStart w:id="638" w:name="_Toc79297456"/>
      <w:r>
        <w:t>3）对两栖爬行类的影响</w:t>
      </w:r>
      <w:bookmarkEnd w:id="631"/>
      <w:bookmarkEnd w:id="632"/>
      <w:bookmarkEnd w:id="633"/>
      <w:bookmarkEnd w:id="634"/>
      <w:bookmarkEnd w:id="635"/>
      <w:bookmarkEnd w:id="636"/>
      <w:bookmarkEnd w:id="637"/>
      <w:bookmarkEnd w:id="638"/>
    </w:p>
    <w:p>
      <w:pPr>
        <w:spacing w:line="360" w:lineRule="auto"/>
        <w:ind w:firstLine="480" w:firstLineChars="200"/>
      </w:pPr>
      <w:r>
        <w:t>与鸟类、兽类相比，两栖爬行类的迁移能力较弱，对环境的依赖性较强，生活范围较为狭窄。由于园区兴建，工业的发展和当地农林生产活动中农药和除草剂的使用，以及填补坑洼、筑房建舍等将对两栖爬行动物的栖息地和生态环境造成了较大的影响，使其繁衍生息之地越来越狭窄，再加上人为的滥捕灭杀，致使其数量急剧下降。应从生态系统和生物多样性的原则出发，加强宣传、引导和保护。</w:t>
      </w:r>
    </w:p>
    <w:p>
      <w:pPr>
        <w:pStyle w:val="4"/>
      </w:pPr>
      <w:bookmarkStart w:id="639" w:name="_Toc146091978"/>
      <w:r>
        <w:t>6.7.3 地表结构的影响分析</w:t>
      </w:r>
      <w:bookmarkEnd w:id="639"/>
    </w:p>
    <w:p>
      <w:pPr>
        <w:spacing w:line="360" w:lineRule="auto"/>
        <w:ind w:firstLine="480" w:firstLineChars="200"/>
      </w:pPr>
      <w:r>
        <w:t>由于园区工厂企业、道路等的建设，会改变现在的地表结构，园区规划区域内原有可渗透的农林用地，大部分将变为不可渗透的人工地面，由于地表覆盖层的改变，降雨时的地表径流量将会增加，该地区水的补给量将会减少，但人工地面的建设可以减少扬尘的产生。</w:t>
      </w:r>
    </w:p>
    <w:p>
      <w:pPr>
        <w:pStyle w:val="4"/>
      </w:pPr>
      <w:bookmarkStart w:id="640" w:name="_Toc146091979"/>
      <w:r>
        <w:t>6.7.4 生态功能</w:t>
      </w:r>
      <w:r>
        <w:rPr>
          <w:rFonts w:hint="eastAsia"/>
        </w:rPr>
        <w:t>及生态红线</w:t>
      </w:r>
      <w:r>
        <w:t>的影响分析</w:t>
      </w:r>
      <w:bookmarkEnd w:id="640"/>
    </w:p>
    <w:p>
      <w:pPr>
        <w:spacing w:line="360" w:lineRule="auto"/>
        <w:ind w:firstLine="480" w:firstLineChars="200"/>
      </w:pPr>
      <w:r>
        <w:t>随着开发程度的不断深入，区内的地表植被类型、植被覆盖率等均会发生变化，使得生态系统的固碳放氧生态功能发生变化，同时地表硬化面积的增加，会使得地表降雨径流增加，降雨下渗水量减少，使得生态系统调节气候能力发生变化。</w:t>
      </w:r>
    </w:p>
    <w:p>
      <w:pPr>
        <w:spacing w:line="360" w:lineRule="auto"/>
        <w:ind w:firstLine="480" w:firstLineChars="200"/>
      </w:pPr>
      <w:r>
        <w:rPr>
          <w:rFonts w:hint="eastAsia"/>
        </w:rPr>
        <w:t>根据6.8章节对特殊敏感区环境影响分析结果，在园区开发按照本次规划环评提出的环境风险防控措施的前提下，园区开发对生态红线影响可控。</w:t>
      </w:r>
    </w:p>
    <w:p>
      <w:pPr>
        <w:pStyle w:val="4"/>
      </w:pPr>
      <w:bookmarkStart w:id="641" w:name="_Toc146091980"/>
      <w:r>
        <w:t>6.7.5 景观影响</w:t>
      </w:r>
      <w:bookmarkEnd w:id="641"/>
    </w:p>
    <w:p>
      <w:pPr>
        <w:spacing w:line="360" w:lineRule="auto"/>
        <w:ind w:firstLine="480" w:firstLineChars="200"/>
      </w:pPr>
      <w:r>
        <w:t>园区建成后，现有主要景观是林地、农田、园地、农舍，整个区域的景观将会发生根本性的变化，绿地、道路贯穿其中，集中的居民住宅区、工业厂房、商业建筑将代替散乱的农舍，由农林乡村景观变成城市景观。给人的视觉感受完全不同，由农林乡村景观的闲适、安逸到城市景观的整齐、紧凑。</w:t>
      </w:r>
    </w:p>
    <w:p>
      <w:pPr>
        <w:pStyle w:val="4"/>
      </w:pPr>
      <w:bookmarkStart w:id="642" w:name="_Toc146091981"/>
      <w:r>
        <w:t>6.7.6 水土流失影响</w:t>
      </w:r>
      <w:bookmarkEnd w:id="642"/>
    </w:p>
    <w:p>
      <w:pPr>
        <w:spacing w:line="360" w:lineRule="auto"/>
        <w:ind w:firstLine="480" w:firstLineChars="200"/>
      </w:pPr>
      <w:r>
        <w:t>在开发建设过程中，扰动地貌、平整造成地表植被破坏和土壤裸露，遇到暴风雨天气，极易引起水土流失。尤其是堆土场稳定性较差时，遇暴雨冲刷，进入周围水体，会造成淤积河道、池塘等。</w:t>
      </w:r>
    </w:p>
    <w:p>
      <w:pPr>
        <w:spacing w:line="360" w:lineRule="auto"/>
        <w:ind w:firstLine="480" w:firstLineChars="200"/>
      </w:pPr>
      <w:r>
        <w:t>水土流失主要发生在建设期，规划实施过程采用工程措施与生物措施相结合，园区建成后，按其功能区域设置有绿化防护绿地等。此外，除了植树种草外，大部分路面均铺水泥路面，因此，建设阶段产生的水土流失会随项目的建成而基本结束。</w:t>
      </w:r>
    </w:p>
    <w:p>
      <w:pPr>
        <w:spacing w:line="360" w:lineRule="auto"/>
        <w:ind w:firstLine="480" w:firstLineChars="200"/>
      </w:pPr>
      <w:r>
        <w:t>但如果施工不当或不采取任何防护措施，仍会产生局部水土流失。本报告仅对开发区建设可能造成的水土流失作定性分析，不进行定量预测。</w:t>
      </w:r>
    </w:p>
    <w:p>
      <w:pPr>
        <w:spacing w:line="360" w:lineRule="auto"/>
        <w:ind w:firstLine="480" w:firstLineChars="200"/>
      </w:pPr>
      <w:r>
        <w:t>水土流失与当地的自然条件和人为活动密切相关，水土流失因素主要包括自然因素和人为因素两个方面。其中自然因素主要指气候（降雨强度）、地形（坡长、坡度）、植被状况、地质构造、土壤类型等诸因素；人为因素主要指在开挖过程中改变地形的坡长和坡度，损坏原有的地表植被，使得土地表层裸露，从而加速了水土流失。水土流失可能造成的危害有：</w:t>
      </w:r>
    </w:p>
    <w:p>
      <w:pPr>
        <w:spacing w:line="360" w:lineRule="auto"/>
        <w:ind w:firstLine="480" w:firstLineChars="200"/>
      </w:pPr>
      <w:r>
        <w:t>（1）加剧水土流失，增加河道淤积、影响河道行洪</w:t>
      </w:r>
    </w:p>
    <w:p>
      <w:pPr>
        <w:spacing w:line="360" w:lineRule="auto"/>
        <w:ind w:firstLine="480" w:firstLineChars="200"/>
      </w:pPr>
      <w:r>
        <w:t>由于工程建设截断和损坏了原地貌的自然侵蚀状态，植被受到一定的损坏，诱发了水土流失，同时施工裸地面积增加，扰动了原土层和岩层，为溅蚀、面蚀、浅沟侵蚀、切沟和冲沟侵蚀以及河沟的山洪侵蚀创造了条件。若施工区弃渣得不到及时有效的防护治理，在降雨和人为因素的作用下，泥、渣被直接冲入河道，不仅会影响景观，还会加剧河流的含沙量，淤积河道，造成一些河段的河床抬高，洪水宣泄不畅，导致内涝。此外流失泥沙进入施工现场将影响工程进度。</w:t>
      </w:r>
    </w:p>
    <w:p>
      <w:pPr>
        <w:spacing w:line="360" w:lineRule="auto"/>
        <w:ind w:firstLine="480" w:firstLineChars="200"/>
      </w:pPr>
      <w:r>
        <w:t>（2）降低水域功能，造成水环境恶化</w:t>
      </w:r>
    </w:p>
    <w:p>
      <w:pPr>
        <w:spacing w:line="360" w:lineRule="auto"/>
        <w:ind w:firstLine="480" w:firstLineChars="200"/>
      </w:pPr>
      <w:r>
        <w:t>伴随着水土流失现象的发生，地表径流夹带进入水土的悬浮物及其他有机、无机污染物数量增加，从而使该水域水体功能下降，对区域供水水资源的水环境造成不利的影响，同时亦给当地群众生活带来不便。由于水土流失造成土地生产力减退、水域功能下降、生态环境恶化，不利于工程建设区周边地区经济的可持续发展。</w:t>
      </w:r>
    </w:p>
    <w:p>
      <w:pPr>
        <w:pStyle w:val="3"/>
      </w:pPr>
      <w:bookmarkStart w:id="643" w:name="_Toc93071885"/>
      <w:bookmarkStart w:id="644" w:name="_Toc146091982"/>
      <w:r>
        <w:t>6.8对特殊敏感区环境影响分析</w:t>
      </w:r>
      <w:bookmarkEnd w:id="643"/>
      <w:bookmarkEnd w:id="644"/>
    </w:p>
    <w:p>
      <w:pPr>
        <w:pStyle w:val="4"/>
      </w:pPr>
      <w:bookmarkStart w:id="645" w:name="_Toc146091983"/>
      <w:r>
        <w:t>6.8.1对长江新螺段白鱀豚国家级自然保护区的影响</w:t>
      </w:r>
      <w:bookmarkEnd w:id="645"/>
    </w:p>
    <w:p>
      <w:pPr>
        <w:spacing w:line="360" w:lineRule="auto"/>
        <w:ind w:firstLine="480" w:firstLineChars="200"/>
      </w:pPr>
      <w:r>
        <w:t>长江新螺段白鱀豚自然保护区上起洪湖市螺山镇（左岸：螺山保护区标志碑上游5km，北纬29°38'10.14"，东经113°17'19.14"；右岸：临湘市儒溪宝塔，北纬29°37'14.59"，东经113°18'46.45"），下至洪湖市新滩镇（左岸：保护区标志碑下游4.5km，北纬30°12'40.83"，东经113°51'20.17"；右岸：嘉鱼县簰洲镇下游3.2km，北纬30°13'6.93"，东经113°53'26.20"）。保护河段的横向边界以长江大堤为界（在没有大堤的山体或矶头江段以历史最高水位线为界，同时存在大堤和民堤的江段以民堤为界）。</w:t>
      </w:r>
    </w:p>
    <w:p>
      <w:pPr>
        <w:spacing w:line="360" w:lineRule="auto"/>
        <w:ind w:firstLine="480" w:firstLineChars="200"/>
      </w:pPr>
      <w:r>
        <w:t>保护区涉及湖北省洪湖市、赤壁市、嘉鱼县和湖南省临湘市4市县。保护河段总长度128.5km（长江中游航道里程76km～204.5km），保护区总面积413.87km2。其中核心区长度69.5km，面积236.60km2；缓冲区长度4.4km，面积11.04km2；实验区长度54.6km，总面积为166.23km2。</w:t>
      </w:r>
    </w:p>
    <w:p>
      <w:pPr>
        <w:spacing w:line="360" w:lineRule="auto"/>
        <w:ind w:firstLine="480" w:firstLineChars="200"/>
      </w:pPr>
      <w:r>
        <w:t>保护区设8个核心区，16个缓冲区和 9个实验区。核心区从上游到下游依次为：螺山核心区、南门洲核心区、腰口核心区、中洲核心区、护县洲核心区、复兴洲核心区、土地洲核心区和团洲核心区。</w:t>
      </w:r>
    </w:p>
    <w:p>
      <w:pPr>
        <w:pStyle w:val="4"/>
      </w:pPr>
      <w:bookmarkStart w:id="646" w:name="_Toc146091984"/>
      <w:r>
        <w:t>6.8.2临湘片区入河排污口对长江新螺段白鱀豚国家级自然保护区的影响</w:t>
      </w:r>
      <w:bookmarkEnd w:id="646"/>
    </w:p>
    <w:p>
      <w:pPr>
        <w:spacing w:line="360" w:lineRule="auto"/>
        <w:ind w:firstLine="480" w:firstLineChars="200"/>
      </w:pPr>
      <w:r>
        <w:t>临湘白马矶入河排污口</w:t>
      </w:r>
      <w:r>
        <w:rPr>
          <w:rFonts w:hint="eastAsia"/>
        </w:rPr>
        <w:t>始建</w:t>
      </w:r>
      <w:r>
        <w:t>于</w:t>
      </w:r>
      <w:r>
        <w:rPr>
          <w:rFonts w:hint="eastAsia"/>
        </w:rPr>
        <w:t>二十世纪</w:t>
      </w:r>
      <w:r>
        <w:t>八十年代，</w:t>
      </w:r>
      <w:r>
        <w:rPr>
          <w:rFonts w:hint="eastAsia"/>
        </w:rPr>
        <w:t>在长江新螺段白鱀豚国家级自然保护区设立</w:t>
      </w:r>
      <w:r>
        <w:t>之前已建</w:t>
      </w:r>
      <w:r>
        <w:rPr>
          <w:rFonts w:hint="eastAsia"/>
        </w:rPr>
        <w:t>成</w:t>
      </w:r>
      <w:r>
        <w:t>，该排污口位于保护区实验区内，临湘白马矶混合入河排污口在1.5万m3规模按《城镇污水处理厂污染物排放标准》(GB18918-2002)一级A标准后尾水，排污口下游未形成超过现状水质类别（超</w:t>
      </w:r>
      <w:r>
        <w:rPr>
          <w:rFonts w:hint="eastAsia"/>
        </w:rPr>
        <w:t>Ⅲ</w:t>
      </w:r>
      <w:r>
        <w:t>类）的污染混合区，没有改变长江岳阳过渡区末端（排污口下游960m处）的水质类别，对下游白暨豚保护区水质基本没有影响。随着污染物的稀释和迁移扩散，主要污染物浓度在白暨豚保护区螺山核心区起始断面（排污口下游3760m）处基本恢复背景浓度。长江属于大江大河，废污水排放污染影响不会对对岸取水口造成威胁。</w:t>
      </w:r>
    </w:p>
    <w:p>
      <w:pPr>
        <w:spacing w:line="360" w:lineRule="auto"/>
        <w:ind w:firstLine="480" w:firstLineChars="200"/>
      </w:pPr>
      <w:r>
        <w:t>从白马矶排污口临近的长江保护区江段的生境特点看，其江面开阔，河道顺直，洲滩不发育，因此，其江段应该保护对象繁殖、索饵、栖息能力相对较弱，主要是保护对象迁移洄游通道的生态功能。因此，白马矶排污口设置后的影响主要是对保护对象迁徙洄游的影响，且影响程度有限。</w:t>
      </w:r>
    </w:p>
    <w:p>
      <w:pPr>
        <w:spacing w:line="360" w:lineRule="auto"/>
        <w:ind w:firstLine="480" w:firstLineChars="200"/>
      </w:pPr>
      <w:r>
        <w:t>建议管委会严格落实水资源保护措施，达标排放，确保排污口设置不影响白鱀豚保护区水域水环境安全。</w:t>
      </w:r>
    </w:p>
    <w:p>
      <w:pPr>
        <w:spacing w:line="360" w:lineRule="auto"/>
        <w:ind w:firstLine="480" w:firstLineChars="200"/>
      </w:pPr>
      <w:r>
        <w:t>6.8.2对长江监利段四大家鱼国家级水产种质资源保护区的影响</w:t>
      </w:r>
    </w:p>
    <w:p>
      <w:pPr>
        <w:spacing w:line="360" w:lineRule="auto"/>
        <w:ind w:firstLine="480" w:firstLineChars="200"/>
      </w:pPr>
      <w:r>
        <w:t>长江监利段四大家鱼国家级水产种质资源保护区总面积15996公顷，其中核心区面积 6294公顷，实验区9702公顷。特别保护期为4月1日~6月30日。保护区位于湖北省监利县长江江段，范围在东经112°42′47"-113°18′11"，北纬 29°27′46"-29°48′31"之间，由老江河长江故道长20.0km和长江干流78.48km江段水域组成，全长98.48km。主要保护对象为青鱼、草鱼、鲢、鳙“四大家鱼”，其他保护对象为保护区内的其它物种。</w:t>
      </w:r>
    </w:p>
    <w:p>
      <w:pPr>
        <w:spacing w:line="360" w:lineRule="auto"/>
        <w:ind w:firstLine="480" w:firstLineChars="200"/>
      </w:pPr>
      <w:r>
        <w:t>（1）对“四大家鱼”产卵场的影响分析</w:t>
      </w:r>
    </w:p>
    <w:p>
      <w:pPr>
        <w:spacing w:line="360" w:lineRule="auto"/>
        <w:ind w:firstLine="480" w:firstLineChars="200"/>
      </w:pPr>
      <w:r>
        <w:t>经“渔业影响评价报告”调查，长江中游荆江郝穴~螺山河段“四大家鱼”产卵场有郝穴、石首、调关、监利、反咀及螺山共6个，其中：郝穴、石首、调关、监利、反咀5个产卵场在园区排污口上游，均距离排污口较远；螺山产卵场位于排污口下游4km处。经二维稳态混合模型预测，规划排放流量预测排水横向距离30m、纵向28m后达渔业水质要求，而螺山产卵场在排污口下游4km，说明排水对螺山“四大家鱼”产卵场的影响较小。</w:t>
      </w:r>
    </w:p>
    <w:p>
      <w:pPr>
        <w:spacing w:line="360" w:lineRule="auto"/>
        <w:ind w:firstLine="480" w:firstLineChars="200"/>
      </w:pPr>
      <w:r>
        <w:t>（2）对“四大家鱼”等洄游的影响</w:t>
      </w:r>
    </w:p>
    <w:p>
      <w:pPr>
        <w:spacing w:line="360" w:lineRule="auto"/>
        <w:ind w:firstLine="480" w:firstLineChars="200"/>
      </w:pPr>
      <w:r>
        <w:t>经“渔业影响评价报告”预测，规划排放流量预测其影响范围主要在排污口附近水域，范围主要在横向30m、纵向28m的范围内，鱼类洄游将回避该区域，该江段长江江面宽度在1800~2100m，横向混合的宽度占江面宽度的0.7%~1.5%，对“四大家鱼”等鱼类洄游的影响较小。</w:t>
      </w:r>
    </w:p>
    <w:p>
      <w:pPr>
        <w:spacing w:line="360" w:lineRule="auto"/>
        <w:ind w:firstLine="480" w:firstLineChars="200"/>
      </w:pPr>
      <w:r>
        <w:t>（3）对鱼类等水生生物区系与资源的影响</w:t>
      </w:r>
    </w:p>
    <w:p>
      <w:pPr>
        <w:spacing w:line="360" w:lineRule="auto"/>
        <w:ind w:firstLine="480" w:firstLineChars="200"/>
      </w:pPr>
      <w:r>
        <w:t>由于规划项目实施对水质、鱼类早期资源及鱼类洄洲的影响范围较小，对保护区水文、水质等非生物因子影响范围较小，其实施对鱼类等水生生物区系组成的影响范围也在排污口附近水域，排污口及混合区营养型浮游植物、浮游动物、底栖动物及滤食性鱼类有一定量增加，其他鱼类分布则有一定量的减少，对混合区以外水域鱼类等水生生物组成区系及资源的影响较小。</w:t>
      </w:r>
    </w:p>
    <w:p>
      <w:pPr>
        <w:pStyle w:val="4"/>
      </w:pPr>
      <w:bookmarkStart w:id="647" w:name="_Toc146091985"/>
      <w:r>
        <w:t>6.8.3对五尖山国家森林公园的影响</w:t>
      </w:r>
      <w:bookmarkEnd w:id="647"/>
    </w:p>
    <w:p>
      <w:pPr>
        <w:spacing w:line="360" w:lineRule="auto"/>
        <w:ind w:firstLine="480" w:firstLineChars="200"/>
      </w:pPr>
      <w:bookmarkStart w:id="648" w:name="_Toc12951426"/>
      <w:bookmarkStart w:id="649" w:name="_Toc74120827"/>
      <w:bookmarkStart w:id="650" w:name="_Toc47380222"/>
      <w:r>
        <w:rPr>
          <w:rFonts w:hint="eastAsia"/>
        </w:rPr>
        <w:t>五尖山国家森林公园位于临湘市城西</w:t>
      </w:r>
      <w:r>
        <w:t>1</w:t>
      </w:r>
      <w:r>
        <w:rPr>
          <w:rFonts w:hint="eastAsia"/>
        </w:rPr>
        <w:t>公里处，临湘市公园路</w:t>
      </w:r>
      <w:r>
        <w:t>1</w:t>
      </w:r>
      <w:r>
        <w:rPr>
          <w:rFonts w:hint="eastAsia"/>
        </w:rPr>
        <w:t>号；距离巴陵片区东边界</w:t>
      </w:r>
      <w:r>
        <w:t>1.3km</w:t>
      </w:r>
      <w:r>
        <w:rPr>
          <w:rFonts w:hint="eastAsia"/>
        </w:rPr>
        <w:t>。五尖山国家森林公园由轿顶山、鹰嘴山、周家山、望城山和麻姑山五个山峰组成，山地面积</w:t>
      </w:r>
      <w:r>
        <w:t>2879.89</w:t>
      </w:r>
      <w:r>
        <w:rPr>
          <w:rFonts w:hint="eastAsia"/>
        </w:rPr>
        <w:t>公顷，森林覆盖率达</w:t>
      </w:r>
      <w:r>
        <w:t>98.2%</w:t>
      </w:r>
      <w:r>
        <w:rPr>
          <w:rFonts w:hint="eastAsia"/>
        </w:rPr>
        <w:t>，立木蓄积总量</w:t>
      </w:r>
      <w:r>
        <w:t>15</w:t>
      </w:r>
      <w:r>
        <w:rPr>
          <w:rFonts w:hint="eastAsia"/>
        </w:rPr>
        <w:t>万立方米。</w:t>
      </w:r>
    </w:p>
    <w:p>
      <w:pPr>
        <w:spacing w:line="360" w:lineRule="auto"/>
        <w:ind w:firstLine="480" w:firstLineChars="200"/>
      </w:pPr>
      <w:r>
        <w:rPr>
          <w:rFonts w:hint="eastAsia"/>
        </w:rPr>
        <w:t>园区规划开发不占用五尖山国家森林用地，不会破坏五尖山古树名木和历史人文景观等。园区规划废水不会排入五尖山国家森林公园，不会对五尖山森林公园内部的水质造成影响。规划园区废气正常排放情况下，对五尖山森林公园的环境空气质量影响较小。</w:t>
      </w:r>
    </w:p>
    <w:p>
      <w:pPr>
        <w:spacing w:line="360" w:lineRule="auto"/>
        <w:ind w:firstLine="480" w:firstLineChars="200"/>
      </w:pPr>
      <w:r>
        <w:rPr>
          <w:rFonts w:hint="eastAsia"/>
        </w:rPr>
        <w:t>园区管委会编制园区突发环境事件应急预案，全面提升园区风险防控和事故应急处置能力，杜绝事故状态下园区企业企业废水进入五尖山森林公园、避免企业废气事故排放。园区开发严格执行《森林公园管理办法》、《湖南省森林公园管理条例》、《湖南五尖山国家森林公园总体规划修编（</w:t>
      </w:r>
      <w:r>
        <w:t>2016</w:t>
      </w:r>
      <w:r>
        <w:rPr>
          <w:rFonts w:hint="eastAsia"/>
        </w:rPr>
        <w:t>～</w:t>
      </w:r>
      <w:r>
        <w:t>2025</w:t>
      </w:r>
      <w:r>
        <w:rPr>
          <w:rFonts w:hint="eastAsia"/>
        </w:rPr>
        <w:t>）》的相关管控要求后，对森林公园影响可控。</w:t>
      </w:r>
    </w:p>
    <w:p>
      <w:pPr>
        <w:pStyle w:val="3"/>
      </w:pPr>
      <w:bookmarkStart w:id="651" w:name="_Toc93071886"/>
      <w:bookmarkStart w:id="652" w:name="_Toc146091986"/>
      <w:r>
        <w:t>6.9社会环境影响</w:t>
      </w:r>
      <w:bookmarkEnd w:id="648"/>
      <w:r>
        <w:t>分析</w:t>
      </w:r>
      <w:bookmarkEnd w:id="649"/>
      <w:bookmarkEnd w:id="650"/>
      <w:bookmarkEnd w:id="651"/>
      <w:bookmarkEnd w:id="652"/>
    </w:p>
    <w:p>
      <w:pPr>
        <w:spacing w:line="360" w:lineRule="auto"/>
        <w:ind w:firstLine="480" w:firstLineChars="200"/>
      </w:pPr>
      <w:r>
        <w:t>（1）对经济发展的影响</w:t>
      </w:r>
    </w:p>
    <w:p>
      <w:pPr>
        <w:spacing w:line="360" w:lineRule="auto"/>
        <w:ind w:firstLine="480" w:firstLineChars="200"/>
      </w:pPr>
      <w:r>
        <w:t>园区规划的实施，通过基础设施的建设完善，有利于提升市城镇建设水平，能够显著带动地区的发展，使区域经济获得长足的可持续发展能力。园区的开发建设对当地的经济总量将带来巨大的增长，影响显著。</w:t>
      </w:r>
    </w:p>
    <w:p>
      <w:pPr>
        <w:spacing w:line="360" w:lineRule="auto"/>
        <w:ind w:firstLine="480" w:firstLineChars="200"/>
      </w:pPr>
      <w:r>
        <w:t>（2）拆迁安置社会影响分析</w:t>
      </w:r>
    </w:p>
    <w:p>
      <w:pPr>
        <w:spacing w:line="360" w:lineRule="auto"/>
        <w:ind w:firstLine="480" w:firstLineChars="200"/>
      </w:pPr>
      <w:r>
        <w:t>本次园区规划未详细给出具体拆迁安置方案，按惯例将采取货币安置与统建安置小区相结合方式的的方式，园区拆迁安置政府按有关规定进行赔偿，安置小区的住房铺面可出租保证其基本生活来源，同时部分年轻人可在工业园区内就业。</w:t>
      </w:r>
    </w:p>
    <w:p>
      <w:pPr>
        <w:spacing w:line="360" w:lineRule="auto"/>
        <w:ind w:firstLine="480" w:firstLineChars="200"/>
      </w:pPr>
      <w:r>
        <w:t>（3）居民生活质量的影响分析</w:t>
      </w:r>
    </w:p>
    <w:p>
      <w:pPr>
        <w:spacing w:line="360" w:lineRule="auto"/>
        <w:ind w:firstLine="480" w:firstLineChars="200"/>
      </w:pPr>
      <w:r>
        <w:t>随着园区入驻企业的逐渐增多，区域内经济的快速发展，将会带动周边第三产业的兴起，园区的建设对周边居民的经济收入有明显的正效应。</w:t>
      </w:r>
    </w:p>
    <w:p>
      <w:pPr>
        <w:spacing w:line="360" w:lineRule="auto"/>
        <w:ind w:firstLine="480" w:firstLineChars="200"/>
      </w:pPr>
      <w:r>
        <w:t>由于拆迁居民均居住于原居住用地附近，居民原有的生活习惯不会受到太大的影响。对规划后居民集中居住的村落，规划建设配备相应的生活供水、供电、和道路等基础设施，使居民的生活环境得到改善，生活质量得到提高。</w:t>
      </w:r>
    </w:p>
    <w:p>
      <w:pPr>
        <w:spacing w:line="360" w:lineRule="auto"/>
        <w:ind w:firstLine="480" w:firstLineChars="200"/>
      </w:pPr>
      <w:r>
        <w:t>随着园区的建成，居民生活将逐步城市化，随着大量企业的进驻，当地居民将得到更多更好的工作岗位，生活水平将会有明显提高。</w:t>
      </w:r>
    </w:p>
    <w:p>
      <w:pPr>
        <w:spacing w:line="360" w:lineRule="auto"/>
        <w:ind w:firstLine="480" w:firstLineChars="200"/>
      </w:pPr>
      <w:r>
        <w:t>（4）劳动就业前景分析</w:t>
      </w:r>
    </w:p>
    <w:p>
      <w:pPr>
        <w:spacing w:line="360" w:lineRule="auto"/>
        <w:ind w:firstLine="480" w:firstLineChars="200"/>
      </w:pPr>
      <w:r>
        <w:t>随着园区的建设以及企业陆续进驻和商业不断开发，劳动力的需求量将持续增加。与此同时，园区的建设还将带动第三产业的发展，给区域提供更多的服务人口，提供更多的就业岗位，这些都将给当地居民提供更多的就业和创业机会。</w:t>
      </w:r>
    </w:p>
    <w:p>
      <w:pPr>
        <w:pStyle w:val="3"/>
      </w:pPr>
      <w:bookmarkStart w:id="653" w:name="_Toc74120824"/>
      <w:bookmarkStart w:id="654" w:name="_Toc93071887"/>
      <w:bookmarkStart w:id="655" w:name="_Toc146091987"/>
      <w:bookmarkStart w:id="656" w:name="_Toc47380223"/>
      <w:r>
        <w:t>6.10土壤环境影响分析</w:t>
      </w:r>
      <w:bookmarkEnd w:id="653"/>
      <w:bookmarkEnd w:id="654"/>
      <w:bookmarkEnd w:id="655"/>
      <w:bookmarkEnd w:id="656"/>
    </w:p>
    <w:p>
      <w:pPr>
        <w:pStyle w:val="4"/>
      </w:pPr>
      <w:bookmarkStart w:id="657" w:name="_Toc146091988"/>
      <w:r>
        <w:t>6.10.1 区域土壤概况</w:t>
      </w:r>
      <w:bookmarkEnd w:id="657"/>
    </w:p>
    <w:p>
      <w:pPr>
        <w:ind w:firstLine="480"/>
      </w:pPr>
      <w:r>
        <mc:AlternateContent>
          <mc:Choice Requires="wps">
            <w:drawing>
              <wp:anchor distT="0" distB="0" distL="114300" distR="114300" simplePos="0" relativeHeight="251663360" behindDoc="0" locked="0" layoutInCell="1" allowOverlap="1">
                <wp:simplePos x="0" y="0"/>
                <wp:positionH relativeFrom="column">
                  <wp:posOffset>2815590</wp:posOffset>
                </wp:positionH>
                <wp:positionV relativeFrom="paragraph">
                  <wp:posOffset>749935</wp:posOffset>
                </wp:positionV>
                <wp:extent cx="991870" cy="376555"/>
                <wp:effectExtent l="0" t="0" r="17780" b="575945"/>
                <wp:wrapNone/>
                <wp:docPr id="31" name="椭圆形标注 31"/>
                <wp:cNvGraphicFramePr/>
                <a:graphic xmlns:a="http://schemas.openxmlformats.org/drawingml/2006/main">
                  <a:graphicData uri="http://schemas.microsoft.com/office/word/2010/wordprocessingShape">
                    <wps:wsp>
                      <wps:cNvSpPr>
                        <a:spLocks noChangeArrowheads="1"/>
                      </wps:cNvSpPr>
                      <wps:spPr bwMode="auto">
                        <a:xfrm>
                          <a:off x="0" y="0"/>
                          <a:ext cx="991877" cy="376813"/>
                        </a:xfrm>
                        <a:prstGeom prst="wedgeEllipseCallout">
                          <a:avLst>
                            <a:gd name="adj1" fmla="val 38245"/>
                            <a:gd name="adj2" fmla="val 181074"/>
                          </a:avLst>
                        </a:prstGeom>
                        <a:solidFill>
                          <a:srgbClr val="FFFFFF"/>
                        </a:solidFill>
                        <a:ln w="9525" cmpd="sng">
                          <a:solidFill>
                            <a:srgbClr val="000000"/>
                          </a:solidFill>
                          <a:miter lim="800000"/>
                        </a:ln>
                      </wps:spPr>
                      <wps:txbx>
                        <w:txbxContent>
                          <w:p>
                            <w:r>
                              <w:rPr>
                                <w:rFonts w:hint="eastAsia"/>
                              </w:rPr>
                              <w:t>规划区</w:t>
                            </w:r>
                          </w:p>
                        </w:txbxContent>
                      </wps:txbx>
                      <wps:bodyPr rot="0" vert="horz" wrap="square" lIns="91440" tIns="45720" rIns="91440" bIns="45720" anchor="t" anchorCtr="0" upright="1">
                        <a:noAutofit/>
                      </wps:bodyPr>
                    </wps:wsp>
                  </a:graphicData>
                </a:graphic>
              </wp:anchor>
            </w:drawing>
          </mc:Choice>
          <mc:Fallback>
            <w:pict>
              <v:shape id="_x0000_s1026" o:spid="_x0000_s1026" o:spt="63" type="#_x0000_t63" style="position:absolute;left:0pt;margin-left:221.7pt;margin-top:59.05pt;height:29.65pt;width:78.1pt;z-index:251663360;mso-width-relative:page;mso-height-relative:page;" fillcolor="#FFFFFF" filled="t" stroked="t" coordsize="21600,21600" o:gfxdata="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Sljo52AAAAAsBAAAPAAAAAAAAAAEAIAAA&#10;ACIAAABkcnMvZG93bnJldi54bWxQSwECFAAUAAAACACHTuJA4WBnQn4CAADwBAAADgAAAAAAAAAB&#10;ACAAAAAnAQAAZHJzL2Uyb0RvYy54bWxQSwUGAAAAAAYABgBZAQAAFwYAAAAA&#10;" adj="19061,49912">
                <v:fill on="t" focussize="0,0"/>
                <v:stroke color="#000000" miterlimit="8" joinstyle="miter"/>
                <v:imagedata o:title=""/>
                <o:lock v:ext="edit" aspectratio="f"/>
                <v:textbox>
                  <w:txbxContent>
                    <w:p>
                      <w:r>
                        <w:rPr>
                          <w:rFonts w:hint="eastAsia"/>
                        </w:rPr>
                        <w:t>规划区</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3670935</wp:posOffset>
                </wp:positionH>
                <wp:positionV relativeFrom="paragraph">
                  <wp:posOffset>1637030</wp:posOffset>
                </wp:positionV>
                <wp:extent cx="90805" cy="90805"/>
                <wp:effectExtent l="22860" t="21590" r="19685" b="20955"/>
                <wp:wrapNone/>
                <wp:docPr id="32" name="五角星 32"/>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star5">
                          <a:avLst/>
                        </a:prstGeom>
                        <a:solidFill>
                          <a:srgbClr val="FF0000"/>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89.05pt;margin-top:128.9pt;height:7.15pt;width:7.15pt;z-index:251662336;mso-width-relative:page;mso-height-relative:page;" fillcolor="#FF0000" filled="t" stroked="t" coordsize="90805,90805" o:gfxdata="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JIxNkAAAALAQAADwAAAAAAAAABACAAAAAiAAAAZHJz&#10;L2Rvd25yZXYueG1sUEsBAhQAFAAAAAgAh07iQIKJyos8AgAAfQQAAA4AAAAAAAAAAQAgAAAAKAEA&#10;AGRycy9lMm9Eb2MueG1sUEsFBgAAAAAGAAYAWQEAANYFAAAAAA==&#10;" path="m0,34684l34684,34684,45402,0,56120,34684,90804,34684,62744,56120,73462,90804,45402,69368,17342,90804,28060,56120xe">
                <v:path o:connectlocs="45402,0;0,34684;17342,90804;73462,90804;90804,34684" o:connectangles="247,164,82,82,0"/>
                <v:fill on="t" focussize="0,0"/>
                <v:stroke color="#000000" miterlimit="8" joinstyle="miter"/>
                <v:imagedata o:title=""/>
                <o:lock v:ext="edit" aspectratio="f"/>
              </v:shape>
            </w:pict>
          </mc:Fallback>
        </mc:AlternateContent>
      </w:r>
      <w:r>
        <w:t>查阅国家土壤信息服务平台，本区域土壤类型为红壤，亚类为黄红壤。</w:t>
      </w:r>
      <w:r>
        <w:drawing>
          <wp:inline distT="0" distB="0" distL="0" distR="0">
            <wp:extent cx="5273040" cy="2397760"/>
            <wp:effectExtent l="0" t="0" r="381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3040" cy="2397760"/>
                    </a:xfrm>
                    <a:prstGeom prst="rect">
                      <a:avLst/>
                    </a:prstGeom>
                    <a:noFill/>
                    <a:ln>
                      <a:noFill/>
                    </a:ln>
                  </pic:spPr>
                </pic:pic>
              </a:graphicData>
            </a:graphic>
          </wp:inline>
        </w:drawing>
      </w:r>
    </w:p>
    <w:p>
      <w:pPr>
        <w:pStyle w:val="6"/>
      </w:pPr>
      <w:r>
        <w:t>图6.10-1  项目所在区域土壤类型</w:t>
      </w:r>
    </w:p>
    <w:p>
      <w:pPr>
        <w:spacing w:line="360" w:lineRule="auto"/>
        <w:ind w:firstLine="480" w:firstLineChars="200"/>
      </w:pPr>
      <w:r>
        <w:t>黄红壤主要分布在安徽、浙江、江西、福建、湖北、湖南、广东、广西、云南、贵州，四川和西藏等12个省（区）境内的中低山区，其中湖南3451.0万亩，占全省面积的10.8%。黄红壤是红壤向黄壤过渡的一类土壤。在垂直带谱上，它位于黄壤或黄棕壤之下，红壤或棕红壤之上，是构成红壤区山地土壤垂直带谱中的重要类型。其分布海拔高度一般在400~800米之间，但是由北向南和从东至西，其海拔高度范围呈逐步上升的趋势。黄红壤的成土过程仍以脱硅富铝化作用为主，由于处在山地相对温凉湿润的气候条件下，土壤和空气湿度增加，呈现黄化附加过程，即因土体内氧化铁的结晶水增加，土体逐渐变为橙黄色。但因其脱硅富铝化程度较弱，显示红壤向黄壤过渡的特征。黄红壤的成土母质主要有砂岩、板岩、泥岩、页岩、凝灰岩和花岗岩风化物，其次为基、中性岩浆岩、石灰岩等风化物。</w:t>
      </w:r>
    </w:p>
    <w:p>
      <w:pPr>
        <w:spacing w:line="360" w:lineRule="auto"/>
        <w:ind w:firstLine="480" w:firstLineChars="200"/>
      </w:pPr>
      <w:r>
        <w:t>红壤土体深厚，剖面发生土层分化明显。在植被茂密的林地，地表常有枯枝落叶层（O）。A层呈暗红棕色，一般厚度为10-20厘米，碎块状或屑粒状结构，疏松，植物根系较多。红壤B层是脱硅富铝化的典型发生层。该土层粘粒含量高于相邻的上下土层，多半是由原生矿物就地风化的“残积粘化层”。其厚度一般在30-50厘米之间，有的甚至可高达1米以上（如第四纪红色粘土发育的红壤），颜色变动于红、红棕、橙色之间，这与母质含铁、锰氧化物及其土壤的发育程度有关。红壤的B层多为块状或棱块状结构，铁、铝氧化物胶结的微团聚体普遍存在，以富含铁、镁母质上发育的红壤尤为明显。棕红壤的B层还有明显的铁、锰焦层，并常见铁锰结核或铁子。红壤类B层的下段大多具有红、白、黄色蠕虫状孔隙和枝形裂隙的网纹层（Bv），尤以第四纪红色粘土发育的红壤更明显。这是湿热古气候条件下形成的，并非现代成土过程的产物。C层为母质层或红色风化壳。土体厚度常比红壤薄，大致在70-80厘米间。在植被茂密的林地下，地表常有2-3厘米厚的枯枝落叶层（O）。土壤的风化淋溶作用较强，风化淋溶系数在0.17-0.35之间。粘粒矿物以高岭石、蛭石为主，伴有水云母和少量三水铝石，有别于红壤。粘粒硅铝率比红壤低。为1.92-2.34之间。土壤中铁的游离度低于红壤，只有38%-50%；而活化度却高于红壤，大多在10%以上。土体中活性铁铝的水合系数也远大于红壤。表土层有机质含量较丰富，为55.4克每千克，全氮2.0克每千克，全磷0.61克每千克，全钾19.7克每千克，水解氮167毫克每千克，速效磷2.6毫克每千克。速效钾88毫克每千克，缓效钾504毫克每千克。表明土壤缓效钾含量较丰富，速效磷，钾含量比红壤低，缺磷更为突出。土壤有效微量元素含量趋势亦略低于红壤亚类。土壤污染的发生特征主要是与土壤的特殊地位和功能相联系的，通常土壤污染主要有人为影响和自然影响两大途径。</w:t>
      </w:r>
    </w:p>
    <w:p>
      <w:pPr>
        <w:pStyle w:val="4"/>
      </w:pPr>
      <w:bookmarkStart w:id="658" w:name="_Toc146091989"/>
      <w:r>
        <w:t>6.10.2 土壤环境影响识别</w:t>
      </w:r>
      <w:bookmarkEnd w:id="658"/>
    </w:p>
    <w:p>
      <w:pPr>
        <w:spacing w:line="360" w:lineRule="auto"/>
        <w:ind w:firstLine="480" w:firstLineChars="200"/>
      </w:pPr>
      <w:r>
        <w:t>按影响结果和特点可将土壤环境影响分为土壤污染型、土壤退化型和土壤资源破坏型。在规划建设过程中，工业企业、交通工程建设、突发环境事件均会对土壤环境产生一定的影响。</w:t>
      </w:r>
    </w:p>
    <w:p>
      <w:pPr>
        <w:spacing w:line="360" w:lineRule="auto"/>
        <w:ind w:firstLine="480" w:firstLineChars="200"/>
      </w:pPr>
      <w:r>
        <w:t>工业企业实施规划项目建设，在原料的生产、运输、储藏到工业产品的消费与使用过程中，都会对土壤环境产生影响。工业废气中的污染物，通过降水、扩散和重力作用降落至地面，渗透进入土壤，进而污染土壤环境；经过处理或未处理的工业废水在风险事故情况下可能进入周边河道，导致河道周边土壤受到污染，另外，工业废水处理产生的活性污泥不慎排入土壤，污泥与土壤相互作用，会使土壤的性质及元素分布和分配发生变化，进而影响植物的生长和周围的环境；工业固体废物未按规范堆放或掩埋过程中产生的渗出液、渗滤液进入土壤，也会改变土质和土壤结构，影响土壤微生物生境、危害土壤环境。</w:t>
      </w:r>
    </w:p>
    <w:p>
      <w:pPr>
        <w:spacing w:line="360" w:lineRule="auto"/>
        <w:ind w:firstLine="480" w:firstLineChars="200"/>
      </w:pPr>
      <w:r>
        <w:t>为园区配套的交通工程建设过程中除占用土地外，在建设期间致使土地大量裸露，土壤极易受到侵蚀，且在公路投运后机动车排放的废气也为大气酸沉降提供了物质基础，酸沉降将导致土壤的酸化。</w:t>
      </w:r>
    </w:p>
    <w:p>
      <w:pPr>
        <w:spacing w:line="360" w:lineRule="auto"/>
        <w:ind w:firstLine="480" w:firstLineChars="200"/>
        <w:rPr>
          <w:rFonts w:ascii="Times New Roman" w:hAnsi="Times New Roman" w:cs="Times New Roman"/>
        </w:rPr>
      </w:pPr>
      <w:r>
        <w:rPr>
          <w:highlight w:val="yellow"/>
        </w:rPr>
        <w:t>园区以</w:t>
      </w:r>
      <w:r>
        <w:rPr>
          <w:rFonts w:hint="eastAsia" w:ascii="Times New Roman" w:hAnsi="Times New Roman" w:cs="Times New Roman"/>
        </w:rPr>
        <w:t>以绿色化工为主导产业、以浮标（钓具）及加工制造为特色产业的“一主一特”的产业生态圈</w:t>
      </w:r>
      <w:r>
        <w:rPr>
          <w:highlight w:val="yellow"/>
        </w:rPr>
        <w:t>，</w:t>
      </w:r>
      <w:r>
        <w:t>工艺过程涉及高温、高压、高危险性物质，当发生突发事故时，包含一些化学原料、产品、危险物质的固体废物或废水的意外倾泻、污水处理厂失控导致的污水未经处理直接外排或外溢，均有可能造成事故周边土壤环境的污染，但是这些事故的发生概率较低，可通过提升环境管理水平而降低发生概率。</w:t>
      </w:r>
    </w:p>
    <w:p>
      <w:pPr>
        <w:pStyle w:val="4"/>
      </w:pPr>
      <w:bookmarkStart w:id="659" w:name="_Toc146091990"/>
      <w:r>
        <w:t>6.10.3 土壤环境现状分析</w:t>
      </w:r>
      <w:bookmarkEnd w:id="659"/>
    </w:p>
    <w:p>
      <w:pPr>
        <w:spacing w:line="360" w:lineRule="auto"/>
        <w:ind w:firstLine="480" w:firstLineChars="200"/>
      </w:pPr>
      <w:r>
        <w:t>园区自设立以来，经历了十余年的发展，根据区内重点企业土壤监测报告和本次评价现状土壤监测结果，所有土壤监测因子均低于《土壤环境质量 建设用地土壤污染风险管控标准（试行）》（GB 36600-2018）表1、表2中第二类用地筛选值，进一步说明现有企业有机物排放对土壤环境的影响很小。</w:t>
      </w:r>
    </w:p>
    <w:p>
      <w:pPr>
        <w:spacing w:line="360" w:lineRule="auto"/>
        <w:ind w:firstLine="480" w:firstLineChars="200"/>
      </w:pPr>
      <w:r>
        <w:t>园区规划实施过程中应采取严格污染防治措施，规划项目大气污染物排放强度满足“三线一单”要求；企业废水均经预处理设施处理后经管网排至园区污水处理厂；企业废水实现全部收集处理、并最大限度回用；固体废物全部收集、妥善处理，不直接排放外环境；企业、园区均应严格执行已备案的环境风险应急预案，有效防范各类环境风险事故，在严格各项环境管理要求的前提下，可有效阻隔对土壤环境的污染途径，从源头上大大削减进入土壤的污染量。</w:t>
      </w:r>
    </w:p>
    <w:p>
      <w:pPr>
        <w:pStyle w:val="4"/>
      </w:pPr>
      <w:bookmarkStart w:id="660" w:name="_Toc146091991"/>
      <w:r>
        <w:t>6.10.4开发建设对土壤环境的影响</w:t>
      </w:r>
      <w:bookmarkEnd w:id="660"/>
    </w:p>
    <w:p>
      <w:pPr>
        <w:spacing w:line="360" w:lineRule="auto"/>
        <w:ind w:firstLine="480" w:firstLineChars="200"/>
      </w:pPr>
      <w:r>
        <w:t>园区开发建设过程中对土壤的影响主要表现为占地对土壤结构的破坏。各种地面建设活动中对土壤的扰动会影响土壤的结构、质地和物理性质；由于园区建成后将改变区内土壤的原有使用功能，对土壤的结构、质地和物理性质的局部破坏不会影响到开发区建成后的土地使用功能。并且工程建设期所产生的各种污染物均有妥善的处理处置措施，严格执行各项环保措施，各种污染物对土壤环境的影响均可处于可接受的范围内。</w:t>
      </w:r>
    </w:p>
    <w:p>
      <w:pPr>
        <w:pStyle w:val="3"/>
      </w:pPr>
      <w:bookmarkStart w:id="661" w:name="_Toc146091992"/>
      <w:r>
        <w:t>6.1</w:t>
      </w:r>
      <w:r>
        <w:rPr>
          <w:rFonts w:hint="eastAsia"/>
        </w:rPr>
        <w:t>1累积</w:t>
      </w:r>
      <w:r>
        <w:t>环境影响分析</w:t>
      </w:r>
      <w:bookmarkEnd w:id="661"/>
    </w:p>
    <w:p>
      <w:pPr>
        <w:spacing w:line="360" w:lineRule="auto"/>
        <w:ind w:firstLine="480" w:firstLineChars="200"/>
      </w:pPr>
      <w:r>
        <w:rPr>
          <w:rFonts w:hint="eastAsia"/>
        </w:rPr>
        <w:t>园区</w:t>
      </w:r>
      <w:r>
        <w:t>累积环境影响主要表现在：</w:t>
      </w:r>
      <w:r>
        <w:rPr>
          <w:rFonts w:hint="eastAsia"/>
        </w:rPr>
        <w:t>①</w:t>
      </w:r>
      <w:r>
        <w:t>园区现状排污企业现状虽然目前已经建设并运行环保设施、未来也要求这些企业严格按照国家相关法规和规范要求达标，但</w:t>
      </w:r>
      <w:r>
        <w:rPr>
          <w:rFonts w:hint="eastAsia"/>
        </w:rPr>
        <w:t>污染物通过大气— 土壤—地下水等环境介质跨相输送、迁移和累积过程</w:t>
      </w:r>
      <w:r>
        <w:t>的环境风险客观存在；</w:t>
      </w:r>
      <w:r>
        <w:rPr>
          <w:rFonts w:hint="eastAsia"/>
        </w:rPr>
        <w:t>②</w:t>
      </w:r>
      <w:r>
        <w:t>随着园区的建设和企业入驻，持久性有机污染物等污染物通过空气、地表水、地下水将渗透、迁移转化至土壤中，导致土壤中的有机物等污染物含量累积。</w:t>
      </w:r>
    </w:p>
    <w:p>
      <w:pPr>
        <w:spacing w:line="360" w:lineRule="auto"/>
        <w:ind w:firstLine="480" w:firstLineChars="200"/>
      </w:pPr>
      <w:r>
        <w:rPr>
          <w:rFonts w:hint="eastAsia"/>
        </w:rPr>
        <w:t>累积环境影响</w:t>
      </w:r>
      <w:r>
        <w:t>具有隐蔽累积性、生物富集性、后果严重性和清除难度大的特点，这些累积在土壤中的污染物可能对土壤生物、地表动植物和地下水环境产生有害影响，并且会逐步改变园区内及周边区域土壤的理化性质，进而使土壤中的动物和微生物因土壤理化性状变化和受到的污染影响，在种类、数量和生物量上有所变化，土壤生物群落结构趋向简单化，特别是园区范围内土壤生物种类、数量和生物量还会比周边农用的土壤少很多，从而影响土壤生物多样性。并且，沉积在土壤中的污染物还可能通过食物链进入人体，使区域人群的身体健康受到损害。</w:t>
      </w:r>
    </w:p>
    <w:p>
      <w:pPr>
        <w:spacing w:line="360" w:lineRule="auto"/>
        <w:ind w:firstLine="480" w:firstLineChars="200"/>
      </w:pPr>
      <w:r>
        <w:rPr>
          <w:rFonts w:hint="eastAsia"/>
        </w:rPr>
        <w:t>根据本次规划环评的4.3章节区域环境质量变化趋势可知，园区规划至今大气中的TVOC相比原规划环评浓度下降，达到标准以内；氨略有上升，区域总体环境质量变化不大，相对有所改善。地表水中的临湘工业园排污口上游500m本次监测的化学需氧量、五日生化需氧量、总磷浓度均有所上升，但均满足标准要求，氟化物略微下降，环境质量整体变化幅度变化不大。区域地下水环境质量相对有所改善，环境质量整体变化幅度不大。区域土壤建设用地砷和汞均有所下降，其余因子基本保持稳定，环境质量变化不大。由以上检测结果可知，园区开发至今，整体区域污染累积环境影响较小。</w:t>
      </w:r>
    </w:p>
    <w:p>
      <w:pPr>
        <w:spacing w:line="360" w:lineRule="auto"/>
        <w:ind w:firstLine="480" w:firstLineChars="200"/>
      </w:pPr>
      <w:r>
        <w:rPr>
          <w:rFonts w:hint="eastAsia"/>
        </w:rPr>
        <w:t>本次调扩区要求入园企业严格采取规划环评及其项目环评提出的污染防控措施，</w:t>
      </w:r>
      <w:r>
        <w:t>规划实施后，污染物经过长期的积累，对园区及周边区域的土壤环境造成的不利影响可控</w:t>
      </w:r>
      <w:r>
        <w:rPr>
          <w:rFonts w:hint="eastAsia"/>
        </w:rPr>
        <w:t>，</w:t>
      </w:r>
      <w:r>
        <w:t>园区建成后，应定期对土壤环境进行监测。</w:t>
      </w:r>
    </w:p>
    <w:p>
      <w:pPr>
        <w:pStyle w:val="3"/>
      </w:pPr>
      <w:bookmarkStart w:id="662" w:name="_Toc146091993"/>
      <w:r>
        <w:rPr>
          <w:rFonts w:hint="eastAsia"/>
        </w:rPr>
        <w:t>6.12 环境风险分析</w:t>
      </w:r>
      <w:bookmarkEnd w:id="662"/>
    </w:p>
    <w:p>
      <w:pPr>
        <w:pStyle w:val="4"/>
      </w:pPr>
      <w:bookmarkStart w:id="663" w:name="_Toc146091994"/>
      <w:r>
        <w:rPr>
          <w:rFonts w:hint="eastAsia"/>
        </w:rPr>
        <w:t>6.12.1 环境风险识别</w:t>
      </w:r>
      <w:bookmarkEnd w:id="663"/>
    </w:p>
    <w:p>
      <w:pPr>
        <w:spacing w:line="360" w:lineRule="auto"/>
        <w:ind w:firstLine="480" w:firstLineChars="200"/>
        <w:rPr>
          <w:rFonts w:ascii="Times New Roman" w:hAnsi="Times New Roman" w:cs="Times New Roman"/>
        </w:rPr>
      </w:pPr>
      <w:r>
        <w:rPr>
          <w:rFonts w:hint="eastAsia" w:ascii="Times New Roman" w:hAnsi="Times New Roman" w:cs="Times New Roman"/>
        </w:rPr>
        <w:t>临湘</w:t>
      </w:r>
      <w:r>
        <w:rPr>
          <w:rFonts w:ascii="Times New Roman" w:hAnsi="Times New Roman" w:cs="Times New Roman"/>
        </w:rPr>
        <w:t>高新区</w:t>
      </w:r>
      <w:r>
        <w:rPr>
          <w:rFonts w:hint="eastAsia" w:ascii="Times New Roman" w:hAnsi="Times New Roman" w:cs="Times New Roman"/>
        </w:rPr>
        <w:t>以绿色化工为主导产业、以浮标（钓具）及加工制造为特色产业的“一主一特”的产业生态圈。</w:t>
      </w:r>
    </w:p>
    <w:p>
      <w:pPr>
        <w:spacing w:line="360" w:lineRule="auto"/>
        <w:ind w:firstLine="480" w:firstLineChars="200"/>
        <w:rPr>
          <w:rFonts w:ascii="Times New Roman" w:hAnsi="Times New Roman" w:cs="Times New Roman"/>
        </w:rPr>
      </w:pPr>
      <w:r>
        <w:rPr>
          <w:rFonts w:ascii="Times New Roman" w:hAnsi="Times New Roman" w:cs="Times New Roman"/>
        </w:rPr>
        <w:t>滨江片区中非工贸产业园</w:t>
      </w:r>
      <w:r>
        <w:rPr>
          <w:rFonts w:hint="eastAsia" w:ascii="Times New Roman" w:hAnsi="Times New Roman" w:cs="Times New Roman"/>
        </w:rPr>
        <w:t>规划</w:t>
      </w:r>
      <w:r>
        <w:rPr>
          <w:rFonts w:ascii="Times New Roman" w:hAnsi="Times New Roman" w:cs="Times New Roman"/>
        </w:rPr>
        <w:t>发展食品</w:t>
      </w:r>
      <w:r>
        <w:rPr>
          <w:rFonts w:hint="eastAsia" w:ascii="Times New Roman" w:hAnsi="Times New Roman" w:cs="Times New Roman"/>
        </w:rPr>
        <w:t>加工</w:t>
      </w:r>
      <w:r>
        <w:rPr>
          <w:rFonts w:ascii="Times New Roman" w:hAnsi="Times New Roman" w:cs="Times New Roman"/>
        </w:rPr>
        <w:t>、林木产品加工</w:t>
      </w:r>
      <w:r>
        <w:rPr>
          <w:rFonts w:hint="eastAsia" w:ascii="Times New Roman" w:hAnsi="Times New Roman" w:cs="Times New Roman"/>
        </w:rPr>
        <w:t>、</w:t>
      </w:r>
      <w:r>
        <w:rPr>
          <w:rFonts w:ascii="Times New Roman" w:hAnsi="Times New Roman" w:cs="Times New Roman"/>
        </w:rPr>
        <w:t>装配式预制构件和高端微晶石板材</w:t>
      </w:r>
      <w:r>
        <w:rPr>
          <w:rFonts w:hint="eastAsia" w:ascii="Times New Roman" w:hAnsi="Times New Roman" w:cs="Times New Roman"/>
        </w:rPr>
        <w:t>；</w:t>
      </w:r>
      <w:r>
        <w:rPr>
          <w:rFonts w:ascii="Times New Roman" w:hAnsi="Times New Roman" w:cs="Times New Roman"/>
        </w:rPr>
        <w:t>滨江片区绿色化工产业园</w:t>
      </w:r>
      <w:r>
        <w:rPr>
          <w:rFonts w:hint="eastAsia" w:ascii="Times New Roman" w:hAnsi="Times New Roman" w:cs="Times New Roman"/>
        </w:rPr>
        <w:t>发展</w:t>
      </w:r>
      <w:r>
        <w:rPr>
          <w:rFonts w:ascii="Times New Roman" w:hAnsi="Times New Roman" w:cs="Times New Roman"/>
        </w:rPr>
        <w:t>绿色精细化工、先进化工新材料、生物医药等</w:t>
      </w:r>
      <w:r>
        <w:rPr>
          <w:rFonts w:hint="eastAsia" w:ascii="Times New Roman" w:hAnsi="Times New Roman" w:cs="Times New Roman"/>
        </w:rPr>
        <w:t>产</w:t>
      </w:r>
      <w:r>
        <w:rPr>
          <w:rFonts w:ascii="Times New Roman" w:hAnsi="Times New Roman" w:cs="Times New Roman"/>
        </w:rPr>
        <w:t>业</w:t>
      </w:r>
      <w:r>
        <w:rPr>
          <w:rFonts w:hint="eastAsia" w:ascii="Times New Roman" w:hAnsi="Times New Roman" w:cs="Times New Roman"/>
        </w:rPr>
        <w:t>；</w:t>
      </w:r>
      <w:r>
        <w:rPr>
          <w:rFonts w:ascii="Times New Roman" w:hAnsi="Times New Roman" w:cs="Times New Roman"/>
        </w:rPr>
        <w:t>滨江片区加工制造产业园</w:t>
      </w:r>
      <w:r>
        <w:rPr>
          <w:rFonts w:hint="eastAsia" w:ascii="Times New Roman" w:hAnsi="Times New Roman" w:cs="Times New Roman"/>
        </w:rPr>
        <w:t>发展</w:t>
      </w:r>
      <w:r>
        <w:rPr>
          <w:rFonts w:ascii="Times New Roman" w:hAnsi="Times New Roman" w:cs="Times New Roman"/>
        </w:rPr>
        <w:t>电子信息</w:t>
      </w:r>
      <w:r>
        <w:rPr>
          <w:rFonts w:hint="eastAsia" w:ascii="Times New Roman" w:hAnsi="Times New Roman" w:cs="Times New Roman"/>
        </w:rPr>
        <w:t>产</w:t>
      </w:r>
      <w:r>
        <w:rPr>
          <w:rFonts w:ascii="Times New Roman" w:hAnsi="Times New Roman" w:cs="Times New Roman"/>
        </w:rPr>
        <w:t>业；三湾产业园重点建设浮标特色产业园、绿色建材产业园项目</w:t>
      </w:r>
      <w:r>
        <w:rPr>
          <w:rFonts w:hint="eastAsia" w:ascii="Times New Roman" w:hAnsi="Times New Roman" w:cs="Times New Roman"/>
        </w:rPr>
        <w:t>；</w:t>
      </w:r>
      <w:r>
        <w:rPr>
          <w:rFonts w:ascii="Times New Roman" w:hAnsi="Times New Roman" w:cs="Times New Roman"/>
        </w:rPr>
        <w:t>绿色建材产业园</w:t>
      </w:r>
      <w:r>
        <w:rPr>
          <w:rFonts w:hint="eastAsia" w:ascii="Times New Roman" w:hAnsi="Times New Roman" w:cs="Times New Roman"/>
        </w:rPr>
        <w:t>现</w:t>
      </w:r>
      <w:r>
        <w:rPr>
          <w:rFonts w:ascii="Times New Roman" w:hAnsi="Times New Roman" w:cs="Times New Roman"/>
        </w:rPr>
        <w:t>有海螺水泥1家企业，</w:t>
      </w:r>
      <w:r>
        <w:rPr>
          <w:rFonts w:hint="eastAsia" w:ascii="Times New Roman" w:hAnsi="Times New Roman" w:cs="Times New Roman"/>
        </w:rPr>
        <w:t>以</w:t>
      </w:r>
      <w:r>
        <w:rPr>
          <w:rFonts w:ascii="Times New Roman" w:hAnsi="Times New Roman" w:cs="Times New Roman"/>
        </w:rPr>
        <w:t>海螺水泥为主导，对现有废弃资源的合理利用，谋划布局水泥窑综合利用一般固废技术改造项目</w:t>
      </w:r>
      <w:r>
        <w:rPr>
          <w:rFonts w:hint="eastAsia"/>
          <w:highlight w:val="yellow"/>
        </w:rPr>
        <w:t>。</w:t>
      </w:r>
      <w:r>
        <w:rPr>
          <w:rFonts w:hint="eastAsia"/>
        </w:rPr>
        <w:t>根据《建设项目环境风险评价技术导则》（HJ169-2018）及《危险化学品重大危险源辨识》（GB18218 -2018），园区可能涉及的主要危险物质表见下表，园区环境风险识别与主要风险物质的理化特性和毒理性质见下表。</w:t>
      </w:r>
    </w:p>
    <w:p>
      <w:pPr>
        <w:pStyle w:val="6"/>
      </w:pPr>
      <w:r>
        <w:t>表6.11-1   规划实施可能涉及的主要危险物质</w:t>
      </w:r>
    </w:p>
    <w:tbl>
      <w:tblPr>
        <w:tblStyle w:val="36"/>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44"/>
        <w:gridCol w:w="5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945" w:type="pct"/>
            <w:vAlign w:val="center"/>
          </w:tcPr>
          <w:p>
            <w:pPr>
              <w:pStyle w:val="63"/>
            </w:pPr>
            <w:r>
              <w:t>产业类型</w:t>
            </w:r>
          </w:p>
        </w:tc>
        <w:tc>
          <w:tcPr>
            <w:tcW w:w="3055" w:type="pct"/>
            <w:vAlign w:val="center"/>
          </w:tcPr>
          <w:p>
            <w:pPr>
              <w:pStyle w:val="63"/>
            </w:pPr>
            <w:r>
              <w:t>使用/贮存危险物质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5" w:type="pct"/>
            <w:vAlign w:val="center"/>
          </w:tcPr>
          <w:p>
            <w:pPr>
              <w:pStyle w:val="63"/>
            </w:pPr>
            <w:r>
              <w:rPr>
                <w:rFonts w:hint="eastAsia"/>
              </w:rPr>
              <w:t>精细化工、先进化工新材料、生物医药、</w:t>
            </w:r>
            <w:r>
              <w:t>建材等</w:t>
            </w:r>
          </w:p>
        </w:tc>
        <w:tc>
          <w:tcPr>
            <w:tcW w:w="3055" w:type="pct"/>
            <w:vAlign w:val="center"/>
          </w:tcPr>
          <w:p>
            <w:pPr>
              <w:pStyle w:val="63"/>
            </w:pPr>
            <w:r>
              <w:t>液氨、盐酸、硫酸、硝酸、乙炔、油类物质等</w:t>
            </w:r>
          </w:p>
        </w:tc>
      </w:tr>
    </w:tbl>
    <w:p>
      <w:pPr>
        <w:spacing w:line="360" w:lineRule="auto"/>
        <w:ind w:firstLine="480" w:firstLineChars="200"/>
      </w:pPr>
      <w:r>
        <w:rPr>
          <w:rFonts w:hint="eastAsia"/>
        </w:rPr>
        <w:t>计算所涉及的每种危险物质在厂界内的最大存在总量与其在附录B中对应临界量的比值Q。在不同厂区的同一种物质，按其在厂界内的最大存在总量计算。</w:t>
      </w:r>
    </w:p>
    <w:p>
      <w:pPr>
        <w:spacing w:line="360" w:lineRule="auto"/>
        <w:ind w:firstLine="480" w:firstLineChars="200"/>
      </w:pPr>
      <w:r>
        <w:rPr>
          <w:rFonts w:hint="eastAsia"/>
        </w:rPr>
        <w:t>当只涉及一种危险物质时，计算该物质的总量与其临界量比值，即为Q；</w:t>
      </w:r>
    </w:p>
    <w:p>
      <w:pPr>
        <w:spacing w:line="360" w:lineRule="auto"/>
        <w:ind w:firstLine="480" w:firstLineChars="200"/>
      </w:pPr>
      <w:r>
        <w:rPr>
          <w:rFonts w:hint="eastAsia"/>
        </w:rPr>
        <w:t>当存在多种危险物质时，则按下式计算物质总量与其临界量比值（Q）；</w:t>
      </w:r>
    </w:p>
    <w:p>
      <w:pPr>
        <w:spacing w:line="360" w:lineRule="auto"/>
        <w:ind w:firstLine="480" w:firstLineChars="200"/>
      </w:pPr>
      <w:r>
        <w:t xml:space="preserve">Q=q1/Q1+q2/Q2+……+qn/Qn  </w:t>
      </w:r>
    </w:p>
    <w:p>
      <w:pPr>
        <w:spacing w:line="360" w:lineRule="auto"/>
        <w:ind w:firstLine="480" w:firstLineChars="200"/>
      </w:pPr>
      <w:r>
        <w:rPr>
          <w:rFonts w:hint="eastAsia"/>
        </w:rPr>
        <w:t>式中：q1，q2，……，qn——每种危险物质的最大存在总量，t。</w:t>
      </w:r>
    </w:p>
    <w:p>
      <w:pPr>
        <w:spacing w:line="360" w:lineRule="auto"/>
        <w:ind w:firstLine="480" w:firstLineChars="200"/>
      </w:pPr>
      <w:r>
        <w:rPr>
          <w:rFonts w:hint="eastAsia"/>
        </w:rPr>
        <w:t>Q1，Q2，……，Qn——每种危险物质的临界量，t。</w:t>
      </w:r>
    </w:p>
    <w:p>
      <w:pPr>
        <w:spacing w:line="360" w:lineRule="auto"/>
        <w:ind w:firstLine="480" w:firstLineChars="200"/>
      </w:pPr>
      <w:r>
        <w:rPr>
          <w:rFonts w:hint="eastAsia"/>
        </w:rPr>
        <w:t>当 Q＜1 时，该项目环境风险潜势为Ⅰ。</w:t>
      </w:r>
    </w:p>
    <w:p>
      <w:pPr>
        <w:spacing w:line="360" w:lineRule="auto"/>
        <w:ind w:firstLine="480" w:firstLineChars="200"/>
      </w:pPr>
      <w:r>
        <w:rPr>
          <w:rFonts w:hint="eastAsia"/>
        </w:rPr>
        <w:t>当Q≥1时，将Q值划分为：（1）1≤Q＜10；（2）10≤Q＜100；（3）Q≥100。</w:t>
      </w:r>
    </w:p>
    <w:p>
      <w:pPr>
        <w:spacing w:line="360" w:lineRule="auto"/>
        <w:ind w:firstLine="480" w:firstLineChars="200"/>
      </w:pPr>
      <w:r>
        <w:rPr>
          <w:rFonts w:hint="eastAsia"/>
        </w:rPr>
        <w:t>根据《建设项目环境风险评价技术导则》（HJ169-2018）及《危险化学品重大危险源辨识》（GB18218-2018），中对风险物质的临界量的设定，对于进行风险源辨识，园区重点风险源企业编制了突发环境风险应急预案，配备了相应的应急物资，成立了应急队伍，基本满足应急处置的要求。</w:t>
      </w:r>
    </w:p>
    <w:p>
      <w:pPr>
        <w:pStyle w:val="6"/>
      </w:pPr>
      <w:r>
        <w:t>表6.11-2.1   园区重点企业环境风险物质情况</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9"/>
        <w:gridCol w:w="2175"/>
        <w:gridCol w:w="1833"/>
        <w:gridCol w:w="1635"/>
        <w:gridCol w:w="19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89" w:type="dxa"/>
            <w:tcBorders>
              <w:top w:val="single" w:color="auto" w:sz="12" w:space="0"/>
            </w:tcBorders>
            <w:vAlign w:val="center"/>
          </w:tcPr>
          <w:p>
            <w:pPr>
              <w:pStyle w:val="63"/>
            </w:pPr>
            <w:r>
              <w:t>序号</w:t>
            </w:r>
          </w:p>
        </w:tc>
        <w:tc>
          <w:tcPr>
            <w:tcW w:w="2175" w:type="dxa"/>
            <w:tcBorders>
              <w:top w:val="single" w:color="auto" w:sz="12" w:space="0"/>
            </w:tcBorders>
            <w:vAlign w:val="center"/>
          </w:tcPr>
          <w:p>
            <w:pPr>
              <w:pStyle w:val="63"/>
            </w:pPr>
            <w:r>
              <w:t>企业名称</w:t>
            </w:r>
          </w:p>
        </w:tc>
        <w:tc>
          <w:tcPr>
            <w:tcW w:w="1833" w:type="dxa"/>
            <w:tcBorders>
              <w:top w:val="single" w:color="auto" w:sz="12" w:space="0"/>
            </w:tcBorders>
            <w:vAlign w:val="center"/>
          </w:tcPr>
          <w:p>
            <w:pPr>
              <w:pStyle w:val="63"/>
            </w:pPr>
            <w:r>
              <w:t>Q值</w:t>
            </w:r>
          </w:p>
        </w:tc>
        <w:tc>
          <w:tcPr>
            <w:tcW w:w="1635" w:type="dxa"/>
            <w:tcBorders>
              <w:top w:val="single" w:color="auto" w:sz="12" w:space="0"/>
            </w:tcBorders>
            <w:vAlign w:val="center"/>
          </w:tcPr>
          <w:p>
            <w:pPr>
              <w:pStyle w:val="63"/>
            </w:pPr>
            <w:r>
              <w:t>Q值排序</w:t>
            </w:r>
          </w:p>
        </w:tc>
        <w:tc>
          <w:tcPr>
            <w:tcW w:w="1917" w:type="dxa"/>
            <w:tcBorders>
              <w:top w:val="single" w:color="auto" w:sz="12" w:space="0"/>
            </w:tcBorders>
            <w:vAlign w:val="center"/>
          </w:tcPr>
          <w:p>
            <w:pPr>
              <w:pStyle w:val="63"/>
            </w:pPr>
            <w:r>
              <w:t>风险物质等级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49" w:type="dxa"/>
            <w:gridSpan w:val="5"/>
            <w:vAlign w:val="center"/>
          </w:tcPr>
          <w:p>
            <w:pPr>
              <w:pStyle w:val="63"/>
            </w:pPr>
            <w:r>
              <w:rPr>
                <w:rFonts w:hint="eastAsia"/>
              </w:rPr>
              <w:t>滨江产业园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t>1</w:t>
            </w:r>
          </w:p>
        </w:tc>
        <w:tc>
          <w:tcPr>
            <w:tcW w:w="2175" w:type="dxa"/>
            <w:vAlign w:val="center"/>
          </w:tcPr>
          <w:p>
            <w:pPr>
              <w:pStyle w:val="63"/>
            </w:pPr>
            <w:r>
              <w:rPr>
                <w:rFonts w:hint="eastAsia"/>
              </w:rPr>
              <w:t>神骏化工</w:t>
            </w:r>
          </w:p>
        </w:tc>
        <w:tc>
          <w:tcPr>
            <w:tcW w:w="1833" w:type="dxa"/>
            <w:vAlign w:val="center"/>
          </w:tcPr>
          <w:p>
            <w:pPr>
              <w:pStyle w:val="63"/>
            </w:pPr>
            <w:r>
              <w:rPr>
                <w:rFonts w:hint="eastAsia"/>
              </w:rPr>
              <w:t>498.544</w:t>
            </w:r>
          </w:p>
        </w:tc>
        <w:tc>
          <w:tcPr>
            <w:tcW w:w="1635" w:type="dxa"/>
            <w:vAlign w:val="center"/>
          </w:tcPr>
          <w:p>
            <w:pPr>
              <w:pStyle w:val="63"/>
            </w:pPr>
            <w:r>
              <w:t>1</w:t>
            </w:r>
          </w:p>
        </w:tc>
        <w:tc>
          <w:tcPr>
            <w:tcW w:w="1917" w:type="dxa"/>
            <w:vAlign w:val="center"/>
          </w:tcPr>
          <w:p>
            <w:pPr>
              <w:pStyle w:val="63"/>
            </w:pPr>
            <w:r>
              <w:t>Q3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2</w:t>
            </w:r>
          </w:p>
        </w:tc>
        <w:tc>
          <w:tcPr>
            <w:tcW w:w="2175" w:type="dxa"/>
            <w:vAlign w:val="center"/>
          </w:tcPr>
          <w:p>
            <w:pPr>
              <w:pStyle w:val="63"/>
            </w:pPr>
            <w:r>
              <w:rPr>
                <w:rFonts w:hint="eastAsia"/>
              </w:rPr>
              <w:t>鹏程化工</w:t>
            </w:r>
          </w:p>
        </w:tc>
        <w:tc>
          <w:tcPr>
            <w:tcW w:w="1833" w:type="dxa"/>
            <w:vAlign w:val="center"/>
          </w:tcPr>
          <w:p>
            <w:pPr>
              <w:pStyle w:val="63"/>
            </w:pPr>
            <w:r>
              <w:rPr>
                <w:rFonts w:hint="eastAsia"/>
              </w:rPr>
              <w:t>302</w:t>
            </w:r>
          </w:p>
        </w:tc>
        <w:tc>
          <w:tcPr>
            <w:tcW w:w="1635" w:type="dxa"/>
            <w:vAlign w:val="center"/>
          </w:tcPr>
          <w:p>
            <w:pPr>
              <w:pStyle w:val="63"/>
            </w:pPr>
            <w:r>
              <w:rPr>
                <w:rFonts w:hint="eastAsia"/>
              </w:rPr>
              <w:t>2</w:t>
            </w:r>
          </w:p>
        </w:tc>
        <w:tc>
          <w:tcPr>
            <w:tcW w:w="1917" w:type="dxa"/>
            <w:vAlign w:val="center"/>
          </w:tcPr>
          <w:p>
            <w:pPr>
              <w:pStyle w:val="63"/>
            </w:pPr>
            <w:r>
              <w:t>Q3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3</w:t>
            </w:r>
          </w:p>
        </w:tc>
        <w:tc>
          <w:tcPr>
            <w:tcW w:w="2175" w:type="dxa"/>
            <w:vAlign w:val="center"/>
          </w:tcPr>
          <w:p>
            <w:pPr>
              <w:pStyle w:val="63"/>
            </w:pPr>
            <w:r>
              <w:rPr>
                <w:rFonts w:hint="eastAsia"/>
              </w:rPr>
              <w:t>国发精细化工</w:t>
            </w:r>
          </w:p>
        </w:tc>
        <w:tc>
          <w:tcPr>
            <w:tcW w:w="1833" w:type="dxa"/>
            <w:vAlign w:val="center"/>
          </w:tcPr>
          <w:p>
            <w:pPr>
              <w:pStyle w:val="63"/>
            </w:pPr>
            <w:r>
              <w:rPr>
                <w:rFonts w:hint="eastAsia"/>
              </w:rPr>
              <w:t>233.28</w:t>
            </w:r>
          </w:p>
        </w:tc>
        <w:tc>
          <w:tcPr>
            <w:tcW w:w="1635" w:type="dxa"/>
            <w:vAlign w:val="center"/>
          </w:tcPr>
          <w:p>
            <w:pPr>
              <w:pStyle w:val="63"/>
            </w:pPr>
            <w:r>
              <w:rPr>
                <w:rFonts w:hint="eastAsia"/>
              </w:rPr>
              <w:t>3</w:t>
            </w:r>
          </w:p>
        </w:tc>
        <w:tc>
          <w:tcPr>
            <w:tcW w:w="1917" w:type="dxa"/>
            <w:vAlign w:val="center"/>
          </w:tcPr>
          <w:p>
            <w:pPr>
              <w:pStyle w:val="63"/>
            </w:pPr>
            <w:r>
              <w:t>Q3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4</w:t>
            </w:r>
          </w:p>
        </w:tc>
        <w:tc>
          <w:tcPr>
            <w:tcW w:w="2175" w:type="dxa"/>
            <w:vAlign w:val="center"/>
          </w:tcPr>
          <w:p>
            <w:pPr>
              <w:pStyle w:val="63"/>
            </w:pPr>
            <w:r>
              <w:rPr>
                <w:rFonts w:hint="eastAsia"/>
              </w:rPr>
              <w:t>正兴化工</w:t>
            </w:r>
          </w:p>
        </w:tc>
        <w:tc>
          <w:tcPr>
            <w:tcW w:w="1833" w:type="dxa"/>
            <w:vAlign w:val="center"/>
          </w:tcPr>
          <w:p>
            <w:pPr>
              <w:pStyle w:val="63"/>
            </w:pPr>
            <w:r>
              <w:rPr>
                <w:rFonts w:hint="eastAsia"/>
              </w:rPr>
              <w:t>80</w:t>
            </w:r>
          </w:p>
        </w:tc>
        <w:tc>
          <w:tcPr>
            <w:tcW w:w="1635" w:type="dxa"/>
            <w:vAlign w:val="center"/>
          </w:tcPr>
          <w:p>
            <w:pPr>
              <w:pStyle w:val="63"/>
            </w:pPr>
            <w:r>
              <w:rPr>
                <w:rFonts w:hint="eastAsia"/>
              </w:rPr>
              <w:t>4</w:t>
            </w:r>
          </w:p>
        </w:tc>
        <w:tc>
          <w:tcPr>
            <w:tcW w:w="1917" w:type="dxa"/>
            <w:vAlign w:val="center"/>
          </w:tcPr>
          <w:p>
            <w:pPr>
              <w:pStyle w:val="63"/>
            </w:pPr>
            <w:r>
              <w:t>Q2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5</w:t>
            </w:r>
          </w:p>
        </w:tc>
        <w:tc>
          <w:tcPr>
            <w:tcW w:w="2175" w:type="dxa"/>
            <w:vAlign w:val="center"/>
          </w:tcPr>
          <w:p>
            <w:pPr>
              <w:pStyle w:val="63"/>
            </w:pPr>
            <w:r>
              <w:rPr>
                <w:rFonts w:hint="eastAsia"/>
              </w:rPr>
              <w:t>福尔程环保</w:t>
            </w:r>
          </w:p>
        </w:tc>
        <w:tc>
          <w:tcPr>
            <w:tcW w:w="1833" w:type="dxa"/>
            <w:vAlign w:val="center"/>
          </w:tcPr>
          <w:p>
            <w:pPr>
              <w:pStyle w:val="63"/>
            </w:pPr>
            <w:r>
              <w:rPr>
                <w:rFonts w:hint="eastAsia"/>
              </w:rPr>
              <w:t>71.8</w:t>
            </w:r>
          </w:p>
        </w:tc>
        <w:tc>
          <w:tcPr>
            <w:tcW w:w="1635" w:type="dxa"/>
            <w:vAlign w:val="center"/>
          </w:tcPr>
          <w:p>
            <w:pPr>
              <w:pStyle w:val="63"/>
            </w:pPr>
            <w:r>
              <w:rPr>
                <w:rFonts w:hint="eastAsia"/>
              </w:rPr>
              <w:t>5</w:t>
            </w:r>
          </w:p>
        </w:tc>
        <w:tc>
          <w:tcPr>
            <w:tcW w:w="1917" w:type="dxa"/>
            <w:vAlign w:val="center"/>
          </w:tcPr>
          <w:p>
            <w:pPr>
              <w:pStyle w:val="63"/>
            </w:pPr>
            <w:r>
              <w:rPr>
                <w:rFonts w:hint="eastAsia"/>
              </w:rPr>
              <w:t>Q2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6</w:t>
            </w:r>
          </w:p>
        </w:tc>
        <w:tc>
          <w:tcPr>
            <w:tcW w:w="2175" w:type="dxa"/>
            <w:vAlign w:val="center"/>
          </w:tcPr>
          <w:p>
            <w:pPr>
              <w:pStyle w:val="63"/>
            </w:pPr>
            <w:r>
              <w:rPr>
                <w:rFonts w:hint="eastAsia"/>
              </w:rPr>
              <w:t>宇恒化工</w:t>
            </w:r>
          </w:p>
        </w:tc>
        <w:tc>
          <w:tcPr>
            <w:tcW w:w="1833" w:type="dxa"/>
            <w:vAlign w:val="center"/>
          </w:tcPr>
          <w:p>
            <w:pPr>
              <w:pStyle w:val="63"/>
            </w:pPr>
            <w:r>
              <w:rPr>
                <w:rFonts w:hint="eastAsia"/>
              </w:rPr>
              <w:t>70.33</w:t>
            </w:r>
          </w:p>
        </w:tc>
        <w:tc>
          <w:tcPr>
            <w:tcW w:w="1635" w:type="dxa"/>
            <w:vAlign w:val="center"/>
          </w:tcPr>
          <w:p>
            <w:pPr>
              <w:pStyle w:val="63"/>
            </w:pPr>
            <w:r>
              <w:rPr>
                <w:rFonts w:hint="eastAsia"/>
              </w:rPr>
              <w:t>6</w:t>
            </w:r>
          </w:p>
        </w:tc>
        <w:tc>
          <w:tcPr>
            <w:tcW w:w="1917" w:type="dxa"/>
            <w:vAlign w:val="center"/>
          </w:tcPr>
          <w:p>
            <w:pPr>
              <w:pStyle w:val="63"/>
            </w:pPr>
            <w:r>
              <w:t>Q2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7</w:t>
            </w:r>
          </w:p>
        </w:tc>
        <w:tc>
          <w:tcPr>
            <w:tcW w:w="2175" w:type="dxa"/>
            <w:vAlign w:val="center"/>
          </w:tcPr>
          <w:p>
            <w:pPr>
              <w:pStyle w:val="63"/>
            </w:pPr>
            <w:r>
              <w:rPr>
                <w:rFonts w:hint="eastAsia"/>
              </w:rPr>
              <w:t>比德公司</w:t>
            </w:r>
          </w:p>
        </w:tc>
        <w:tc>
          <w:tcPr>
            <w:tcW w:w="1833" w:type="dxa"/>
            <w:vAlign w:val="center"/>
          </w:tcPr>
          <w:p>
            <w:pPr>
              <w:pStyle w:val="63"/>
            </w:pPr>
            <w:r>
              <w:rPr>
                <w:rFonts w:hint="eastAsia"/>
              </w:rPr>
              <w:t>68.2</w:t>
            </w:r>
          </w:p>
        </w:tc>
        <w:tc>
          <w:tcPr>
            <w:tcW w:w="1635" w:type="dxa"/>
            <w:vAlign w:val="center"/>
          </w:tcPr>
          <w:p>
            <w:pPr>
              <w:pStyle w:val="63"/>
            </w:pPr>
            <w:r>
              <w:rPr>
                <w:rFonts w:hint="eastAsia"/>
              </w:rPr>
              <w:t>7</w:t>
            </w:r>
          </w:p>
        </w:tc>
        <w:tc>
          <w:tcPr>
            <w:tcW w:w="1917" w:type="dxa"/>
            <w:vAlign w:val="center"/>
          </w:tcPr>
          <w:p>
            <w:pPr>
              <w:pStyle w:val="63"/>
            </w:pPr>
            <w:r>
              <w:t>Q2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8</w:t>
            </w:r>
          </w:p>
        </w:tc>
        <w:tc>
          <w:tcPr>
            <w:tcW w:w="2175" w:type="dxa"/>
            <w:vAlign w:val="center"/>
          </w:tcPr>
          <w:p>
            <w:pPr>
              <w:pStyle w:val="63"/>
            </w:pPr>
            <w:r>
              <w:rPr>
                <w:rFonts w:hint="eastAsia"/>
              </w:rPr>
              <w:t>环宇药业</w:t>
            </w:r>
          </w:p>
        </w:tc>
        <w:tc>
          <w:tcPr>
            <w:tcW w:w="1833" w:type="dxa"/>
            <w:vAlign w:val="center"/>
          </w:tcPr>
          <w:p>
            <w:pPr>
              <w:pStyle w:val="63"/>
            </w:pPr>
            <w:r>
              <w:rPr>
                <w:rFonts w:hint="eastAsia"/>
              </w:rPr>
              <w:t>7.33</w:t>
            </w:r>
          </w:p>
        </w:tc>
        <w:tc>
          <w:tcPr>
            <w:tcW w:w="1635" w:type="dxa"/>
            <w:vAlign w:val="center"/>
          </w:tcPr>
          <w:p>
            <w:pPr>
              <w:pStyle w:val="63"/>
            </w:pPr>
            <w:r>
              <w:rPr>
                <w:rFonts w:hint="eastAsia"/>
              </w:rPr>
              <w:t>8</w:t>
            </w:r>
          </w:p>
        </w:tc>
        <w:tc>
          <w:tcPr>
            <w:tcW w:w="1917" w:type="dxa"/>
            <w:vAlign w:val="center"/>
          </w:tcPr>
          <w:p>
            <w:pPr>
              <w:pStyle w:val="63"/>
            </w:pPr>
            <w:r>
              <w:t>Q1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9</w:t>
            </w:r>
          </w:p>
        </w:tc>
        <w:tc>
          <w:tcPr>
            <w:tcW w:w="2175" w:type="dxa"/>
            <w:vAlign w:val="center"/>
          </w:tcPr>
          <w:p>
            <w:pPr>
              <w:pStyle w:val="63"/>
            </w:pPr>
            <w:r>
              <w:rPr>
                <w:rFonts w:hint="eastAsia"/>
              </w:rPr>
              <w:t>三智碳材</w:t>
            </w:r>
          </w:p>
        </w:tc>
        <w:tc>
          <w:tcPr>
            <w:tcW w:w="1833" w:type="dxa"/>
            <w:vAlign w:val="center"/>
          </w:tcPr>
          <w:p>
            <w:pPr>
              <w:pStyle w:val="63"/>
            </w:pPr>
            <w:r>
              <w:rPr>
                <w:rFonts w:hint="eastAsia"/>
              </w:rPr>
              <w:t>3.2</w:t>
            </w:r>
          </w:p>
        </w:tc>
        <w:tc>
          <w:tcPr>
            <w:tcW w:w="1635" w:type="dxa"/>
            <w:vAlign w:val="center"/>
          </w:tcPr>
          <w:p>
            <w:pPr>
              <w:pStyle w:val="63"/>
            </w:pPr>
            <w:r>
              <w:rPr>
                <w:rFonts w:hint="eastAsia"/>
              </w:rPr>
              <w:t>9</w:t>
            </w:r>
          </w:p>
        </w:tc>
        <w:tc>
          <w:tcPr>
            <w:tcW w:w="1917" w:type="dxa"/>
            <w:vAlign w:val="center"/>
          </w:tcPr>
          <w:p>
            <w:pPr>
              <w:pStyle w:val="63"/>
            </w:pPr>
            <w:r>
              <w:t>Q1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10</w:t>
            </w:r>
          </w:p>
        </w:tc>
        <w:tc>
          <w:tcPr>
            <w:tcW w:w="2175" w:type="dxa"/>
            <w:vAlign w:val="center"/>
          </w:tcPr>
          <w:p>
            <w:pPr>
              <w:pStyle w:val="63"/>
            </w:pPr>
            <w:r>
              <w:rPr>
                <w:rFonts w:hint="eastAsia"/>
              </w:rPr>
              <w:t>方阵科技</w:t>
            </w:r>
          </w:p>
        </w:tc>
        <w:tc>
          <w:tcPr>
            <w:tcW w:w="1833" w:type="dxa"/>
            <w:tcBorders>
              <w:bottom w:val="single" w:color="auto" w:sz="8" w:space="0"/>
            </w:tcBorders>
            <w:vAlign w:val="center"/>
          </w:tcPr>
          <w:p>
            <w:pPr>
              <w:pStyle w:val="63"/>
            </w:pPr>
            <w:r>
              <w:rPr>
                <w:rFonts w:hint="eastAsia"/>
              </w:rPr>
              <w:t>2.004</w:t>
            </w:r>
          </w:p>
        </w:tc>
        <w:tc>
          <w:tcPr>
            <w:tcW w:w="1635" w:type="dxa"/>
            <w:tcBorders>
              <w:bottom w:val="single" w:color="auto" w:sz="8" w:space="0"/>
            </w:tcBorders>
            <w:vAlign w:val="center"/>
          </w:tcPr>
          <w:p>
            <w:pPr>
              <w:pStyle w:val="63"/>
            </w:pPr>
            <w:r>
              <w:rPr>
                <w:rFonts w:hint="eastAsia"/>
              </w:rPr>
              <w:t>10</w:t>
            </w:r>
          </w:p>
        </w:tc>
        <w:tc>
          <w:tcPr>
            <w:tcW w:w="1917" w:type="dxa"/>
            <w:tcBorders>
              <w:bottom w:val="single" w:color="auto" w:sz="8" w:space="0"/>
            </w:tcBorders>
            <w:vAlign w:val="center"/>
          </w:tcPr>
          <w:p>
            <w:pPr>
              <w:pStyle w:val="63"/>
            </w:pPr>
            <w:r>
              <w:rPr>
                <w:rFonts w:hint="eastAsia"/>
              </w:rPr>
              <w:t>Q1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t>11</w:t>
            </w:r>
          </w:p>
        </w:tc>
        <w:tc>
          <w:tcPr>
            <w:tcW w:w="2175" w:type="dxa"/>
            <w:vAlign w:val="center"/>
          </w:tcPr>
          <w:p>
            <w:pPr>
              <w:pStyle w:val="63"/>
            </w:pPr>
            <w:r>
              <w:rPr>
                <w:rFonts w:hint="eastAsia"/>
              </w:rPr>
              <w:t>德泽环保</w:t>
            </w:r>
          </w:p>
        </w:tc>
        <w:tc>
          <w:tcPr>
            <w:tcW w:w="1833" w:type="dxa"/>
            <w:tcBorders>
              <w:bottom w:val="single" w:color="auto" w:sz="8" w:space="0"/>
            </w:tcBorders>
            <w:vAlign w:val="center"/>
          </w:tcPr>
          <w:p>
            <w:pPr>
              <w:pStyle w:val="63"/>
            </w:pPr>
            <w:r>
              <w:rPr>
                <w:rFonts w:hint="eastAsia"/>
              </w:rPr>
              <w:t>0.988</w:t>
            </w:r>
          </w:p>
        </w:tc>
        <w:tc>
          <w:tcPr>
            <w:tcW w:w="1635" w:type="dxa"/>
            <w:tcBorders>
              <w:bottom w:val="single" w:color="auto" w:sz="8" w:space="0"/>
            </w:tcBorders>
            <w:vAlign w:val="center"/>
          </w:tcPr>
          <w:p>
            <w:pPr>
              <w:pStyle w:val="63"/>
            </w:pPr>
            <w:r>
              <w:rPr>
                <w:rFonts w:hint="eastAsia"/>
              </w:rPr>
              <w:t>11</w:t>
            </w:r>
          </w:p>
        </w:tc>
        <w:tc>
          <w:tcPr>
            <w:tcW w:w="1917" w:type="dxa"/>
            <w:tcBorders>
              <w:bottom w:val="single" w:color="auto" w:sz="8" w:space="0"/>
            </w:tcBorders>
            <w:vAlign w:val="center"/>
          </w:tcPr>
          <w:p>
            <w:pPr>
              <w:pStyle w:val="63"/>
            </w:pPr>
            <w:r>
              <w:rPr>
                <w:rFonts w:hint="eastAsia"/>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t>12</w:t>
            </w:r>
          </w:p>
        </w:tc>
        <w:tc>
          <w:tcPr>
            <w:tcW w:w="2175" w:type="dxa"/>
            <w:vAlign w:val="center"/>
          </w:tcPr>
          <w:p>
            <w:pPr>
              <w:pStyle w:val="63"/>
            </w:pPr>
            <w:r>
              <w:rPr>
                <w:rFonts w:hint="eastAsia"/>
              </w:rPr>
              <w:t>深水海纳污水</w:t>
            </w:r>
          </w:p>
        </w:tc>
        <w:tc>
          <w:tcPr>
            <w:tcW w:w="1833" w:type="dxa"/>
            <w:vAlign w:val="center"/>
          </w:tcPr>
          <w:p>
            <w:pPr>
              <w:pStyle w:val="63"/>
            </w:pPr>
            <w:r>
              <w:rPr>
                <w:rFonts w:hint="eastAsia"/>
              </w:rPr>
              <w:t>0.2</w:t>
            </w:r>
          </w:p>
        </w:tc>
        <w:tc>
          <w:tcPr>
            <w:tcW w:w="1635" w:type="dxa"/>
            <w:tcBorders>
              <w:bottom w:val="single" w:color="auto" w:sz="8" w:space="0"/>
            </w:tcBorders>
            <w:vAlign w:val="center"/>
          </w:tcPr>
          <w:p>
            <w:pPr>
              <w:pStyle w:val="63"/>
            </w:pPr>
            <w:r>
              <w:t>1</w:t>
            </w:r>
            <w:r>
              <w:rPr>
                <w:rFonts w:hint="eastAsia"/>
              </w:rPr>
              <w:t>2</w:t>
            </w:r>
          </w:p>
        </w:tc>
        <w:tc>
          <w:tcPr>
            <w:tcW w:w="1917" w:type="dxa"/>
            <w:vAlign w:val="center"/>
          </w:tcPr>
          <w:p>
            <w:pPr>
              <w:pStyle w:val="63"/>
            </w:pPr>
            <w:r>
              <w:rPr>
                <w:rFonts w:hint="eastAsia"/>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t>13</w:t>
            </w:r>
          </w:p>
        </w:tc>
        <w:tc>
          <w:tcPr>
            <w:tcW w:w="2175" w:type="dxa"/>
            <w:vAlign w:val="center"/>
          </w:tcPr>
          <w:p>
            <w:pPr>
              <w:pStyle w:val="63"/>
            </w:pPr>
            <w:r>
              <w:rPr>
                <w:rFonts w:hint="eastAsia"/>
              </w:rPr>
              <w:t>龙正节能</w:t>
            </w:r>
          </w:p>
        </w:tc>
        <w:tc>
          <w:tcPr>
            <w:tcW w:w="1833" w:type="dxa"/>
            <w:tcBorders>
              <w:bottom w:val="single" w:color="auto" w:sz="8" w:space="0"/>
            </w:tcBorders>
            <w:vAlign w:val="center"/>
          </w:tcPr>
          <w:p>
            <w:pPr>
              <w:pStyle w:val="63"/>
            </w:pPr>
            <w:r>
              <w:rPr>
                <w:rFonts w:hint="eastAsia"/>
              </w:rPr>
              <w:t>0.0004</w:t>
            </w:r>
          </w:p>
        </w:tc>
        <w:tc>
          <w:tcPr>
            <w:tcW w:w="1635" w:type="dxa"/>
            <w:tcBorders>
              <w:top w:val="single" w:color="auto" w:sz="8" w:space="0"/>
              <w:bottom w:val="single" w:color="auto" w:sz="8" w:space="0"/>
            </w:tcBorders>
            <w:vAlign w:val="center"/>
          </w:tcPr>
          <w:p>
            <w:pPr>
              <w:pStyle w:val="63"/>
            </w:pPr>
            <w:r>
              <w:t>1</w:t>
            </w:r>
            <w:r>
              <w:rPr>
                <w:rFonts w:hint="eastAsia"/>
              </w:rPr>
              <w:t>3</w:t>
            </w:r>
          </w:p>
        </w:tc>
        <w:tc>
          <w:tcPr>
            <w:tcW w:w="1917" w:type="dxa"/>
            <w:vAlign w:val="center"/>
          </w:tcPr>
          <w:p>
            <w:pPr>
              <w:pStyle w:val="63"/>
            </w:pPr>
            <w:r>
              <w:rPr>
                <w:rFonts w:hint="eastAsia"/>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t>14</w:t>
            </w:r>
          </w:p>
        </w:tc>
        <w:tc>
          <w:tcPr>
            <w:tcW w:w="2175" w:type="dxa"/>
            <w:vAlign w:val="center"/>
          </w:tcPr>
          <w:p>
            <w:pPr>
              <w:pStyle w:val="63"/>
            </w:pPr>
            <w:r>
              <w:rPr>
                <w:rFonts w:hint="eastAsia"/>
              </w:rPr>
              <w:t>北控制水</w:t>
            </w:r>
          </w:p>
        </w:tc>
        <w:tc>
          <w:tcPr>
            <w:tcW w:w="1833" w:type="dxa"/>
            <w:vAlign w:val="center"/>
          </w:tcPr>
          <w:p>
            <w:pPr>
              <w:pStyle w:val="63"/>
            </w:pPr>
            <w:r>
              <w:rPr>
                <w:rFonts w:hint="eastAsia"/>
              </w:rPr>
              <w:t>--</w:t>
            </w:r>
          </w:p>
        </w:tc>
        <w:tc>
          <w:tcPr>
            <w:tcW w:w="1635" w:type="dxa"/>
            <w:tcBorders>
              <w:top w:val="single" w:color="auto" w:sz="8" w:space="0"/>
              <w:bottom w:val="single" w:color="auto" w:sz="8" w:space="0"/>
            </w:tcBorders>
            <w:vAlign w:val="center"/>
          </w:tcPr>
          <w:p>
            <w:pPr>
              <w:pStyle w:val="63"/>
            </w:pPr>
            <w:r>
              <w:rPr>
                <w:rFonts w:hint="eastAsia"/>
              </w:rPr>
              <w:t>14</w:t>
            </w:r>
          </w:p>
        </w:tc>
        <w:tc>
          <w:tcPr>
            <w:tcW w:w="1917" w:type="dxa"/>
            <w:vAlign w:val="center"/>
          </w:tcPr>
          <w:p>
            <w:pPr>
              <w:pStyle w:val="63"/>
            </w:pPr>
            <w:r>
              <w:rPr>
                <w:rFonts w:hint="eastAsia"/>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49" w:type="dxa"/>
            <w:gridSpan w:val="5"/>
            <w:vAlign w:val="center"/>
          </w:tcPr>
          <w:p>
            <w:pPr>
              <w:pStyle w:val="63"/>
            </w:pPr>
            <w:r>
              <w:rPr>
                <w:rFonts w:hint="eastAsia"/>
              </w:rPr>
              <w:t>三湾工业园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1</w:t>
            </w:r>
          </w:p>
        </w:tc>
        <w:tc>
          <w:tcPr>
            <w:tcW w:w="2175" w:type="dxa"/>
            <w:vAlign w:val="center"/>
          </w:tcPr>
          <w:p>
            <w:pPr>
              <w:pStyle w:val="63"/>
            </w:pPr>
            <w:r>
              <w:rPr>
                <w:rFonts w:hint="eastAsia"/>
              </w:rPr>
              <w:t>兆邦陶瓷</w:t>
            </w:r>
          </w:p>
        </w:tc>
        <w:tc>
          <w:tcPr>
            <w:tcW w:w="1833" w:type="dxa"/>
            <w:vAlign w:val="center"/>
          </w:tcPr>
          <w:p>
            <w:pPr>
              <w:pStyle w:val="63"/>
            </w:pPr>
            <w:r>
              <w:rPr>
                <w:rFonts w:hint="eastAsia"/>
              </w:rPr>
              <w:t>4.41</w:t>
            </w:r>
          </w:p>
        </w:tc>
        <w:tc>
          <w:tcPr>
            <w:tcW w:w="1635" w:type="dxa"/>
            <w:tcBorders>
              <w:top w:val="single" w:color="auto" w:sz="8" w:space="0"/>
              <w:bottom w:val="single" w:color="auto" w:sz="8" w:space="0"/>
            </w:tcBorders>
            <w:vAlign w:val="center"/>
          </w:tcPr>
          <w:p>
            <w:pPr>
              <w:pStyle w:val="63"/>
            </w:pPr>
            <w:r>
              <w:rPr>
                <w:rFonts w:hint="eastAsia"/>
              </w:rPr>
              <w:t>1</w:t>
            </w:r>
          </w:p>
        </w:tc>
        <w:tc>
          <w:tcPr>
            <w:tcW w:w="1917" w:type="dxa"/>
            <w:vAlign w:val="center"/>
          </w:tcPr>
          <w:p>
            <w:pPr>
              <w:pStyle w:val="63"/>
            </w:pPr>
            <w:r>
              <w:t>Q1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2</w:t>
            </w:r>
          </w:p>
        </w:tc>
        <w:tc>
          <w:tcPr>
            <w:tcW w:w="2175" w:type="dxa"/>
            <w:vAlign w:val="center"/>
          </w:tcPr>
          <w:p>
            <w:pPr>
              <w:pStyle w:val="63"/>
            </w:pPr>
            <w:r>
              <w:rPr>
                <w:rFonts w:hint="eastAsia"/>
              </w:rPr>
              <w:t>发达陶瓷</w:t>
            </w:r>
          </w:p>
        </w:tc>
        <w:tc>
          <w:tcPr>
            <w:tcW w:w="1833" w:type="dxa"/>
            <w:vAlign w:val="center"/>
          </w:tcPr>
          <w:p>
            <w:pPr>
              <w:pStyle w:val="63"/>
            </w:pPr>
            <w:r>
              <w:rPr>
                <w:rFonts w:hint="eastAsia"/>
              </w:rPr>
              <w:t>1.132</w:t>
            </w:r>
          </w:p>
        </w:tc>
        <w:tc>
          <w:tcPr>
            <w:tcW w:w="1635" w:type="dxa"/>
            <w:tcBorders>
              <w:top w:val="single" w:color="auto" w:sz="8" w:space="0"/>
              <w:bottom w:val="single" w:color="auto" w:sz="8" w:space="0"/>
            </w:tcBorders>
            <w:vAlign w:val="center"/>
          </w:tcPr>
          <w:p>
            <w:pPr>
              <w:pStyle w:val="63"/>
            </w:pPr>
            <w:r>
              <w:rPr>
                <w:rFonts w:hint="eastAsia"/>
              </w:rPr>
              <w:t>2</w:t>
            </w:r>
          </w:p>
        </w:tc>
        <w:tc>
          <w:tcPr>
            <w:tcW w:w="1917" w:type="dxa"/>
            <w:vAlign w:val="center"/>
          </w:tcPr>
          <w:p>
            <w:pPr>
              <w:pStyle w:val="63"/>
            </w:pPr>
            <w:r>
              <w:t>Q1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3</w:t>
            </w:r>
          </w:p>
        </w:tc>
        <w:tc>
          <w:tcPr>
            <w:tcW w:w="2175" w:type="dxa"/>
            <w:vAlign w:val="center"/>
          </w:tcPr>
          <w:p>
            <w:pPr>
              <w:pStyle w:val="63"/>
            </w:pPr>
            <w:r>
              <w:t>凯美陶瓷</w:t>
            </w:r>
          </w:p>
        </w:tc>
        <w:tc>
          <w:tcPr>
            <w:tcW w:w="1833" w:type="dxa"/>
            <w:vAlign w:val="center"/>
          </w:tcPr>
          <w:p>
            <w:pPr>
              <w:pStyle w:val="63"/>
            </w:pPr>
            <w:r>
              <w:rPr>
                <w:rFonts w:hint="eastAsia"/>
              </w:rPr>
              <w:t>0.2</w:t>
            </w:r>
          </w:p>
        </w:tc>
        <w:tc>
          <w:tcPr>
            <w:tcW w:w="1635" w:type="dxa"/>
            <w:tcBorders>
              <w:top w:val="single" w:color="auto" w:sz="8" w:space="0"/>
              <w:bottom w:val="single" w:color="auto" w:sz="8" w:space="0"/>
            </w:tcBorders>
            <w:vAlign w:val="center"/>
          </w:tcPr>
          <w:p>
            <w:pPr>
              <w:pStyle w:val="63"/>
            </w:pPr>
            <w:r>
              <w:rPr>
                <w:rFonts w:hint="eastAsia"/>
              </w:rPr>
              <w:t>3</w:t>
            </w:r>
          </w:p>
        </w:tc>
        <w:tc>
          <w:tcPr>
            <w:tcW w:w="1917" w:type="dxa"/>
            <w:vAlign w:val="center"/>
          </w:tcPr>
          <w:p>
            <w:pPr>
              <w:pStyle w:val="63"/>
            </w:pPr>
            <w:r>
              <w:rPr>
                <w:rFonts w:hint="eastAsia"/>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4</w:t>
            </w:r>
          </w:p>
        </w:tc>
        <w:tc>
          <w:tcPr>
            <w:tcW w:w="2175" w:type="dxa"/>
            <w:vAlign w:val="center"/>
          </w:tcPr>
          <w:p>
            <w:pPr>
              <w:pStyle w:val="63"/>
            </w:pPr>
            <w:r>
              <w:rPr>
                <w:rFonts w:hint="eastAsia"/>
              </w:rPr>
              <w:t>湖南康大科技</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5</w:t>
            </w:r>
          </w:p>
        </w:tc>
        <w:tc>
          <w:tcPr>
            <w:tcW w:w="2175" w:type="dxa"/>
            <w:vAlign w:val="center"/>
          </w:tcPr>
          <w:p>
            <w:pPr>
              <w:pStyle w:val="63"/>
            </w:pPr>
            <w:r>
              <w:rPr>
                <w:rFonts w:hint="eastAsia"/>
              </w:rPr>
              <w:t>岳阳神力科技</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6</w:t>
            </w:r>
          </w:p>
        </w:tc>
        <w:tc>
          <w:tcPr>
            <w:tcW w:w="2175" w:type="dxa"/>
            <w:vAlign w:val="center"/>
          </w:tcPr>
          <w:p>
            <w:pPr>
              <w:pStyle w:val="63"/>
            </w:pPr>
            <w:r>
              <w:rPr>
                <w:rFonts w:hint="eastAsia"/>
              </w:rPr>
              <w:t>康易达绿茵</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7</w:t>
            </w:r>
          </w:p>
        </w:tc>
        <w:tc>
          <w:tcPr>
            <w:tcW w:w="2175" w:type="dxa"/>
            <w:vAlign w:val="center"/>
          </w:tcPr>
          <w:p>
            <w:pPr>
              <w:pStyle w:val="63"/>
            </w:pPr>
            <w:r>
              <w:rPr>
                <w:rFonts w:hint="eastAsia"/>
              </w:rPr>
              <w:t>临湘市五鑫机械</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8</w:t>
            </w:r>
          </w:p>
        </w:tc>
        <w:tc>
          <w:tcPr>
            <w:tcW w:w="2175" w:type="dxa"/>
            <w:vAlign w:val="center"/>
          </w:tcPr>
          <w:p>
            <w:pPr>
              <w:pStyle w:val="63"/>
            </w:pPr>
            <w:r>
              <w:rPr>
                <w:rFonts w:hint="eastAsia"/>
              </w:rPr>
              <w:t>东泰饲料机械</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9</w:t>
            </w:r>
          </w:p>
        </w:tc>
        <w:tc>
          <w:tcPr>
            <w:tcW w:w="2175" w:type="dxa"/>
            <w:vAlign w:val="center"/>
          </w:tcPr>
          <w:p>
            <w:pPr>
              <w:pStyle w:val="63"/>
            </w:pPr>
            <w:r>
              <w:rPr>
                <w:rFonts w:hint="eastAsia"/>
              </w:rPr>
              <w:t>远瑞机械模具</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10</w:t>
            </w:r>
          </w:p>
        </w:tc>
        <w:tc>
          <w:tcPr>
            <w:tcW w:w="2175" w:type="dxa"/>
            <w:vAlign w:val="center"/>
          </w:tcPr>
          <w:p>
            <w:pPr>
              <w:pStyle w:val="63"/>
            </w:pPr>
            <w:r>
              <w:rPr>
                <w:rFonts w:hint="eastAsia"/>
              </w:rPr>
              <w:t>唯楚新材料</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vAlign w:val="center"/>
          </w:tcPr>
          <w:p>
            <w:pPr>
              <w:pStyle w:val="63"/>
            </w:pPr>
            <w:r>
              <w:rPr>
                <w:rFonts w:hint="eastAsia"/>
              </w:rPr>
              <w:t>11</w:t>
            </w:r>
          </w:p>
        </w:tc>
        <w:tc>
          <w:tcPr>
            <w:tcW w:w="2175" w:type="dxa"/>
            <w:vAlign w:val="center"/>
          </w:tcPr>
          <w:p>
            <w:pPr>
              <w:pStyle w:val="63"/>
            </w:pPr>
            <w:r>
              <w:rPr>
                <w:rFonts w:hint="eastAsia"/>
              </w:rPr>
              <w:t>华顺包装</w:t>
            </w:r>
          </w:p>
        </w:tc>
        <w:tc>
          <w:tcPr>
            <w:tcW w:w="1833" w:type="dxa"/>
            <w:vAlign w:val="center"/>
          </w:tcPr>
          <w:p>
            <w:pPr>
              <w:pStyle w:val="63"/>
            </w:pPr>
            <w:r>
              <w:rPr>
                <w:rFonts w:hint="eastAsia"/>
              </w:rPr>
              <w:t>无</w:t>
            </w:r>
          </w:p>
        </w:tc>
        <w:tc>
          <w:tcPr>
            <w:tcW w:w="1635" w:type="dxa"/>
            <w:tcBorders>
              <w:top w:val="single" w:color="auto" w:sz="8" w:space="0"/>
              <w:bottom w:val="single" w:color="auto" w:sz="8" w:space="0"/>
            </w:tcBorders>
            <w:vAlign w:val="center"/>
          </w:tcPr>
          <w:p>
            <w:pPr>
              <w:pStyle w:val="63"/>
            </w:pPr>
            <w:r>
              <w:rPr>
                <w:rFonts w:hint="eastAsia"/>
              </w:rPr>
              <w:t>--</w:t>
            </w:r>
          </w:p>
        </w:tc>
        <w:tc>
          <w:tcPr>
            <w:tcW w:w="1917" w:type="dxa"/>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tcBorders>
              <w:bottom w:val="single" w:color="auto" w:sz="4" w:space="0"/>
            </w:tcBorders>
            <w:vAlign w:val="center"/>
          </w:tcPr>
          <w:p>
            <w:pPr>
              <w:pStyle w:val="63"/>
            </w:pPr>
            <w:r>
              <w:rPr>
                <w:rFonts w:hint="eastAsia"/>
              </w:rPr>
              <w:t>12</w:t>
            </w:r>
          </w:p>
        </w:tc>
        <w:tc>
          <w:tcPr>
            <w:tcW w:w="2175" w:type="dxa"/>
            <w:tcBorders>
              <w:bottom w:val="single" w:color="auto" w:sz="4" w:space="0"/>
            </w:tcBorders>
            <w:vAlign w:val="center"/>
          </w:tcPr>
          <w:p>
            <w:pPr>
              <w:pStyle w:val="63"/>
            </w:pPr>
            <w:r>
              <w:rPr>
                <w:rFonts w:hint="eastAsia"/>
              </w:rPr>
              <w:t>华强混凝土</w:t>
            </w:r>
          </w:p>
        </w:tc>
        <w:tc>
          <w:tcPr>
            <w:tcW w:w="1833" w:type="dxa"/>
            <w:tcBorders>
              <w:bottom w:val="single" w:color="auto" w:sz="4" w:space="0"/>
            </w:tcBorders>
            <w:vAlign w:val="center"/>
          </w:tcPr>
          <w:p>
            <w:pPr>
              <w:pStyle w:val="63"/>
            </w:pPr>
            <w:r>
              <w:rPr>
                <w:rFonts w:hint="eastAsia"/>
              </w:rPr>
              <w:t>无</w:t>
            </w:r>
          </w:p>
        </w:tc>
        <w:tc>
          <w:tcPr>
            <w:tcW w:w="1635" w:type="dxa"/>
            <w:tcBorders>
              <w:top w:val="single" w:color="auto" w:sz="8" w:space="0"/>
              <w:bottom w:val="single" w:color="auto" w:sz="4" w:space="0"/>
            </w:tcBorders>
            <w:vAlign w:val="center"/>
          </w:tcPr>
          <w:p>
            <w:pPr>
              <w:pStyle w:val="63"/>
            </w:pPr>
            <w:r>
              <w:rPr>
                <w:rFonts w:hint="eastAsia"/>
              </w:rPr>
              <w:t>--</w:t>
            </w:r>
          </w:p>
        </w:tc>
        <w:tc>
          <w:tcPr>
            <w:tcW w:w="1917" w:type="dxa"/>
            <w:tcBorders>
              <w:bottom w:val="single" w:color="auto" w:sz="4" w:space="0"/>
            </w:tcBorders>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9" w:type="dxa"/>
            <w:tcBorders>
              <w:top w:val="single" w:color="auto" w:sz="4" w:space="0"/>
              <w:bottom w:val="single" w:color="auto" w:sz="12" w:space="0"/>
            </w:tcBorders>
            <w:vAlign w:val="center"/>
          </w:tcPr>
          <w:p>
            <w:pPr>
              <w:pStyle w:val="63"/>
            </w:pPr>
            <w:r>
              <w:rPr>
                <w:rFonts w:hint="eastAsia"/>
              </w:rPr>
              <w:t>13</w:t>
            </w:r>
          </w:p>
        </w:tc>
        <w:tc>
          <w:tcPr>
            <w:tcW w:w="2175" w:type="dxa"/>
            <w:tcBorders>
              <w:top w:val="single" w:color="auto" w:sz="4" w:space="0"/>
              <w:bottom w:val="single" w:color="auto" w:sz="12" w:space="0"/>
            </w:tcBorders>
            <w:vAlign w:val="center"/>
          </w:tcPr>
          <w:p>
            <w:pPr>
              <w:pStyle w:val="63"/>
            </w:pPr>
            <w:r>
              <w:rPr>
                <w:rFonts w:hint="eastAsia"/>
              </w:rPr>
              <w:t>临湘市果品有限公司</w:t>
            </w:r>
          </w:p>
        </w:tc>
        <w:tc>
          <w:tcPr>
            <w:tcW w:w="1833" w:type="dxa"/>
            <w:tcBorders>
              <w:top w:val="single" w:color="auto" w:sz="4" w:space="0"/>
              <w:bottom w:val="single" w:color="auto" w:sz="12" w:space="0"/>
            </w:tcBorders>
            <w:vAlign w:val="center"/>
          </w:tcPr>
          <w:p>
            <w:pPr>
              <w:pStyle w:val="63"/>
            </w:pPr>
            <w:r>
              <w:rPr>
                <w:rFonts w:hint="eastAsia"/>
              </w:rPr>
              <w:t>无</w:t>
            </w:r>
          </w:p>
        </w:tc>
        <w:tc>
          <w:tcPr>
            <w:tcW w:w="1635" w:type="dxa"/>
            <w:tcBorders>
              <w:top w:val="single" w:color="auto" w:sz="4" w:space="0"/>
              <w:bottom w:val="single" w:color="auto" w:sz="12" w:space="0"/>
            </w:tcBorders>
            <w:vAlign w:val="center"/>
          </w:tcPr>
          <w:p>
            <w:pPr>
              <w:pStyle w:val="63"/>
            </w:pPr>
            <w:r>
              <w:rPr>
                <w:rFonts w:hint="eastAsia"/>
              </w:rPr>
              <w:t>--</w:t>
            </w:r>
          </w:p>
        </w:tc>
        <w:tc>
          <w:tcPr>
            <w:tcW w:w="1917" w:type="dxa"/>
            <w:tcBorders>
              <w:top w:val="single" w:color="auto" w:sz="4" w:space="0"/>
              <w:bottom w:val="single" w:color="auto" w:sz="12" w:space="0"/>
            </w:tcBorders>
            <w:vAlign w:val="center"/>
          </w:tcPr>
          <w:p>
            <w:pPr>
              <w:pStyle w:val="63"/>
            </w:pPr>
            <w:r>
              <w:rPr>
                <w:rFonts w:hint="eastAsia"/>
              </w:rPr>
              <w:t>--</w:t>
            </w:r>
          </w:p>
        </w:tc>
      </w:tr>
    </w:tbl>
    <w:p>
      <w:pPr>
        <w:ind w:firstLine="480"/>
      </w:pPr>
    </w:p>
    <w:p>
      <w:pPr>
        <w:pStyle w:val="8"/>
        <w:sectPr>
          <w:headerReference r:id="rId27" w:type="even"/>
          <w:footerReference r:id="rId28" w:type="even"/>
          <w:pgSz w:w="11906" w:h="16838"/>
          <w:pgMar w:top="1440" w:right="1800" w:bottom="1440" w:left="1800" w:header="851" w:footer="992" w:gutter="0"/>
          <w:cols w:space="425" w:num="1"/>
          <w:docGrid w:type="lines" w:linePitch="312" w:charSpace="0"/>
        </w:sectPr>
      </w:pPr>
    </w:p>
    <w:p>
      <w:pPr>
        <w:pStyle w:val="6"/>
      </w:pPr>
      <w:r>
        <w:t>表6.11-3   规划可能涉及主要原料及其理化毒理性质</w:t>
      </w:r>
    </w:p>
    <w:tbl>
      <w:tblPr>
        <w:tblStyle w:val="36"/>
        <w:tblW w:w="51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216"/>
        <w:gridCol w:w="5293"/>
        <w:gridCol w:w="7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名称</w:t>
            </w:r>
          </w:p>
        </w:tc>
        <w:tc>
          <w:tcPr>
            <w:tcW w:w="413" w:type="pct"/>
            <w:vAlign w:val="center"/>
          </w:tcPr>
          <w:p>
            <w:pPr>
              <w:pStyle w:val="63"/>
              <w:adjustRightInd w:val="0"/>
              <w:snapToGrid w:val="0"/>
            </w:pPr>
            <w:r>
              <w:t>CAS号</w:t>
            </w:r>
          </w:p>
        </w:tc>
        <w:tc>
          <w:tcPr>
            <w:tcW w:w="1797" w:type="pct"/>
            <w:vAlign w:val="center"/>
          </w:tcPr>
          <w:p>
            <w:pPr>
              <w:pStyle w:val="63"/>
              <w:adjustRightInd w:val="0"/>
              <w:snapToGrid w:val="0"/>
            </w:pPr>
            <w:r>
              <w:t>理化性质</w:t>
            </w:r>
          </w:p>
        </w:tc>
        <w:tc>
          <w:tcPr>
            <w:tcW w:w="2482" w:type="pct"/>
            <w:vAlign w:val="center"/>
          </w:tcPr>
          <w:p>
            <w:pPr>
              <w:pStyle w:val="63"/>
              <w:adjustRightInd w:val="0"/>
              <w:snapToGrid w:val="0"/>
            </w:pPr>
            <w:r>
              <w:t>危害特性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rPr>
                <w:szCs w:val="21"/>
              </w:rPr>
              <w:t>液氨</w:t>
            </w:r>
          </w:p>
        </w:tc>
        <w:tc>
          <w:tcPr>
            <w:tcW w:w="413" w:type="pct"/>
            <w:vAlign w:val="center"/>
          </w:tcPr>
          <w:p>
            <w:pPr>
              <w:pStyle w:val="63"/>
              <w:adjustRightInd w:val="0"/>
              <w:snapToGrid w:val="0"/>
            </w:pPr>
            <w:r>
              <w:t>7664-41-7</w:t>
            </w:r>
          </w:p>
        </w:tc>
        <w:tc>
          <w:tcPr>
            <w:tcW w:w="1797" w:type="pct"/>
            <w:vAlign w:val="center"/>
          </w:tcPr>
          <w:p>
            <w:pPr>
              <w:pStyle w:val="63"/>
              <w:adjustRightInd w:val="0"/>
              <w:snapToGrid w:val="0"/>
            </w:pPr>
            <w:r>
              <w:rPr>
                <w:szCs w:val="21"/>
              </w:rPr>
              <w:t>液氨，又称为无水氨，呈无色</w:t>
            </w:r>
            <w:r>
              <w:fldChar w:fldCharType="begin"/>
            </w:r>
            <w:r>
              <w:instrText xml:space="preserve"> HYPERLINK "https://baike.so.com/doc/5944437-6157371.html" \t "_blank" </w:instrText>
            </w:r>
            <w:r>
              <w:fldChar w:fldCharType="separate"/>
            </w:r>
            <w:r>
              <w:t>液体</w:t>
            </w:r>
            <w:r>
              <w:fldChar w:fldCharType="end"/>
            </w:r>
            <w:r>
              <w:rPr>
                <w:szCs w:val="21"/>
              </w:rPr>
              <w:t>状，有强烈刺激性气味。分子式：NH</w:t>
            </w:r>
            <w:r>
              <w:rPr>
                <w:rFonts w:ascii="Cambria Math" w:hAnsi="Cambria Math" w:cs="Cambria Math"/>
                <w:szCs w:val="21"/>
              </w:rPr>
              <w:t>₃</w:t>
            </w:r>
            <w:r>
              <w:rPr>
                <w:szCs w:val="21"/>
              </w:rPr>
              <w:t>、分子量：17.04气氨</w:t>
            </w:r>
            <w:r>
              <w:fldChar w:fldCharType="begin"/>
            </w:r>
            <w:r>
              <w:instrText xml:space="preserve"> HYPERLINK "https://baike.so.com/doc/2751462-2903816.html" \t "_blank" </w:instrText>
            </w:r>
            <w:r>
              <w:fldChar w:fldCharType="separate"/>
            </w:r>
            <w:r>
              <w:t>相对密度</w:t>
            </w:r>
            <w:r>
              <w:fldChar w:fldCharType="end"/>
            </w:r>
            <w:r>
              <w:rPr>
                <w:szCs w:val="21"/>
              </w:rPr>
              <w:t>（空气=1）：0.59、液氨相对密度（水=1）：0.602824（25</w:t>
            </w:r>
            <w:r>
              <w:rPr>
                <w:rFonts w:hint="eastAsia" w:ascii="微软雅黑" w:hAnsi="微软雅黑" w:eastAsia="微软雅黑" w:cs="微软雅黑"/>
                <w:szCs w:val="21"/>
              </w:rPr>
              <w:t>℃</w:t>
            </w:r>
            <w:r>
              <w:rPr>
                <w:szCs w:val="21"/>
              </w:rPr>
              <w:t>）、熔点（</w:t>
            </w:r>
            <w:r>
              <w:rPr>
                <w:rFonts w:hint="eastAsia" w:ascii="微软雅黑" w:hAnsi="微软雅黑" w:eastAsia="微软雅黑" w:cs="微软雅黑"/>
                <w:szCs w:val="21"/>
              </w:rPr>
              <w:t>℃</w:t>
            </w:r>
            <w:r>
              <w:rPr>
                <w:szCs w:val="21"/>
              </w:rPr>
              <w:t>）：-77.7、沸点（</w:t>
            </w:r>
            <w:r>
              <w:rPr>
                <w:rFonts w:hint="eastAsia" w:ascii="微软雅黑" w:hAnsi="微软雅黑" w:eastAsia="微软雅黑" w:cs="微软雅黑"/>
                <w:szCs w:val="21"/>
              </w:rPr>
              <w:t>℃</w:t>
            </w:r>
            <w:r>
              <w:rPr>
                <w:szCs w:val="21"/>
              </w:rPr>
              <w:t>）：-33.42</w:t>
            </w:r>
            <w:r>
              <w:rPr>
                <w:rFonts w:hint="eastAsia" w:ascii="微软雅黑" w:hAnsi="微软雅黑" w:eastAsia="微软雅黑" w:cs="微软雅黑"/>
                <w:szCs w:val="21"/>
              </w:rPr>
              <w:t>℃</w:t>
            </w:r>
            <w:r>
              <w:rPr>
                <w:szCs w:val="21"/>
              </w:rPr>
              <w:t>、水溶液pH值：11.7</w:t>
            </w:r>
            <w:r>
              <w:fldChar w:fldCharType="begin"/>
            </w:r>
            <w:r>
              <w:instrText xml:space="preserve"> HYPERLINK "https://baike.so.com/doc/6152298-6365501.html" \t "_blank" </w:instrText>
            </w:r>
            <w:r>
              <w:fldChar w:fldCharType="separate"/>
            </w:r>
            <w:r>
              <w:t>自燃点</w:t>
            </w:r>
            <w:r>
              <w:fldChar w:fldCharType="end"/>
            </w:r>
            <w:r>
              <w:rPr>
                <w:szCs w:val="21"/>
              </w:rPr>
              <w:t>：651.11</w:t>
            </w:r>
            <w:r>
              <w:rPr>
                <w:rFonts w:hint="eastAsia" w:ascii="微软雅黑" w:hAnsi="微软雅黑" w:eastAsia="微软雅黑" w:cs="微软雅黑"/>
                <w:szCs w:val="21"/>
              </w:rPr>
              <w:t>℃</w:t>
            </w:r>
            <w:r>
              <w:rPr>
                <w:szCs w:val="21"/>
              </w:rPr>
              <w:t>、CAS编号：7664-41-7</w:t>
            </w:r>
          </w:p>
        </w:tc>
        <w:tc>
          <w:tcPr>
            <w:tcW w:w="2482" w:type="pct"/>
            <w:vAlign w:val="center"/>
          </w:tcPr>
          <w:p>
            <w:pPr>
              <w:pStyle w:val="63"/>
              <w:adjustRightInd w:val="0"/>
              <w:snapToGrid w:val="0"/>
            </w:pPr>
            <w:r>
              <w:rPr>
                <w:szCs w:val="21"/>
              </w:rPr>
              <w:t>液氨人类经口TDLo：0. 15 ml/kg；液氨人类吸入LCLo：5000 ppm/5m；急性毒性：LD50 350mg/kg（大鼠经口）；LC50 1390mg/m，4小时，（大鼠吸入）。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乙醇</w:t>
            </w:r>
          </w:p>
          <w:p>
            <w:pPr>
              <w:pStyle w:val="63"/>
              <w:adjustRightInd w:val="0"/>
              <w:snapToGrid w:val="0"/>
            </w:pPr>
            <w:r>
              <w:t>（酒精）</w:t>
            </w:r>
          </w:p>
        </w:tc>
        <w:tc>
          <w:tcPr>
            <w:tcW w:w="413" w:type="pct"/>
            <w:vAlign w:val="center"/>
          </w:tcPr>
          <w:p>
            <w:pPr>
              <w:pStyle w:val="63"/>
              <w:adjustRightInd w:val="0"/>
              <w:snapToGrid w:val="0"/>
            </w:pPr>
            <w:r>
              <w:t>64-17-5</w:t>
            </w:r>
          </w:p>
        </w:tc>
        <w:tc>
          <w:tcPr>
            <w:tcW w:w="1797" w:type="pct"/>
            <w:vAlign w:val="center"/>
          </w:tcPr>
          <w:p>
            <w:pPr>
              <w:pStyle w:val="63"/>
              <w:adjustRightInd w:val="0"/>
              <w:snapToGrid w:val="0"/>
            </w:pPr>
            <w:r>
              <w:t>无色液体，有酒香，相对密度（水=1）0.79；相对密度（空气=1）1.59，沸点78.3</w:t>
            </w:r>
            <w:r>
              <w:rPr>
                <w:rFonts w:hint="eastAsia" w:ascii="微软雅黑" w:hAnsi="微软雅黑" w:eastAsia="微软雅黑" w:cs="微软雅黑"/>
              </w:rPr>
              <w:t>℃</w:t>
            </w:r>
            <w:r>
              <w:t>，闪点12</w:t>
            </w:r>
            <w:r>
              <w:rPr>
                <w:rFonts w:hint="eastAsia" w:ascii="微软雅黑" w:hAnsi="微软雅黑" w:eastAsia="微软雅黑" w:cs="微软雅黑"/>
              </w:rPr>
              <w:t>℃</w:t>
            </w:r>
            <w:r>
              <w:t>，</w:t>
            </w:r>
          </w:p>
        </w:tc>
        <w:tc>
          <w:tcPr>
            <w:tcW w:w="2482" w:type="pct"/>
            <w:vAlign w:val="center"/>
          </w:tcPr>
          <w:p>
            <w:pPr>
              <w:pStyle w:val="63"/>
              <w:adjustRightInd w:val="0"/>
              <w:snapToGrid w:val="0"/>
            </w:pPr>
            <w:r>
              <w:t>易燃，其蒸气与空气可形成爆炸性混合物。遇明火、高热能引起燃烧爆炸。与氧化剂接触发生化学反应或引起燃烧。在火场中，受热的容器有爆炸危险。其蒸气比空气重，能在较低处扩散到相当远的地方，遇明火会引着回燃。职业接触限值37620mg/m</w:t>
            </w:r>
            <w:r>
              <w:rPr>
                <w:vertAlign w:val="superscript"/>
              </w:rPr>
              <w:t>3</w:t>
            </w:r>
            <w:r>
              <w:t>，LD507060mg/kg（兔经口）；7340mg/kg（兔经皮）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盐酸</w:t>
            </w:r>
          </w:p>
        </w:tc>
        <w:tc>
          <w:tcPr>
            <w:tcW w:w="413" w:type="pct"/>
            <w:vAlign w:val="center"/>
          </w:tcPr>
          <w:p>
            <w:pPr>
              <w:pStyle w:val="63"/>
              <w:adjustRightInd w:val="0"/>
              <w:snapToGrid w:val="0"/>
            </w:pPr>
            <w:r>
              <w:t>7647-01-0</w:t>
            </w:r>
          </w:p>
        </w:tc>
        <w:tc>
          <w:tcPr>
            <w:tcW w:w="1797" w:type="pct"/>
            <w:vAlign w:val="center"/>
          </w:tcPr>
          <w:p>
            <w:pPr>
              <w:pStyle w:val="63"/>
              <w:adjustRightInd w:val="0"/>
              <w:snapToGrid w:val="0"/>
            </w:pPr>
            <w:r>
              <w:t>为透明或黄色冒烟液体，沸点：110</w:t>
            </w:r>
            <w:r>
              <w:rPr>
                <w:rFonts w:hint="eastAsia" w:ascii="微软雅黑" w:hAnsi="微软雅黑" w:eastAsia="微软雅黑" w:cs="微软雅黑"/>
              </w:rPr>
              <w:t>℃</w:t>
            </w:r>
            <w:r>
              <w:t>，蒸汽密度：1.3易溶于水，相对密度（空气=1）：1.26，溶解性：与水混溶，溶于碱液。酸性腐蚀品。</w:t>
            </w:r>
          </w:p>
        </w:tc>
        <w:tc>
          <w:tcPr>
            <w:tcW w:w="2482" w:type="pct"/>
            <w:vAlign w:val="center"/>
          </w:tcPr>
          <w:p>
            <w:pPr>
              <w:pStyle w:val="63"/>
              <w:adjustRightInd w:val="0"/>
              <w:snapToGrid w:val="0"/>
            </w:pPr>
            <w:r>
              <w:t>能与一些活性金属粉末发生反应，放出氢气。遇氰化物能产生剧毒的氰化氢气体。与碱发生中合反应，并放出大量的热。具有强腐蚀性。接触其蒸气或烟雾，引起眼结膜炎，鼻及口腔粘膜有烧灼感，鼻衄、齿龈出血、气管炎；刺激皮肤发生皮炎，慢性支气管炎等病变。误服盐酸中毒，可引起消化道灼伤、溃疡形成，有可能胃穿孔、腹膜炎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NaOH片剂</w:t>
            </w:r>
          </w:p>
        </w:tc>
        <w:tc>
          <w:tcPr>
            <w:tcW w:w="413" w:type="pct"/>
            <w:vAlign w:val="center"/>
          </w:tcPr>
          <w:p>
            <w:pPr>
              <w:pStyle w:val="63"/>
              <w:adjustRightInd w:val="0"/>
              <w:snapToGrid w:val="0"/>
            </w:pPr>
            <w:r>
              <w:t>—</w:t>
            </w:r>
          </w:p>
        </w:tc>
        <w:tc>
          <w:tcPr>
            <w:tcW w:w="1797" w:type="pct"/>
            <w:vAlign w:val="center"/>
          </w:tcPr>
          <w:p>
            <w:pPr>
              <w:pStyle w:val="63"/>
              <w:adjustRightInd w:val="0"/>
              <w:snapToGrid w:val="0"/>
            </w:pPr>
            <w:r>
              <w:t>含量：工业品一级</w:t>
            </w:r>
            <w:r>
              <w:rPr>
                <w:rFonts w:hint="eastAsia" w:ascii="微软雅黑" w:hAnsi="微软雅黑" w:eastAsia="微软雅黑" w:cs="微软雅黑"/>
              </w:rPr>
              <w:t>≧</w:t>
            </w:r>
            <w:r>
              <w:t>99.5%；二级</w:t>
            </w:r>
            <w:r>
              <w:rPr>
                <w:rFonts w:hint="eastAsia" w:ascii="微软雅黑" w:hAnsi="微软雅黑" w:eastAsia="微软雅黑" w:cs="微软雅黑"/>
              </w:rPr>
              <w:t>≧</w:t>
            </w:r>
            <w:r>
              <w:t>99.0%.白色不透明固体，易潮解。熔点318.4</w:t>
            </w:r>
            <w:r>
              <w:rPr>
                <w:rFonts w:hint="eastAsia" w:ascii="微软雅黑" w:hAnsi="微软雅黑" w:eastAsia="微软雅黑" w:cs="微软雅黑"/>
              </w:rPr>
              <w:t>℃</w:t>
            </w:r>
            <w:r>
              <w:t>，沸点：1390</w:t>
            </w:r>
            <w:r>
              <w:rPr>
                <w:rFonts w:hint="eastAsia" w:ascii="微软雅黑" w:hAnsi="微软雅黑" w:eastAsia="微软雅黑" w:cs="微软雅黑"/>
              </w:rPr>
              <w:t>℃</w:t>
            </w:r>
            <w:r>
              <w:t>，相对密度（水=1）：2.12，易溶于水、乙醇、甘油，不溶于丙酮</w:t>
            </w:r>
          </w:p>
        </w:tc>
        <w:tc>
          <w:tcPr>
            <w:tcW w:w="2482" w:type="pct"/>
            <w:vAlign w:val="center"/>
          </w:tcPr>
          <w:p>
            <w:pPr>
              <w:pStyle w:val="63"/>
              <w:adjustRightInd w:val="0"/>
              <w:snapToGrid w:val="0"/>
            </w:pPr>
            <w:r>
              <w:t>不燃，具有强腐蚀性、强刺激性，可致人体灼伤，与酸发生中和反应并放热，遇潮时对铝、锌和锡有腐蚀性，并放出易燃易爆氢气，本品不会燃烧，遇水和水蒸气大量放热，形成腐蚀性溶液，具有强腐蚀性，刺激性，家兔经眼：1%中毒刺激，家兔经皮，50mg/24小时，重度刺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氢氧化钾</w:t>
            </w:r>
          </w:p>
        </w:tc>
        <w:tc>
          <w:tcPr>
            <w:tcW w:w="413" w:type="pct"/>
            <w:vAlign w:val="center"/>
          </w:tcPr>
          <w:p>
            <w:pPr>
              <w:pStyle w:val="63"/>
              <w:adjustRightInd w:val="0"/>
              <w:snapToGrid w:val="0"/>
            </w:pPr>
            <w:r>
              <w:t>1310-58-3</w:t>
            </w:r>
          </w:p>
        </w:tc>
        <w:tc>
          <w:tcPr>
            <w:tcW w:w="1797" w:type="pct"/>
            <w:vAlign w:val="center"/>
          </w:tcPr>
          <w:p>
            <w:pPr>
              <w:pStyle w:val="63"/>
              <w:adjustRightInd w:val="0"/>
              <w:snapToGrid w:val="0"/>
            </w:pPr>
            <w:r>
              <w:t>白色晶体，易潮解熔点360.4</w:t>
            </w:r>
            <w:r>
              <w:rPr>
                <w:rFonts w:hint="eastAsia" w:ascii="微软雅黑" w:hAnsi="微软雅黑" w:eastAsia="微软雅黑" w:cs="微软雅黑"/>
              </w:rPr>
              <w:t>℃</w:t>
            </w:r>
            <w:r>
              <w:t>，沸点1320</w:t>
            </w:r>
            <w:r>
              <w:rPr>
                <w:rFonts w:hint="eastAsia" w:ascii="微软雅黑" w:hAnsi="微软雅黑" w:eastAsia="微软雅黑" w:cs="微软雅黑"/>
              </w:rPr>
              <w:t>℃</w:t>
            </w:r>
            <w:r>
              <w:t>，相对密度相对密度（水=1）2.04，具强碱性及腐蚀性。极易吸收空气中水分而潮解，溶于水、乙醇，微溶于醚。</w:t>
            </w:r>
          </w:p>
        </w:tc>
        <w:tc>
          <w:tcPr>
            <w:tcW w:w="2482" w:type="pct"/>
            <w:vAlign w:val="center"/>
          </w:tcPr>
          <w:p>
            <w:pPr>
              <w:pStyle w:val="63"/>
              <w:adjustRightInd w:val="0"/>
              <w:snapToGrid w:val="0"/>
            </w:pPr>
            <w:r>
              <w:t>本品有强烈腐蚀性。吸入后强烈刺激呼吸道或造成灼伤。皮肤和眼直接接触可引起灼伤；口服灼伤消化道，可致死。品不会燃烧，遇水和水蒸气大量放热，形成腐蚀性溶液。与酸发生中和反应并放热。具有强腐蚀性。LD50273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机油</w:t>
            </w:r>
          </w:p>
        </w:tc>
        <w:tc>
          <w:tcPr>
            <w:tcW w:w="413" w:type="pct"/>
            <w:vAlign w:val="center"/>
          </w:tcPr>
          <w:p>
            <w:pPr>
              <w:pStyle w:val="63"/>
              <w:adjustRightInd w:val="0"/>
              <w:snapToGrid w:val="0"/>
            </w:pPr>
            <w:r>
              <w:t>—</w:t>
            </w:r>
          </w:p>
        </w:tc>
        <w:tc>
          <w:tcPr>
            <w:tcW w:w="1797" w:type="pct"/>
            <w:vAlign w:val="center"/>
          </w:tcPr>
          <w:p>
            <w:pPr>
              <w:pStyle w:val="63"/>
              <w:adjustRightInd w:val="0"/>
              <w:snapToGrid w:val="0"/>
            </w:pPr>
            <w:r>
              <w:t>淡黄色粘稠液体，闪点为120~340</w:t>
            </w:r>
            <w:r>
              <w:rPr>
                <w:rFonts w:hint="eastAsia" w:ascii="微软雅黑" w:hAnsi="微软雅黑" w:eastAsia="微软雅黑" w:cs="微软雅黑"/>
              </w:rPr>
              <w:t>℃</w:t>
            </w:r>
            <w:r>
              <w:t>，自燃点300~350</w:t>
            </w:r>
            <w:r>
              <w:rPr>
                <w:rFonts w:hint="eastAsia" w:ascii="微软雅黑" w:hAnsi="微软雅黑" w:eastAsia="微软雅黑" w:cs="微软雅黑"/>
              </w:rPr>
              <w:t>℃</w:t>
            </w:r>
            <w:r>
              <w:t>，相对密度（空气=1）0.85，沸点-252.8</w:t>
            </w:r>
            <w:r>
              <w:rPr>
                <w:rFonts w:hint="eastAsia" w:ascii="微软雅黑" w:hAnsi="微软雅黑" w:eastAsia="微软雅黑" w:cs="微软雅黑"/>
              </w:rPr>
              <w:t>℃</w:t>
            </w:r>
          </w:p>
        </w:tc>
        <w:tc>
          <w:tcPr>
            <w:tcW w:w="2482" w:type="pct"/>
            <w:vAlign w:val="center"/>
          </w:tcPr>
          <w:p>
            <w:pPr>
              <w:pStyle w:val="63"/>
              <w:adjustRightInd w:val="0"/>
              <w:snapToGrid w:val="0"/>
            </w:pPr>
            <w:r>
              <w:t>溶于苯、乙醇、乙醚、氯仿、丙酮等多数有机溶剂。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油墨</w:t>
            </w:r>
          </w:p>
        </w:tc>
        <w:tc>
          <w:tcPr>
            <w:tcW w:w="413" w:type="pct"/>
            <w:vAlign w:val="center"/>
          </w:tcPr>
          <w:p>
            <w:pPr>
              <w:pStyle w:val="63"/>
              <w:adjustRightInd w:val="0"/>
              <w:snapToGrid w:val="0"/>
            </w:pPr>
            <w:r>
              <w:t>—</w:t>
            </w:r>
          </w:p>
        </w:tc>
        <w:tc>
          <w:tcPr>
            <w:tcW w:w="1797" w:type="pct"/>
            <w:vAlign w:val="center"/>
          </w:tcPr>
          <w:p>
            <w:pPr>
              <w:pStyle w:val="63"/>
              <w:adjustRightInd w:val="0"/>
              <w:snapToGrid w:val="0"/>
            </w:pPr>
            <w:r>
              <w:t>高闪点易燃液体，浆状物体、各种颜色、有芳香的气味。</w:t>
            </w:r>
          </w:p>
        </w:tc>
        <w:tc>
          <w:tcPr>
            <w:tcW w:w="2482" w:type="pct"/>
            <w:vAlign w:val="center"/>
          </w:tcPr>
          <w:p>
            <w:pPr>
              <w:pStyle w:val="63"/>
              <w:adjustRightInd w:val="0"/>
              <w:snapToGrid w:val="0"/>
            </w:pPr>
            <w:r>
              <w:t>对皮肤有刺激。如长时间接触，可能会发生炎症或过敏。吸入有毒，使眼睛，呼吸系统和皮肤感到不适。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汽油</w:t>
            </w:r>
          </w:p>
        </w:tc>
        <w:tc>
          <w:tcPr>
            <w:tcW w:w="413" w:type="pct"/>
            <w:vAlign w:val="center"/>
          </w:tcPr>
          <w:p>
            <w:pPr>
              <w:pStyle w:val="63"/>
              <w:adjustRightInd w:val="0"/>
              <w:snapToGrid w:val="0"/>
            </w:pPr>
            <w:r>
              <w:t>8006-61-9</w:t>
            </w:r>
          </w:p>
        </w:tc>
        <w:tc>
          <w:tcPr>
            <w:tcW w:w="1797" w:type="pct"/>
            <w:vAlign w:val="center"/>
          </w:tcPr>
          <w:p>
            <w:pPr>
              <w:pStyle w:val="63"/>
              <w:adjustRightInd w:val="0"/>
              <w:snapToGrid w:val="0"/>
            </w:pPr>
            <w:r>
              <w:t>无色或淡黄色易挥发液体，具有特殊臭味；相对密度0.70～0.79；熔点（</w:t>
            </w:r>
            <w:r>
              <w:rPr>
                <w:rFonts w:hint="eastAsia" w:ascii="微软雅黑" w:hAnsi="微软雅黑" w:eastAsia="微软雅黑" w:cs="微软雅黑"/>
              </w:rPr>
              <w:t>℃</w:t>
            </w:r>
            <w:r>
              <w:t>）：&lt;-60；闪点：-50</w:t>
            </w:r>
            <w:r>
              <w:rPr>
                <w:rFonts w:hint="eastAsia" w:ascii="微软雅黑" w:hAnsi="微软雅黑" w:eastAsia="微软雅黑" w:cs="微软雅黑"/>
              </w:rPr>
              <w:t>℃</w:t>
            </w:r>
            <w:r>
              <w:t>；沸点（</w:t>
            </w:r>
            <w:r>
              <w:rPr>
                <w:rFonts w:hint="eastAsia" w:ascii="微软雅黑" w:hAnsi="微软雅黑" w:eastAsia="微软雅黑" w:cs="微软雅黑"/>
              </w:rPr>
              <w:t>℃</w:t>
            </w:r>
            <w:r>
              <w:t>）：40～200；不溶于水，易溶于苯、二硫化碳、醇、脂肪。</w:t>
            </w:r>
          </w:p>
        </w:tc>
        <w:tc>
          <w:tcPr>
            <w:tcW w:w="2482" w:type="pct"/>
            <w:vAlign w:val="center"/>
          </w:tcPr>
          <w:p>
            <w:pPr>
              <w:pStyle w:val="63"/>
              <w:adjustRightInd w:val="0"/>
              <w:snapToGrid w:val="0"/>
            </w:pPr>
            <w:r>
              <w:t>其蒸气与空气可形成爆炸性混合物，遇明火、高热极易燃烧爆炸。与氧化剂能发生强烈反应。其蒸气比空气重，能在较低处扩散到相当远的地方，遇火源会着火回燃。LD50大鼠经口：—；LD50大鼠经皮：—；LC50：103000mg/m</w:t>
            </w:r>
            <w:r>
              <w:rPr>
                <w:vertAlign w:val="superscript"/>
              </w:rPr>
              <w:t>3</w:t>
            </w:r>
            <w:r>
              <w:t>，2小时（小鼠吸入）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氧气</w:t>
            </w:r>
          </w:p>
        </w:tc>
        <w:tc>
          <w:tcPr>
            <w:tcW w:w="413" w:type="pct"/>
            <w:vAlign w:val="center"/>
          </w:tcPr>
          <w:p>
            <w:pPr>
              <w:pStyle w:val="63"/>
              <w:adjustRightInd w:val="0"/>
              <w:snapToGrid w:val="0"/>
            </w:pPr>
            <w:r>
              <w:t>7782-44-7</w:t>
            </w:r>
          </w:p>
        </w:tc>
        <w:tc>
          <w:tcPr>
            <w:tcW w:w="1797" w:type="pct"/>
            <w:vAlign w:val="center"/>
          </w:tcPr>
          <w:p>
            <w:pPr>
              <w:pStyle w:val="63"/>
              <w:adjustRightInd w:val="0"/>
              <w:snapToGrid w:val="0"/>
            </w:pPr>
            <w:r>
              <w:t>无色无臭气体，（水=1）1.14（-183</w:t>
            </w:r>
            <w:r>
              <w:rPr>
                <w:rFonts w:hint="eastAsia" w:ascii="微软雅黑" w:hAnsi="微软雅黑" w:eastAsia="微软雅黑" w:cs="微软雅黑"/>
              </w:rPr>
              <w:t>℃</w:t>
            </w:r>
            <w:r>
              <w:t>）；（空气=1）1.43。沸点-183.1</w:t>
            </w:r>
            <w:r>
              <w:rPr>
                <w:rFonts w:hint="eastAsia" w:ascii="微软雅黑" w:hAnsi="微软雅黑" w:eastAsia="微软雅黑" w:cs="微软雅黑"/>
              </w:rPr>
              <w:t>℃</w:t>
            </w:r>
            <w:r>
              <w:t>，</w:t>
            </w:r>
          </w:p>
        </w:tc>
        <w:tc>
          <w:tcPr>
            <w:tcW w:w="2482" w:type="pct"/>
            <w:vAlign w:val="center"/>
          </w:tcPr>
          <w:p>
            <w:pPr>
              <w:pStyle w:val="63"/>
              <w:adjustRightInd w:val="0"/>
              <w:snapToGrid w:val="0"/>
            </w:pPr>
            <w:r>
              <w:t>是易燃物、可燃物燃烧爆炸的基本要素之一，能氧化大多数活性物质。与易燃物（如乙炔、甲烷等）形成有爆炸性的混合物。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乙炔</w:t>
            </w:r>
          </w:p>
        </w:tc>
        <w:tc>
          <w:tcPr>
            <w:tcW w:w="413" w:type="pct"/>
            <w:vAlign w:val="center"/>
          </w:tcPr>
          <w:p>
            <w:pPr>
              <w:pStyle w:val="63"/>
              <w:adjustRightInd w:val="0"/>
              <w:snapToGrid w:val="0"/>
            </w:pPr>
            <w:r>
              <w:t>74-86-2</w:t>
            </w:r>
          </w:p>
        </w:tc>
        <w:tc>
          <w:tcPr>
            <w:tcW w:w="1797" w:type="pct"/>
            <w:vAlign w:val="center"/>
          </w:tcPr>
          <w:p>
            <w:pPr>
              <w:pStyle w:val="63"/>
              <w:adjustRightInd w:val="0"/>
              <w:snapToGrid w:val="0"/>
            </w:pPr>
            <w:r>
              <w:t>乙炔为无色无臭气体，溶于水、乙醇，溶于丙酮、氯仿、苯；熔点81.8</w:t>
            </w:r>
            <w:r>
              <w:rPr>
                <w:rFonts w:hint="eastAsia" w:ascii="微软雅黑" w:hAnsi="微软雅黑" w:eastAsia="微软雅黑" w:cs="微软雅黑"/>
              </w:rPr>
              <w:t>℃</w:t>
            </w:r>
            <w:r>
              <w:t>，沸点：-83.8</w:t>
            </w:r>
            <w:r>
              <w:rPr>
                <w:rFonts w:hint="eastAsia" w:ascii="微软雅黑" w:hAnsi="微软雅黑" w:eastAsia="微软雅黑" w:cs="微软雅黑"/>
              </w:rPr>
              <w:t>℃</w:t>
            </w:r>
            <w:r>
              <w:t>。闪点＜-50</w:t>
            </w:r>
            <w:r>
              <w:rPr>
                <w:rFonts w:hint="eastAsia" w:ascii="微软雅黑" w:hAnsi="微软雅黑" w:eastAsia="微软雅黑" w:cs="微软雅黑"/>
              </w:rPr>
              <w:t>℃</w:t>
            </w:r>
            <w:r>
              <w:t>相对密度（水=1）0.62；相对密度（空气=1）0.91</w:t>
            </w:r>
          </w:p>
        </w:tc>
        <w:tc>
          <w:tcPr>
            <w:tcW w:w="2482" w:type="pct"/>
            <w:vAlign w:val="center"/>
          </w:tcPr>
          <w:p>
            <w:pPr>
              <w:pStyle w:val="63"/>
              <w:adjustRightInd w:val="0"/>
              <w:snapToGrid w:val="0"/>
            </w:pPr>
            <w:r>
              <w:t>极易燃烧爆炸，与空气混合能形成爆炸性混合物。遇明火、高热能引起燃烧爆炸。与氧化剂接触会猛烈反应。与氟、氯等接触会发生剧烈的化学反应。能与铜、银、汞等的化合物生成爆炸性物质。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氩气</w:t>
            </w:r>
          </w:p>
        </w:tc>
        <w:tc>
          <w:tcPr>
            <w:tcW w:w="413" w:type="pct"/>
            <w:vAlign w:val="center"/>
          </w:tcPr>
          <w:p>
            <w:pPr>
              <w:pStyle w:val="63"/>
              <w:adjustRightInd w:val="0"/>
              <w:snapToGrid w:val="0"/>
            </w:pPr>
            <w:r>
              <w:t>7440-37-1</w:t>
            </w:r>
          </w:p>
        </w:tc>
        <w:tc>
          <w:tcPr>
            <w:tcW w:w="1797" w:type="pct"/>
            <w:vAlign w:val="center"/>
          </w:tcPr>
          <w:p>
            <w:pPr>
              <w:pStyle w:val="63"/>
              <w:adjustRightInd w:val="0"/>
              <w:snapToGrid w:val="0"/>
            </w:pPr>
            <w:r>
              <w:t>无色无臭的惰性气体，熔点-189.2</w:t>
            </w:r>
            <w:r>
              <w:rPr>
                <w:rFonts w:hint="eastAsia" w:ascii="微软雅黑" w:hAnsi="微软雅黑" w:eastAsia="微软雅黑" w:cs="微软雅黑"/>
              </w:rPr>
              <w:t>℃</w:t>
            </w:r>
            <w:r>
              <w:t>沸点：-185.7</w:t>
            </w:r>
            <w:r>
              <w:rPr>
                <w:rFonts w:hint="eastAsia" w:ascii="微软雅黑" w:hAnsi="微软雅黑" w:eastAsia="微软雅黑" w:cs="微软雅黑"/>
              </w:rPr>
              <w:t>℃</w:t>
            </w:r>
            <w:r>
              <w:t>，相对密度（水=1）1.40（-186</w:t>
            </w:r>
            <w:r>
              <w:rPr>
                <w:rFonts w:hint="eastAsia" w:ascii="微软雅黑" w:hAnsi="微软雅黑" w:eastAsia="微软雅黑" w:cs="微软雅黑"/>
              </w:rPr>
              <w:t>℃</w:t>
            </w:r>
            <w:r>
              <w:t>）；相对密度（空气=1）1.38，微溶于水。</w:t>
            </w:r>
          </w:p>
        </w:tc>
        <w:tc>
          <w:tcPr>
            <w:tcW w:w="2482" w:type="pct"/>
            <w:vAlign w:val="center"/>
          </w:tcPr>
          <w:p>
            <w:pPr>
              <w:pStyle w:val="63"/>
              <w:adjustRightInd w:val="0"/>
              <w:snapToGrid w:val="0"/>
            </w:pPr>
            <w:r>
              <w:t>普通大气压下无毒。高浓度时，使氧分压降低而发生窒息。若遇高热，容器内压增大，有开裂和爆炸的危险。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除油剂</w:t>
            </w:r>
          </w:p>
        </w:tc>
        <w:tc>
          <w:tcPr>
            <w:tcW w:w="413" w:type="pct"/>
            <w:vAlign w:val="center"/>
          </w:tcPr>
          <w:p>
            <w:pPr>
              <w:pStyle w:val="63"/>
              <w:adjustRightInd w:val="0"/>
              <w:snapToGrid w:val="0"/>
            </w:pPr>
            <w:r>
              <w:t>—</w:t>
            </w:r>
          </w:p>
        </w:tc>
        <w:tc>
          <w:tcPr>
            <w:tcW w:w="1797" w:type="pct"/>
            <w:vAlign w:val="center"/>
          </w:tcPr>
          <w:p>
            <w:pPr>
              <w:pStyle w:val="63"/>
              <w:adjustRightInd w:val="0"/>
              <w:snapToGrid w:val="0"/>
            </w:pPr>
            <w:r>
              <w:t>多种表面活性剂及助洗剂等配制而成，呈液状清洗剂。</w:t>
            </w:r>
          </w:p>
        </w:tc>
        <w:tc>
          <w:tcPr>
            <w:tcW w:w="2482" w:type="pct"/>
            <w:vAlign w:val="center"/>
          </w:tcPr>
          <w:p>
            <w:pPr>
              <w:pStyle w:val="63"/>
              <w:adjustRightInd w:val="0"/>
              <w:snapToGrid w:val="0"/>
            </w:pPr>
            <w:r>
              <w:t>有一定的气味和腐蚀性。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液压油</w:t>
            </w:r>
          </w:p>
        </w:tc>
        <w:tc>
          <w:tcPr>
            <w:tcW w:w="413" w:type="pct"/>
            <w:vAlign w:val="center"/>
          </w:tcPr>
          <w:p>
            <w:pPr>
              <w:pStyle w:val="63"/>
              <w:adjustRightInd w:val="0"/>
              <w:snapToGrid w:val="0"/>
            </w:pPr>
            <w:r>
              <w:t>—</w:t>
            </w:r>
          </w:p>
        </w:tc>
        <w:tc>
          <w:tcPr>
            <w:tcW w:w="1797" w:type="pct"/>
            <w:vAlign w:val="center"/>
          </w:tcPr>
          <w:p>
            <w:pPr>
              <w:pStyle w:val="63"/>
              <w:adjustRightInd w:val="0"/>
              <w:snapToGrid w:val="0"/>
            </w:pPr>
            <w:r>
              <w:t>淡黄色液体，相对密度（水=1）0.8701，闪点224</w:t>
            </w:r>
            <w:r>
              <w:rPr>
                <w:rFonts w:hint="eastAsia" w:ascii="微软雅黑" w:hAnsi="微软雅黑" w:eastAsia="微软雅黑" w:cs="微软雅黑"/>
              </w:rPr>
              <w:t>℃</w:t>
            </w:r>
            <w:r>
              <w:t>，引燃温度200-500</w:t>
            </w:r>
            <w:r>
              <w:rPr>
                <w:rFonts w:hint="eastAsia" w:ascii="微软雅黑" w:hAnsi="微软雅黑" w:eastAsia="微软雅黑" w:cs="微软雅黑"/>
              </w:rPr>
              <w:t>℃</w:t>
            </w:r>
            <w:r>
              <w:t>，适用于液压系统润滑。化学性质稳定，常温环境下储存不分解。</w:t>
            </w:r>
          </w:p>
        </w:tc>
        <w:tc>
          <w:tcPr>
            <w:tcW w:w="2482" w:type="pct"/>
            <w:vAlign w:val="center"/>
          </w:tcPr>
          <w:p>
            <w:pPr>
              <w:pStyle w:val="63"/>
              <w:adjustRightInd w:val="0"/>
              <w:snapToGrid w:val="0"/>
            </w:pPr>
            <w:r>
              <w:t>可燃物品，遇明火、高热能引起燃烧。该物质对环境有危害，应特别注意对地表水、土壤、大气和饮用水的污染。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柴油</w:t>
            </w:r>
          </w:p>
        </w:tc>
        <w:tc>
          <w:tcPr>
            <w:tcW w:w="413" w:type="pct"/>
            <w:vAlign w:val="center"/>
          </w:tcPr>
          <w:p>
            <w:pPr>
              <w:pStyle w:val="63"/>
              <w:adjustRightInd w:val="0"/>
              <w:snapToGrid w:val="0"/>
            </w:pPr>
            <w:r>
              <w:t>68334-30-5</w:t>
            </w:r>
          </w:p>
        </w:tc>
        <w:tc>
          <w:tcPr>
            <w:tcW w:w="1797" w:type="pct"/>
            <w:vAlign w:val="center"/>
          </w:tcPr>
          <w:p>
            <w:pPr>
              <w:pStyle w:val="63"/>
              <w:adjustRightInd w:val="0"/>
              <w:snapToGrid w:val="0"/>
            </w:pPr>
            <w:r>
              <w:t>稍有粘性的棕色液体；相对密度0.87～0.9；熔点（</w:t>
            </w:r>
            <w:r>
              <w:rPr>
                <w:rFonts w:hint="eastAsia" w:ascii="微软雅黑" w:hAnsi="微软雅黑" w:eastAsia="微软雅黑" w:cs="微软雅黑"/>
              </w:rPr>
              <w:t>℃</w:t>
            </w:r>
            <w:r>
              <w:t>）： -18；闪点：55-59</w:t>
            </w:r>
            <w:r>
              <w:rPr>
                <w:rFonts w:hint="eastAsia" w:ascii="微软雅黑" w:hAnsi="微软雅黑" w:eastAsia="微软雅黑" w:cs="微软雅黑"/>
              </w:rPr>
              <w:t>℃</w:t>
            </w:r>
            <w:r>
              <w:t>；沸点（</w:t>
            </w:r>
            <w:r>
              <w:rPr>
                <w:rFonts w:hint="eastAsia" w:ascii="微软雅黑" w:hAnsi="微软雅黑" w:eastAsia="微软雅黑" w:cs="微软雅黑"/>
              </w:rPr>
              <w:t>℃</w:t>
            </w:r>
            <w:r>
              <w:t>）：282～338；不溶于水，与水混溶，可混溶于乙醇。</w:t>
            </w:r>
          </w:p>
        </w:tc>
        <w:tc>
          <w:tcPr>
            <w:tcW w:w="2482" w:type="pct"/>
            <w:vAlign w:val="center"/>
          </w:tcPr>
          <w:p>
            <w:pPr>
              <w:pStyle w:val="63"/>
              <w:adjustRightInd w:val="0"/>
              <w:snapToGrid w:val="0"/>
            </w:pPr>
            <w:r>
              <w:t>遇明火、高热或与氧化剂接触，有引起燃烧爆炸的危险。若遇高热，容器内压增大，有开裂和爆炸的危险。LD50大鼠经口：—；LD50大鼠经皮：—；LC50：（小鼠吸入，4h）：—。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二甲苯*</w:t>
            </w:r>
          </w:p>
        </w:tc>
        <w:tc>
          <w:tcPr>
            <w:tcW w:w="413" w:type="pct"/>
            <w:vAlign w:val="center"/>
          </w:tcPr>
          <w:p>
            <w:pPr>
              <w:pStyle w:val="63"/>
              <w:adjustRightInd w:val="0"/>
              <w:snapToGrid w:val="0"/>
            </w:pPr>
            <w:r>
              <w:t>1330-20-7</w:t>
            </w:r>
          </w:p>
        </w:tc>
        <w:tc>
          <w:tcPr>
            <w:tcW w:w="1797" w:type="pct"/>
            <w:vAlign w:val="center"/>
          </w:tcPr>
          <w:p>
            <w:pPr>
              <w:pStyle w:val="63"/>
              <w:adjustRightInd w:val="0"/>
              <w:snapToGrid w:val="0"/>
            </w:pPr>
            <w:r>
              <w:t>易燃；闪点16</w:t>
            </w:r>
            <w:r>
              <w:rPr>
                <w:rFonts w:hint="eastAsia" w:ascii="微软雅黑" w:hAnsi="微软雅黑" w:eastAsia="微软雅黑" w:cs="微软雅黑"/>
              </w:rPr>
              <w:t>℃</w:t>
            </w:r>
            <w:r>
              <w:t>，自燃点463</w:t>
            </w:r>
            <w:r>
              <w:rPr>
                <w:rFonts w:hint="eastAsia" w:ascii="微软雅黑" w:hAnsi="微软雅黑" w:eastAsia="微软雅黑" w:cs="微软雅黑"/>
              </w:rPr>
              <w:t>℃</w:t>
            </w:r>
            <w:r>
              <w:t>，爆炸极限0.9~6.7%。</w:t>
            </w:r>
          </w:p>
        </w:tc>
        <w:tc>
          <w:tcPr>
            <w:tcW w:w="2482" w:type="pct"/>
            <w:vAlign w:val="center"/>
          </w:tcPr>
          <w:p>
            <w:pPr>
              <w:pStyle w:val="63"/>
              <w:adjustRightInd w:val="0"/>
              <w:snapToGrid w:val="0"/>
            </w:pPr>
            <w:r>
              <w:t>LD50：5000mg/kg（大鼠经口）； LC50：19747mg/m</w:t>
            </w:r>
            <w:r>
              <w:rPr>
                <w:vertAlign w:val="superscript"/>
              </w:rPr>
              <w:t>3</w:t>
            </w:r>
            <w:r>
              <w:t>，4小时（大鼠吸入）。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pPr>
              <w:pStyle w:val="63"/>
              <w:adjustRightInd w:val="0"/>
              <w:snapToGrid w:val="0"/>
            </w:pPr>
            <w:r>
              <w:t>甲苯*</w:t>
            </w:r>
          </w:p>
        </w:tc>
        <w:tc>
          <w:tcPr>
            <w:tcW w:w="413" w:type="pct"/>
            <w:vAlign w:val="center"/>
          </w:tcPr>
          <w:p>
            <w:pPr>
              <w:pStyle w:val="63"/>
              <w:adjustRightInd w:val="0"/>
              <w:snapToGrid w:val="0"/>
            </w:pPr>
            <w:r>
              <w:t>108-88-3</w:t>
            </w:r>
          </w:p>
        </w:tc>
        <w:tc>
          <w:tcPr>
            <w:tcW w:w="1797" w:type="pct"/>
            <w:vAlign w:val="center"/>
          </w:tcPr>
          <w:p>
            <w:pPr>
              <w:pStyle w:val="63"/>
              <w:adjustRightInd w:val="0"/>
              <w:snapToGrid w:val="0"/>
            </w:pPr>
            <w:r>
              <w:t>易燃液体，闪点为4</w:t>
            </w:r>
            <w:r>
              <w:rPr>
                <w:rFonts w:hint="eastAsia" w:ascii="微软雅黑" w:hAnsi="微软雅黑" w:eastAsia="微软雅黑" w:cs="微软雅黑"/>
              </w:rPr>
              <w:t>℃</w:t>
            </w:r>
            <w:r>
              <w:t>，甲苯蒸气和空气的混合物的爆炸下限为1.2%，上限为7%。</w:t>
            </w:r>
          </w:p>
        </w:tc>
        <w:tc>
          <w:tcPr>
            <w:tcW w:w="2482" w:type="pct"/>
            <w:vAlign w:val="center"/>
          </w:tcPr>
          <w:p>
            <w:pPr>
              <w:pStyle w:val="63"/>
              <w:adjustRightInd w:val="0"/>
              <w:snapToGrid w:val="0"/>
            </w:pPr>
            <w:r>
              <w:t>LD50：5000mg/kg（大鼠经口）； 12124mg/kg（兔经皮）；LC50： 20003mg/m</w:t>
            </w:r>
            <w:r>
              <w:rPr>
                <w:vertAlign w:val="superscript"/>
              </w:rPr>
              <w:t>3</w:t>
            </w:r>
            <w:r>
              <w:t>，8小时（小鼠吸入）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308" w:type="pct"/>
            <w:vAlign w:val="center"/>
          </w:tcPr>
          <w:p>
            <w:pPr>
              <w:pStyle w:val="63"/>
              <w:adjustRightInd w:val="0"/>
              <w:snapToGrid w:val="0"/>
            </w:pPr>
            <w:r>
              <w:t>甲醛*</w:t>
            </w:r>
          </w:p>
        </w:tc>
        <w:tc>
          <w:tcPr>
            <w:tcW w:w="413" w:type="pct"/>
            <w:vAlign w:val="center"/>
          </w:tcPr>
          <w:p>
            <w:pPr>
              <w:pStyle w:val="63"/>
              <w:adjustRightInd w:val="0"/>
              <w:snapToGrid w:val="0"/>
            </w:pPr>
            <w:r>
              <w:t>50-00-0</w:t>
            </w:r>
          </w:p>
        </w:tc>
        <w:tc>
          <w:tcPr>
            <w:tcW w:w="1797" w:type="pct"/>
            <w:vAlign w:val="center"/>
          </w:tcPr>
          <w:p>
            <w:pPr>
              <w:pStyle w:val="63"/>
              <w:adjustRightInd w:val="0"/>
              <w:snapToGrid w:val="0"/>
            </w:pPr>
            <w:r>
              <w:t>与空气混合可爆；对皮肤，角膜和黏膜有腐蚀性。与氧化剂、火种接触可燃；燃烧产生刺激烟雾。</w:t>
            </w:r>
          </w:p>
        </w:tc>
        <w:tc>
          <w:tcPr>
            <w:tcW w:w="2482" w:type="pct"/>
            <w:vAlign w:val="center"/>
          </w:tcPr>
          <w:p>
            <w:pPr>
              <w:pStyle w:val="63"/>
              <w:adjustRightInd w:val="0"/>
              <w:snapToGrid w:val="0"/>
            </w:pPr>
            <w:r>
              <w:t>口服-大鼠LD50：100mg/kg；口服-小鼠LD50：42mg/kg。</w:t>
            </w:r>
          </w:p>
        </w:tc>
      </w:tr>
    </w:tbl>
    <w:p>
      <w:pPr>
        <w:ind w:firstLine="480"/>
        <w:sectPr>
          <w:pgSz w:w="16838" w:h="11906" w:orient="landscape"/>
          <w:pgMar w:top="1797" w:right="1440" w:bottom="1797" w:left="1440" w:header="851" w:footer="992" w:gutter="0"/>
          <w:cols w:space="425" w:num="1"/>
          <w:docGrid w:type="linesAndChars" w:linePitch="312" w:charSpace="0"/>
        </w:sectPr>
      </w:pPr>
    </w:p>
    <w:p>
      <w:pPr>
        <w:spacing w:line="360" w:lineRule="auto"/>
        <w:ind w:firstLine="480" w:firstLineChars="200"/>
      </w:pPr>
      <w:r>
        <w:rPr>
          <w:rFonts w:hint="eastAsia"/>
        </w:rPr>
        <w:t>1、区域风险敏感目标分布情况</w:t>
      </w:r>
    </w:p>
    <w:p>
      <w:pPr>
        <w:spacing w:line="360" w:lineRule="auto"/>
        <w:ind w:firstLine="480" w:firstLineChars="200"/>
      </w:pPr>
      <w:r>
        <w:rPr>
          <w:rFonts w:hint="eastAsia"/>
        </w:rPr>
        <w:t>滨江片区</w:t>
      </w:r>
      <w:r>
        <w:t>经园区</w:t>
      </w:r>
      <w:r>
        <w:rPr>
          <w:rFonts w:hint="eastAsia"/>
        </w:rPr>
        <w:t>污水</w:t>
      </w:r>
      <w:r>
        <w:t>处理厂</w:t>
      </w:r>
      <w:r>
        <w:rPr>
          <w:rFonts w:hint="eastAsia"/>
        </w:rPr>
        <w:t>处理</w:t>
      </w:r>
      <w:r>
        <w:t>后</w:t>
      </w:r>
      <w:r>
        <w:rPr>
          <w:rFonts w:hint="eastAsia"/>
        </w:rPr>
        <w:t>进入</w:t>
      </w:r>
      <w:r>
        <w:t>长</w:t>
      </w:r>
      <w:r>
        <w:rPr>
          <w:rFonts w:hint="eastAsia"/>
        </w:rPr>
        <w:t>江</w:t>
      </w:r>
      <w:r>
        <w:t>；三</w:t>
      </w:r>
      <w:r>
        <w:rPr>
          <w:rFonts w:hint="eastAsia"/>
        </w:rPr>
        <w:t>湾</w:t>
      </w:r>
      <w:r>
        <w:t>产业园经</w:t>
      </w:r>
      <w:r>
        <w:rPr>
          <w:rFonts w:hint="eastAsia"/>
        </w:rPr>
        <w:t>临湘城</w:t>
      </w:r>
      <w:r>
        <w:t>区污水处理</w:t>
      </w:r>
      <w:r>
        <w:rPr>
          <w:rFonts w:hint="eastAsia"/>
        </w:rPr>
        <w:t>厂</w:t>
      </w:r>
      <w:r>
        <w:t>进入长</w:t>
      </w:r>
      <w:r>
        <w:rPr>
          <w:rFonts w:hint="eastAsia"/>
        </w:rPr>
        <w:t>安河</w:t>
      </w:r>
      <w:r>
        <w:t>。</w:t>
      </w:r>
      <w:r>
        <w:rPr>
          <w:rFonts w:hint="eastAsia"/>
        </w:rPr>
        <w:t>园区周边环境敏感目标见1.5章节环境保护目标。</w:t>
      </w:r>
    </w:p>
    <w:p>
      <w:pPr>
        <w:spacing w:line="360" w:lineRule="auto"/>
        <w:ind w:firstLine="480" w:firstLineChars="200"/>
      </w:pPr>
      <w:r>
        <w:rPr>
          <w:rFonts w:hint="eastAsia"/>
        </w:rPr>
        <w:t>2、环境风险类型</w:t>
      </w:r>
    </w:p>
    <w:p>
      <w:pPr>
        <w:spacing w:line="360" w:lineRule="auto"/>
        <w:ind w:firstLine="480" w:firstLineChars="200"/>
      </w:pPr>
      <w:r>
        <w:rPr>
          <w:rFonts w:hint="eastAsia"/>
        </w:rPr>
        <w:t>根据其它园区运行情况分析，结合园区的产业定位，园区内可能发生的风险因素主要有：</w:t>
      </w:r>
    </w:p>
    <w:p>
      <w:pPr>
        <w:spacing w:line="360" w:lineRule="auto"/>
        <w:ind w:firstLine="480" w:firstLineChars="200"/>
      </w:pPr>
      <w:r>
        <w:rPr>
          <w:rFonts w:hint="eastAsia"/>
        </w:rPr>
        <w:t>（1）贮存风险</w:t>
      </w:r>
    </w:p>
    <w:p>
      <w:pPr>
        <w:spacing w:line="360" w:lineRule="auto"/>
        <w:ind w:firstLine="480" w:firstLineChars="200"/>
      </w:pPr>
      <w:r>
        <w:rPr>
          <w:rFonts w:hint="eastAsia"/>
        </w:rPr>
        <w:t>区内的企业原料储存库与危险固废暂存库（废渣）采取防渗措施，主要存在的环境风险可能造成区域地下水和土壤污染。</w:t>
      </w:r>
    </w:p>
    <w:p>
      <w:pPr>
        <w:spacing w:line="360" w:lineRule="auto"/>
        <w:ind w:firstLine="480" w:firstLineChars="200"/>
      </w:pPr>
      <w:r>
        <w:rPr>
          <w:rFonts w:hint="eastAsia"/>
        </w:rPr>
        <w:t>（2）生产过程</w:t>
      </w:r>
    </w:p>
    <w:p>
      <w:pPr>
        <w:spacing w:line="360" w:lineRule="auto"/>
        <w:ind w:firstLine="480" w:firstLineChars="200"/>
      </w:pPr>
      <w:r>
        <w:rPr>
          <w:rFonts w:hint="eastAsia"/>
        </w:rPr>
        <w:t>根据园区规划，园区内的</w:t>
      </w:r>
      <w:r>
        <w:rPr>
          <w:rFonts w:hint="eastAsia" w:ascii="Times New Roman" w:hAnsi="Times New Roman" w:cs="Times New Roman"/>
        </w:rPr>
        <w:t>绿色化工、以浮标（钓具）及加工制造</w:t>
      </w:r>
      <w:r>
        <w:rPr>
          <w:rFonts w:hint="eastAsia"/>
        </w:rPr>
        <w:t>等使用各种有机溶剂、有机稀释剂等可能存在燃烧爆炸产生二次环境风险隐患。</w:t>
      </w:r>
    </w:p>
    <w:p>
      <w:pPr>
        <w:spacing w:line="360" w:lineRule="auto"/>
        <w:ind w:firstLine="480" w:firstLineChars="200"/>
      </w:pPr>
      <w:r>
        <w:rPr>
          <w:rFonts w:hint="eastAsia"/>
        </w:rPr>
        <w:t>（3）园区及企业环保设施风险识别</w:t>
      </w:r>
    </w:p>
    <w:p>
      <w:pPr>
        <w:spacing w:line="360" w:lineRule="auto"/>
        <w:ind w:firstLine="480" w:firstLineChars="200"/>
      </w:pPr>
      <w:r>
        <w:rPr>
          <w:rFonts w:hint="eastAsia"/>
        </w:rPr>
        <w:t>园区环保设施主要为污水处理厂以及企业废气处理设施。</w:t>
      </w:r>
    </w:p>
    <w:p>
      <w:pPr>
        <w:spacing w:line="360" w:lineRule="auto"/>
        <w:ind w:firstLine="480" w:firstLineChars="200"/>
      </w:pPr>
      <w:r>
        <w:rPr>
          <w:rFonts w:hint="eastAsia"/>
        </w:rPr>
        <w:t>①污水处理厂</w:t>
      </w:r>
    </w:p>
    <w:p>
      <w:pPr>
        <w:spacing w:line="360" w:lineRule="auto"/>
        <w:ind w:firstLine="480" w:firstLineChars="200"/>
      </w:pPr>
      <w:r>
        <w:rPr>
          <w:rFonts w:hint="eastAsia"/>
        </w:rPr>
        <w:t>污水处理设施运行事故环境风险是指污水处理设施失效，使废水未经处理，短时间内大量排放，造成突发性水污染事故。根据规划的主导产业，园区排放的废水由工业废水和生活污水组成，根据园区工业废水和生活污水特征以有机废水为主，影响河流水质的污染物主要为COD和氨氮。</w:t>
      </w:r>
    </w:p>
    <w:p>
      <w:pPr>
        <w:spacing w:line="360" w:lineRule="auto"/>
        <w:ind w:firstLine="480" w:firstLineChars="200"/>
      </w:pPr>
      <w:r>
        <w:rPr>
          <w:rFonts w:hint="eastAsia"/>
        </w:rPr>
        <w:t>②废气污染防治设施</w:t>
      </w:r>
    </w:p>
    <w:p>
      <w:pPr>
        <w:spacing w:line="360" w:lineRule="auto"/>
        <w:ind w:firstLine="480" w:firstLineChars="200"/>
        <w:rPr>
          <w:rFonts w:ascii="Times New Roman" w:hAnsi="Times New Roman" w:cs="Times New Roman"/>
        </w:rPr>
      </w:pPr>
      <w:r>
        <w:rPr>
          <w:rFonts w:hint="eastAsia"/>
        </w:rPr>
        <w:t>园区内现状和规划企业主要为绿色</w:t>
      </w:r>
      <w:r>
        <w:t>化工、</w:t>
      </w:r>
      <w:r>
        <w:rPr>
          <w:rFonts w:ascii="Times New Roman" w:hAnsi="Times New Roman" w:cs="Times New Roman"/>
        </w:rPr>
        <w:t>食品</w:t>
      </w:r>
      <w:r>
        <w:rPr>
          <w:rFonts w:hint="eastAsia" w:ascii="Times New Roman" w:hAnsi="Times New Roman" w:cs="Times New Roman"/>
        </w:rPr>
        <w:t>加工</w:t>
      </w:r>
      <w:r>
        <w:rPr>
          <w:rFonts w:ascii="Times New Roman" w:hAnsi="Times New Roman" w:cs="Times New Roman"/>
        </w:rPr>
        <w:t>、林木产品加工</w:t>
      </w:r>
      <w:r>
        <w:rPr>
          <w:rFonts w:hint="eastAsia" w:ascii="Times New Roman" w:hAnsi="Times New Roman" w:cs="Times New Roman"/>
        </w:rPr>
        <w:t>、建材</w:t>
      </w:r>
      <w:r>
        <w:rPr>
          <w:rFonts w:hint="eastAsia"/>
        </w:rPr>
        <w:t>等产业产生的有机废气或粉尘，废气污染治理设施事故状态下主要的环境风险为废气超标排放。</w:t>
      </w:r>
    </w:p>
    <w:p>
      <w:pPr>
        <w:spacing w:line="360" w:lineRule="auto"/>
        <w:ind w:firstLine="480" w:firstLineChars="200"/>
      </w:pPr>
      <w:r>
        <w:rPr>
          <w:rFonts w:hint="eastAsia"/>
        </w:rPr>
        <w:t>（4）其他因素</w:t>
      </w:r>
    </w:p>
    <w:p>
      <w:pPr>
        <w:spacing w:line="360" w:lineRule="auto"/>
        <w:ind w:firstLine="480" w:firstLineChars="200"/>
      </w:pPr>
      <w:r>
        <w:rPr>
          <w:rFonts w:hint="eastAsia"/>
        </w:rPr>
        <w:t>可能引发事故风险的因素还有自然灾害、人为破坏和防范意识淡薄等。自然灾害是不可抗拒因素，而人为破坏和防范意识淡薄则只要加强防范管理和安全教育，提高防范意识是可以避免的。</w:t>
      </w:r>
    </w:p>
    <w:p>
      <w:pPr>
        <w:spacing w:line="360" w:lineRule="auto"/>
        <w:ind w:firstLine="480" w:firstLineChars="200"/>
      </w:pPr>
    </w:p>
    <w:p>
      <w:pPr>
        <w:spacing w:line="360" w:lineRule="auto"/>
        <w:ind w:firstLine="480" w:firstLineChars="200"/>
      </w:pPr>
    </w:p>
    <w:p>
      <w:pPr>
        <w:pStyle w:val="4"/>
      </w:pPr>
      <w:bookmarkStart w:id="664" w:name="_Toc146091995"/>
      <w:r>
        <w:rPr>
          <w:rFonts w:hint="eastAsia"/>
        </w:rPr>
        <w:t>6.12.2 源项分析</w:t>
      </w:r>
      <w:bookmarkEnd w:id="664"/>
    </w:p>
    <w:p>
      <w:pPr>
        <w:pStyle w:val="6"/>
      </w:pPr>
      <w:r>
        <w:t xml:space="preserve">表6.11-4   </w:t>
      </w:r>
      <w:r>
        <w:rPr>
          <w:rFonts w:hint="eastAsia"/>
        </w:rPr>
        <w:t>典型环境风险实践</w:t>
      </w:r>
      <w:r>
        <w:t>情景分析</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2328"/>
        <w:gridCol w:w="2126"/>
        <w:gridCol w:w="21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12" w:space="0"/>
              <w:left w:val="single" w:color="auto" w:sz="12" w:space="0"/>
              <w:bottom w:val="single" w:color="auto" w:sz="4" w:space="0"/>
              <w:right w:val="single" w:color="auto" w:sz="4" w:space="0"/>
            </w:tcBorders>
            <w:vAlign w:val="center"/>
          </w:tcPr>
          <w:p>
            <w:pPr>
              <w:pStyle w:val="63"/>
            </w:pPr>
            <w:r>
              <w:t>事故类型</w:t>
            </w:r>
          </w:p>
        </w:tc>
        <w:tc>
          <w:tcPr>
            <w:tcW w:w="2328" w:type="dxa"/>
            <w:tcBorders>
              <w:top w:val="single" w:color="auto" w:sz="12" w:space="0"/>
              <w:left w:val="single" w:color="auto" w:sz="4" w:space="0"/>
              <w:bottom w:val="single" w:color="auto" w:sz="4" w:space="0"/>
              <w:right w:val="single" w:color="auto" w:sz="4" w:space="0"/>
            </w:tcBorders>
            <w:vAlign w:val="center"/>
          </w:tcPr>
          <w:p>
            <w:pPr>
              <w:pStyle w:val="63"/>
            </w:pPr>
            <w:r>
              <w:t>可能存在风险的位置</w:t>
            </w:r>
          </w:p>
        </w:tc>
        <w:tc>
          <w:tcPr>
            <w:tcW w:w="2126" w:type="dxa"/>
            <w:tcBorders>
              <w:top w:val="single" w:color="auto" w:sz="12" w:space="0"/>
              <w:left w:val="single" w:color="auto" w:sz="4" w:space="0"/>
              <w:bottom w:val="single" w:color="auto" w:sz="4" w:space="0"/>
              <w:right w:val="single" w:color="auto" w:sz="4" w:space="0"/>
            </w:tcBorders>
            <w:vAlign w:val="center"/>
          </w:tcPr>
          <w:p>
            <w:pPr>
              <w:pStyle w:val="63"/>
            </w:pPr>
            <w:r>
              <w:t>影响途径</w:t>
            </w:r>
          </w:p>
        </w:tc>
        <w:tc>
          <w:tcPr>
            <w:tcW w:w="2109" w:type="dxa"/>
            <w:tcBorders>
              <w:top w:val="single" w:color="auto" w:sz="12" w:space="0"/>
              <w:left w:val="single" w:color="auto" w:sz="4" w:space="0"/>
              <w:bottom w:val="single" w:color="auto" w:sz="4" w:space="0"/>
              <w:right w:val="single" w:color="auto" w:sz="12" w:space="0"/>
            </w:tcBorders>
            <w:vAlign w:val="center"/>
          </w:tcPr>
          <w:p>
            <w:pPr>
              <w:pStyle w:val="63"/>
            </w:pPr>
            <w:r>
              <w:t>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pStyle w:val="63"/>
            </w:pPr>
            <w:r>
              <w:t>甲苯、盐酸、三氯甲烷、氯气、甲醇、丙酮、液氨等危险化学品泄漏</w:t>
            </w:r>
          </w:p>
        </w:tc>
        <w:tc>
          <w:tcPr>
            <w:tcW w:w="2328" w:type="dxa"/>
            <w:tcBorders>
              <w:top w:val="single" w:color="auto" w:sz="4" w:space="0"/>
              <w:left w:val="single" w:color="auto" w:sz="4" w:space="0"/>
              <w:bottom w:val="single" w:color="auto" w:sz="4" w:space="0"/>
              <w:right w:val="single" w:color="auto" w:sz="4" w:space="0"/>
            </w:tcBorders>
            <w:vAlign w:val="center"/>
          </w:tcPr>
          <w:p>
            <w:pPr>
              <w:pStyle w:val="63"/>
            </w:pPr>
            <w:r>
              <w:t>主要为企业的储存区，以及甚他行业企业的危险化学品储存区</w:t>
            </w:r>
          </w:p>
        </w:tc>
        <w:tc>
          <w:tcPr>
            <w:tcW w:w="2126" w:type="dxa"/>
            <w:tcBorders>
              <w:top w:val="single" w:color="auto" w:sz="4" w:space="0"/>
              <w:left w:val="single" w:color="auto" w:sz="4" w:space="0"/>
              <w:bottom w:val="single" w:color="auto" w:sz="4" w:space="0"/>
              <w:right w:val="single" w:color="auto" w:sz="4" w:space="0"/>
            </w:tcBorders>
            <w:vAlign w:val="center"/>
          </w:tcPr>
          <w:p>
            <w:pPr>
              <w:pStyle w:val="63"/>
            </w:pPr>
            <w:r>
              <w:t>危险化学品泄露后扩散到大气中</w:t>
            </w:r>
          </w:p>
        </w:tc>
        <w:tc>
          <w:tcPr>
            <w:tcW w:w="2109" w:type="dxa"/>
            <w:tcBorders>
              <w:top w:val="single" w:color="auto" w:sz="4" w:space="0"/>
              <w:left w:val="single" w:color="auto" w:sz="4" w:space="0"/>
              <w:bottom w:val="single" w:color="auto" w:sz="4" w:space="0"/>
              <w:right w:val="single" w:color="auto" w:sz="12" w:space="0"/>
            </w:tcBorders>
            <w:vAlign w:val="center"/>
          </w:tcPr>
          <w:p>
            <w:pPr>
              <w:pStyle w:val="63"/>
            </w:pPr>
            <w:r>
              <w:t>可能会对环境空气造成影响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pStyle w:val="63"/>
            </w:pPr>
            <w:r>
              <w:t>火灾、爆炸事故</w:t>
            </w:r>
          </w:p>
        </w:tc>
        <w:tc>
          <w:tcPr>
            <w:tcW w:w="2328" w:type="dxa"/>
            <w:tcBorders>
              <w:top w:val="single" w:color="auto" w:sz="4" w:space="0"/>
              <w:left w:val="single" w:color="auto" w:sz="4" w:space="0"/>
              <w:bottom w:val="single" w:color="auto" w:sz="4" w:space="0"/>
              <w:right w:val="single" w:color="auto" w:sz="4" w:space="0"/>
            </w:tcBorders>
            <w:vAlign w:val="center"/>
          </w:tcPr>
          <w:p>
            <w:pPr>
              <w:pStyle w:val="63"/>
            </w:pPr>
            <w:r>
              <w:t>主要为企业的储存区，以及其他行业企业的危险化学品储存区</w:t>
            </w:r>
          </w:p>
        </w:tc>
        <w:tc>
          <w:tcPr>
            <w:tcW w:w="2126" w:type="dxa"/>
            <w:tcBorders>
              <w:top w:val="single" w:color="auto" w:sz="4" w:space="0"/>
              <w:left w:val="single" w:color="auto" w:sz="4" w:space="0"/>
              <w:bottom w:val="single" w:color="auto" w:sz="4" w:space="0"/>
              <w:right w:val="single" w:color="auto" w:sz="4" w:space="0"/>
            </w:tcBorders>
            <w:vAlign w:val="center"/>
          </w:tcPr>
          <w:p>
            <w:pPr>
              <w:pStyle w:val="63"/>
            </w:pPr>
            <w:r>
              <w:t>引发的次生环境影响</w:t>
            </w:r>
          </w:p>
        </w:tc>
        <w:tc>
          <w:tcPr>
            <w:tcW w:w="2109" w:type="dxa"/>
            <w:tcBorders>
              <w:top w:val="single" w:color="auto" w:sz="4" w:space="0"/>
              <w:left w:val="single" w:color="auto" w:sz="4" w:space="0"/>
              <w:bottom w:val="single" w:color="auto" w:sz="4" w:space="0"/>
              <w:right w:val="single" w:color="auto" w:sz="12" w:space="0"/>
            </w:tcBorders>
            <w:vAlign w:val="center"/>
          </w:tcPr>
          <w:p>
            <w:pPr>
              <w:pStyle w:val="63"/>
            </w:pPr>
            <w:r>
              <w:t>可能会对环境空气造成影响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pStyle w:val="63"/>
            </w:pPr>
            <w:r>
              <w:t>废气事故排放</w:t>
            </w:r>
          </w:p>
        </w:tc>
        <w:tc>
          <w:tcPr>
            <w:tcW w:w="2328" w:type="dxa"/>
            <w:tcBorders>
              <w:top w:val="single" w:color="auto" w:sz="4" w:space="0"/>
              <w:left w:val="single" w:color="auto" w:sz="4" w:space="0"/>
              <w:bottom w:val="single" w:color="auto" w:sz="4" w:space="0"/>
              <w:right w:val="single" w:color="auto" w:sz="4" w:space="0"/>
            </w:tcBorders>
            <w:vAlign w:val="center"/>
          </w:tcPr>
          <w:p>
            <w:pPr>
              <w:pStyle w:val="63"/>
            </w:pPr>
            <w:r>
              <w:t>园区内废气排放企业</w:t>
            </w:r>
          </w:p>
        </w:tc>
        <w:tc>
          <w:tcPr>
            <w:tcW w:w="2126" w:type="dxa"/>
            <w:tcBorders>
              <w:top w:val="single" w:color="auto" w:sz="4" w:space="0"/>
              <w:left w:val="single" w:color="auto" w:sz="4" w:space="0"/>
              <w:bottom w:val="single" w:color="auto" w:sz="4" w:space="0"/>
              <w:right w:val="single" w:color="auto" w:sz="4" w:space="0"/>
            </w:tcBorders>
            <w:vAlign w:val="center"/>
          </w:tcPr>
          <w:p>
            <w:pPr>
              <w:pStyle w:val="63"/>
            </w:pPr>
            <w:r>
              <w:t>废气排放企业因废气处理设施失效导致废气直排外环境</w:t>
            </w:r>
          </w:p>
        </w:tc>
        <w:tc>
          <w:tcPr>
            <w:tcW w:w="2109" w:type="dxa"/>
            <w:tcBorders>
              <w:top w:val="single" w:color="auto" w:sz="4" w:space="0"/>
              <w:left w:val="single" w:color="auto" w:sz="4" w:space="0"/>
              <w:bottom w:val="single" w:color="auto" w:sz="4" w:space="0"/>
              <w:right w:val="single" w:color="auto" w:sz="12" w:space="0"/>
            </w:tcBorders>
            <w:vAlign w:val="center"/>
          </w:tcPr>
          <w:p>
            <w:pPr>
              <w:pStyle w:val="63"/>
            </w:pPr>
            <w:r>
              <w:t>直排废气可能会对环境空气造成影响</w:t>
            </w:r>
          </w:p>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pStyle w:val="63"/>
            </w:pPr>
            <w:r>
              <w:t>废水事故排放</w:t>
            </w:r>
          </w:p>
        </w:tc>
        <w:tc>
          <w:tcPr>
            <w:tcW w:w="2328" w:type="dxa"/>
            <w:tcBorders>
              <w:top w:val="single" w:color="auto" w:sz="4" w:space="0"/>
              <w:left w:val="single" w:color="auto" w:sz="4" w:space="0"/>
              <w:bottom w:val="single" w:color="auto" w:sz="4" w:space="0"/>
              <w:right w:val="single" w:color="auto" w:sz="4" w:space="0"/>
            </w:tcBorders>
            <w:vAlign w:val="center"/>
          </w:tcPr>
          <w:p>
            <w:pPr>
              <w:pStyle w:val="63"/>
            </w:pPr>
            <w:r>
              <w:t>园区内企业及污水处理厂</w:t>
            </w:r>
          </w:p>
        </w:tc>
        <w:tc>
          <w:tcPr>
            <w:tcW w:w="2126" w:type="dxa"/>
            <w:tcBorders>
              <w:top w:val="single" w:color="auto" w:sz="4" w:space="0"/>
              <w:left w:val="single" w:color="auto" w:sz="4" w:space="0"/>
              <w:bottom w:val="single" w:color="auto" w:sz="4" w:space="0"/>
              <w:right w:val="single" w:color="auto" w:sz="4" w:space="0"/>
            </w:tcBorders>
            <w:vAlign w:val="center"/>
          </w:tcPr>
          <w:p>
            <w:pPr>
              <w:pStyle w:val="63"/>
            </w:pPr>
            <w:r>
              <w:t>废水未经处理直接排放</w:t>
            </w:r>
          </w:p>
        </w:tc>
        <w:tc>
          <w:tcPr>
            <w:tcW w:w="2109" w:type="dxa"/>
            <w:tcBorders>
              <w:top w:val="single" w:color="auto" w:sz="4" w:space="0"/>
              <w:left w:val="single" w:color="auto" w:sz="4" w:space="0"/>
              <w:bottom w:val="single" w:color="auto" w:sz="4" w:space="0"/>
              <w:right w:val="single" w:color="auto" w:sz="12" w:space="0"/>
            </w:tcBorders>
            <w:vAlign w:val="center"/>
          </w:tcPr>
          <w:p>
            <w:pPr>
              <w:pStyle w:val="63"/>
            </w:pPr>
            <w:r>
              <w:t>废水流入</w:t>
            </w:r>
            <w:r>
              <w:rPr>
                <w:rFonts w:hint="eastAsia"/>
              </w:rPr>
              <w:t>涟水</w:t>
            </w:r>
            <w:r>
              <w:t>中，造成河水污染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pStyle w:val="63"/>
            </w:pPr>
            <w:r>
              <w:t>固废暂存间物料洒落、泄露事件</w:t>
            </w:r>
          </w:p>
        </w:tc>
        <w:tc>
          <w:tcPr>
            <w:tcW w:w="2328" w:type="dxa"/>
            <w:tcBorders>
              <w:top w:val="single" w:color="auto" w:sz="4" w:space="0"/>
              <w:left w:val="single" w:color="auto" w:sz="4" w:space="0"/>
              <w:bottom w:val="single" w:color="auto" w:sz="4" w:space="0"/>
              <w:right w:val="single" w:color="auto" w:sz="4" w:space="0"/>
            </w:tcBorders>
            <w:vAlign w:val="center"/>
          </w:tcPr>
          <w:p>
            <w:pPr>
              <w:pStyle w:val="63"/>
            </w:pPr>
            <w:r>
              <w:t>企业危险废物暂存间</w:t>
            </w:r>
          </w:p>
        </w:tc>
        <w:tc>
          <w:tcPr>
            <w:tcW w:w="2126" w:type="dxa"/>
            <w:tcBorders>
              <w:top w:val="single" w:color="auto" w:sz="4" w:space="0"/>
              <w:left w:val="single" w:color="auto" w:sz="4" w:space="0"/>
              <w:bottom w:val="single" w:color="auto" w:sz="4" w:space="0"/>
              <w:right w:val="single" w:color="auto" w:sz="4" w:space="0"/>
            </w:tcBorders>
            <w:vAlign w:val="center"/>
          </w:tcPr>
          <w:p>
            <w:pPr>
              <w:pStyle w:val="63"/>
            </w:pPr>
            <w:r>
              <w:t>废液渗漏</w:t>
            </w:r>
          </w:p>
        </w:tc>
        <w:tc>
          <w:tcPr>
            <w:tcW w:w="2109" w:type="dxa"/>
            <w:tcBorders>
              <w:top w:val="single" w:color="auto" w:sz="4" w:space="0"/>
              <w:left w:val="single" w:color="auto" w:sz="4" w:space="0"/>
              <w:bottom w:val="single" w:color="auto" w:sz="4" w:space="0"/>
              <w:right w:val="single" w:color="auto" w:sz="12" w:space="0"/>
            </w:tcBorders>
            <w:vAlign w:val="center"/>
          </w:tcPr>
          <w:p>
            <w:pPr>
              <w:pStyle w:val="63"/>
            </w:pPr>
            <w:r>
              <w:t>造成土壤、大气、</w:t>
            </w:r>
          </w:p>
          <w:p>
            <w:pPr>
              <w:pStyle w:val="63"/>
            </w:pPr>
            <w:r>
              <w:t>地下水和地表水污染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12" w:space="0"/>
              <w:right w:val="single" w:color="auto" w:sz="4" w:space="0"/>
            </w:tcBorders>
            <w:vAlign w:val="center"/>
          </w:tcPr>
          <w:p>
            <w:pPr>
              <w:pStyle w:val="63"/>
            </w:pPr>
            <w:r>
              <w:t>移动源环境风险事故</w:t>
            </w:r>
          </w:p>
        </w:tc>
        <w:tc>
          <w:tcPr>
            <w:tcW w:w="2328" w:type="dxa"/>
            <w:tcBorders>
              <w:top w:val="single" w:color="auto" w:sz="4" w:space="0"/>
              <w:left w:val="single" w:color="auto" w:sz="4" w:space="0"/>
              <w:bottom w:val="single" w:color="auto" w:sz="12" w:space="0"/>
              <w:right w:val="single" w:color="auto" w:sz="4" w:space="0"/>
            </w:tcBorders>
            <w:vAlign w:val="center"/>
          </w:tcPr>
          <w:p>
            <w:pPr>
              <w:pStyle w:val="63"/>
            </w:pPr>
            <w:r>
              <w:t>园区内雨水管网</w:t>
            </w:r>
          </w:p>
        </w:tc>
        <w:tc>
          <w:tcPr>
            <w:tcW w:w="2126" w:type="dxa"/>
            <w:tcBorders>
              <w:top w:val="single" w:color="auto" w:sz="4" w:space="0"/>
              <w:left w:val="single" w:color="auto" w:sz="4" w:space="0"/>
              <w:bottom w:val="single" w:color="auto" w:sz="12" w:space="0"/>
              <w:right w:val="single" w:color="auto" w:sz="4" w:space="0"/>
            </w:tcBorders>
            <w:vAlign w:val="center"/>
          </w:tcPr>
          <w:p>
            <w:pPr>
              <w:pStyle w:val="63"/>
            </w:pPr>
            <w:r>
              <w:t>车辆运输化学品或危险固废过程中发生事故导致化学品或危险固废泄漏进入园区雨水管网</w:t>
            </w:r>
          </w:p>
        </w:tc>
        <w:tc>
          <w:tcPr>
            <w:tcW w:w="2109" w:type="dxa"/>
            <w:tcBorders>
              <w:top w:val="single" w:color="auto" w:sz="4" w:space="0"/>
              <w:left w:val="single" w:color="auto" w:sz="4" w:space="0"/>
              <w:bottom w:val="single" w:color="auto" w:sz="12" w:space="0"/>
              <w:right w:val="single" w:color="auto" w:sz="12" w:space="0"/>
            </w:tcBorders>
            <w:vAlign w:val="center"/>
          </w:tcPr>
          <w:p>
            <w:pPr>
              <w:pStyle w:val="63"/>
            </w:pPr>
            <w:r>
              <w:t>化学品或危险固废经雨水管网流入澧水中，造成河水污染</w:t>
            </w:r>
          </w:p>
        </w:tc>
      </w:tr>
    </w:tbl>
    <w:p>
      <w:pPr>
        <w:spacing w:line="360" w:lineRule="auto"/>
        <w:ind w:firstLine="480" w:firstLineChars="200"/>
      </w:pPr>
      <w:r>
        <w:t>突发环境事件类型有：环境风险物质在运输、生产或使用过程中泄漏的环境风险，易燃易爆危化品火灾、爆炸及其次生事件，园区内企业三废事故排放造成的环境风险，园区排水系统和集中污水处理系统事故造成的环境风险。</w:t>
      </w:r>
    </w:p>
    <w:p>
      <w:pPr>
        <w:spacing w:line="360" w:lineRule="auto"/>
        <w:ind w:firstLine="480" w:firstLineChars="200"/>
      </w:pPr>
      <w:r>
        <w:rPr>
          <w:rFonts w:hint="eastAsia"/>
        </w:rPr>
        <w:t>（1）环境风险物质在运输、储存、生产或使用过程中的泄漏</w:t>
      </w:r>
    </w:p>
    <w:p>
      <w:pPr>
        <w:spacing w:line="360" w:lineRule="auto"/>
        <w:ind w:firstLine="480" w:firstLineChars="200"/>
      </w:pPr>
      <w:r>
        <w:rPr>
          <w:rFonts w:hint="eastAsia"/>
        </w:rPr>
        <w:t>园区重点环境风险物质为：液氨、废油等。从环境风险物质的角度来考虑，园区主要环境风险类型为：①装卸过程中因交通事故、人为密封不严而泄漏进入外界环境；②使用过程中储罐破损或管线、阀门、泵体破裂而发生泄漏。①、②均有发生的可能性。当泄漏发生时，泄漏物如果进入外界环境，则会造成水体、土壤、大气污染，若浓度超过生物体阈值则会造成生物死亡，人员直接接触则有可能造成伤亡事故。</w:t>
      </w:r>
    </w:p>
    <w:p>
      <w:pPr>
        <w:spacing w:line="360" w:lineRule="auto"/>
        <w:ind w:firstLine="480" w:firstLineChars="200"/>
      </w:pPr>
      <w:r>
        <w:rPr>
          <w:rFonts w:hint="eastAsia"/>
        </w:rPr>
        <w:t>（2）易燃风险物质火灾、爆炸及其次生事故</w:t>
      </w:r>
    </w:p>
    <w:p>
      <w:pPr>
        <w:spacing w:line="360" w:lineRule="auto"/>
        <w:ind w:firstLine="480" w:firstLineChars="200"/>
      </w:pPr>
      <w:r>
        <w:rPr>
          <w:rFonts w:hint="eastAsia"/>
        </w:rPr>
        <w:t>园区内涉及的废油等易燃风险物质泄漏的液体没有拦挡或收集设施，或有拦挡或收集设施，但泄漏量超出事故池的容量，导致泄漏物溢出，泄漏后遇明火、高温区域等易造成火灾、爆炸事故，次生事故消防废水经雨水管网进入周边水体，对下游水质的不良影响；火灾爆炸产生大量的烟气对大气环境造成影响；燃爆后固废对土壤和景观有一定影响。</w:t>
      </w:r>
    </w:p>
    <w:p>
      <w:pPr>
        <w:spacing w:line="360" w:lineRule="auto"/>
        <w:ind w:firstLine="480" w:firstLineChars="200"/>
      </w:pPr>
      <w:r>
        <w:rPr>
          <w:rFonts w:hint="eastAsia"/>
        </w:rPr>
        <w:t>（3）企业废气处理系统事故造成的环境风险</w:t>
      </w:r>
    </w:p>
    <w:p>
      <w:pPr>
        <w:spacing w:line="360" w:lineRule="auto"/>
        <w:ind w:firstLine="480" w:firstLineChars="200"/>
      </w:pPr>
      <w:r>
        <w:rPr>
          <w:rFonts w:hint="eastAsia"/>
        </w:rPr>
        <w:t>装备制造等废气主要污染物为VOCs、粉尘。对环境产生影响的主要是事故状态下对周边环境的不良影响。</w:t>
      </w:r>
    </w:p>
    <w:p>
      <w:pPr>
        <w:pStyle w:val="4"/>
      </w:pPr>
      <w:bookmarkStart w:id="665" w:name="_Toc146091996"/>
      <w:r>
        <w:rPr>
          <w:rFonts w:hint="eastAsia"/>
        </w:rPr>
        <w:t>6.12.3 风险影响分析</w:t>
      </w:r>
      <w:bookmarkEnd w:id="665"/>
    </w:p>
    <w:p>
      <w:pPr>
        <w:pStyle w:val="5"/>
        <w:ind w:firstLine="482"/>
      </w:pPr>
      <w:r>
        <w:t>6.12.3.1</w:t>
      </w:r>
      <w:r>
        <w:rPr>
          <w:rFonts w:hint="eastAsia"/>
        </w:rPr>
        <w:t>储罐、管道及道路运输泄漏事故源强</w:t>
      </w:r>
    </w:p>
    <w:p>
      <w:pPr>
        <w:spacing w:line="360" w:lineRule="auto"/>
        <w:ind w:firstLine="480" w:firstLineChars="200"/>
      </w:pPr>
      <w:r>
        <w:rPr>
          <w:rFonts w:hint="eastAsia"/>
        </w:rPr>
        <w:t>液体物料储罐的阀门是使用最频繁的部件，也是最容易发生故障的零件；以及运输液体物料的车辆、管道都可能发生物料泄漏事故，现以滨江产业区环宇药业甲苯储罐阀门发生事故性泄漏为例，对源强进行估算。假设甲苯储罐阀门出现3cm当量直径的泄露口。裂口之上液位高度为1 m，假设事故发生时间为15分钟，可计算出甲苯泄漏的QL=7.41kg/s，泄漏量为QL*15*60=6666.99kg。</w:t>
      </w:r>
    </w:p>
    <w:p>
      <w:pPr>
        <w:spacing w:line="360" w:lineRule="auto"/>
        <w:ind w:firstLine="480" w:firstLineChars="200"/>
      </w:pPr>
      <w:r>
        <w:rPr>
          <w:rFonts w:hint="eastAsia"/>
        </w:rPr>
        <w:t>液体泄漏时形成的液池，液池的最大直径取决于泄漏点的地域构型、泄漏的连续性或瞬时性。有围堰时，以围堰最大的等效半径为液池半径；无围堰时，设定液体扩散到最小厚度时，推算液池的等效半径。</w:t>
      </w:r>
    </w:p>
    <w:p>
      <w:pPr>
        <w:spacing w:line="360" w:lineRule="auto"/>
        <w:ind w:firstLine="480" w:firstLineChars="200"/>
      </w:pPr>
      <w:r>
        <w:rPr>
          <w:rFonts w:hint="eastAsia"/>
        </w:rPr>
        <w:t>根据各物质的风险评价标准浓度数据，采用环境风险评价导则中推荐的烟团模式预测泄露事故对周边环境的影响范围。经计算，泄露事故发生后，甲苯在常规气象条件和静风条件下，不同稳定度浓度预测情况详见下表。</w:t>
      </w:r>
    </w:p>
    <w:p>
      <w:pPr>
        <w:pStyle w:val="6"/>
        <w:rPr>
          <w:lang w:val="zh-CN"/>
        </w:rPr>
      </w:pPr>
      <w:r>
        <w:rPr>
          <w:rFonts w:hint="eastAsia"/>
        </w:rPr>
        <w:t>表4.6-1 甲苯泄漏事故（静风）预测浓度  单位mg/m3</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293"/>
        <w:gridCol w:w="1141"/>
        <w:gridCol w:w="1293"/>
        <w:gridCol w:w="1141"/>
        <w:gridCol w:w="1141"/>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Merge w:val="restart"/>
            <w:vAlign w:val="center"/>
          </w:tcPr>
          <w:p>
            <w:pPr>
              <w:pStyle w:val="63"/>
            </w:pPr>
            <w:r>
              <w:rPr>
                <w:rFonts w:hint="eastAsia"/>
              </w:rPr>
              <w:t>距离（m）</w:t>
            </w:r>
          </w:p>
        </w:tc>
        <w:tc>
          <w:tcPr>
            <w:tcW w:w="3727" w:type="dxa"/>
            <w:gridSpan w:val="3"/>
            <w:vAlign w:val="center"/>
          </w:tcPr>
          <w:p>
            <w:pPr>
              <w:pStyle w:val="63"/>
            </w:pPr>
            <w:r>
              <w:rPr>
                <w:rFonts w:hint="eastAsia"/>
              </w:rPr>
              <w:t>5min</w:t>
            </w:r>
          </w:p>
        </w:tc>
        <w:tc>
          <w:tcPr>
            <w:tcW w:w="3423" w:type="dxa"/>
            <w:gridSpan w:val="3"/>
            <w:vAlign w:val="center"/>
          </w:tcPr>
          <w:p>
            <w:pPr>
              <w:pStyle w:val="63"/>
            </w:pPr>
            <w:r>
              <w:rPr>
                <w:rFonts w:hint="eastAsia"/>
              </w:rPr>
              <w:t>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Merge w:val="continue"/>
            <w:vAlign w:val="center"/>
          </w:tcPr>
          <w:p>
            <w:pPr>
              <w:pStyle w:val="63"/>
            </w:pPr>
          </w:p>
        </w:tc>
        <w:tc>
          <w:tcPr>
            <w:tcW w:w="1293" w:type="dxa"/>
            <w:vAlign w:val="center"/>
          </w:tcPr>
          <w:p>
            <w:pPr>
              <w:pStyle w:val="63"/>
            </w:pPr>
            <w:r>
              <w:rPr>
                <w:rFonts w:hint="eastAsia"/>
              </w:rPr>
              <w:t>1.5m/s，B</w:t>
            </w:r>
          </w:p>
        </w:tc>
        <w:tc>
          <w:tcPr>
            <w:tcW w:w="1141" w:type="dxa"/>
            <w:vAlign w:val="center"/>
          </w:tcPr>
          <w:p>
            <w:pPr>
              <w:pStyle w:val="63"/>
            </w:pPr>
            <w:r>
              <w:rPr>
                <w:rFonts w:hint="eastAsia"/>
              </w:rPr>
              <w:t>1.5m/s，D</w:t>
            </w:r>
          </w:p>
        </w:tc>
        <w:tc>
          <w:tcPr>
            <w:tcW w:w="1293" w:type="dxa"/>
            <w:vAlign w:val="center"/>
          </w:tcPr>
          <w:p>
            <w:pPr>
              <w:pStyle w:val="63"/>
            </w:pPr>
            <w:r>
              <w:rPr>
                <w:rFonts w:hint="eastAsia"/>
              </w:rPr>
              <w:t>1.5m/s，F</w:t>
            </w:r>
          </w:p>
        </w:tc>
        <w:tc>
          <w:tcPr>
            <w:tcW w:w="1141" w:type="dxa"/>
            <w:vAlign w:val="center"/>
          </w:tcPr>
          <w:p>
            <w:pPr>
              <w:pStyle w:val="63"/>
            </w:pPr>
            <w:r>
              <w:rPr>
                <w:rFonts w:hint="eastAsia"/>
              </w:rPr>
              <w:t>1.5m/s，B</w:t>
            </w:r>
          </w:p>
        </w:tc>
        <w:tc>
          <w:tcPr>
            <w:tcW w:w="1141" w:type="dxa"/>
            <w:vAlign w:val="center"/>
          </w:tcPr>
          <w:p>
            <w:pPr>
              <w:pStyle w:val="63"/>
            </w:pPr>
            <w:r>
              <w:rPr>
                <w:rFonts w:hint="eastAsia"/>
              </w:rPr>
              <w:t>1.5m/s，D</w:t>
            </w:r>
          </w:p>
        </w:tc>
        <w:tc>
          <w:tcPr>
            <w:tcW w:w="1141" w:type="dxa"/>
            <w:vAlign w:val="center"/>
          </w:tcPr>
          <w:p>
            <w:pPr>
              <w:pStyle w:val="63"/>
            </w:pPr>
            <w:r>
              <w:rPr>
                <w:rFonts w:hint="eastAsia"/>
              </w:rPr>
              <w:t>1.5m/s，F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100</w:t>
            </w:r>
          </w:p>
        </w:tc>
        <w:tc>
          <w:tcPr>
            <w:tcW w:w="1293" w:type="dxa"/>
            <w:vAlign w:val="center"/>
          </w:tcPr>
          <w:p>
            <w:pPr>
              <w:pStyle w:val="63"/>
            </w:pPr>
            <w:r>
              <w:rPr>
                <w:rFonts w:hint="eastAsia"/>
              </w:rPr>
              <w:t>1334.71</w:t>
            </w:r>
          </w:p>
        </w:tc>
        <w:tc>
          <w:tcPr>
            <w:tcW w:w="1141" w:type="dxa"/>
            <w:vAlign w:val="center"/>
          </w:tcPr>
          <w:p>
            <w:pPr>
              <w:pStyle w:val="63"/>
            </w:pPr>
            <w:r>
              <w:rPr>
                <w:rFonts w:hint="eastAsia"/>
              </w:rPr>
              <w:t>2475.14</w:t>
            </w:r>
          </w:p>
        </w:tc>
        <w:tc>
          <w:tcPr>
            <w:tcW w:w="1293" w:type="dxa"/>
            <w:vAlign w:val="center"/>
          </w:tcPr>
          <w:p>
            <w:pPr>
              <w:pStyle w:val="63"/>
            </w:pPr>
            <w:r>
              <w:rPr>
                <w:rFonts w:hint="eastAsia"/>
              </w:rPr>
              <w:t>4181.9</w:t>
            </w:r>
          </w:p>
        </w:tc>
        <w:tc>
          <w:tcPr>
            <w:tcW w:w="1141" w:type="dxa"/>
            <w:vAlign w:val="center"/>
          </w:tcPr>
          <w:p>
            <w:pPr>
              <w:pStyle w:val="63"/>
            </w:pPr>
            <w:r>
              <w:rPr>
                <w:rFonts w:hint="eastAsia"/>
              </w:rPr>
              <w:t>2334.74</w:t>
            </w:r>
          </w:p>
        </w:tc>
        <w:tc>
          <w:tcPr>
            <w:tcW w:w="1141" w:type="dxa"/>
            <w:vAlign w:val="center"/>
          </w:tcPr>
          <w:p>
            <w:pPr>
              <w:pStyle w:val="63"/>
            </w:pPr>
            <w:r>
              <w:rPr>
                <w:rFonts w:hint="eastAsia"/>
              </w:rPr>
              <w:t>3751.46</w:t>
            </w:r>
          </w:p>
        </w:tc>
        <w:tc>
          <w:tcPr>
            <w:tcW w:w="1141" w:type="dxa"/>
            <w:vAlign w:val="center"/>
          </w:tcPr>
          <w:p>
            <w:pPr>
              <w:pStyle w:val="63"/>
            </w:pPr>
            <w:r>
              <w:rPr>
                <w:rFonts w:hint="eastAsia"/>
              </w:rPr>
              <w:t>5181.91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200</w:t>
            </w:r>
          </w:p>
        </w:tc>
        <w:tc>
          <w:tcPr>
            <w:tcW w:w="1293" w:type="dxa"/>
            <w:vAlign w:val="center"/>
          </w:tcPr>
          <w:p>
            <w:pPr>
              <w:pStyle w:val="63"/>
            </w:pPr>
            <w:r>
              <w:rPr>
                <w:rFonts w:hint="eastAsia"/>
              </w:rPr>
              <w:t>388.55</w:t>
            </w:r>
          </w:p>
        </w:tc>
        <w:tc>
          <w:tcPr>
            <w:tcW w:w="1141" w:type="dxa"/>
            <w:vAlign w:val="center"/>
          </w:tcPr>
          <w:p>
            <w:pPr>
              <w:pStyle w:val="63"/>
            </w:pPr>
            <w:r>
              <w:rPr>
                <w:rFonts w:hint="eastAsia"/>
              </w:rPr>
              <w:t>745.21</w:t>
            </w:r>
          </w:p>
        </w:tc>
        <w:tc>
          <w:tcPr>
            <w:tcW w:w="1293" w:type="dxa"/>
            <w:vAlign w:val="center"/>
          </w:tcPr>
          <w:p>
            <w:pPr>
              <w:pStyle w:val="63"/>
            </w:pPr>
            <w:r>
              <w:rPr>
                <w:rFonts w:hint="eastAsia"/>
              </w:rPr>
              <w:t>715.23</w:t>
            </w:r>
          </w:p>
        </w:tc>
        <w:tc>
          <w:tcPr>
            <w:tcW w:w="1141" w:type="dxa"/>
            <w:vAlign w:val="center"/>
          </w:tcPr>
          <w:p>
            <w:pPr>
              <w:pStyle w:val="63"/>
            </w:pPr>
            <w:r>
              <w:rPr>
                <w:rFonts w:hint="eastAsia"/>
              </w:rPr>
              <w:t>1390.98</w:t>
            </w:r>
          </w:p>
        </w:tc>
        <w:tc>
          <w:tcPr>
            <w:tcW w:w="1141" w:type="dxa"/>
            <w:vAlign w:val="center"/>
          </w:tcPr>
          <w:p>
            <w:pPr>
              <w:pStyle w:val="63"/>
            </w:pPr>
            <w:r>
              <w:rPr>
                <w:rFonts w:hint="eastAsia"/>
              </w:rPr>
              <w:t>1080.39</w:t>
            </w:r>
          </w:p>
        </w:tc>
        <w:tc>
          <w:tcPr>
            <w:tcW w:w="1141" w:type="dxa"/>
            <w:vAlign w:val="center"/>
          </w:tcPr>
          <w:p>
            <w:pPr>
              <w:pStyle w:val="63"/>
            </w:pPr>
            <w:r>
              <w:rPr>
                <w:rFonts w:hint="eastAsia"/>
              </w:rPr>
              <w:t>514.92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300</w:t>
            </w:r>
          </w:p>
        </w:tc>
        <w:tc>
          <w:tcPr>
            <w:tcW w:w="1293" w:type="dxa"/>
            <w:vAlign w:val="center"/>
          </w:tcPr>
          <w:p>
            <w:pPr>
              <w:pStyle w:val="63"/>
            </w:pPr>
            <w:r>
              <w:rPr>
                <w:rFonts w:hint="eastAsia"/>
              </w:rPr>
              <w:t>814.2</w:t>
            </w:r>
          </w:p>
        </w:tc>
        <w:tc>
          <w:tcPr>
            <w:tcW w:w="1141" w:type="dxa"/>
            <w:vAlign w:val="center"/>
          </w:tcPr>
          <w:p>
            <w:pPr>
              <w:pStyle w:val="63"/>
            </w:pPr>
            <w:r>
              <w:rPr>
                <w:rFonts w:hint="eastAsia"/>
              </w:rPr>
              <w:t>118.4</w:t>
            </w:r>
          </w:p>
        </w:tc>
        <w:tc>
          <w:tcPr>
            <w:tcW w:w="1293" w:type="dxa"/>
            <w:vAlign w:val="center"/>
          </w:tcPr>
          <w:p>
            <w:pPr>
              <w:pStyle w:val="63"/>
            </w:pPr>
            <w:r>
              <w:rPr>
                <w:rFonts w:hint="eastAsia"/>
              </w:rPr>
              <w:t>0</w:t>
            </w:r>
          </w:p>
        </w:tc>
        <w:tc>
          <w:tcPr>
            <w:tcW w:w="1141" w:type="dxa"/>
            <w:vAlign w:val="center"/>
          </w:tcPr>
          <w:p>
            <w:pPr>
              <w:pStyle w:val="63"/>
            </w:pPr>
            <w:r>
              <w:rPr>
                <w:rFonts w:hint="eastAsia"/>
              </w:rPr>
              <w:t>874.93</w:t>
            </w:r>
          </w:p>
        </w:tc>
        <w:tc>
          <w:tcPr>
            <w:tcW w:w="1141" w:type="dxa"/>
            <w:vAlign w:val="center"/>
          </w:tcPr>
          <w:p>
            <w:pPr>
              <w:pStyle w:val="63"/>
            </w:pPr>
            <w:r>
              <w:rPr>
                <w:rFonts w:hint="eastAsia"/>
              </w:rPr>
              <w:t>531.96</w:t>
            </w:r>
          </w:p>
        </w:tc>
        <w:tc>
          <w:tcPr>
            <w:tcW w:w="1141" w:type="dxa"/>
            <w:vAlign w:val="center"/>
          </w:tcPr>
          <w:p>
            <w:pPr>
              <w:pStyle w:val="63"/>
            </w:pPr>
            <w:r>
              <w:rPr>
                <w:rFonts w:hint="eastAsia"/>
              </w:rPr>
              <w:t>27.78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400</w:t>
            </w:r>
          </w:p>
        </w:tc>
        <w:tc>
          <w:tcPr>
            <w:tcW w:w="1293" w:type="dxa"/>
            <w:vAlign w:val="center"/>
          </w:tcPr>
          <w:p>
            <w:pPr>
              <w:pStyle w:val="63"/>
            </w:pPr>
            <w:r>
              <w:rPr>
                <w:rFonts w:hint="eastAsia"/>
              </w:rPr>
              <w:t>101.6</w:t>
            </w:r>
          </w:p>
        </w:tc>
        <w:tc>
          <w:tcPr>
            <w:tcW w:w="1141" w:type="dxa"/>
            <w:vAlign w:val="center"/>
          </w:tcPr>
          <w:p>
            <w:pPr>
              <w:pStyle w:val="63"/>
            </w:pPr>
            <w:r>
              <w:rPr>
                <w:rFonts w:hint="eastAsia"/>
              </w:rPr>
              <w:t>1.3</w:t>
            </w:r>
          </w:p>
        </w:tc>
        <w:tc>
          <w:tcPr>
            <w:tcW w:w="1293" w:type="dxa"/>
            <w:vAlign w:val="center"/>
          </w:tcPr>
          <w:p>
            <w:pPr>
              <w:pStyle w:val="63"/>
            </w:pPr>
            <w:r>
              <w:rPr>
                <w:rFonts w:hint="eastAsia"/>
              </w:rPr>
              <w:t>0</w:t>
            </w:r>
          </w:p>
        </w:tc>
        <w:tc>
          <w:tcPr>
            <w:tcW w:w="1141" w:type="dxa"/>
            <w:vAlign w:val="center"/>
          </w:tcPr>
          <w:p>
            <w:pPr>
              <w:pStyle w:val="63"/>
            </w:pPr>
            <w:r>
              <w:rPr>
                <w:rFonts w:hint="eastAsia"/>
              </w:rPr>
              <w:t>288.25</w:t>
            </w:r>
          </w:p>
        </w:tc>
        <w:tc>
          <w:tcPr>
            <w:tcW w:w="1141" w:type="dxa"/>
            <w:vAlign w:val="center"/>
          </w:tcPr>
          <w:p>
            <w:pPr>
              <w:pStyle w:val="63"/>
            </w:pPr>
            <w:r>
              <w:rPr>
                <w:rFonts w:hint="eastAsia"/>
              </w:rPr>
              <w:t>22.05</w:t>
            </w:r>
          </w:p>
        </w:tc>
        <w:tc>
          <w:tcPr>
            <w:tcW w:w="1141" w:type="dxa"/>
            <w:vAlign w:val="center"/>
          </w:tcPr>
          <w:p>
            <w:pPr>
              <w:pStyle w:val="63"/>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500</w:t>
            </w:r>
          </w:p>
        </w:tc>
        <w:tc>
          <w:tcPr>
            <w:tcW w:w="1293" w:type="dxa"/>
            <w:vAlign w:val="center"/>
          </w:tcPr>
          <w:p>
            <w:pPr>
              <w:pStyle w:val="63"/>
            </w:pPr>
            <w:r>
              <w:rPr>
                <w:rFonts w:hint="eastAsia"/>
              </w:rPr>
              <w:t>14.3</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56.82</w:t>
            </w:r>
          </w:p>
        </w:tc>
        <w:tc>
          <w:tcPr>
            <w:tcW w:w="1141" w:type="dxa"/>
            <w:vAlign w:val="center"/>
          </w:tcPr>
          <w:p>
            <w:pPr>
              <w:pStyle w:val="63"/>
            </w:pPr>
            <w:r>
              <w:rPr>
                <w:rFonts w:hint="eastAsia"/>
              </w:rPr>
              <w:t>3.076</w:t>
            </w:r>
          </w:p>
        </w:tc>
        <w:tc>
          <w:tcPr>
            <w:tcW w:w="1141" w:type="dxa"/>
            <w:vAlign w:val="center"/>
          </w:tcPr>
          <w:p>
            <w:pPr>
              <w:pStyle w:val="63"/>
            </w:pPr>
            <w:r>
              <w:rPr>
                <w:rFonts w:hint="eastAsi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600</w:t>
            </w:r>
          </w:p>
        </w:tc>
        <w:tc>
          <w:tcPr>
            <w:tcW w:w="1293" w:type="dxa"/>
            <w:vAlign w:val="center"/>
          </w:tcPr>
          <w:p>
            <w:pPr>
              <w:pStyle w:val="63"/>
            </w:pPr>
            <w:r>
              <w:rPr>
                <w:rFonts w:hint="eastAsia"/>
              </w:rPr>
              <w:t>2.5</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5.66</w:t>
            </w:r>
          </w:p>
        </w:tc>
        <w:tc>
          <w:tcPr>
            <w:tcW w:w="1141" w:type="dxa"/>
            <w:vAlign w:val="center"/>
          </w:tcPr>
          <w:p>
            <w:pPr>
              <w:pStyle w:val="63"/>
            </w:pPr>
            <w:r>
              <w:rPr>
                <w:rFonts w:hint="eastAsia"/>
              </w:rPr>
              <w:t>0.25</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700</w:t>
            </w:r>
          </w:p>
        </w:tc>
        <w:tc>
          <w:tcPr>
            <w:tcW w:w="1293" w:type="dxa"/>
            <w:vAlign w:val="center"/>
          </w:tcPr>
          <w:p>
            <w:pPr>
              <w:pStyle w:val="63"/>
            </w:pPr>
            <w:r>
              <w:rPr>
                <w:rFonts w:hint="eastAsia"/>
              </w:rPr>
              <w:t>0.6</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1.7</w:t>
            </w:r>
          </w:p>
        </w:tc>
        <w:tc>
          <w:tcPr>
            <w:tcW w:w="1141" w:type="dxa"/>
            <w:vAlign w:val="center"/>
          </w:tcPr>
          <w:p>
            <w:pPr>
              <w:pStyle w:val="63"/>
            </w:pPr>
            <w:r>
              <w:rPr>
                <w:rFonts w:hint="eastAsia"/>
              </w:rPr>
              <w:t>0.02</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800</w:t>
            </w:r>
          </w:p>
        </w:tc>
        <w:tc>
          <w:tcPr>
            <w:tcW w:w="1293" w:type="dxa"/>
            <w:vAlign w:val="center"/>
          </w:tcPr>
          <w:p>
            <w:pPr>
              <w:pStyle w:val="63"/>
            </w:pPr>
            <w:r>
              <w:rPr>
                <w:rFonts w:hint="eastAsia"/>
              </w:rPr>
              <w:t>0.2</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0.22</w:t>
            </w:r>
          </w:p>
        </w:tc>
        <w:tc>
          <w:tcPr>
            <w:tcW w:w="1141" w:type="dxa"/>
            <w:vAlign w:val="center"/>
          </w:tcPr>
          <w:p>
            <w:pPr>
              <w:pStyle w:val="63"/>
            </w:pPr>
            <w:r>
              <w:rPr>
                <w:rFonts w:hint="eastAsia"/>
              </w:rPr>
              <w:t>0.002</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900</w:t>
            </w:r>
          </w:p>
        </w:tc>
        <w:tc>
          <w:tcPr>
            <w:tcW w:w="1293" w:type="dxa"/>
            <w:vAlign w:val="center"/>
          </w:tcPr>
          <w:p>
            <w:pPr>
              <w:pStyle w:val="63"/>
            </w:pPr>
            <w:r>
              <w:rPr>
                <w:rFonts w:hint="eastAsia"/>
              </w:rPr>
              <w:t>0.1</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0.073</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1000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0.026</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1100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0.009</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1200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0.004</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1300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0.0001</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1400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1500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1600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1700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1800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90" w:type="dxa"/>
            <w:vAlign w:val="center"/>
          </w:tcPr>
          <w:p>
            <w:pPr>
              <w:pStyle w:val="63"/>
            </w:pPr>
            <w:r>
              <w:rPr>
                <w:rFonts w:hint="eastAsia"/>
              </w:rPr>
              <w:t>1900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090" w:type="dxa"/>
            <w:vAlign w:val="center"/>
          </w:tcPr>
          <w:p>
            <w:pPr>
              <w:pStyle w:val="63"/>
            </w:pPr>
            <w:r>
              <w:rPr>
                <w:rFonts w:hint="eastAsia"/>
              </w:rPr>
              <w:t>2000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293"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c>
          <w:tcPr>
            <w:tcW w:w="1141" w:type="dxa"/>
            <w:vAlign w:val="center"/>
          </w:tcPr>
          <w:p>
            <w:pPr>
              <w:pStyle w:val="63"/>
            </w:pPr>
            <w:r>
              <w:rPr>
                <w:rFonts w:hint="eastAsia"/>
              </w:rPr>
              <w:t>0</w:t>
            </w:r>
          </w:p>
        </w:tc>
      </w:tr>
    </w:tbl>
    <w:p>
      <w:pPr>
        <w:tabs>
          <w:tab w:val="left" w:pos="709"/>
          <w:tab w:val="left" w:pos="851"/>
        </w:tabs>
        <w:spacing w:line="360" w:lineRule="auto"/>
        <w:ind w:firstLine="480" w:firstLineChars="200"/>
        <w:rPr>
          <w:kern w:val="0"/>
        </w:rPr>
      </w:pPr>
      <w:r>
        <w:rPr>
          <w:rFonts w:hint="eastAsia"/>
          <w:kern w:val="0"/>
        </w:rPr>
        <w:t>根据《呼吸用品的选择、使用与维护》（GB/T18664-2002）甲苯的IDLH（立即威胁生命和健康浓度）临界点浓度为2000mg/m3；根据《工作场所有害因素职业接触限值》（GBZ2.1-2007）中短时间接触浓度限值，甲苯为100mg/m3；《工业企业设计卫生标准》（TJ36-79）表1中要求，居住区大气中有害物质的最高允许浓度，甲苯为0.6mg/m3；经计算储罐破裂甲苯泄漏发生后，最不利气象条件下（下风向轴线）的临界点距离详见下表4.6-2</w:t>
      </w:r>
    </w:p>
    <w:p>
      <w:pPr>
        <w:pStyle w:val="6"/>
        <w:rPr>
          <w:lang w:val="zh-CN"/>
        </w:rPr>
      </w:pPr>
      <w:r>
        <w:rPr>
          <w:rFonts w:hint="eastAsia"/>
          <w:lang w:val="zh-CN"/>
        </w:rPr>
        <w:t>表4</w:t>
      </w:r>
      <w:r>
        <w:rPr>
          <w:rFonts w:hint="eastAsia"/>
        </w:rPr>
        <w:t>.6</w:t>
      </w:r>
      <w:r>
        <w:rPr>
          <w:rFonts w:hint="eastAsia"/>
          <w:lang w:val="zh-CN"/>
        </w:rPr>
        <w:t>-</w:t>
      </w:r>
      <w:r>
        <w:rPr>
          <w:rFonts w:hint="eastAsia"/>
        </w:rPr>
        <w:t>2 甲苯泄漏事件下风向（最不利条件）临界距离</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360"/>
        <w:gridCol w:w="1491"/>
        <w:gridCol w:w="2310"/>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9" w:type="dxa"/>
            <w:vAlign w:val="center"/>
          </w:tcPr>
          <w:p>
            <w:pPr>
              <w:pStyle w:val="63"/>
            </w:pPr>
            <w:r>
              <w:rPr>
                <w:rFonts w:hint="eastAsia"/>
              </w:rPr>
              <w:t>泄漏物质</w:t>
            </w:r>
          </w:p>
        </w:tc>
        <w:tc>
          <w:tcPr>
            <w:tcW w:w="1360" w:type="dxa"/>
            <w:vAlign w:val="center"/>
          </w:tcPr>
          <w:p>
            <w:pPr>
              <w:pStyle w:val="63"/>
            </w:pPr>
            <w:r>
              <w:rPr>
                <w:rFonts w:hint="eastAsia"/>
              </w:rPr>
              <w:t>泄漏时间（min）</w:t>
            </w:r>
          </w:p>
        </w:tc>
        <w:tc>
          <w:tcPr>
            <w:tcW w:w="1491" w:type="dxa"/>
            <w:vAlign w:val="center"/>
          </w:tcPr>
          <w:p>
            <w:pPr>
              <w:pStyle w:val="63"/>
            </w:pPr>
            <w:r>
              <w:rPr>
                <w:rFonts w:hint="eastAsia"/>
              </w:rPr>
              <w:t>IDLH临界点距离（m）</w:t>
            </w:r>
          </w:p>
        </w:tc>
        <w:tc>
          <w:tcPr>
            <w:tcW w:w="2310" w:type="dxa"/>
            <w:vAlign w:val="center"/>
          </w:tcPr>
          <w:p>
            <w:pPr>
              <w:pStyle w:val="63"/>
            </w:pPr>
            <w:r>
              <w:rPr>
                <w:rFonts w:hint="eastAsia"/>
              </w:rPr>
              <w:t>短时间接触浓度限值临界点距离（m）</w:t>
            </w:r>
          </w:p>
        </w:tc>
        <w:tc>
          <w:tcPr>
            <w:tcW w:w="1900" w:type="dxa"/>
            <w:vAlign w:val="center"/>
          </w:tcPr>
          <w:p>
            <w:pPr>
              <w:pStyle w:val="63"/>
            </w:pPr>
            <w:r>
              <w:rPr>
                <w:rFonts w:hint="eastAsia"/>
              </w:rPr>
              <w:t>空气质量标准临界距离（m）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9" w:type="dxa"/>
            <w:vMerge w:val="restart"/>
            <w:vAlign w:val="center"/>
          </w:tcPr>
          <w:p>
            <w:pPr>
              <w:pStyle w:val="63"/>
            </w:pPr>
            <w:r>
              <w:rPr>
                <w:rFonts w:hint="eastAsia"/>
              </w:rPr>
              <w:t>甲苯</w:t>
            </w:r>
          </w:p>
        </w:tc>
        <w:tc>
          <w:tcPr>
            <w:tcW w:w="1360" w:type="dxa"/>
            <w:vAlign w:val="center"/>
          </w:tcPr>
          <w:p>
            <w:pPr>
              <w:pStyle w:val="63"/>
            </w:pPr>
            <w:r>
              <w:rPr>
                <w:rFonts w:hint="eastAsia"/>
              </w:rPr>
              <w:t>5</w:t>
            </w:r>
          </w:p>
        </w:tc>
        <w:tc>
          <w:tcPr>
            <w:tcW w:w="1491" w:type="dxa"/>
            <w:vAlign w:val="center"/>
          </w:tcPr>
          <w:p>
            <w:pPr>
              <w:pStyle w:val="63"/>
            </w:pPr>
            <w:r>
              <w:rPr>
                <w:rFonts w:hint="eastAsia"/>
              </w:rPr>
              <w:t>200</w:t>
            </w:r>
          </w:p>
        </w:tc>
        <w:tc>
          <w:tcPr>
            <w:tcW w:w="2310" w:type="dxa"/>
            <w:vAlign w:val="center"/>
          </w:tcPr>
          <w:p>
            <w:pPr>
              <w:pStyle w:val="63"/>
            </w:pPr>
            <w:r>
              <w:rPr>
                <w:rFonts w:hint="eastAsia"/>
              </w:rPr>
              <w:t>400</w:t>
            </w:r>
          </w:p>
        </w:tc>
        <w:tc>
          <w:tcPr>
            <w:tcW w:w="1900" w:type="dxa"/>
            <w:vAlign w:val="center"/>
          </w:tcPr>
          <w:p>
            <w:pPr>
              <w:pStyle w:val="63"/>
            </w:pPr>
            <w:r>
              <w:rPr>
                <w:rFonts w:hint="eastAsia"/>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9" w:type="dxa"/>
            <w:vMerge w:val="continue"/>
            <w:vAlign w:val="center"/>
          </w:tcPr>
          <w:p>
            <w:pPr>
              <w:pStyle w:val="63"/>
            </w:pPr>
          </w:p>
        </w:tc>
        <w:tc>
          <w:tcPr>
            <w:tcW w:w="1360" w:type="dxa"/>
            <w:vAlign w:val="center"/>
          </w:tcPr>
          <w:p>
            <w:pPr>
              <w:pStyle w:val="63"/>
            </w:pPr>
            <w:r>
              <w:rPr>
                <w:rFonts w:hint="eastAsia"/>
              </w:rPr>
              <w:t>100</w:t>
            </w:r>
          </w:p>
        </w:tc>
        <w:tc>
          <w:tcPr>
            <w:tcW w:w="1491" w:type="dxa"/>
            <w:vAlign w:val="center"/>
          </w:tcPr>
          <w:p>
            <w:pPr>
              <w:pStyle w:val="63"/>
            </w:pPr>
            <w:r>
              <w:rPr>
                <w:rFonts w:hint="eastAsia"/>
              </w:rPr>
              <w:t>300</w:t>
            </w:r>
          </w:p>
        </w:tc>
        <w:tc>
          <w:tcPr>
            <w:tcW w:w="2310" w:type="dxa"/>
            <w:vAlign w:val="center"/>
          </w:tcPr>
          <w:p>
            <w:pPr>
              <w:pStyle w:val="63"/>
            </w:pPr>
            <w:r>
              <w:rPr>
                <w:rFonts w:hint="eastAsia"/>
              </w:rPr>
              <w:t>500</w:t>
            </w:r>
          </w:p>
        </w:tc>
        <w:tc>
          <w:tcPr>
            <w:tcW w:w="1900" w:type="dxa"/>
            <w:vAlign w:val="center"/>
          </w:tcPr>
          <w:p>
            <w:pPr>
              <w:pStyle w:val="63"/>
            </w:pPr>
            <w:r>
              <w:rPr>
                <w:rFonts w:hint="eastAsia"/>
              </w:rPr>
              <w:t>800</w:t>
            </w:r>
          </w:p>
        </w:tc>
      </w:tr>
    </w:tbl>
    <w:p>
      <w:pPr>
        <w:tabs>
          <w:tab w:val="left" w:pos="709"/>
          <w:tab w:val="left" w:pos="851"/>
        </w:tabs>
        <w:spacing w:line="360" w:lineRule="auto"/>
        <w:ind w:firstLine="480" w:firstLineChars="200"/>
        <w:rPr>
          <w:kern w:val="0"/>
        </w:rPr>
      </w:pPr>
      <w:r>
        <w:rPr>
          <w:rFonts w:hint="eastAsia"/>
          <w:kern w:val="0"/>
        </w:rPr>
        <w:t>在发生泄漏风险事故时，液体甲苯迅速气化扩散。泄漏时间为5min时，风险源下风向200m范围内地面浓度超过IDLH浓度，400m范围内超出短时间接触浓度限值；在泄漏时间为10min时，风险源下风向300m范围内地面浓度超过IDLH浓度，500m范围内超出短时间接触浓度限值。</w:t>
      </w:r>
    </w:p>
    <w:p>
      <w:pPr>
        <w:tabs>
          <w:tab w:val="left" w:pos="709"/>
          <w:tab w:val="left" w:pos="851"/>
        </w:tabs>
        <w:spacing w:line="360" w:lineRule="auto"/>
        <w:ind w:firstLine="480" w:firstLineChars="200"/>
        <w:rPr>
          <w:kern w:val="0"/>
        </w:rPr>
      </w:pPr>
      <w:r>
        <w:rPr>
          <w:rFonts w:hint="eastAsia"/>
          <w:kern w:val="0"/>
        </w:rPr>
        <w:t>根据周边环境现状调查，周边都是化工企业，一旦发生液体化学品泄漏事故，300m范围内的园区企业应立即向上风向撤离，300-1500m范围内的人员也应该及时向上风向撤离。</w:t>
      </w:r>
    </w:p>
    <w:p>
      <w:pPr>
        <w:pStyle w:val="4"/>
      </w:pPr>
      <w:bookmarkStart w:id="666" w:name="_Toc522713307"/>
      <w:bookmarkStart w:id="667" w:name="_Toc29716"/>
      <w:bookmarkStart w:id="668" w:name="_Toc19912"/>
      <w:bookmarkStart w:id="669" w:name="_Toc146091997"/>
      <w:r>
        <w:rPr>
          <w:rFonts w:hint="eastAsia"/>
        </w:rPr>
        <w:t>4.6.3火灾爆炸等次生事故源强</w:t>
      </w:r>
      <w:bookmarkEnd w:id="666"/>
      <w:bookmarkEnd w:id="667"/>
      <w:bookmarkEnd w:id="668"/>
      <w:bookmarkEnd w:id="669"/>
    </w:p>
    <w:p>
      <w:pPr>
        <w:spacing w:line="360" w:lineRule="auto"/>
        <w:ind w:firstLine="480" w:firstLineChars="200"/>
        <w:rPr>
          <w:bCs/>
          <w:color w:val="000000"/>
        </w:rPr>
      </w:pPr>
      <w:r>
        <w:rPr>
          <w:rFonts w:hint="eastAsia"/>
          <w:color w:val="000000"/>
        </w:rPr>
        <w:t>未完全燃烧的危险物质释放至大气，按事故单元的危险物在线量及其半致死浓度（</w:t>
      </w:r>
      <w:r>
        <w:rPr>
          <w:color w:val="000000"/>
        </w:rPr>
        <w:t>LC</w:t>
      </w:r>
      <w:r>
        <w:rPr>
          <w:color w:val="000000"/>
          <w:vertAlign w:val="subscript"/>
        </w:rPr>
        <w:t>50</w:t>
      </w:r>
      <w:r>
        <w:rPr>
          <w:rFonts w:hint="eastAsia"/>
          <w:color w:val="000000"/>
        </w:rPr>
        <w:t>）设定相应释放比例，根据《建设项目环境风险评价技术导则》（HJ 169-2018）附录</w:t>
      </w:r>
      <w:r>
        <w:rPr>
          <w:color w:val="000000"/>
        </w:rPr>
        <w:t xml:space="preserve"> B</w:t>
      </w:r>
      <w:r>
        <w:rPr>
          <w:rFonts w:hint="eastAsia"/>
          <w:color w:val="000000"/>
        </w:rPr>
        <w:t>中表</w:t>
      </w:r>
      <w:r>
        <w:rPr>
          <w:color w:val="000000"/>
        </w:rPr>
        <w:t xml:space="preserve"> B.5 </w:t>
      </w:r>
      <w:r>
        <w:rPr>
          <w:rFonts w:hint="eastAsia"/>
          <w:color w:val="000000"/>
        </w:rPr>
        <w:t>的比例进行计算，详见下表。</w:t>
      </w:r>
    </w:p>
    <w:p>
      <w:pPr>
        <w:pStyle w:val="6"/>
        <w:rPr>
          <w:lang w:val="zh-CN"/>
        </w:rPr>
      </w:pPr>
      <w:r>
        <w:rPr>
          <w:rFonts w:hint="eastAsia"/>
          <w:lang w:val="zh-CN"/>
        </w:rPr>
        <w:t>表4</w:t>
      </w:r>
      <w:r>
        <w:rPr>
          <w:rFonts w:hint="eastAsia"/>
        </w:rPr>
        <w:t>.6-3</w:t>
      </w:r>
      <w:r>
        <w:rPr>
          <w:rFonts w:hint="eastAsia"/>
          <w:lang w:val="zh-CN"/>
        </w:rPr>
        <w:t xml:space="preserve"> 火灾爆作事故有毒有害物质释放比例(%)</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352"/>
        <w:gridCol w:w="1216"/>
        <w:gridCol w:w="1121"/>
        <w:gridCol w:w="1218"/>
        <w:gridCol w:w="1218"/>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12" w:space="0"/>
              <w:left w:val="single" w:color="auto" w:sz="4" w:space="0"/>
              <w:bottom w:val="single" w:color="auto" w:sz="4" w:space="0"/>
              <w:right w:val="single" w:color="auto" w:sz="4" w:space="0"/>
              <w:tl2br w:val="single" w:color="auto" w:sz="4" w:space="0"/>
            </w:tcBorders>
            <w:vAlign w:val="center"/>
          </w:tcPr>
          <w:p>
            <w:pPr>
              <w:pStyle w:val="63"/>
              <w:rPr>
                <w:lang w:val="zh-CN"/>
              </w:rPr>
            </w:pPr>
            <w:r>
              <w:rPr>
                <w:lang w:val="zh-CN"/>
              </w:rPr>
              <w:t>LC50</w:t>
            </w:r>
            <w:r>
              <w:rPr>
                <w:lang w:val="zh-CN"/>
              </w:rPr>
              <w:br w:type="textWrapping"/>
            </w:r>
            <w:r>
              <w:rPr>
                <w:lang w:val="zh-CN"/>
              </w:rPr>
              <w:t>Q</w:t>
            </w:r>
          </w:p>
        </w:tc>
        <w:tc>
          <w:tcPr>
            <w:tcW w:w="1352" w:type="dxa"/>
            <w:tcBorders>
              <w:top w:val="single" w:color="auto" w:sz="12" w:space="0"/>
              <w:left w:val="single" w:color="auto" w:sz="4" w:space="0"/>
              <w:bottom w:val="single" w:color="auto" w:sz="4" w:space="0"/>
              <w:right w:val="single" w:color="auto" w:sz="4" w:space="0"/>
            </w:tcBorders>
            <w:vAlign w:val="center"/>
          </w:tcPr>
          <w:p>
            <w:pPr>
              <w:pStyle w:val="63"/>
              <w:rPr>
                <w:lang w:val="zh-CN"/>
              </w:rPr>
            </w:pPr>
            <w:r>
              <w:rPr>
                <w:rFonts w:hint="eastAsia"/>
                <w:lang w:val="zh-CN"/>
              </w:rPr>
              <w:t>＜</w:t>
            </w:r>
            <w:r>
              <w:rPr>
                <w:lang w:val="zh-CN"/>
              </w:rPr>
              <w:t>200</w:t>
            </w:r>
          </w:p>
        </w:tc>
        <w:tc>
          <w:tcPr>
            <w:tcW w:w="1216" w:type="dxa"/>
            <w:tcBorders>
              <w:top w:val="single" w:color="auto" w:sz="12" w:space="0"/>
              <w:left w:val="single" w:color="auto" w:sz="4" w:space="0"/>
              <w:bottom w:val="single" w:color="auto" w:sz="4" w:space="0"/>
              <w:right w:val="single" w:color="auto" w:sz="4" w:space="0"/>
            </w:tcBorders>
            <w:vAlign w:val="center"/>
          </w:tcPr>
          <w:p>
            <w:pPr>
              <w:pStyle w:val="63"/>
              <w:rPr>
                <w:lang w:val="zh-CN"/>
              </w:rPr>
            </w:pPr>
            <w:r>
              <w:rPr>
                <w:lang w:val="zh-CN"/>
              </w:rPr>
              <w:t>200-</w:t>
            </w:r>
          </w:p>
        </w:tc>
        <w:tc>
          <w:tcPr>
            <w:tcW w:w="1121" w:type="dxa"/>
            <w:tcBorders>
              <w:top w:val="single" w:color="auto" w:sz="12" w:space="0"/>
              <w:left w:val="single" w:color="auto" w:sz="4" w:space="0"/>
              <w:bottom w:val="single" w:color="auto" w:sz="4" w:space="0"/>
              <w:right w:val="single" w:color="auto" w:sz="4" w:space="0"/>
            </w:tcBorders>
            <w:vAlign w:val="center"/>
          </w:tcPr>
          <w:p>
            <w:pPr>
              <w:pStyle w:val="63"/>
              <w:rPr>
                <w:lang w:val="zh-CN"/>
              </w:rPr>
            </w:pPr>
            <w:r>
              <w:rPr>
                <w:lang w:val="zh-CN"/>
              </w:rPr>
              <w:t>1000-</w:t>
            </w:r>
          </w:p>
        </w:tc>
        <w:tc>
          <w:tcPr>
            <w:tcW w:w="1218" w:type="dxa"/>
            <w:tcBorders>
              <w:top w:val="single" w:color="auto" w:sz="12" w:space="0"/>
              <w:left w:val="single" w:color="auto" w:sz="4" w:space="0"/>
              <w:bottom w:val="single" w:color="auto" w:sz="4" w:space="0"/>
              <w:right w:val="single" w:color="auto" w:sz="4" w:space="0"/>
            </w:tcBorders>
            <w:vAlign w:val="center"/>
          </w:tcPr>
          <w:p>
            <w:pPr>
              <w:pStyle w:val="63"/>
              <w:rPr>
                <w:lang w:val="zh-CN"/>
              </w:rPr>
            </w:pPr>
            <w:r>
              <w:rPr>
                <w:lang w:val="zh-CN"/>
              </w:rPr>
              <w:t>2000-</w:t>
            </w:r>
          </w:p>
        </w:tc>
        <w:tc>
          <w:tcPr>
            <w:tcW w:w="1218" w:type="dxa"/>
            <w:tcBorders>
              <w:top w:val="single" w:color="auto" w:sz="12" w:space="0"/>
              <w:left w:val="single" w:color="auto" w:sz="4" w:space="0"/>
              <w:bottom w:val="single" w:color="auto" w:sz="4" w:space="0"/>
              <w:right w:val="single" w:color="auto" w:sz="4" w:space="0"/>
            </w:tcBorders>
            <w:vAlign w:val="center"/>
          </w:tcPr>
          <w:p>
            <w:pPr>
              <w:pStyle w:val="63"/>
              <w:rPr>
                <w:lang w:val="zh-CN"/>
              </w:rPr>
            </w:pPr>
            <w:r>
              <w:rPr>
                <w:lang w:val="zh-CN"/>
              </w:rPr>
              <w:t>10000-</w:t>
            </w:r>
          </w:p>
        </w:tc>
        <w:tc>
          <w:tcPr>
            <w:tcW w:w="1220" w:type="dxa"/>
            <w:tcBorders>
              <w:top w:val="single" w:color="auto" w:sz="12" w:space="0"/>
              <w:left w:val="single" w:color="auto" w:sz="4" w:space="0"/>
              <w:bottom w:val="single" w:color="auto" w:sz="4" w:space="0"/>
              <w:right w:val="single" w:color="auto" w:sz="4" w:space="0"/>
            </w:tcBorders>
            <w:vAlign w:val="center"/>
          </w:tcPr>
          <w:p>
            <w:pPr>
              <w:pStyle w:val="63"/>
              <w:rPr>
                <w:lang w:val="zh-CN"/>
              </w:rPr>
            </w:pPr>
            <w:r>
              <w:rPr>
                <w:rFonts w:hint="eastAsia"/>
                <w:lang w:val="zh-CN"/>
              </w:rPr>
              <w:t>＞</w:t>
            </w:r>
            <w:r>
              <w:rPr>
                <w:lang w:val="zh-CN"/>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5</w:t>
            </w: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10</w:t>
            </w: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500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1.5</w:t>
            </w: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2</w:t>
            </w: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6</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1000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w:t>
            </w: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2</w:t>
            </w: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4</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5</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8</w:t>
            </w: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5000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0.5</w:t>
            </w: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1.5</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2</w:t>
            </w: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10000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0.5</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w:t>
            </w: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20000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0.5</w:t>
            </w: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w:t>
            </w: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50000</w:t>
            </w:r>
          </w:p>
        </w:tc>
        <w:tc>
          <w:tcPr>
            <w:tcW w:w="1352"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6"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121"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0.5</w:t>
            </w:r>
          </w:p>
        </w:tc>
        <w:tc>
          <w:tcPr>
            <w:tcW w:w="1220" w:type="dxa"/>
            <w:tcBorders>
              <w:top w:val="single" w:color="auto" w:sz="4" w:space="0"/>
              <w:left w:val="single" w:color="auto" w:sz="4" w:space="0"/>
              <w:bottom w:val="single" w:color="auto" w:sz="4" w:space="0"/>
              <w:right w:val="single" w:color="auto" w:sz="4" w:space="0"/>
            </w:tcBorders>
            <w:vAlign w:val="center"/>
          </w:tcPr>
          <w:p>
            <w:pPr>
              <w:pStyle w:val="63"/>
              <w:rPr>
                <w:lang w:val="zh-CN"/>
              </w:rPr>
            </w:pPr>
            <w:r>
              <w:rPr>
                <w:lang w:val="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tcBorders>
              <w:top w:val="single" w:color="auto" w:sz="4" w:space="0"/>
              <w:left w:val="single" w:color="auto" w:sz="4" w:space="0"/>
              <w:bottom w:val="single" w:color="auto" w:sz="12" w:space="0"/>
              <w:right w:val="single" w:color="auto" w:sz="4" w:space="0"/>
            </w:tcBorders>
            <w:vAlign w:val="center"/>
          </w:tcPr>
          <w:p>
            <w:pPr>
              <w:pStyle w:val="63"/>
              <w:rPr>
                <w:lang w:val="zh-CN"/>
              </w:rPr>
            </w:pPr>
            <w:r>
              <w:rPr>
                <w:lang w:val="zh-CN"/>
              </w:rPr>
              <w:t>100000</w:t>
            </w:r>
          </w:p>
        </w:tc>
        <w:tc>
          <w:tcPr>
            <w:tcW w:w="1352" w:type="dxa"/>
            <w:tcBorders>
              <w:top w:val="single" w:color="auto" w:sz="4" w:space="0"/>
              <w:left w:val="single" w:color="auto" w:sz="4" w:space="0"/>
              <w:bottom w:val="single" w:color="auto" w:sz="12" w:space="0"/>
              <w:right w:val="single" w:color="auto" w:sz="4" w:space="0"/>
            </w:tcBorders>
            <w:vAlign w:val="center"/>
          </w:tcPr>
          <w:p>
            <w:pPr>
              <w:pStyle w:val="63"/>
              <w:rPr>
                <w:lang w:val="zh-CN"/>
              </w:rPr>
            </w:pPr>
          </w:p>
        </w:tc>
        <w:tc>
          <w:tcPr>
            <w:tcW w:w="1216" w:type="dxa"/>
            <w:tcBorders>
              <w:top w:val="single" w:color="auto" w:sz="4" w:space="0"/>
              <w:left w:val="single" w:color="auto" w:sz="4" w:space="0"/>
              <w:bottom w:val="single" w:color="auto" w:sz="12" w:space="0"/>
              <w:right w:val="single" w:color="auto" w:sz="4" w:space="0"/>
            </w:tcBorders>
            <w:vAlign w:val="center"/>
          </w:tcPr>
          <w:p>
            <w:pPr>
              <w:pStyle w:val="63"/>
              <w:rPr>
                <w:lang w:val="zh-CN"/>
              </w:rPr>
            </w:pPr>
          </w:p>
        </w:tc>
        <w:tc>
          <w:tcPr>
            <w:tcW w:w="1121" w:type="dxa"/>
            <w:tcBorders>
              <w:top w:val="single" w:color="auto" w:sz="4" w:space="0"/>
              <w:left w:val="single" w:color="auto" w:sz="4" w:space="0"/>
              <w:bottom w:val="single" w:color="auto" w:sz="12"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12" w:space="0"/>
              <w:right w:val="single" w:color="auto" w:sz="4" w:space="0"/>
            </w:tcBorders>
            <w:vAlign w:val="center"/>
          </w:tcPr>
          <w:p>
            <w:pPr>
              <w:pStyle w:val="63"/>
              <w:rPr>
                <w:lang w:val="zh-CN"/>
              </w:rPr>
            </w:pPr>
          </w:p>
        </w:tc>
        <w:tc>
          <w:tcPr>
            <w:tcW w:w="1218" w:type="dxa"/>
            <w:tcBorders>
              <w:top w:val="single" w:color="auto" w:sz="4" w:space="0"/>
              <w:left w:val="single" w:color="auto" w:sz="4" w:space="0"/>
              <w:bottom w:val="single" w:color="auto" w:sz="12" w:space="0"/>
              <w:right w:val="single" w:color="auto" w:sz="4" w:space="0"/>
            </w:tcBorders>
            <w:vAlign w:val="center"/>
          </w:tcPr>
          <w:p>
            <w:pPr>
              <w:pStyle w:val="63"/>
              <w:rPr>
                <w:lang w:val="zh-CN"/>
              </w:rPr>
            </w:pPr>
          </w:p>
        </w:tc>
        <w:tc>
          <w:tcPr>
            <w:tcW w:w="1220" w:type="dxa"/>
            <w:tcBorders>
              <w:top w:val="single" w:color="auto" w:sz="4" w:space="0"/>
              <w:left w:val="single" w:color="auto" w:sz="4" w:space="0"/>
              <w:bottom w:val="single" w:color="auto" w:sz="12" w:space="0"/>
              <w:right w:val="single" w:color="auto" w:sz="4" w:space="0"/>
            </w:tcBorders>
            <w:vAlign w:val="center"/>
          </w:tcPr>
          <w:p>
            <w:pPr>
              <w:pStyle w:val="63"/>
              <w:rPr>
                <w:lang w:val="zh-CN"/>
              </w:rPr>
            </w:pPr>
            <w:r>
              <w:rPr>
                <w:lang w:val="zh-CN"/>
              </w:rPr>
              <w:t>0.5</w:t>
            </w:r>
          </w:p>
        </w:tc>
      </w:tr>
    </w:tbl>
    <w:p>
      <w:pPr>
        <w:tabs>
          <w:tab w:val="left" w:pos="8820"/>
          <w:tab w:val="left" w:pos="9000"/>
        </w:tabs>
        <w:spacing w:line="360" w:lineRule="auto"/>
        <w:ind w:firstLine="480" w:firstLineChars="200"/>
        <w:rPr>
          <w:color w:val="000000"/>
          <w:szCs w:val="21"/>
        </w:rPr>
      </w:pPr>
      <w:r>
        <w:rPr>
          <w:rFonts w:hint="eastAsia"/>
          <w:color w:val="000000"/>
          <w:szCs w:val="21"/>
        </w:rPr>
        <w:t>注：</w:t>
      </w:r>
      <w:r>
        <w:rPr>
          <w:color w:val="000000"/>
          <w:szCs w:val="21"/>
        </w:rPr>
        <w:t>LC</w:t>
      </w:r>
      <w:r>
        <w:rPr>
          <w:color w:val="000000"/>
          <w:szCs w:val="21"/>
          <w:vertAlign w:val="subscript"/>
        </w:rPr>
        <w:t>50</w:t>
      </w:r>
      <w:r>
        <w:rPr>
          <w:rFonts w:hint="eastAsia"/>
          <w:color w:val="000000"/>
          <w:szCs w:val="21"/>
        </w:rPr>
        <w:t>物质半致死浓度，</w:t>
      </w:r>
      <w:r>
        <w:rPr>
          <w:color w:val="000000"/>
          <w:szCs w:val="21"/>
        </w:rPr>
        <w:t>mg/m</w:t>
      </w:r>
      <w:r>
        <w:rPr>
          <w:color w:val="000000"/>
          <w:szCs w:val="21"/>
          <w:vertAlign w:val="superscript"/>
        </w:rPr>
        <w:t>3</w:t>
      </w:r>
      <w:r>
        <w:rPr>
          <w:rFonts w:hint="eastAsia"/>
          <w:color w:val="000000"/>
          <w:szCs w:val="21"/>
        </w:rPr>
        <w:t>；</w:t>
      </w:r>
      <w:r>
        <w:rPr>
          <w:color w:val="000000"/>
          <w:szCs w:val="21"/>
        </w:rPr>
        <w:t>Q</w:t>
      </w:r>
      <w:r>
        <w:rPr>
          <w:rFonts w:hint="eastAsia"/>
          <w:color w:val="000000"/>
          <w:szCs w:val="21"/>
        </w:rPr>
        <w:t>重大危险源在线量，</w:t>
      </w:r>
      <w:r>
        <w:rPr>
          <w:color w:val="000000"/>
          <w:szCs w:val="21"/>
        </w:rPr>
        <w:t>t</w:t>
      </w:r>
      <w:r>
        <w:rPr>
          <w:rFonts w:hint="eastAsia"/>
          <w:color w:val="000000"/>
          <w:szCs w:val="21"/>
        </w:rPr>
        <w:t>。</w:t>
      </w:r>
    </w:p>
    <w:p>
      <w:pPr>
        <w:tabs>
          <w:tab w:val="left" w:pos="8820"/>
          <w:tab w:val="left" w:pos="9000"/>
        </w:tabs>
        <w:spacing w:line="360" w:lineRule="auto"/>
        <w:ind w:firstLine="480" w:firstLineChars="200"/>
        <w:rPr>
          <w:color w:val="000000"/>
        </w:rPr>
      </w:pPr>
      <w:r>
        <w:rPr>
          <w:rFonts w:hint="eastAsia"/>
          <w:color w:val="000000"/>
        </w:rPr>
        <w:t>依据《建设项目环境风险评价技术导则》（HJ 169-2018），火灾伴生</w:t>
      </w:r>
      <w:r>
        <w:rPr>
          <w:color w:val="000000"/>
        </w:rPr>
        <w:t>/</w:t>
      </w:r>
      <w:r>
        <w:rPr>
          <w:rFonts w:hint="eastAsia"/>
          <w:color w:val="000000"/>
        </w:rPr>
        <w:t>次生中一氧化碳产生量计算公式如下：</w:t>
      </w:r>
      <w:r>
        <w:rPr>
          <w:color w:val="000000"/>
        </w:rPr>
        <w:t xml:space="preserve"> </w:t>
      </w:r>
    </w:p>
    <w:p>
      <w:pPr>
        <w:tabs>
          <w:tab w:val="left" w:pos="8820"/>
          <w:tab w:val="left" w:pos="9000"/>
        </w:tabs>
        <w:spacing w:line="360" w:lineRule="auto"/>
        <w:ind w:firstLine="480" w:firstLineChars="200"/>
        <w:rPr>
          <w:color w:val="000000"/>
        </w:rPr>
      </w:pPr>
      <w:r>
        <w:rPr>
          <w:color w:val="000000"/>
        </w:rPr>
        <w:t>G</w:t>
      </w:r>
      <w:r>
        <w:rPr>
          <w:color w:val="000000"/>
          <w:vertAlign w:val="subscript"/>
        </w:rPr>
        <w:t>CO</w:t>
      </w:r>
      <w:r>
        <w:rPr>
          <w:color w:val="000000"/>
        </w:rPr>
        <w:t>=2330qC</w:t>
      </w:r>
    </w:p>
    <w:p>
      <w:pPr>
        <w:tabs>
          <w:tab w:val="left" w:pos="8820"/>
          <w:tab w:val="left" w:pos="9000"/>
        </w:tabs>
        <w:spacing w:line="360" w:lineRule="auto"/>
        <w:ind w:firstLine="480" w:firstLineChars="200"/>
        <w:rPr>
          <w:color w:val="000000"/>
        </w:rPr>
      </w:pPr>
      <w:r>
        <w:rPr>
          <w:rFonts w:hint="eastAsia"/>
          <w:color w:val="000000"/>
        </w:rPr>
        <w:t>式中：</w:t>
      </w:r>
      <w:r>
        <w:rPr>
          <w:color w:val="000000"/>
        </w:rPr>
        <w:t>G</w:t>
      </w:r>
      <w:r>
        <w:rPr>
          <w:color w:val="000000"/>
          <w:vertAlign w:val="subscript"/>
        </w:rPr>
        <w:t>CO</w:t>
      </w:r>
      <w:r>
        <w:rPr>
          <w:color w:val="000000"/>
        </w:rPr>
        <w:t>—</w:t>
      </w:r>
      <w:r>
        <w:rPr>
          <w:rFonts w:hint="eastAsia"/>
          <w:color w:val="000000"/>
        </w:rPr>
        <w:t>一氧化碳的产生量，</w:t>
      </w:r>
      <w:r>
        <w:rPr>
          <w:color w:val="000000"/>
        </w:rPr>
        <w:t>g/kg</w:t>
      </w:r>
      <w:r>
        <w:rPr>
          <w:rFonts w:hint="eastAsia"/>
          <w:color w:val="000000"/>
        </w:rPr>
        <w:t>；</w:t>
      </w:r>
      <w:r>
        <w:rPr>
          <w:color w:val="000000"/>
        </w:rPr>
        <w:t xml:space="preserve"> </w:t>
      </w:r>
    </w:p>
    <w:p>
      <w:pPr>
        <w:tabs>
          <w:tab w:val="left" w:pos="8820"/>
          <w:tab w:val="left" w:pos="9000"/>
        </w:tabs>
        <w:spacing w:line="360" w:lineRule="auto"/>
        <w:ind w:firstLine="480" w:firstLineChars="200"/>
        <w:rPr>
          <w:color w:val="000000"/>
        </w:rPr>
      </w:pPr>
      <w:r>
        <w:rPr>
          <w:color w:val="000000"/>
        </w:rPr>
        <w:t xml:space="preserve">      C—</w:t>
      </w:r>
      <w:r>
        <w:rPr>
          <w:rFonts w:hint="eastAsia"/>
          <w:color w:val="000000"/>
        </w:rPr>
        <w:t>物质中碳的质量百分比含量，</w:t>
      </w:r>
      <w:r>
        <w:rPr>
          <w:color w:val="000000"/>
        </w:rPr>
        <w:t>%</w:t>
      </w:r>
      <w:r>
        <w:rPr>
          <w:rFonts w:hint="eastAsia"/>
          <w:color w:val="000000"/>
        </w:rPr>
        <w:t>，</w:t>
      </w:r>
      <w:r>
        <w:t>取</w:t>
      </w:r>
      <w:r>
        <w:rPr>
          <w:rFonts w:hint="eastAsia"/>
        </w:rPr>
        <w:t>92</w:t>
      </w:r>
      <w:r>
        <w:t>%；</w:t>
      </w:r>
    </w:p>
    <w:p>
      <w:pPr>
        <w:spacing w:line="360" w:lineRule="auto"/>
        <w:ind w:firstLine="480" w:firstLineChars="200"/>
        <w:rPr>
          <w:color w:val="000000"/>
        </w:rPr>
      </w:pPr>
      <w:r>
        <w:rPr>
          <w:color w:val="000000"/>
        </w:rPr>
        <w:t xml:space="preserve">              q—</w:t>
      </w:r>
      <w:r>
        <w:rPr>
          <w:rFonts w:hint="eastAsia"/>
          <w:color w:val="000000"/>
        </w:rPr>
        <w:t>化学不完全燃烧值，</w:t>
      </w:r>
      <w:r>
        <w:rPr>
          <w:color w:val="000000"/>
        </w:rPr>
        <w:t>%</w:t>
      </w:r>
      <w:r>
        <w:rPr>
          <w:rFonts w:hint="eastAsia"/>
          <w:color w:val="000000"/>
        </w:rPr>
        <w:t>。取</w:t>
      </w:r>
      <w:r>
        <w:rPr>
          <w:color w:val="000000"/>
        </w:rPr>
        <w:t xml:space="preserve"> 5%-20%</w:t>
      </w:r>
      <w:r>
        <w:rPr>
          <w:rFonts w:hint="eastAsia"/>
          <w:color w:val="000000"/>
        </w:rPr>
        <w:t>。</w:t>
      </w:r>
    </w:p>
    <w:p>
      <w:pPr>
        <w:spacing w:line="360" w:lineRule="auto"/>
        <w:ind w:firstLine="480" w:firstLineChars="200"/>
        <w:rPr>
          <w:color w:val="000000"/>
        </w:rPr>
      </w:pPr>
      <w:r>
        <w:rPr>
          <w:rFonts w:hint="eastAsia"/>
          <w:color w:val="000000"/>
        </w:rPr>
        <w:t>甲苯的化学不完全燃烧值取10%，则一氧化碳的产生率为214.4g/kg；假设火灾燃烧持续时间为1h，燃烧面积按围堰面积800m</w:t>
      </w:r>
      <w:r>
        <w:rPr>
          <w:rFonts w:hint="eastAsia"/>
          <w:color w:val="000000"/>
          <w:vertAlign w:val="superscript"/>
        </w:rPr>
        <w:t>2</w:t>
      </w:r>
      <w:r>
        <w:rPr>
          <w:rFonts w:hint="eastAsia"/>
          <w:color w:val="000000"/>
        </w:rPr>
        <w:t>，则可计算出，一氧化碳产生量为107kg。</w:t>
      </w:r>
    </w:p>
    <w:p>
      <w:pPr>
        <w:spacing w:line="360" w:lineRule="auto"/>
        <w:ind w:firstLine="480" w:firstLineChars="200"/>
        <w:rPr>
          <w:color w:val="000000"/>
        </w:rPr>
      </w:pPr>
      <w:r>
        <w:rPr>
          <w:rFonts w:hint="eastAsia"/>
          <w:color w:val="000000"/>
        </w:rPr>
        <w:t>消防废水影响：火灾延续时间按1h计，临湘工业园室内消防用水量按30L/s计算，室外消防水用量按10L/s计算。按消防用水全部转化为消防废水计，则消防废水产生量为144m</w:t>
      </w:r>
      <w:r>
        <w:rPr>
          <w:rFonts w:hint="eastAsia"/>
          <w:color w:val="000000"/>
          <w:vertAlign w:val="superscript"/>
        </w:rPr>
        <w:t>3</w:t>
      </w:r>
      <w:r>
        <w:rPr>
          <w:rFonts w:hint="eastAsia"/>
          <w:color w:val="000000"/>
        </w:rPr>
        <w:t>。消防废水主要可能沿雨水管网排放至雨水收集池或沿污水管道进入各企业内部污水处理站，均可满足消防废水的收容，可保证消防废水基本不外排。</w:t>
      </w:r>
    </w:p>
    <w:p>
      <w:pPr>
        <w:pStyle w:val="4"/>
      </w:pPr>
      <w:bookmarkStart w:id="670" w:name="_Toc146091998"/>
      <w:r>
        <w:rPr>
          <w:rFonts w:hint="eastAsia"/>
        </w:rPr>
        <w:t>4.6.5污水处理厂事故排放源强</w:t>
      </w:r>
      <w:bookmarkEnd w:id="670"/>
    </w:p>
    <w:p>
      <w:pPr>
        <w:spacing w:line="360" w:lineRule="auto"/>
        <w:ind w:firstLine="480" w:firstLineChars="200"/>
      </w:pPr>
      <w:r>
        <w:rPr>
          <w:rFonts w:hint="eastAsia"/>
        </w:rPr>
        <w:t>临湘工业园实行“一企一管”制，深水海纳污水处理厂设置了在线监控，园区企业事故情况下废水进入园区污水处理厂时，在线监控显示进厂污水水质超标，则直接打入3000m</w:t>
      </w:r>
      <w:r>
        <w:rPr>
          <w:rFonts w:hint="eastAsia"/>
          <w:vertAlign w:val="superscript"/>
        </w:rPr>
        <w:t>3</w:t>
      </w:r>
      <w:r>
        <w:rPr>
          <w:rFonts w:hint="eastAsia"/>
        </w:rPr>
        <w:t>事故应急池（另有3000m</w:t>
      </w:r>
      <w:r>
        <w:rPr>
          <w:rFonts w:hint="eastAsia"/>
          <w:vertAlign w:val="superscript"/>
        </w:rPr>
        <w:t>3</w:t>
      </w:r>
      <w:r>
        <w:rPr>
          <w:rFonts w:hint="eastAsia"/>
        </w:rPr>
        <w:t>调节池）。因此，深水海纳污水处理厂污水事故排放主要是停电、设备故障等导致处理厂废水事故排放，</w:t>
      </w:r>
      <w:r>
        <w:rPr>
          <w:rFonts w:hint="eastAsia"/>
          <w:szCs w:val="21"/>
        </w:rPr>
        <w:t>该污水处理厂排污口位于长江新螺白鱀豚国家级自然保护区的实验区内，污水处理厂运行过程中突发事件会导致处理效率下降或污水处理厂无法工作，使大量污水下泄，对地表水环境造成影响</w:t>
      </w:r>
      <w:r>
        <w:t>。</w:t>
      </w:r>
    </w:p>
    <w:p>
      <w:pPr>
        <w:spacing w:line="360" w:lineRule="auto"/>
        <w:ind w:firstLine="480" w:firstLineChars="200"/>
        <w:rPr>
          <w:szCs w:val="24"/>
        </w:rPr>
      </w:pPr>
      <w:r>
        <w:rPr>
          <w:rFonts w:hint="eastAsia"/>
          <w:szCs w:val="24"/>
        </w:rPr>
        <w:t>污水处理厂是城镇重要的基础公用设施，深水海纳水务集团股份有限公司岳阳分公司污水处理厂尾水通过排水涵管排入长江。污水处理厂运行过程中突发事故会导致处理效率下降或污水处理厂无法工作，使大量污水下泄，直接对受纳地表水的水体现状环境造成影响。</w:t>
      </w:r>
    </w:p>
    <w:p>
      <w:pPr>
        <w:spacing w:line="360" w:lineRule="auto"/>
        <w:ind w:firstLine="480" w:firstLineChars="200"/>
        <w:rPr>
          <w:szCs w:val="24"/>
        </w:rPr>
      </w:pPr>
      <w:r>
        <w:rPr>
          <w:rFonts w:hint="eastAsia"/>
          <w:szCs w:val="24"/>
        </w:rPr>
        <w:t>根据污水厂生产工艺分析，废水处理</w:t>
      </w:r>
      <w:r>
        <w:rPr>
          <w:szCs w:val="24"/>
        </w:rPr>
        <w:t>过程中存在的环境危险和危害主要有以下几种</w:t>
      </w:r>
      <w:r>
        <w:rPr>
          <w:rFonts w:hint="eastAsia"/>
          <w:szCs w:val="24"/>
        </w:rPr>
        <w:t>：</w:t>
      </w:r>
    </w:p>
    <w:p>
      <w:pPr>
        <w:spacing w:line="360" w:lineRule="auto"/>
        <w:ind w:firstLine="480" w:firstLineChars="200"/>
        <w:rPr>
          <w:szCs w:val="24"/>
        </w:rPr>
      </w:pPr>
      <w:r>
        <w:rPr>
          <w:szCs w:val="24"/>
        </w:rPr>
        <w:t>（</w:t>
      </w:r>
      <w:r>
        <w:rPr>
          <w:rFonts w:hint="eastAsia"/>
          <w:szCs w:val="24"/>
        </w:rPr>
        <w:t>1</w:t>
      </w:r>
      <w:r>
        <w:rPr>
          <w:szCs w:val="24"/>
        </w:rPr>
        <w:t>）</w:t>
      </w:r>
      <w:r>
        <w:rPr>
          <w:rFonts w:hint="eastAsia"/>
          <w:szCs w:val="24"/>
        </w:rPr>
        <w:t>长时间停电造成的环境危险性分析</w:t>
      </w:r>
    </w:p>
    <w:p>
      <w:pPr>
        <w:spacing w:line="360" w:lineRule="auto"/>
        <w:ind w:firstLine="480" w:firstLineChars="200"/>
        <w:rPr>
          <w:szCs w:val="24"/>
        </w:rPr>
      </w:pPr>
      <w:r>
        <w:rPr>
          <w:rFonts w:hint="eastAsia"/>
          <w:szCs w:val="24"/>
        </w:rPr>
        <w:t>区域计划停电或临时停电导致污水处理厂设备停止运行，尤其长时间停电导致停产事故，泵机无法运行，污水不停进污水处理系统进水前池内，直至调节池和事故池内废水达到饱和，无法再次容纳城市污水进水时，可能导致废水处理系统收纳废水能力超标，废水超标排放。</w:t>
      </w:r>
    </w:p>
    <w:p>
      <w:pPr>
        <w:spacing w:line="360" w:lineRule="auto"/>
        <w:ind w:firstLine="480" w:firstLineChars="200"/>
        <w:rPr>
          <w:szCs w:val="24"/>
        </w:rPr>
      </w:pPr>
      <w:r>
        <w:rPr>
          <w:rFonts w:hint="eastAsia"/>
          <w:szCs w:val="24"/>
        </w:rPr>
        <w:t>目前污水处理厂采用双回路（市政两路供电电源）生产供电电源，在建成试运行期间，未发生过因长时间停电导致污水处理厂无法正常运行的突发环境风险事件。</w:t>
      </w:r>
    </w:p>
    <w:p>
      <w:pPr>
        <w:spacing w:line="360" w:lineRule="auto"/>
        <w:ind w:firstLine="480" w:firstLineChars="200"/>
        <w:rPr>
          <w:szCs w:val="24"/>
        </w:rPr>
      </w:pPr>
      <w:r>
        <w:rPr>
          <w:szCs w:val="24"/>
        </w:rPr>
        <w:t>（</w:t>
      </w:r>
      <w:r>
        <w:rPr>
          <w:rFonts w:hint="eastAsia"/>
          <w:szCs w:val="24"/>
        </w:rPr>
        <w:t>2</w:t>
      </w:r>
      <w:r>
        <w:rPr>
          <w:szCs w:val="24"/>
        </w:rPr>
        <w:t>）</w:t>
      </w:r>
      <w:r>
        <w:rPr>
          <w:rFonts w:hint="eastAsia"/>
          <w:szCs w:val="24"/>
        </w:rPr>
        <w:t>污水处理厂发生故障造成的</w:t>
      </w:r>
      <w:r>
        <w:rPr>
          <w:szCs w:val="24"/>
        </w:rPr>
        <w:t>环境危险</w:t>
      </w:r>
    </w:p>
    <w:p>
      <w:pPr>
        <w:spacing w:line="360" w:lineRule="auto"/>
        <w:ind w:firstLine="480" w:firstLineChars="200"/>
        <w:rPr>
          <w:szCs w:val="24"/>
        </w:rPr>
      </w:pPr>
      <w:r>
        <w:rPr>
          <w:szCs w:val="24"/>
        </w:rPr>
        <w:t>主要是</w:t>
      </w:r>
      <w:r>
        <w:rPr>
          <w:rFonts w:hint="eastAsia"/>
          <w:szCs w:val="24"/>
        </w:rPr>
        <w:t>污水处理厂设备发生故障或设备大修而无备用设备，或备用设备无法启用，将导致进场废水得不到处理从而引起超标排放，处理水池管道</w:t>
      </w:r>
      <w:r>
        <w:rPr>
          <w:szCs w:val="24"/>
        </w:rPr>
        <w:t>渗漏、堵塞</w:t>
      </w:r>
      <w:r>
        <w:rPr>
          <w:rFonts w:hint="eastAsia"/>
          <w:szCs w:val="24"/>
        </w:rPr>
        <w:t>也会引起污水超标排放的环境风险。</w:t>
      </w:r>
    </w:p>
    <w:p>
      <w:pPr>
        <w:spacing w:line="360" w:lineRule="auto"/>
        <w:ind w:firstLine="480" w:firstLineChars="200"/>
        <w:rPr>
          <w:szCs w:val="24"/>
        </w:rPr>
      </w:pPr>
      <w:r>
        <w:rPr>
          <w:rFonts w:hint="eastAsia"/>
          <w:szCs w:val="24"/>
        </w:rPr>
        <w:t>（3）进水水质超标</w:t>
      </w:r>
    </w:p>
    <w:p>
      <w:pPr>
        <w:spacing w:line="360" w:lineRule="auto"/>
        <w:ind w:firstLine="480" w:firstLineChars="200"/>
        <w:rPr>
          <w:szCs w:val="24"/>
          <w:u w:val="single"/>
        </w:rPr>
      </w:pPr>
      <w:r>
        <w:rPr>
          <w:rFonts w:hint="eastAsia"/>
          <w:szCs w:val="24"/>
        </w:rPr>
        <w:t>污水厂收纳的污水主要是</w:t>
      </w:r>
      <w:r>
        <w:rPr>
          <w:rFonts w:hint="eastAsia"/>
        </w:rPr>
        <w:t>临湘工业园滨江产业园</w:t>
      </w:r>
      <w:r>
        <w:rPr>
          <w:rFonts w:hint="eastAsia"/>
          <w:szCs w:val="24"/>
        </w:rPr>
        <w:t>内各个工业企业预处理后的工业废水和配套设施生活污。在严格落实企业预处理达到进水要求再排入收集管网的前提下，一般情况下不会发生进水水质超标情况。只是在旱季，进厂污水中浓度较高或纳污范围内发生工业企业或区域内发生化学物质大规模泄露从而引起进水局部超标情况；另外还有大部分工业企业未合理处理产生的废水，导致排入管网中的废水水质浓度较高。如果污水处理厂进水中含有有毒有害物质超标，会</w:t>
      </w:r>
      <w:r>
        <w:rPr>
          <w:szCs w:val="24"/>
        </w:rPr>
        <w:t>造成厂内污水处理系统处理负荷，</w:t>
      </w:r>
      <w:r>
        <w:rPr>
          <w:rFonts w:hint="eastAsia"/>
          <w:szCs w:val="24"/>
        </w:rPr>
        <w:t>处理系统内微生物污泥等大面积死亡，</w:t>
      </w:r>
      <w:r>
        <w:rPr>
          <w:szCs w:val="24"/>
        </w:rPr>
        <w:t>最终可能导致处理后污水厂出水水质不达标，会污染</w:t>
      </w:r>
      <w:r>
        <w:rPr>
          <w:rFonts w:hint="eastAsia"/>
          <w:szCs w:val="24"/>
        </w:rPr>
        <w:t>长江现有水质</w:t>
      </w:r>
      <w:r>
        <w:rPr>
          <w:szCs w:val="24"/>
        </w:rPr>
        <w:t>，严重时影响</w:t>
      </w:r>
      <w:r>
        <w:rPr>
          <w:rFonts w:hint="eastAsia"/>
          <w:szCs w:val="24"/>
        </w:rPr>
        <w:t>长江</w:t>
      </w:r>
      <w:r>
        <w:rPr>
          <w:szCs w:val="24"/>
        </w:rPr>
        <w:t>生态环境</w:t>
      </w:r>
      <w:r>
        <w:rPr>
          <w:rFonts w:hint="eastAsia"/>
          <w:szCs w:val="24"/>
        </w:rPr>
        <w:t>。</w:t>
      </w:r>
    </w:p>
    <w:p>
      <w:pPr>
        <w:spacing w:line="360" w:lineRule="auto"/>
        <w:ind w:firstLine="480" w:firstLineChars="200"/>
        <w:rPr>
          <w:szCs w:val="24"/>
        </w:rPr>
      </w:pPr>
      <w:r>
        <w:rPr>
          <w:rFonts w:hint="eastAsia"/>
          <w:szCs w:val="24"/>
        </w:rPr>
        <w:t>至污水处理厂投运以来，造成大规模长期进水超标的情况未发生，短时间进水超标的污水与后期达标低浓度废水进水在调节池混合后，一般进入污水处理系统的污水不会超过设计进水浓度限值。</w:t>
      </w:r>
    </w:p>
    <w:p>
      <w:pPr>
        <w:spacing w:line="360" w:lineRule="auto"/>
        <w:ind w:firstLine="480" w:firstLineChars="200"/>
        <w:rPr>
          <w:szCs w:val="24"/>
        </w:rPr>
      </w:pPr>
      <w:r>
        <w:rPr>
          <w:rFonts w:hint="eastAsia"/>
          <w:szCs w:val="24"/>
        </w:rPr>
        <w:t>如若发生污水非正常排放事件，本预案就排放超标尾水对下长江水环境影响进行初步风险预测分析：</w:t>
      </w:r>
    </w:p>
    <w:p>
      <w:pPr>
        <w:pStyle w:val="34"/>
        <w:spacing w:after="0" w:line="360" w:lineRule="auto"/>
        <w:ind w:firstLine="480" w:firstLineChars="200"/>
      </w:pPr>
      <w:r>
        <w:rPr>
          <w:rFonts w:hint="eastAsia"/>
        </w:rPr>
        <w:t>（1）预测因子及源强</w:t>
      </w:r>
    </w:p>
    <w:p>
      <w:pPr>
        <w:pStyle w:val="34"/>
        <w:spacing w:after="0" w:line="360" w:lineRule="auto"/>
        <w:ind w:firstLine="480" w:firstLineChars="200"/>
      </w:pPr>
      <w:r>
        <w:rPr>
          <w:rFonts w:hint="eastAsia"/>
        </w:rPr>
        <w:t>依据工程分析和纳污水体环境特征，预测因子确定为COD、NH</w:t>
      </w:r>
      <w:r>
        <w:rPr>
          <w:rFonts w:hint="eastAsia"/>
          <w:vertAlign w:val="subscript"/>
        </w:rPr>
        <w:t>3</w:t>
      </w:r>
      <w:r>
        <w:rPr>
          <w:rFonts w:hint="eastAsia"/>
        </w:rPr>
        <w:t>-N。</w:t>
      </w:r>
    </w:p>
    <w:p>
      <w:pPr>
        <w:pStyle w:val="34"/>
        <w:spacing w:after="0" w:line="360" w:lineRule="auto"/>
        <w:ind w:firstLine="480" w:firstLineChars="200"/>
      </w:pPr>
      <w:r>
        <w:rPr>
          <w:rFonts w:hint="eastAsia"/>
        </w:rPr>
        <w:t>发生事故时进入污水处理厂的污水未能得到有效的处理，按照最恶劣状况即所有进厂污水均没有处理直接排放分析，此时排入长江水体的污水流量和污水水质情况见下表：</w:t>
      </w:r>
    </w:p>
    <w:p>
      <w:pPr>
        <w:pStyle w:val="6"/>
        <w:rPr>
          <w:lang w:val="zh-CN"/>
        </w:rPr>
      </w:pPr>
      <w:r>
        <w:rPr>
          <w:rFonts w:hint="eastAsia"/>
          <w:lang w:val="zh-CN"/>
        </w:rPr>
        <w:t>表</w:t>
      </w:r>
      <w:r>
        <w:rPr>
          <w:rFonts w:hint="eastAsia"/>
        </w:rPr>
        <w:t>4.6-6</w:t>
      </w:r>
      <w:r>
        <w:rPr>
          <w:rFonts w:hint="eastAsia"/>
          <w:lang w:val="zh-CN"/>
        </w:rPr>
        <w:t xml:space="preserve">    事故排放时外排污水流量及污水水质情况</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55"/>
        <w:gridCol w:w="2015"/>
        <w:gridCol w:w="2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55" w:type="dxa"/>
            <w:vMerge w:val="restart"/>
            <w:vAlign w:val="center"/>
          </w:tcPr>
          <w:p>
            <w:pPr>
              <w:pStyle w:val="63"/>
            </w:pPr>
            <w:r>
              <w:rPr>
                <w:rFonts w:hAnsi="宋体"/>
              </w:rPr>
              <w:t>污水流量</w:t>
            </w:r>
            <w:r>
              <w:t>(m</w:t>
            </w:r>
            <w:r>
              <w:rPr>
                <w:vertAlign w:val="superscript"/>
              </w:rPr>
              <w:t>3</w:t>
            </w:r>
            <w:r>
              <w:t>/s)</w:t>
            </w:r>
          </w:p>
        </w:tc>
        <w:tc>
          <w:tcPr>
            <w:tcW w:w="4475" w:type="dxa"/>
            <w:gridSpan w:val="2"/>
            <w:vAlign w:val="center"/>
          </w:tcPr>
          <w:p>
            <w:pPr>
              <w:pStyle w:val="63"/>
            </w:pPr>
            <w:r>
              <w:rPr>
                <w:rFonts w:hAnsi="宋体"/>
              </w:rPr>
              <w:t>污水水污染物浓度（</w:t>
            </w:r>
            <w:r>
              <w:t>mg/L</w:t>
            </w:r>
            <w:r>
              <w:rPr>
                <w:rFonts w:hAnsi="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55" w:type="dxa"/>
            <w:vMerge w:val="continue"/>
            <w:vAlign w:val="center"/>
          </w:tcPr>
          <w:p>
            <w:pPr>
              <w:pStyle w:val="63"/>
            </w:pPr>
          </w:p>
        </w:tc>
        <w:tc>
          <w:tcPr>
            <w:tcW w:w="2015" w:type="dxa"/>
            <w:vAlign w:val="center"/>
          </w:tcPr>
          <w:p>
            <w:pPr>
              <w:pStyle w:val="63"/>
            </w:pPr>
            <w:r>
              <w:t>COD</w:t>
            </w:r>
          </w:p>
        </w:tc>
        <w:tc>
          <w:tcPr>
            <w:tcW w:w="2460" w:type="dxa"/>
            <w:vAlign w:val="center"/>
          </w:tcPr>
          <w:p>
            <w:pPr>
              <w:pStyle w:val="63"/>
            </w:pPr>
            <w:r>
              <w:t>NH</w:t>
            </w:r>
            <w:r>
              <w:rPr>
                <w:vertAlign w:val="subscript"/>
              </w:rPr>
              <w:t>3</w:t>
            </w:r>
            <w: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55" w:type="dxa"/>
            <w:vAlign w:val="center"/>
          </w:tcPr>
          <w:p>
            <w:pPr>
              <w:pStyle w:val="63"/>
            </w:pPr>
            <w:r>
              <w:t>0.24</w:t>
            </w:r>
          </w:p>
        </w:tc>
        <w:tc>
          <w:tcPr>
            <w:tcW w:w="2015" w:type="dxa"/>
            <w:vAlign w:val="center"/>
          </w:tcPr>
          <w:p>
            <w:pPr>
              <w:pStyle w:val="63"/>
            </w:pPr>
            <w:r>
              <w:t>500</w:t>
            </w:r>
          </w:p>
        </w:tc>
        <w:tc>
          <w:tcPr>
            <w:tcW w:w="2460" w:type="dxa"/>
            <w:vAlign w:val="center"/>
          </w:tcPr>
          <w:p>
            <w:pPr>
              <w:pStyle w:val="63"/>
            </w:pPr>
            <w:r>
              <w:t>45</w:t>
            </w:r>
          </w:p>
        </w:tc>
      </w:tr>
    </w:tbl>
    <w:p>
      <w:pPr>
        <w:pStyle w:val="34"/>
        <w:spacing w:after="0" w:line="360" w:lineRule="auto"/>
        <w:ind w:firstLine="480" w:firstLineChars="200"/>
      </w:pPr>
      <w:r>
        <w:rPr>
          <w:rFonts w:hint="eastAsia"/>
        </w:rPr>
        <w:t>（2）预测内容</w:t>
      </w:r>
    </w:p>
    <w:p>
      <w:pPr>
        <w:pStyle w:val="34"/>
        <w:spacing w:after="0" w:line="360" w:lineRule="auto"/>
        <w:ind w:firstLine="480" w:firstLineChars="200"/>
      </w:pPr>
      <w:r>
        <w:rPr>
          <w:rFonts w:hint="eastAsia"/>
        </w:rPr>
        <w:t>①重点预测不利于污染物稀释衰减的水力条件枯水期情况下，事故排放时排污口下游水体污染物浓度。</w:t>
      </w:r>
    </w:p>
    <w:p>
      <w:pPr>
        <w:pStyle w:val="34"/>
        <w:spacing w:after="0" w:line="360" w:lineRule="auto"/>
        <w:ind w:firstLine="480" w:firstLineChars="200"/>
      </w:pPr>
      <w:r>
        <w:rPr>
          <w:rFonts w:hint="eastAsia"/>
        </w:rPr>
        <w:t>②预测断面：主要预测长江断面（排污口下游10米至下游4.5km）。</w:t>
      </w:r>
    </w:p>
    <w:p>
      <w:pPr>
        <w:pStyle w:val="34"/>
        <w:spacing w:after="0" w:line="360" w:lineRule="auto"/>
        <w:ind w:firstLine="480" w:firstLineChars="200"/>
      </w:pPr>
      <w:r>
        <w:rPr>
          <w:rFonts w:hint="eastAsia"/>
        </w:rPr>
        <w:t>③枯水期长江混合过程段长度为25km，预测断面均在混合过程段内。</w:t>
      </w:r>
    </w:p>
    <w:p>
      <w:pPr>
        <w:pStyle w:val="34"/>
        <w:spacing w:after="0" w:line="360" w:lineRule="auto"/>
        <w:ind w:firstLine="480" w:firstLineChars="200"/>
      </w:pPr>
      <w:r>
        <w:rPr>
          <w:rFonts w:hint="eastAsia"/>
        </w:rPr>
        <w:t>（3）预测模式</w:t>
      </w:r>
    </w:p>
    <w:p>
      <w:pPr>
        <w:pStyle w:val="34"/>
        <w:spacing w:after="0" w:line="360" w:lineRule="auto"/>
        <w:ind w:firstLine="480" w:firstLineChars="200"/>
      </w:pPr>
      <w:r>
        <w:rPr>
          <w:rFonts w:hint="eastAsia"/>
        </w:rPr>
        <w:t>选用《环境影响评价技术导则（地面水环境）》（HJ2.2-2018）中推荐的二维稳态混合衰减模式预测。</w:t>
      </w:r>
    </w:p>
    <w:p>
      <w:pPr>
        <w:pStyle w:val="34"/>
        <w:spacing w:after="0" w:line="360" w:lineRule="auto"/>
        <w:ind w:firstLine="480" w:firstLineChars="200"/>
      </w:pPr>
      <w:r>
        <w:rPr>
          <w:rFonts w:hint="eastAsia"/>
        </w:rPr>
        <w:t>考虑到规划区污水排放量相对于长江水量非常小，在清污比很大的情况下，片区废水横向扩散距离一般不会大于50m，对长江的影响也表现为一狭长的贴岸污染带，因此，本次对长江右岸水质的影响预测只针对长江横向50m内长江右岸水污染物衰减的情况。</w:t>
      </w:r>
    </w:p>
    <w:p>
      <w:pPr>
        <w:pStyle w:val="34"/>
        <w:spacing w:after="0" w:line="360" w:lineRule="auto"/>
        <w:ind w:firstLine="480" w:firstLineChars="200"/>
      </w:pPr>
      <w:r>
        <w:rPr>
          <w:rFonts w:hint="eastAsia"/>
        </w:rPr>
        <w:t>（4）河流水文参数</w:t>
      </w:r>
    </w:p>
    <w:p>
      <w:pPr>
        <w:pStyle w:val="34"/>
        <w:spacing w:after="0" w:line="360" w:lineRule="auto"/>
        <w:ind w:firstLine="480" w:firstLineChars="200"/>
      </w:pPr>
      <w:r>
        <w:rPr>
          <w:rFonts w:hint="eastAsia"/>
        </w:rPr>
        <w:t>预测水文参数见表4.6-7。</w:t>
      </w:r>
    </w:p>
    <w:p>
      <w:pPr>
        <w:pStyle w:val="6"/>
        <w:rPr>
          <w:lang w:val="zh-CN"/>
        </w:rPr>
      </w:pPr>
      <w:r>
        <w:rPr>
          <w:rFonts w:hint="eastAsia"/>
          <w:lang w:val="zh-CN"/>
        </w:rPr>
        <w:t>表</w:t>
      </w:r>
      <w:r>
        <w:rPr>
          <w:rFonts w:hint="eastAsia"/>
        </w:rPr>
        <w:t>4.6-7</w:t>
      </w:r>
      <w:r>
        <w:rPr>
          <w:rFonts w:hint="eastAsia"/>
          <w:lang w:val="zh-CN"/>
        </w:rPr>
        <w:t xml:space="preserve">   预测水域水文参数表(枯水期)</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4" w:type="dxa"/>
          <w:bottom w:w="0" w:type="dxa"/>
          <w:right w:w="14" w:type="dxa"/>
        </w:tblCellMar>
      </w:tblPr>
      <w:tblGrid>
        <w:gridCol w:w="718"/>
        <w:gridCol w:w="1129"/>
        <w:gridCol w:w="1142"/>
        <w:gridCol w:w="1142"/>
        <w:gridCol w:w="1600"/>
        <w:gridCol w:w="1345"/>
        <w:gridCol w:w="11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18" w:type="dxa"/>
            <w:vAlign w:val="center"/>
          </w:tcPr>
          <w:p>
            <w:pPr>
              <w:pStyle w:val="63"/>
            </w:pPr>
            <w:r>
              <w:t>水域</w:t>
            </w:r>
          </w:p>
        </w:tc>
        <w:tc>
          <w:tcPr>
            <w:tcW w:w="1129" w:type="dxa"/>
            <w:vAlign w:val="center"/>
          </w:tcPr>
          <w:p>
            <w:pPr>
              <w:pStyle w:val="63"/>
            </w:pPr>
            <w:r>
              <w:t>流速(m/s)</w:t>
            </w:r>
          </w:p>
        </w:tc>
        <w:tc>
          <w:tcPr>
            <w:tcW w:w="1142" w:type="dxa"/>
            <w:vAlign w:val="center"/>
          </w:tcPr>
          <w:p>
            <w:pPr>
              <w:pStyle w:val="63"/>
            </w:pPr>
            <w:r>
              <w:t>水深(m)</w:t>
            </w:r>
          </w:p>
        </w:tc>
        <w:tc>
          <w:tcPr>
            <w:tcW w:w="1142" w:type="dxa"/>
            <w:vAlign w:val="center"/>
          </w:tcPr>
          <w:p>
            <w:pPr>
              <w:pStyle w:val="63"/>
            </w:pPr>
            <w:r>
              <w:t>水宽(m)</w:t>
            </w:r>
          </w:p>
        </w:tc>
        <w:tc>
          <w:tcPr>
            <w:tcW w:w="1600" w:type="dxa"/>
            <w:vAlign w:val="center"/>
          </w:tcPr>
          <w:p>
            <w:pPr>
              <w:pStyle w:val="63"/>
            </w:pPr>
            <w:r>
              <w:t>水力坡度(‰)</w:t>
            </w:r>
          </w:p>
        </w:tc>
        <w:tc>
          <w:tcPr>
            <w:tcW w:w="1345" w:type="dxa"/>
            <w:vAlign w:val="center"/>
          </w:tcPr>
          <w:p>
            <w:pPr>
              <w:pStyle w:val="63"/>
            </w:pPr>
            <w:r>
              <w:t>My(m2/s)</w:t>
            </w:r>
          </w:p>
        </w:tc>
        <w:tc>
          <w:tcPr>
            <w:tcW w:w="1159" w:type="dxa"/>
            <w:vAlign w:val="center"/>
          </w:tcPr>
          <w:p>
            <w:pPr>
              <w:pStyle w:val="63"/>
            </w:pPr>
            <w:r>
              <w:t>K1(l/d)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454" w:hRule="atLeast"/>
          <w:jc w:val="center"/>
        </w:trPr>
        <w:tc>
          <w:tcPr>
            <w:tcW w:w="718" w:type="dxa"/>
            <w:vAlign w:val="center"/>
          </w:tcPr>
          <w:p>
            <w:pPr>
              <w:pStyle w:val="63"/>
            </w:pPr>
            <w:r>
              <w:rPr>
                <w:rFonts w:hint="eastAsia"/>
              </w:rPr>
              <w:t>长江</w:t>
            </w:r>
          </w:p>
        </w:tc>
        <w:tc>
          <w:tcPr>
            <w:tcW w:w="1129" w:type="dxa"/>
            <w:vAlign w:val="center"/>
          </w:tcPr>
          <w:p>
            <w:pPr>
              <w:pStyle w:val="63"/>
            </w:pPr>
            <w:r>
              <w:t>0.77</w:t>
            </w:r>
          </w:p>
        </w:tc>
        <w:tc>
          <w:tcPr>
            <w:tcW w:w="1142" w:type="dxa"/>
            <w:vAlign w:val="center"/>
          </w:tcPr>
          <w:p>
            <w:pPr>
              <w:pStyle w:val="63"/>
            </w:pPr>
            <w:r>
              <w:t>7.11</w:t>
            </w:r>
          </w:p>
        </w:tc>
        <w:tc>
          <w:tcPr>
            <w:tcW w:w="1142" w:type="dxa"/>
            <w:vAlign w:val="center"/>
          </w:tcPr>
          <w:p>
            <w:pPr>
              <w:pStyle w:val="63"/>
            </w:pPr>
            <w:r>
              <w:t>1120</w:t>
            </w:r>
          </w:p>
        </w:tc>
        <w:tc>
          <w:tcPr>
            <w:tcW w:w="1600" w:type="dxa"/>
            <w:vAlign w:val="center"/>
          </w:tcPr>
          <w:p>
            <w:pPr>
              <w:pStyle w:val="63"/>
            </w:pPr>
            <w:r>
              <w:t>0.025</w:t>
            </w:r>
          </w:p>
        </w:tc>
        <w:tc>
          <w:tcPr>
            <w:tcW w:w="1345" w:type="dxa"/>
            <w:vAlign w:val="center"/>
          </w:tcPr>
          <w:p>
            <w:pPr>
              <w:pStyle w:val="63"/>
            </w:pPr>
            <w:r>
              <w:t>0.35</w:t>
            </w:r>
          </w:p>
        </w:tc>
        <w:tc>
          <w:tcPr>
            <w:tcW w:w="1159" w:type="dxa"/>
            <w:vAlign w:val="center"/>
          </w:tcPr>
          <w:p>
            <w:pPr>
              <w:pStyle w:val="63"/>
            </w:pPr>
            <w:r>
              <w:t>0.15</w:t>
            </w:r>
          </w:p>
        </w:tc>
      </w:tr>
    </w:tbl>
    <w:p>
      <w:pPr>
        <w:pStyle w:val="34"/>
        <w:ind w:firstLine="240"/>
      </w:pPr>
      <w:r>
        <w:rPr>
          <w:rFonts w:hint="eastAsia"/>
        </w:rPr>
        <w:t>（5）预测结果</w:t>
      </w:r>
    </w:p>
    <w:p>
      <w:pPr>
        <w:pStyle w:val="34"/>
        <w:ind w:firstLine="240"/>
      </w:pPr>
      <w:r>
        <w:rPr>
          <w:rFonts w:hint="eastAsia"/>
        </w:rPr>
        <w:t>预测结果下表：</w:t>
      </w:r>
    </w:p>
    <w:p>
      <w:pPr>
        <w:pStyle w:val="6"/>
        <w:rPr>
          <w:lang w:val="zh-CN"/>
        </w:rPr>
      </w:pPr>
      <w:r>
        <w:rPr>
          <w:rFonts w:hint="eastAsia"/>
          <w:lang w:val="zh-CN"/>
        </w:rPr>
        <w:t>表</w:t>
      </w:r>
      <w:r>
        <w:rPr>
          <w:rFonts w:hint="eastAsia"/>
        </w:rPr>
        <w:t>4.6-8</w:t>
      </w:r>
      <w:r>
        <w:rPr>
          <w:rFonts w:hint="eastAsia"/>
          <w:lang w:val="zh-CN"/>
        </w:rPr>
        <w:t xml:space="preserve">   废水事故排放对长江枯水期COD预测值(mg/L)</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151"/>
        <w:gridCol w:w="1151"/>
        <w:gridCol w:w="1151"/>
        <w:gridCol w:w="1151"/>
        <w:gridCol w:w="1151"/>
        <w:gridCol w:w="12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t>X\c/Y</w:t>
            </w:r>
          </w:p>
        </w:tc>
        <w:tc>
          <w:tcPr>
            <w:tcW w:w="1151" w:type="dxa"/>
            <w:vAlign w:val="center"/>
          </w:tcPr>
          <w:p>
            <w:pPr>
              <w:pStyle w:val="63"/>
            </w:pPr>
            <w:r>
              <w:t>0</w:t>
            </w:r>
          </w:p>
        </w:tc>
        <w:tc>
          <w:tcPr>
            <w:tcW w:w="1151" w:type="dxa"/>
            <w:vAlign w:val="center"/>
          </w:tcPr>
          <w:p>
            <w:pPr>
              <w:pStyle w:val="63"/>
            </w:pPr>
            <w:r>
              <w:t>10</w:t>
            </w:r>
          </w:p>
        </w:tc>
        <w:tc>
          <w:tcPr>
            <w:tcW w:w="1151" w:type="dxa"/>
            <w:vAlign w:val="center"/>
          </w:tcPr>
          <w:p>
            <w:pPr>
              <w:pStyle w:val="63"/>
            </w:pPr>
            <w:r>
              <w:t>20</w:t>
            </w:r>
          </w:p>
        </w:tc>
        <w:tc>
          <w:tcPr>
            <w:tcW w:w="1151" w:type="dxa"/>
            <w:vAlign w:val="center"/>
          </w:tcPr>
          <w:p>
            <w:pPr>
              <w:pStyle w:val="63"/>
            </w:pPr>
            <w:r>
              <w:t>30</w:t>
            </w:r>
          </w:p>
        </w:tc>
        <w:tc>
          <w:tcPr>
            <w:tcW w:w="1151" w:type="dxa"/>
            <w:vAlign w:val="center"/>
          </w:tcPr>
          <w:p>
            <w:pPr>
              <w:pStyle w:val="63"/>
            </w:pPr>
            <w:r>
              <w:t>40</w:t>
            </w:r>
          </w:p>
        </w:tc>
        <w:tc>
          <w:tcPr>
            <w:tcW w:w="1259" w:type="dxa"/>
            <w:vAlign w:val="center"/>
          </w:tcPr>
          <w:p>
            <w:pPr>
              <w:pStyle w:val="63"/>
            </w:pPr>
            <w: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10</w:t>
            </w:r>
          </w:p>
        </w:tc>
        <w:tc>
          <w:tcPr>
            <w:tcW w:w="1151" w:type="dxa"/>
            <w:vAlign w:val="center"/>
          </w:tcPr>
          <w:p>
            <w:pPr>
              <w:pStyle w:val="63"/>
            </w:pPr>
            <w:r>
              <w:rPr>
                <w:rFonts w:hint="eastAsia"/>
              </w:rPr>
              <w:t>24.1299</w:t>
            </w:r>
          </w:p>
        </w:tc>
        <w:tc>
          <w:tcPr>
            <w:tcW w:w="1151" w:type="dxa"/>
            <w:vAlign w:val="center"/>
          </w:tcPr>
          <w:p>
            <w:pPr>
              <w:pStyle w:val="63"/>
            </w:pPr>
            <w:r>
              <w:rPr>
                <w:rFonts w:hint="eastAsia"/>
              </w:rPr>
              <w:t>18.3533</w:t>
            </w:r>
          </w:p>
        </w:tc>
        <w:tc>
          <w:tcPr>
            <w:tcW w:w="1151" w:type="dxa"/>
            <w:vAlign w:val="center"/>
          </w:tcPr>
          <w:p>
            <w:pPr>
              <w:pStyle w:val="63"/>
            </w:pPr>
            <w:r>
              <w:rPr>
                <w:rFonts w:hint="eastAsia"/>
              </w:rPr>
              <w:t>18.3296</w:t>
            </w:r>
          </w:p>
        </w:tc>
        <w:tc>
          <w:tcPr>
            <w:tcW w:w="1151" w:type="dxa"/>
            <w:vAlign w:val="center"/>
          </w:tcPr>
          <w:p>
            <w:pPr>
              <w:pStyle w:val="63"/>
            </w:pPr>
            <w:r>
              <w:rPr>
                <w:rFonts w:hint="eastAsia"/>
              </w:rPr>
              <w:t>18.3296</w:t>
            </w:r>
          </w:p>
        </w:tc>
        <w:tc>
          <w:tcPr>
            <w:tcW w:w="1151" w:type="dxa"/>
            <w:vAlign w:val="center"/>
          </w:tcPr>
          <w:p>
            <w:pPr>
              <w:pStyle w:val="63"/>
            </w:pPr>
            <w:r>
              <w:rPr>
                <w:rFonts w:hint="eastAsia"/>
              </w:rPr>
              <w:t>18.3296</w:t>
            </w:r>
          </w:p>
        </w:tc>
        <w:tc>
          <w:tcPr>
            <w:tcW w:w="1259" w:type="dxa"/>
            <w:vAlign w:val="center"/>
          </w:tcPr>
          <w:p>
            <w:pPr>
              <w:pStyle w:val="63"/>
            </w:pPr>
            <w:r>
              <w:rPr>
                <w:rFonts w:hint="eastAsia"/>
              </w:rPr>
              <w:t>18.3296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20</w:t>
            </w:r>
          </w:p>
        </w:tc>
        <w:tc>
          <w:tcPr>
            <w:tcW w:w="1151" w:type="dxa"/>
            <w:vAlign w:val="center"/>
          </w:tcPr>
          <w:p>
            <w:pPr>
              <w:pStyle w:val="63"/>
            </w:pPr>
            <w:r>
              <w:rPr>
                <w:rFonts w:hint="eastAsia"/>
              </w:rPr>
              <w:t>22.4305</w:t>
            </w:r>
          </w:p>
        </w:tc>
        <w:tc>
          <w:tcPr>
            <w:tcW w:w="1151" w:type="dxa"/>
            <w:vAlign w:val="center"/>
          </w:tcPr>
          <w:p>
            <w:pPr>
              <w:pStyle w:val="63"/>
            </w:pPr>
            <w:r>
              <w:rPr>
                <w:rFonts w:hint="eastAsia"/>
              </w:rPr>
              <w:t>18.5914</w:t>
            </w:r>
          </w:p>
        </w:tc>
        <w:tc>
          <w:tcPr>
            <w:tcW w:w="1151" w:type="dxa"/>
            <w:vAlign w:val="center"/>
          </w:tcPr>
          <w:p>
            <w:pPr>
              <w:pStyle w:val="63"/>
            </w:pPr>
            <w:r>
              <w:rPr>
                <w:rFonts w:hint="eastAsia"/>
              </w:rPr>
              <w:t>18.3292</w:t>
            </w:r>
          </w:p>
        </w:tc>
        <w:tc>
          <w:tcPr>
            <w:tcW w:w="1151" w:type="dxa"/>
            <w:vAlign w:val="center"/>
          </w:tcPr>
          <w:p>
            <w:pPr>
              <w:pStyle w:val="63"/>
            </w:pPr>
            <w:r>
              <w:rPr>
                <w:rFonts w:hint="eastAsia"/>
              </w:rPr>
              <w:t>18.3292</w:t>
            </w:r>
          </w:p>
        </w:tc>
        <w:tc>
          <w:tcPr>
            <w:tcW w:w="1151" w:type="dxa"/>
            <w:vAlign w:val="center"/>
          </w:tcPr>
          <w:p>
            <w:pPr>
              <w:pStyle w:val="63"/>
            </w:pPr>
            <w:r>
              <w:rPr>
                <w:rFonts w:hint="eastAsia"/>
              </w:rPr>
              <w:t>18.3292</w:t>
            </w:r>
          </w:p>
        </w:tc>
        <w:tc>
          <w:tcPr>
            <w:tcW w:w="1259" w:type="dxa"/>
            <w:vAlign w:val="center"/>
          </w:tcPr>
          <w:p>
            <w:pPr>
              <w:pStyle w:val="63"/>
            </w:pPr>
            <w:r>
              <w:rPr>
                <w:rFonts w:hint="eastAsia"/>
              </w:rPr>
              <w:t>18.3292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30</w:t>
            </w:r>
          </w:p>
        </w:tc>
        <w:tc>
          <w:tcPr>
            <w:tcW w:w="1151" w:type="dxa"/>
            <w:vAlign w:val="center"/>
          </w:tcPr>
          <w:p>
            <w:pPr>
              <w:pStyle w:val="63"/>
            </w:pPr>
            <w:r>
              <w:rPr>
                <w:rFonts w:hint="eastAsia"/>
              </w:rPr>
              <w:t>21.6774</w:t>
            </w:r>
          </w:p>
        </w:tc>
        <w:tc>
          <w:tcPr>
            <w:tcW w:w="1151" w:type="dxa"/>
            <w:vAlign w:val="center"/>
          </w:tcPr>
          <w:p>
            <w:pPr>
              <w:pStyle w:val="63"/>
            </w:pPr>
            <w:r>
              <w:rPr>
                <w:rFonts w:hint="eastAsia"/>
              </w:rPr>
              <w:t>18.8641</w:t>
            </w:r>
          </w:p>
        </w:tc>
        <w:tc>
          <w:tcPr>
            <w:tcW w:w="1151" w:type="dxa"/>
            <w:vAlign w:val="center"/>
          </w:tcPr>
          <w:p>
            <w:pPr>
              <w:pStyle w:val="63"/>
            </w:pPr>
            <w:r>
              <w:rPr>
                <w:rFonts w:hint="eastAsia"/>
              </w:rPr>
              <w:t>18.331</w:t>
            </w:r>
          </w:p>
        </w:tc>
        <w:tc>
          <w:tcPr>
            <w:tcW w:w="1151" w:type="dxa"/>
            <w:vAlign w:val="center"/>
          </w:tcPr>
          <w:p>
            <w:pPr>
              <w:pStyle w:val="63"/>
            </w:pPr>
            <w:r>
              <w:rPr>
                <w:rFonts w:hint="eastAsia"/>
              </w:rPr>
              <w:t>18.3288</w:t>
            </w:r>
          </w:p>
        </w:tc>
        <w:tc>
          <w:tcPr>
            <w:tcW w:w="1151" w:type="dxa"/>
            <w:vAlign w:val="center"/>
          </w:tcPr>
          <w:p>
            <w:pPr>
              <w:pStyle w:val="63"/>
            </w:pPr>
            <w:r>
              <w:rPr>
                <w:rFonts w:hint="eastAsia"/>
              </w:rPr>
              <w:t>18.3288</w:t>
            </w:r>
          </w:p>
        </w:tc>
        <w:tc>
          <w:tcPr>
            <w:tcW w:w="1259" w:type="dxa"/>
            <w:vAlign w:val="center"/>
          </w:tcPr>
          <w:p>
            <w:pPr>
              <w:pStyle w:val="63"/>
            </w:pPr>
            <w:r>
              <w:rPr>
                <w:rFonts w:hint="eastAsia"/>
              </w:rPr>
              <w:t>18.3288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40</w:t>
            </w:r>
          </w:p>
        </w:tc>
        <w:tc>
          <w:tcPr>
            <w:tcW w:w="1151" w:type="dxa"/>
            <w:vAlign w:val="center"/>
          </w:tcPr>
          <w:p>
            <w:pPr>
              <w:pStyle w:val="63"/>
            </w:pPr>
            <w:r>
              <w:rPr>
                <w:rFonts w:hint="eastAsia"/>
              </w:rPr>
              <w:t>21.2283</w:t>
            </w:r>
          </w:p>
        </w:tc>
        <w:tc>
          <w:tcPr>
            <w:tcW w:w="1151" w:type="dxa"/>
            <w:vAlign w:val="center"/>
          </w:tcPr>
          <w:p>
            <w:pPr>
              <w:pStyle w:val="63"/>
            </w:pPr>
            <w:r>
              <w:rPr>
                <w:rFonts w:hint="eastAsia"/>
              </w:rPr>
              <w:t>19.0616</w:t>
            </w:r>
          </w:p>
        </w:tc>
        <w:tc>
          <w:tcPr>
            <w:tcW w:w="1151" w:type="dxa"/>
            <w:vAlign w:val="center"/>
          </w:tcPr>
          <w:p>
            <w:pPr>
              <w:pStyle w:val="63"/>
            </w:pPr>
            <w:r>
              <w:rPr>
                <w:rFonts w:hint="eastAsia"/>
              </w:rPr>
              <w:t>18.3402</w:t>
            </w:r>
          </w:p>
        </w:tc>
        <w:tc>
          <w:tcPr>
            <w:tcW w:w="1151" w:type="dxa"/>
            <w:vAlign w:val="center"/>
          </w:tcPr>
          <w:p>
            <w:pPr>
              <w:pStyle w:val="63"/>
            </w:pPr>
            <w:r>
              <w:rPr>
                <w:rFonts w:hint="eastAsia"/>
              </w:rPr>
              <w:t>18.3284</w:t>
            </w:r>
          </w:p>
        </w:tc>
        <w:tc>
          <w:tcPr>
            <w:tcW w:w="1151" w:type="dxa"/>
            <w:vAlign w:val="center"/>
          </w:tcPr>
          <w:p>
            <w:pPr>
              <w:pStyle w:val="63"/>
            </w:pPr>
            <w:r>
              <w:rPr>
                <w:rFonts w:hint="eastAsia"/>
              </w:rPr>
              <w:t>18.3284</w:t>
            </w:r>
          </w:p>
        </w:tc>
        <w:tc>
          <w:tcPr>
            <w:tcW w:w="1259" w:type="dxa"/>
            <w:vAlign w:val="center"/>
          </w:tcPr>
          <w:p>
            <w:pPr>
              <w:pStyle w:val="63"/>
            </w:pPr>
            <w:r>
              <w:rPr>
                <w:rFonts w:hint="eastAsia"/>
              </w:rPr>
              <w:t>18.3284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50</w:t>
            </w:r>
          </w:p>
        </w:tc>
        <w:tc>
          <w:tcPr>
            <w:tcW w:w="1151" w:type="dxa"/>
            <w:vAlign w:val="center"/>
          </w:tcPr>
          <w:p>
            <w:pPr>
              <w:pStyle w:val="63"/>
            </w:pPr>
            <w:r>
              <w:rPr>
                <w:rFonts w:hint="eastAsia"/>
              </w:rPr>
              <w:t>20.9217</w:t>
            </w:r>
          </w:p>
        </w:tc>
        <w:tc>
          <w:tcPr>
            <w:tcW w:w="1151" w:type="dxa"/>
            <w:vAlign w:val="center"/>
          </w:tcPr>
          <w:p>
            <w:pPr>
              <w:pStyle w:val="63"/>
            </w:pPr>
            <w:r>
              <w:rPr>
                <w:rFonts w:hint="eastAsia"/>
              </w:rPr>
              <w:t>19.1913</w:t>
            </w:r>
          </w:p>
        </w:tc>
        <w:tc>
          <w:tcPr>
            <w:tcW w:w="1151" w:type="dxa"/>
            <w:vAlign w:val="center"/>
          </w:tcPr>
          <w:p>
            <w:pPr>
              <w:pStyle w:val="63"/>
            </w:pPr>
            <w:r>
              <w:rPr>
                <w:rFonts w:hint="eastAsia"/>
              </w:rPr>
              <w:t>18.3598</w:t>
            </w:r>
          </w:p>
        </w:tc>
        <w:tc>
          <w:tcPr>
            <w:tcW w:w="1151" w:type="dxa"/>
            <w:vAlign w:val="center"/>
          </w:tcPr>
          <w:p>
            <w:pPr>
              <w:pStyle w:val="63"/>
            </w:pPr>
            <w:r>
              <w:rPr>
                <w:rFonts w:hint="eastAsia"/>
              </w:rPr>
              <w:t>18.3281</w:t>
            </w:r>
          </w:p>
        </w:tc>
        <w:tc>
          <w:tcPr>
            <w:tcW w:w="1151" w:type="dxa"/>
            <w:vAlign w:val="center"/>
          </w:tcPr>
          <w:p>
            <w:pPr>
              <w:pStyle w:val="63"/>
            </w:pPr>
            <w:r>
              <w:rPr>
                <w:rFonts w:hint="eastAsia"/>
              </w:rPr>
              <w:t>18.3279</w:t>
            </w:r>
          </w:p>
        </w:tc>
        <w:tc>
          <w:tcPr>
            <w:tcW w:w="1259" w:type="dxa"/>
            <w:vAlign w:val="center"/>
          </w:tcPr>
          <w:p>
            <w:pPr>
              <w:pStyle w:val="63"/>
            </w:pPr>
            <w:r>
              <w:rPr>
                <w:rFonts w:hint="eastAsia"/>
              </w:rPr>
              <w:t>18.3279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60</w:t>
            </w:r>
          </w:p>
        </w:tc>
        <w:tc>
          <w:tcPr>
            <w:tcW w:w="1151" w:type="dxa"/>
            <w:vAlign w:val="center"/>
          </w:tcPr>
          <w:p>
            <w:pPr>
              <w:pStyle w:val="63"/>
            </w:pPr>
            <w:r>
              <w:rPr>
                <w:rFonts w:hint="eastAsia"/>
              </w:rPr>
              <w:t>20.6952</w:t>
            </w:r>
          </w:p>
        </w:tc>
        <w:tc>
          <w:tcPr>
            <w:tcW w:w="1151" w:type="dxa"/>
            <w:vAlign w:val="center"/>
          </w:tcPr>
          <w:p>
            <w:pPr>
              <w:pStyle w:val="63"/>
            </w:pPr>
            <w:r>
              <w:rPr>
                <w:rFonts w:hint="eastAsia"/>
              </w:rPr>
              <w:t>19.2742</w:t>
            </w:r>
          </w:p>
        </w:tc>
        <w:tc>
          <w:tcPr>
            <w:tcW w:w="1151" w:type="dxa"/>
            <w:vAlign w:val="center"/>
          </w:tcPr>
          <w:p>
            <w:pPr>
              <w:pStyle w:val="63"/>
            </w:pPr>
            <w:r>
              <w:rPr>
                <w:rFonts w:hint="eastAsia"/>
              </w:rPr>
              <w:t>18.388</w:t>
            </w:r>
          </w:p>
        </w:tc>
        <w:tc>
          <w:tcPr>
            <w:tcW w:w="1151" w:type="dxa"/>
            <w:vAlign w:val="center"/>
          </w:tcPr>
          <w:p>
            <w:pPr>
              <w:pStyle w:val="63"/>
            </w:pPr>
            <w:r>
              <w:rPr>
                <w:rFonts w:hint="eastAsia"/>
              </w:rPr>
              <w:t>18.3281</w:t>
            </w:r>
          </w:p>
        </w:tc>
        <w:tc>
          <w:tcPr>
            <w:tcW w:w="1151" w:type="dxa"/>
            <w:vAlign w:val="center"/>
          </w:tcPr>
          <w:p>
            <w:pPr>
              <w:pStyle w:val="63"/>
            </w:pPr>
            <w:r>
              <w:rPr>
                <w:rFonts w:hint="eastAsia"/>
              </w:rPr>
              <w:t>18.3275</w:t>
            </w:r>
          </w:p>
        </w:tc>
        <w:tc>
          <w:tcPr>
            <w:tcW w:w="1259" w:type="dxa"/>
            <w:vAlign w:val="center"/>
          </w:tcPr>
          <w:p>
            <w:pPr>
              <w:pStyle w:val="63"/>
            </w:pPr>
            <w:r>
              <w:rPr>
                <w:rFonts w:hint="eastAsia"/>
              </w:rPr>
              <w:t>18.3275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70</w:t>
            </w:r>
          </w:p>
        </w:tc>
        <w:tc>
          <w:tcPr>
            <w:tcW w:w="1151" w:type="dxa"/>
            <w:vAlign w:val="center"/>
          </w:tcPr>
          <w:p>
            <w:pPr>
              <w:pStyle w:val="63"/>
            </w:pPr>
            <w:r>
              <w:rPr>
                <w:rFonts w:hint="eastAsia"/>
              </w:rPr>
              <w:t>20.5191</w:t>
            </w:r>
          </w:p>
        </w:tc>
        <w:tc>
          <w:tcPr>
            <w:tcW w:w="1151" w:type="dxa"/>
            <w:vAlign w:val="center"/>
          </w:tcPr>
          <w:p>
            <w:pPr>
              <w:pStyle w:val="63"/>
            </w:pPr>
            <w:r>
              <w:rPr>
                <w:rFonts w:hint="eastAsia"/>
              </w:rPr>
              <w:t>19.3262</w:t>
            </w:r>
          </w:p>
        </w:tc>
        <w:tc>
          <w:tcPr>
            <w:tcW w:w="1151" w:type="dxa"/>
            <w:vAlign w:val="center"/>
          </w:tcPr>
          <w:p>
            <w:pPr>
              <w:pStyle w:val="63"/>
            </w:pPr>
            <w:r>
              <w:rPr>
                <w:rFonts w:hint="eastAsia"/>
              </w:rPr>
              <w:t>18.4217</w:t>
            </w:r>
          </w:p>
        </w:tc>
        <w:tc>
          <w:tcPr>
            <w:tcW w:w="1151" w:type="dxa"/>
            <w:vAlign w:val="center"/>
          </w:tcPr>
          <w:p>
            <w:pPr>
              <w:pStyle w:val="63"/>
            </w:pPr>
            <w:r>
              <w:rPr>
                <w:rFonts w:hint="eastAsia"/>
              </w:rPr>
              <w:t>18.329</w:t>
            </w:r>
          </w:p>
        </w:tc>
        <w:tc>
          <w:tcPr>
            <w:tcW w:w="1151" w:type="dxa"/>
            <w:vAlign w:val="center"/>
          </w:tcPr>
          <w:p>
            <w:pPr>
              <w:pStyle w:val="63"/>
            </w:pPr>
            <w:r>
              <w:rPr>
                <w:rFonts w:hint="eastAsia"/>
              </w:rPr>
              <w:t>18.3271</w:t>
            </w:r>
          </w:p>
        </w:tc>
        <w:tc>
          <w:tcPr>
            <w:tcW w:w="1259" w:type="dxa"/>
            <w:vAlign w:val="center"/>
          </w:tcPr>
          <w:p>
            <w:pPr>
              <w:pStyle w:val="63"/>
            </w:pPr>
            <w:r>
              <w:rPr>
                <w:rFonts w:hint="eastAsia"/>
              </w:rPr>
              <w:t>18.3271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80</w:t>
            </w:r>
          </w:p>
        </w:tc>
        <w:tc>
          <w:tcPr>
            <w:tcW w:w="1151" w:type="dxa"/>
            <w:vAlign w:val="center"/>
          </w:tcPr>
          <w:p>
            <w:pPr>
              <w:pStyle w:val="63"/>
            </w:pPr>
            <w:r>
              <w:rPr>
                <w:rFonts w:hint="eastAsia"/>
              </w:rPr>
              <w:t>20.3771</w:t>
            </w:r>
          </w:p>
        </w:tc>
        <w:tc>
          <w:tcPr>
            <w:tcW w:w="1151" w:type="dxa"/>
            <w:vAlign w:val="center"/>
          </w:tcPr>
          <w:p>
            <w:pPr>
              <w:pStyle w:val="63"/>
            </w:pPr>
            <w:r>
              <w:rPr>
                <w:rFonts w:hint="eastAsia"/>
              </w:rPr>
              <w:t>19.3577</w:t>
            </w:r>
          </w:p>
        </w:tc>
        <w:tc>
          <w:tcPr>
            <w:tcW w:w="1151" w:type="dxa"/>
            <w:vAlign w:val="center"/>
          </w:tcPr>
          <w:p>
            <w:pPr>
              <w:pStyle w:val="63"/>
            </w:pPr>
            <w:r>
              <w:rPr>
                <w:rFonts w:hint="eastAsia"/>
              </w:rPr>
              <w:t>18.4578</w:t>
            </w:r>
          </w:p>
        </w:tc>
        <w:tc>
          <w:tcPr>
            <w:tcW w:w="1151" w:type="dxa"/>
            <w:vAlign w:val="center"/>
          </w:tcPr>
          <w:p>
            <w:pPr>
              <w:pStyle w:val="63"/>
            </w:pPr>
            <w:r>
              <w:rPr>
                <w:rFonts w:hint="eastAsia"/>
              </w:rPr>
              <w:t>18.3309</w:t>
            </w:r>
          </w:p>
        </w:tc>
        <w:tc>
          <w:tcPr>
            <w:tcW w:w="1151" w:type="dxa"/>
            <w:vAlign w:val="center"/>
          </w:tcPr>
          <w:p>
            <w:pPr>
              <w:pStyle w:val="63"/>
            </w:pPr>
            <w:r>
              <w:rPr>
                <w:rFonts w:hint="eastAsia"/>
              </w:rPr>
              <w:t>18.3267</w:t>
            </w:r>
          </w:p>
        </w:tc>
        <w:tc>
          <w:tcPr>
            <w:tcW w:w="1259" w:type="dxa"/>
            <w:vAlign w:val="center"/>
          </w:tcPr>
          <w:p>
            <w:pPr>
              <w:pStyle w:val="63"/>
            </w:pPr>
            <w:r>
              <w:rPr>
                <w:rFonts w:hint="eastAsia"/>
              </w:rPr>
              <w:t>18.3267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90</w:t>
            </w:r>
          </w:p>
        </w:tc>
        <w:tc>
          <w:tcPr>
            <w:tcW w:w="1151" w:type="dxa"/>
            <w:vAlign w:val="center"/>
          </w:tcPr>
          <w:p>
            <w:pPr>
              <w:pStyle w:val="63"/>
            </w:pPr>
            <w:r>
              <w:rPr>
                <w:rFonts w:hint="eastAsia"/>
              </w:rPr>
              <w:t>20.2594</w:t>
            </w:r>
          </w:p>
        </w:tc>
        <w:tc>
          <w:tcPr>
            <w:tcW w:w="1151" w:type="dxa"/>
            <w:vAlign w:val="center"/>
          </w:tcPr>
          <w:p>
            <w:pPr>
              <w:pStyle w:val="63"/>
            </w:pPr>
            <w:r>
              <w:rPr>
                <w:rFonts w:hint="eastAsia"/>
              </w:rPr>
              <w:t>19.3755</w:t>
            </w:r>
          </w:p>
        </w:tc>
        <w:tc>
          <w:tcPr>
            <w:tcW w:w="1151" w:type="dxa"/>
            <w:vAlign w:val="center"/>
          </w:tcPr>
          <w:p>
            <w:pPr>
              <w:pStyle w:val="63"/>
            </w:pPr>
            <w:r>
              <w:rPr>
                <w:rFonts w:hint="eastAsia"/>
              </w:rPr>
              <w:t>18.494</w:t>
            </w:r>
          </w:p>
        </w:tc>
        <w:tc>
          <w:tcPr>
            <w:tcW w:w="1151" w:type="dxa"/>
            <w:vAlign w:val="center"/>
          </w:tcPr>
          <w:p>
            <w:pPr>
              <w:pStyle w:val="63"/>
            </w:pPr>
            <w:r>
              <w:rPr>
                <w:rFonts w:hint="eastAsia"/>
              </w:rPr>
              <w:t>18.3342</w:t>
            </w:r>
          </w:p>
        </w:tc>
        <w:tc>
          <w:tcPr>
            <w:tcW w:w="1151" w:type="dxa"/>
            <w:vAlign w:val="center"/>
          </w:tcPr>
          <w:p>
            <w:pPr>
              <w:pStyle w:val="63"/>
            </w:pPr>
            <w:r>
              <w:rPr>
                <w:rFonts w:hint="eastAsia"/>
              </w:rPr>
              <w:t>18.3264</w:t>
            </w:r>
          </w:p>
        </w:tc>
        <w:tc>
          <w:tcPr>
            <w:tcW w:w="1259" w:type="dxa"/>
            <w:vAlign w:val="center"/>
          </w:tcPr>
          <w:p>
            <w:pPr>
              <w:pStyle w:val="63"/>
            </w:pPr>
            <w:r>
              <w:rPr>
                <w:rFonts w:hint="eastAsia"/>
              </w:rPr>
              <w:t>18.3263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100</w:t>
            </w:r>
          </w:p>
        </w:tc>
        <w:tc>
          <w:tcPr>
            <w:tcW w:w="1151" w:type="dxa"/>
            <w:vAlign w:val="center"/>
          </w:tcPr>
          <w:p>
            <w:pPr>
              <w:pStyle w:val="63"/>
            </w:pPr>
            <w:r>
              <w:rPr>
                <w:rFonts w:hint="eastAsia"/>
              </w:rPr>
              <w:t>20.1597</w:t>
            </w:r>
          </w:p>
        </w:tc>
        <w:tc>
          <w:tcPr>
            <w:tcW w:w="1151" w:type="dxa"/>
            <w:vAlign w:val="center"/>
          </w:tcPr>
          <w:p>
            <w:pPr>
              <w:pStyle w:val="63"/>
            </w:pPr>
            <w:r>
              <w:rPr>
                <w:rFonts w:hint="eastAsia"/>
              </w:rPr>
              <w:t>19.3839</w:t>
            </w:r>
          </w:p>
        </w:tc>
        <w:tc>
          <w:tcPr>
            <w:tcW w:w="1151" w:type="dxa"/>
            <w:vAlign w:val="center"/>
          </w:tcPr>
          <w:p>
            <w:pPr>
              <w:pStyle w:val="63"/>
            </w:pPr>
            <w:r>
              <w:rPr>
                <w:rFonts w:hint="eastAsia"/>
              </w:rPr>
              <w:t>18.5291</w:t>
            </w:r>
          </w:p>
        </w:tc>
        <w:tc>
          <w:tcPr>
            <w:tcW w:w="1151" w:type="dxa"/>
            <w:vAlign w:val="center"/>
          </w:tcPr>
          <w:p>
            <w:pPr>
              <w:pStyle w:val="63"/>
            </w:pPr>
            <w:r>
              <w:rPr>
                <w:rFonts w:hint="eastAsia"/>
              </w:rPr>
              <w:t>18.3389</w:t>
            </w:r>
          </w:p>
        </w:tc>
        <w:tc>
          <w:tcPr>
            <w:tcW w:w="1151" w:type="dxa"/>
            <w:vAlign w:val="center"/>
          </w:tcPr>
          <w:p>
            <w:pPr>
              <w:pStyle w:val="63"/>
            </w:pPr>
            <w:r>
              <w:rPr>
                <w:rFonts w:hint="eastAsia"/>
              </w:rPr>
              <w:t>18.3261</w:t>
            </w:r>
          </w:p>
        </w:tc>
        <w:tc>
          <w:tcPr>
            <w:tcW w:w="1259" w:type="dxa"/>
            <w:vAlign w:val="center"/>
          </w:tcPr>
          <w:p>
            <w:pPr>
              <w:pStyle w:val="63"/>
            </w:pPr>
            <w:r>
              <w:rPr>
                <w:rFonts w:hint="eastAsia"/>
              </w:rPr>
              <w:t>18.3259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200</w:t>
            </w:r>
          </w:p>
        </w:tc>
        <w:tc>
          <w:tcPr>
            <w:tcW w:w="1151" w:type="dxa"/>
            <w:vAlign w:val="center"/>
          </w:tcPr>
          <w:p>
            <w:pPr>
              <w:pStyle w:val="63"/>
            </w:pPr>
            <w:r>
              <w:rPr>
                <w:rFonts w:hint="eastAsia"/>
              </w:rPr>
              <w:t>19.6182</w:t>
            </w:r>
          </w:p>
        </w:tc>
        <w:tc>
          <w:tcPr>
            <w:tcW w:w="1151" w:type="dxa"/>
            <w:vAlign w:val="center"/>
          </w:tcPr>
          <w:p>
            <w:pPr>
              <w:pStyle w:val="63"/>
            </w:pPr>
            <w:r>
              <w:rPr>
                <w:rFonts w:hint="eastAsia"/>
              </w:rPr>
              <w:t>19.3065</w:t>
            </w:r>
          </w:p>
        </w:tc>
        <w:tc>
          <w:tcPr>
            <w:tcW w:w="1151" w:type="dxa"/>
            <w:vAlign w:val="center"/>
          </w:tcPr>
          <w:p>
            <w:pPr>
              <w:pStyle w:val="63"/>
            </w:pPr>
            <w:r>
              <w:rPr>
                <w:rFonts w:hint="eastAsia"/>
              </w:rPr>
              <w:t>18.7533</w:t>
            </w:r>
          </w:p>
        </w:tc>
        <w:tc>
          <w:tcPr>
            <w:tcW w:w="1151" w:type="dxa"/>
            <w:vAlign w:val="center"/>
          </w:tcPr>
          <w:p>
            <w:pPr>
              <w:pStyle w:val="63"/>
            </w:pPr>
            <w:r>
              <w:rPr>
                <w:rFonts w:hint="eastAsia"/>
              </w:rPr>
              <w:t>18.4309</w:t>
            </w:r>
          </w:p>
        </w:tc>
        <w:tc>
          <w:tcPr>
            <w:tcW w:w="1151" w:type="dxa"/>
            <w:vAlign w:val="center"/>
          </w:tcPr>
          <w:p>
            <w:pPr>
              <w:pStyle w:val="63"/>
            </w:pPr>
            <w:r>
              <w:rPr>
                <w:rFonts w:hint="eastAsia"/>
              </w:rPr>
              <w:t>18.3377</w:t>
            </w:r>
          </w:p>
        </w:tc>
        <w:tc>
          <w:tcPr>
            <w:tcW w:w="1259" w:type="dxa"/>
            <w:vAlign w:val="center"/>
          </w:tcPr>
          <w:p>
            <w:pPr>
              <w:pStyle w:val="63"/>
            </w:pPr>
            <w:r>
              <w:rPr>
                <w:rFonts w:hint="eastAsia"/>
              </w:rPr>
              <w:t>18.3231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300</w:t>
            </w:r>
          </w:p>
        </w:tc>
        <w:tc>
          <w:tcPr>
            <w:tcW w:w="1151" w:type="dxa"/>
            <w:vAlign w:val="center"/>
          </w:tcPr>
          <w:p>
            <w:pPr>
              <w:pStyle w:val="63"/>
            </w:pPr>
            <w:r>
              <w:rPr>
                <w:rFonts w:hint="eastAsia"/>
              </w:rPr>
              <w:t>19.3759</w:t>
            </w:r>
          </w:p>
        </w:tc>
        <w:tc>
          <w:tcPr>
            <w:tcW w:w="1151" w:type="dxa"/>
            <w:vAlign w:val="center"/>
          </w:tcPr>
          <w:p>
            <w:pPr>
              <w:pStyle w:val="63"/>
            </w:pPr>
            <w:r>
              <w:rPr>
                <w:rFonts w:hint="eastAsia"/>
              </w:rPr>
              <w:t>19.1986</w:t>
            </w:r>
          </w:p>
        </w:tc>
        <w:tc>
          <w:tcPr>
            <w:tcW w:w="1151" w:type="dxa"/>
            <w:vAlign w:val="center"/>
          </w:tcPr>
          <w:p>
            <w:pPr>
              <w:pStyle w:val="63"/>
            </w:pPr>
            <w:r>
              <w:rPr>
                <w:rFonts w:hint="eastAsia"/>
              </w:rPr>
              <w:t>18.8259</w:t>
            </w:r>
          </w:p>
        </w:tc>
        <w:tc>
          <w:tcPr>
            <w:tcW w:w="1151" w:type="dxa"/>
            <w:vAlign w:val="center"/>
          </w:tcPr>
          <w:p>
            <w:pPr>
              <w:pStyle w:val="63"/>
            </w:pPr>
            <w:r>
              <w:rPr>
                <w:rFonts w:hint="eastAsia"/>
              </w:rPr>
              <w:t>18.5209</w:t>
            </w:r>
          </w:p>
        </w:tc>
        <w:tc>
          <w:tcPr>
            <w:tcW w:w="1151" w:type="dxa"/>
            <w:vAlign w:val="center"/>
          </w:tcPr>
          <w:p>
            <w:pPr>
              <w:pStyle w:val="63"/>
            </w:pPr>
            <w:r>
              <w:rPr>
                <w:rFonts w:hint="eastAsia"/>
              </w:rPr>
              <w:t>18.3739</w:t>
            </w:r>
          </w:p>
        </w:tc>
        <w:tc>
          <w:tcPr>
            <w:tcW w:w="1259" w:type="dxa"/>
            <w:vAlign w:val="center"/>
          </w:tcPr>
          <w:p>
            <w:pPr>
              <w:pStyle w:val="63"/>
            </w:pPr>
            <w:r>
              <w:rPr>
                <w:rFonts w:hint="eastAsia"/>
              </w:rPr>
              <w:t>18.3284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400</w:t>
            </w:r>
          </w:p>
        </w:tc>
        <w:tc>
          <w:tcPr>
            <w:tcW w:w="1151" w:type="dxa"/>
            <w:vAlign w:val="center"/>
          </w:tcPr>
          <w:p>
            <w:pPr>
              <w:pStyle w:val="63"/>
            </w:pPr>
            <w:r>
              <w:rPr>
                <w:rFonts w:hint="eastAsia"/>
              </w:rPr>
              <w:t>19.2298</w:t>
            </w:r>
          </w:p>
        </w:tc>
        <w:tc>
          <w:tcPr>
            <w:tcW w:w="1151" w:type="dxa"/>
            <w:vAlign w:val="center"/>
          </w:tcPr>
          <w:p>
            <w:pPr>
              <w:pStyle w:val="63"/>
            </w:pPr>
            <w:r>
              <w:rPr>
                <w:rFonts w:hint="eastAsia"/>
              </w:rPr>
              <w:t>19.1121</w:t>
            </w:r>
          </w:p>
        </w:tc>
        <w:tc>
          <w:tcPr>
            <w:tcW w:w="1151" w:type="dxa"/>
            <w:vAlign w:val="center"/>
          </w:tcPr>
          <w:p>
            <w:pPr>
              <w:pStyle w:val="63"/>
            </w:pPr>
            <w:r>
              <w:rPr>
                <w:rFonts w:hint="eastAsia"/>
              </w:rPr>
              <w:t>18.8421</w:t>
            </w:r>
          </w:p>
        </w:tc>
        <w:tc>
          <w:tcPr>
            <w:tcW w:w="1151" w:type="dxa"/>
            <w:vAlign w:val="center"/>
          </w:tcPr>
          <w:p>
            <w:pPr>
              <w:pStyle w:val="63"/>
            </w:pPr>
            <w:r>
              <w:rPr>
                <w:rFonts w:hint="eastAsia"/>
              </w:rPr>
              <w:t>18.5793</w:t>
            </w:r>
          </w:p>
        </w:tc>
        <w:tc>
          <w:tcPr>
            <w:tcW w:w="1151" w:type="dxa"/>
            <w:vAlign w:val="center"/>
          </w:tcPr>
          <w:p>
            <w:pPr>
              <w:pStyle w:val="63"/>
            </w:pPr>
            <w:r>
              <w:rPr>
                <w:rFonts w:hint="eastAsia"/>
              </w:rPr>
              <w:t>18.415</w:t>
            </w:r>
          </w:p>
        </w:tc>
        <w:tc>
          <w:tcPr>
            <w:tcW w:w="1259" w:type="dxa"/>
            <w:vAlign w:val="center"/>
          </w:tcPr>
          <w:p>
            <w:pPr>
              <w:pStyle w:val="63"/>
            </w:pPr>
            <w:r>
              <w:rPr>
                <w:rFonts w:hint="eastAsia"/>
              </w:rPr>
              <w:t>18.3429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500</w:t>
            </w:r>
          </w:p>
        </w:tc>
        <w:tc>
          <w:tcPr>
            <w:tcW w:w="1151" w:type="dxa"/>
            <w:vAlign w:val="center"/>
          </w:tcPr>
          <w:p>
            <w:pPr>
              <w:pStyle w:val="63"/>
            </w:pPr>
            <w:r>
              <w:rPr>
                <w:rFonts w:hint="eastAsia"/>
              </w:rPr>
              <w:t>19.1287</w:t>
            </w:r>
          </w:p>
        </w:tc>
        <w:tc>
          <w:tcPr>
            <w:tcW w:w="1151" w:type="dxa"/>
            <w:vAlign w:val="center"/>
          </w:tcPr>
          <w:p>
            <w:pPr>
              <w:pStyle w:val="63"/>
            </w:pPr>
            <w:r>
              <w:rPr>
                <w:rFonts w:hint="eastAsia"/>
              </w:rPr>
              <w:t>19.0434</w:t>
            </w:r>
          </w:p>
        </w:tc>
        <w:tc>
          <w:tcPr>
            <w:tcW w:w="1151" w:type="dxa"/>
            <w:vAlign w:val="center"/>
          </w:tcPr>
          <w:p>
            <w:pPr>
              <w:pStyle w:val="63"/>
            </w:pPr>
            <w:r>
              <w:rPr>
                <w:rFonts w:hint="eastAsia"/>
              </w:rPr>
              <w:t>18.8371</w:t>
            </w:r>
          </w:p>
        </w:tc>
        <w:tc>
          <w:tcPr>
            <w:tcW w:w="1151" w:type="dxa"/>
            <w:vAlign w:val="center"/>
          </w:tcPr>
          <w:p>
            <w:pPr>
              <w:pStyle w:val="63"/>
            </w:pPr>
            <w:r>
              <w:rPr>
                <w:rFonts w:hint="eastAsia"/>
              </w:rPr>
              <w:t>18.6138</w:t>
            </w:r>
          </w:p>
        </w:tc>
        <w:tc>
          <w:tcPr>
            <w:tcW w:w="1151" w:type="dxa"/>
            <w:vAlign w:val="center"/>
          </w:tcPr>
          <w:p>
            <w:pPr>
              <w:pStyle w:val="63"/>
            </w:pPr>
            <w:r>
              <w:rPr>
                <w:rFonts w:hint="eastAsia"/>
              </w:rPr>
              <w:t>18.4503</w:t>
            </w:r>
          </w:p>
        </w:tc>
        <w:tc>
          <w:tcPr>
            <w:tcW w:w="1259" w:type="dxa"/>
            <w:vAlign w:val="center"/>
          </w:tcPr>
          <w:p>
            <w:pPr>
              <w:pStyle w:val="63"/>
            </w:pPr>
            <w:r>
              <w:rPr>
                <w:rFonts w:hint="eastAsia"/>
              </w:rPr>
              <w:t>18.3617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600</w:t>
            </w:r>
          </w:p>
        </w:tc>
        <w:tc>
          <w:tcPr>
            <w:tcW w:w="1151" w:type="dxa"/>
            <w:vAlign w:val="center"/>
          </w:tcPr>
          <w:p>
            <w:pPr>
              <w:pStyle w:val="63"/>
            </w:pPr>
            <w:r>
              <w:rPr>
                <w:rFonts w:hint="eastAsia"/>
              </w:rPr>
              <w:t>19.053</w:t>
            </w:r>
          </w:p>
        </w:tc>
        <w:tc>
          <w:tcPr>
            <w:tcW w:w="1151" w:type="dxa"/>
            <w:vAlign w:val="center"/>
          </w:tcPr>
          <w:p>
            <w:pPr>
              <w:pStyle w:val="63"/>
            </w:pPr>
            <w:r>
              <w:rPr>
                <w:rFonts w:hint="eastAsia"/>
              </w:rPr>
              <w:t>18.9875</w:t>
            </w:r>
          </w:p>
        </w:tc>
        <w:tc>
          <w:tcPr>
            <w:tcW w:w="1151" w:type="dxa"/>
            <w:vAlign w:val="center"/>
          </w:tcPr>
          <w:p>
            <w:pPr>
              <w:pStyle w:val="63"/>
            </w:pPr>
            <w:r>
              <w:rPr>
                <w:rFonts w:hint="eastAsia"/>
              </w:rPr>
              <w:t>18.8235</w:t>
            </w:r>
          </w:p>
        </w:tc>
        <w:tc>
          <w:tcPr>
            <w:tcW w:w="1151" w:type="dxa"/>
            <w:vAlign w:val="center"/>
          </w:tcPr>
          <w:p>
            <w:pPr>
              <w:pStyle w:val="63"/>
            </w:pPr>
            <w:r>
              <w:rPr>
                <w:rFonts w:hint="eastAsia"/>
              </w:rPr>
              <w:t>18.6329</w:t>
            </w:r>
          </w:p>
        </w:tc>
        <w:tc>
          <w:tcPr>
            <w:tcW w:w="1151" w:type="dxa"/>
            <w:vAlign w:val="center"/>
          </w:tcPr>
          <w:p>
            <w:pPr>
              <w:pStyle w:val="63"/>
            </w:pPr>
            <w:r>
              <w:rPr>
                <w:rFonts w:hint="eastAsia"/>
              </w:rPr>
              <w:t>18.4777</w:t>
            </w:r>
          </w:p>
        </w:tc>
        <w:tc>
          <w:tcPr>
            <w:tcW w:w="1259" w:type="dxa"/>
            <w:vAlign w:val="center"/>
          </w:tcPr>
          <w:p>
            <w:pPr>
              <w:pStyle w:val="63"/>
            </w:pPr>
            <w:r>
              <w:rPr>
                <w:rFonts w:hint="eastAsia"/>
              </w:rPr>
              <w:t>18.3808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700</w:t>
            </w:r>
          </w:p>
        </w:tc>
        <w:tc>
          <w:tcPr>
            <w:tcW w:w="1151" w:type="dxa"/>
            <w:vAlign w:val="center"/>
          </w:tcPr>
          <w:p>
            <w:pPr>
              <w:pStyle w:val="63"/>
            </w:pPr>
            <w:r>
              <w:rPr>
                <w:rFonts w:hint="eastAsia"/>
              </w:rPr>
              <w:t>18.9933</w:t>
            </w:r>
          </w:p>
        </w:tc>
        <w:tc>
          <w:tcPr>
            <w:tcW w:w="1151" w:type="dxa"/>
            <w:vAlign w:val="center"/>
          </w:tcPr>
          <w:p>
            <w:pPr>
              <w:pStyle w:val="63"/>
            </w:pPr>
            <w:r>
              <w:rPr>
                <w:rFonts w:hint="eastAsia"/>
              </w:rPr>
              <w:t>18.941</w:t>
            </w:r>
          </w:p>
        </w:tc>
        <w:tc>
          <w:tcPr>
            <w:tcW w:w="1151" w:type="dxa"/>
            <w:vAlign w:val="center"/>
          </w:tcPr>
          <w:p>
            <w:pPr>
              <w:pStyle w:val="63"/>
            </w:pPr>
            <w:r>
              <w:rPr>
                <w:rFonts w:hint="eastAsia"/>
              </w:rPr>
              <w:t>18.8066</w:t>
            </w:r>
          </w:p>
        </w:tc>
        <w:tc>
          <w:tcPr>
            <w:tcW w:w="1151" w:type="dxa"/>
            <w:vAlign w:val="center"/>
          </w:tcPr>
          <w:p>
            <w:pPr>
              <w:pStyle w:val="63"/>
            </w:pPr>
            <w:r>
              <w:rPr>
                <w:rFonts w:hint="eastAsia"/>
              </w:rPr>
              <w:t>18.6424</w:t>
            </w:r>
          </w:p>
        </w:tc>
        <w:tc>
          <w:tcPr>
            <w:tcW w:w="1151" w:type="dxa"/>
            <w:vAlign w:val="center"/>
          </w:tcPr>
          <w:p>
            <w:pPr>
              <w:pStyle w:val="63"/>
            </w:pPr>
            <w:r>
              <w:rPr>
                <w:rFonts w:hint="eastAsia"/>
              </w:rPr>
              <w:t>18.498</w:t>
            </w:r>
          </w:p>
        </w:tc>
        <w:tc>
          <w:tcPr>
            <w:tcW w:w="1259" w:type="dxa"/>
            <w:vAlign w:val="center"/>
          </w:tcPr>
          <w:p>
            <w:pPr>
              <w:pStyle w:val="63"/>
            </w:pPr>
            <w:r>
              <w:rPr>
                <w:rFonts w:hint="eastAsia"/>
              </w:rPr>
              <w:t>18.3982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800</w:t>
            </w:r>
          </w:p>
        </w:tc>
        <w:tc>
          <w:tcPr>
            <w:tcW w:w="1151" w:type="dxa"/>
            <w:vAlign w:val="center"/>
          </w:tcPr>
          <w:p>
            <w:pPr>
              <w:pStyle w:val="63"/>
            </w:pPr>
            <w:r>
              <w:rPr>
                <w:rFonts w:hint="eastAsia"/>
              </w:rPr>
              <w:t>18.9443</w:t>
            </w:r>
          </w:p>
        </w:tc>
        <w:tc>
          <w:tcPr>
            <w:tcW w:w="1151" w:type="dxa"/>
            <w:vAlign w:val="center"/>
          </w:tcPr>
          <w:p>
            <w:pPr>
              <w:pStyle w:val="63"/>
            </w:pPr>
            <w:r>
              <w:rPr>
                <w:rFonts w:hint="eastAsia"/>
              </w:rPr>
              <w:t>18.9013</w:t>
            </w:r>
          </w:p>
        </w:tc>
        <w:tc>
          <w:tcPr>
            <w:tcW w:w="1151" w:type="dxa"/>
            <w:vAlign w:val="center"/>
          </w:tcPr>
          <w:p>
            <w:pPr>
              <w:pStyle w:val="63"/>
            </w:pPr>
            <w:r>
              <w:rPr>
                <w:rFonts w:hint="eastAsia"/>
              </w:rPr>
              <w:t>18.7887</w:t>
            </w:r>
          </w:p>
        </w:tc>
        <w:tc>
          <w:tcPr>
            <w:tcW w:w="1151" w:type="dxa"/>
            <w:vAlign w:val="center"/>
          </w:tcPr>
          <w:p>
            <w:pPr>
              <w:pStyle w:val="63"/>
            </w:pPr>
            <w:r>
              <w:rPr>
                <w:rFonts w:hint="eastAsia"/>
              </w:rPr>
              <w:t>18.6456</w:t>
            </w:r>
          </w:p>
        </w:tc>
        <w:tc>
          <w:tcPr>
            <w:tcW w:w="1151" w:type="dxa"/>
            <w:vAlign w:val="center"/>
          </w:tcPr>
          <w:p>
            <w:pPr>
              <w:pStyle w:val="63"/>
            </w:pPr>
            <w:r>
              <w:rPr>
                <w:rFonts w:hint="eastAsia"/>
              </w:rPr>
              <w:t>18.5125</w:t>
            </w:r>
          </w:p>
        </w:tc>
        <w:tc>
          <w:tcPr>
            <w:tcW w:w="1259" w:type="dxa"/>
            <w:vAlign w:val="center"/>
          </w:tcPr>
          <w:p>
            <w:pPr>
              <w:pStyle w:val="63"/>
            </w:pPr>
            <w:r>
              <w:rPr>
                <w:rFonts w:hint="eastAsia"/>
              </w:rPr>
              <w:t>18.413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900</w:t>
            </w:r>
          </w:p>
        </w:tc>
        <w:tc>
          <w:tcPr>
            <w:tcW w:w="1151" w:type="dxa"/>
            <w:vAlign w:val="center"/>
          </w:tcPr>
          <w:p>
            <w:pPr>
              <w:pStyle w:val="63"/>
            </w:pPr>
            <w:r>
              <w:rPr>
                <w:rFonts w:hint="eastAsia"/>
              </w:rPr>
              <w:t>18.903</w:t>
            </w:r>
          </w:p>
        </w:tc>
        <w:tc>
          <w:tcPr>
            <w:tcW w:w="1151" w:type="dxa"/>
            <w:vAlign w:val="center"/>
          </w:tcPr>
          <w:p>
            <w:pPr>
              <w:pStyle w:val="63"/>
            </w:pPr>
            <w:r>
              <w:rPr>
                <w:rFonts w:hint="eastAsia"/>
              </w:rPr>
              <w:t>18.8668</w:t>
            </w:r>
          </w:p>
        </w:tc>
        <w:tc>
          <w:tcPr>
            <w:tcW w:w="1151" w:type="dxa"/>
            <w:vAlign w:val="center"/>
          </w:tcPr>
          <w:p>
            <w:pPr>
              <w:pStyle w:val="63"/>
            </w:pPr>
            <w:r>
              <w:rPr>
                <w:rFonts w:hint="eastAsia"/>
              </w:rPr>
              <w:t>18.7707</w:t>
            </w:r>
          </w:p>
        </w:tc>
        <w:tc>
          <w:tcPr>
            <w:tcW w:w="1151" w:type="dxa"/>
            <w:vAlign w:val="center"/>
          </w:tcPr>
          <w:p>
            <w:pPr>
              <w:pStyle w:val="63"/>
            </w:pPr>
            <w:r>
              <w:rPr>
                <w:rFonts w:hint="eastAsia"/>
              </w:rPr>
              <w:t>18.6449</w:t>
            </w:r>
          </w:p>
        </w:tc>
        <w:tc>
          <w:tcPr>
            <w:tcW w:w="1151" w:type="dxa"/>
            <w:vAlign w:val="center"/>
          </w:tcPr>
          <w:p>
            <w:pPr>
              <w:pStyle w:val="63"/>
            </w:pPr>
            <w:r>
              <w:rPr>
                <w:rFonts w:hint="eastAsia"/>
              </w:rPr>
              <w:t>18.5224</w:t>
            </w:r>
          </w:p>
        </w:tc>
        <w:tc>
          <w:tcPr>
            <w:tcW w:w="1259" w:type="dxa"/>
            <w:vAlign w:val="center"/>
          </w:tcPr>
          <w:p>
            <w:pPr>
              <w:pStyle w:val="63"/>
            </w:pPr>
            <w:r>
              <w:rPr>
                <w:rFonts w:hint="eastAsia"/>
              </w:rPr>
              <w:t>18.4253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1000</w:t>
            </w:r>
          </w:p>
        </w:tc>
        <w:tc>
          <w:tcPr>
            <w:tcW w:w="1151" w:type="dxa"/>
            <w:vAlign w:val="center"/>
          </w:tcPr>
          <w:p>
            <w:pPr>
              <w:pStyle w:val="63"/>
            </w:pPr>
            <w:r>
              <w:rPr>
                <w:rFonts w:hint="eastAsia"/>
              </w:rPr>
              <w:t>18.8675</w:t>
            </w:r>
          </w:p>
        </w:tc>
        <w:tc>
          <w:tcPr>
            <w:tcW w:w="1151" w:type="dxa"/>
            <w:vAlign w:val="center"/>
          </w:tcPr>
          <w:p>
            <w:pPr>
              <w:pStyle w:val="63"/>
            </w:pPr>
            <w:r>
              <w:rPr>
                <w:rFonts w:hint="eastAsia"/>
              </w:rPr>
              <w:t>18.8365</w:t>
            </w:r>
          </w:p>
        </w:tc>
        <w:tc>
          <w:tcPr>
            <w:tcW w:w="1151" w:type="dxa"/>
            <w:vAlign w:val="center"/>
          </w:tcPr>
          <w:p>
            <w:pPr>
              <w:pStyle w:val="63"/>
            </w:pPr>
            <w:r>
              <w:rPr>
                <w:rFonts w:hint="eastAsia"/>
              </w:rPr>
              <w:t>18.7532</w:t>
            </w:r>
          </w:p>
        </w:tc>
        <w:tc>
          <w:tcPr>
            <w:tcW w:w="1151" w:type="dxa"/>
            <w:vAlign w:val="center"/>
          </w:tcPr>
          <w:p>
            <w:pPr>
              <w:pStyle w:val="63"/>
            </w:pPr>
            <w:r>
              <w:rPr>
                <w:rFonts w:hint="eastAsia"/>
              </w:rPr>
              <w:t>18.6415</w:t>
            </w:r>
          </w:p>
        </w:tc>
        <w:tc>
          <w:tcPr>
            <w:tcW w:w="1151" w:type="dxa"/>
            <w:vAlign w:val="center"/>
          </w:tcPr>
          <w:p>
            <w:pPr>
              <w:pStyle w:val="63"/>
            </w:pPr>
            <w:r>
              <w:rPr>
                <w:rFonts w:hint="eastAsia"/>
              </w:rPr>
              <w:t>18.5288</w:t>
            </w:r>
          </w:p>
        </w:tc>
        <w:tc>
          <w:tcPr>
            <w:tcW w:w="1259" w:type="dxa"/>
            <w:vAlign w:val="center"/>
          </w:tcPr>
          <w:p>
            <w:pPr>
              <w:pStyle w:val="63"/>
            </w:pPr>
            <w:r>
              <w:rPr>
                <w:rFonts w:hint="eastAsia"/>
              </w:rPr>
              <w:t>18.435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1500</w:t>
            </w:r>
          </w:p>
        </w:tc>
        <w:tc>
          <w:tcPr>
            <w:tcW w:w="1151" w:type="dxa"/>
            <w:vAlign w:val="center"/>
          </w:tcPr>
          <w:p>
            <w:pPr>
              <w:pStyle w:val="63"/>
            </w:pPr>
            <w:r>
              <w:rPr>
                <w:rFonts w:hint="eastAsia"/>
              </w:rPr>
              <w:t>18.7401</w:t>
            </w:r>
          </w:p>
        </w:tc>
        <w:tc>
          <w:tcPr>
            <w:tcW w:w="1151" w:type="dxa"/>
            <w:vAlign w:val="center"/>
          </w:tcPr>
          <w:p>
            <w:pPr>
              <w:pStyle w:val="63"/>
            </w:pPr>
            <w:r>
              <w:rPr>
                <w:rFonts w:hint="eastAsia"/>
              </w:rPr>
              <w:t>18.7231</w:t>
            </w:r>
          </w:p>
        </w:tc>
        <w:tc>
          <w:tcPr>
            <w:tcW w:w="1151" w:type="dxa"/>
            <w:vAlign w:val="center"/>
          </w:tcPr>
          <w:p>
            <w:pPr>
              <w:pStyle w:val="63"/>
            </w:pPr>
            <w:r>
              <w:rPr>
                <w:rFonts w:hint="eastAsia"/>
              </w:rPr>
              <w:t>18.6757</w:t>
            </w:r>
          </w:p>
        </w:tc>
        <w:tc>
          <w:tcPr>
            <w:tcW w:w="1151" w:type="dxa"/>
            <w:vAlign w:val="center"/>
          </w:tcPr>
          <w:p>
            <w:pPr>
              <w:pStyle w:val="63"/>
            </w:pPr>
            <w:r>
              <w:rPr>
                <w:rFonts w:hint="eastAsia"/>
              </w:rPr>
              <w:t>18.6074</w:t>
            </w:r>
          </w:p>
        </w:tc>
        <w:tc>
          <w:tcPr>
            <w:tcW w:w="1151" w:type="dxa"/>
            <w:vAlign w:val="center"/>
          </w:tcPr>
          <w:p>
            <w:pPr>
              <w:pStyle w:val="63"/>
            </w:pPr>
            <w:r>
              <w:rPr>
                <w:rFonts w:hint="eastAsia"/>
              </w:rPr>
              <w:t>18.5306</w:t>
            </w:r>
          </w:p>
        </w:tc>
        <w:tc>
          <w:tcPr>
            <w:tcW w:w="1259" w:type="dxa"/>
            <w:vAlign w:val="center"/>
          </w:tcPr>
          <w:p>
            <w:pPr>
              <w:pStyle w:val="63"/>
            </w:pPr>
            <w:r>
              <w:rPr>
                <w:rFonts w:hint="eastAsia"/>
              </w:rPr>
              <w:t>18.4568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2000</w:t>
            </w:r>
          </w:p>
        </w:tc>
        <w:tc>
          <w:tcPr>
            <w:tcW w:w="1151" w:type="dxa"/>
            <w:vAlign w:val="center"/>
          </w:tcPr>
          <w:p>
            <w:pPr>
              <w:pStyle w:val="63"/>
            </w:pPr>
            <w:r>
              <w:rPr>
                <w:rFonts w:hint="eastAsia"/>
              </w:rPr>
              <w:t>18.6558</w:t>
            </w:r>
          </w:p>
        </w:tc>
        <w:tc>
          <w:tcPr>
            <w:tcW w:w="1151" w:type="dxa"/>
            <w:vAlign w:val="center"/>
          </w:tcPr>
          <w:p>
            <w:pPr>
              <w:pStyle w:val="63"/>
            </w:pPr>
            <w:r>
              <w:rPr>
                <w:rFonts w:hint="eastAsia"/>
              </w:rPr>
              <w:t>18.6448</w:t>
            </w:r>
          </w:p>
        </w:tc>
        <w:tc>
          <w:tcPr>
            <w:tcW w:w="1151" w:type="dxa"/>
            <w:vAlign w:val="center"/>
          </w:tcPr>
          <w:p>
            <w:pPr>
              <w:pStyle w:val="63"/>
            </w:pPr>
            <w:r>
              <w:rPr>
                <w:rFonts w:hint="eastAsia"/>
              </w:rPr>
              <w:t>18.6133</w:t>
            </w:r>
          </w:p>
        </w:tc>
        <w:tc>
          <w:tcPr>
            <w:tcW w:w="1151" w:type="dxa"/>
            <w:vAlign w:val="center"/>
          </w:tcPr>
          <w:p>
            <w:pPr>
              <w:pStyle w:val="63"/>
            </w:pPr>
            <w:r>
              <w:rPr>
                <w:rFonts w:hint="eastAsia"/>
              </w:rPr>
              <w:t>18.5663</w:t>
            </w:r>
          </w:p>
        </w:tc>
        <w:tc>
          <w:tcPr>
            <w:tcW w:w="1151" w:type="dxa"/>
            <w:vAlign w:val="center"/>
          </w:tcPr>
          <w:p>
            <w:pPr>
              <w:pStyle w:val="63"/>
            </w:pPr>
            <w:r>
              <w:rPr>
                <w:rFonts w:hint="eastAsia"/>
              </w:rPr>
              <w:t>18.5105</w:t>
            </w:r>
          </w:p>
        </w:tc>
        <w:tc>
          <w:tcPr>
            <w:tcW w:w="1259" w:type="dxa"/>
            <w:vAlign w:val="center"/>
          </w:tcPr>
          <w:p>
            <w:pPr>
              <w:pStyle w:val="63"/>
            </w:pPr>
            <w:r>
              <w:rPr>
                <w:rFonts w:hint="eastAsia"/>
              </w:rPr>
              <w:t>18.4528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2500</w:t>
            </w:r>
          </w:p>
        </w:tc>
        <w:tc>
          <w:tcPr>
            <w:tcW w:w="1151" w:type="dxa"/>
            <w:vAlign w:val="center"/>
          </w:tcPr>
          <w:p>
            <w:pPr>
              <w:pStyle w:val="63"/>
            </w:pPr>
            <w:r>
              <w:rPr>
                <w:rFonts w:hint="eastAsia"/>
              </w:rPr>
              <w:t>18.5918</w:t>
            </w:r>
          </w:p>
        </w:tc>
        <w:tc>
          <w:tcPr>
            <w:tcW w:w="1151" w:type="dxa"/>
            <w:vAlign w:val="center"/>
          </w:tcPr>
          <w:p>
            <w:pPr>
              <w:pStyle w:val="63"/>
            </w:pPr>
            <w:r>
              <w:rPr>
                <w:rFonts w:hint="eastAsia"/>
              </w:rPr>
              <w:t>18.5838</w:t>
            </w:r>
          </w:p>
        </w:tc>
        <w:tc>
          <w:tcPr>
            <w:tcW w:w="1151" w:type="dxa"/>
            <w:vAlign w:val="center"/>
          </w:tcPr>
          <w:p>
            <w:pPr>
              <w:pStyle w:val="63"/>
            </w:pPr>
            <w:r>
              <w:rPr>
                <w:rFonts w:hint="eastAsia"/>
              </w:rPr>
              <w:t>18.561</w:t>
            </w:r>
          </w:p>
        </w:tc>
        <w:tc>
          <w:tcPr>
            <w:tcW w:w="1151" w:type="dxa"/>
            <w:vAlign w:val="center"/>
          </w:tcPr>
          <w:p>
            <w:pPr>
              <w:pStyle w:val="63"/>
            </w:pPr>
            <w:r>
              <w:rPr>
                <w:rFonts w:hint="eastAsia"/>
              </w:rPr>
              <w:t>18.5262</w:t>
            </w:r>
          </w:p>
        </w:tc>
        <w:tc>
          <w:tcPr>
            <w:tcW w:w="1151" w:type="dxa"/>
            <w:vAlign w:val="center"/>
          </w:tcPr>
          <w:p>
            <w:pPr>
              <w:pStyle w:val="63"/>
            </w:pPr>
            <w:r>
              <w:rPr>
                <w:rFonts w:hint="eastAsia"/>
              </w:rPr>
              <w:t>18.4835</w:t>
            </w:r>
          </w:p>
        </w:tc>
        <w:tc>
          <w:tcPr>
            <w:tcW w:w="1259" w:type="dxa"/>
            <w:vAlign w:val="center"/>
          </w:tcPr>
          <w:p>
            <w:pPr>
              <w:pStyle w:val="63"/>
            </w:pPr>
            <w:r>
              <w:rPr>
                <w:rFonts w:hint="eastAsia"/>
              </w:rPr>
              <w:t>18.4374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3000</w:t>
            </w:r>
          </w:p>
        </w:tc>
        <w:tc>
          <w:tcPr>
            <w:tcW w:w="1151" w:type="dxa"/>
            <w:vAlign w:val="center"/>
          </w:tcPr>
          <w:p>
            <w:pPr>
              <w:pStyle w:val="63"/>
            </w:pPr>
            <w:r>
              <w:rPr>
                <w:rFonts w:hint="eastAsia"/>
              </w:rPr>
              <w:t>18.5391</w:t>
            </w:r>
          </w:p>
        </w:tc>
        <w:tc>
          <w:tcPr>
            <w:tcW w:w="1151" w:type="dxa"/>
            <w:vAlign w:val="center"/>
          </w:tcPr>
          <w:p>
            <w:pPr>
              <w:pStyle w:val="63"/>
            </w:pPr>
            <w:r>
              <w:rPr>
                <w:rFonts w:hint="eastAsia"/>
              </w:rPr>
              <w:t>18.533</w:t>
            </w:r>
          </w:p>
        </w:tc>
        <w:tc>
          <w:tcPr>
            <w:tcW w:w="1151" w:type="dxa"/>
            <w:vAlign w:val="center"/>
          </w:tcPr>
          <w:p>
            <w:pPr>
              <w:pStyle w:val="63"/>
            </w:pPr>
            <w:r>
              <w:rPr>
                <w:rFonts w:hint="eastAsia"/>
              </w:rPr>
              <w:t>18.5155</w:t>
            </w:r>
          </w:p>
        </w:tc>
        <w:tc>
          <w:tcPr>
            <w:tcW w:w="1151" w:type="dxa"/>
            <w:vAlign w:val="center"/>
          </w:tcPr>
          <w:p>
            <w:pPr>
              <w:pStyle w:val="63"/>
            </w:pPr>
            <w:r>
              <w:rPr>
                <w:rFonts w:hint="eastAsia"/>
              </w:rPr>
              <w:t>18.4885</w:t>
            </w:r>
          </w:p>
        </w:tc>
        <w:tc>
          <w:tcPr>
            <w:tcW w:w="1151" w:type="dxa"/>
            <w:vAlign w:val="center"/>
          </w:tcPr>
          <w:p>
            <w:pPr>
              <w:pStyle w:val="63"/>
            </w:pPr>
            <w:r>
              <w:rPr>
                <w:rFonts w:hint="eastAsia"/>
              </w:rPr>
              <w:t>18.4545</w:t>
            </w:r>
          </w:p>
        </w:tc>
        <w:tc>
          <w:tcPr>
            <w:tcW w:w="1259" w:type="dxa"/>
            <w:vAlign w:val="center"/>
          </w:tcPr>
          <w:p>
            <w:pPr>
              <w:pStyle w:val="63"/>
            </w:pPr>
            <w:r>
              <w:rPr>
                <w:rFonts w:hint="eastAsia"/>
              </w:rPr>
              <w:t>18.4168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3500</w:t>
            </w:r>
          </w:p>
        </w:tc>
        <w:tc>
          <w:tcPr>
            <w:tcW w:w="1151" w:type="dxa"/>
            <w:vAlign w:val="center"/>
          </w:tcPr>
          <w:p>
            <w:pPr>
              <w:pStyle w:val="63"/>
            </w:pPr>
            <w:r>
              <w:rPr>
                <w:rFonts w:hint="eastAsia"/>
              </w:rPr>
              <w:t>18.4935</w:t>
            </w:r>
          </w:p>
        </w:tc>
        <w:tc>
          <w:tcPr>
            <w:tcW w:w="1151" w:type="dxa"/>
            <w:vAlign w:val="center"/>
          </w:tcPr>
          <w:p>
            <w:pPr>
              <w:pStyle w:val="63"/>
            </w:pPr>
            <w:r>
              <w:rPr>
                <w:rFonts w:hint="eastAsia"/>
              </w:rPr>
              <w:t>18.4887</w:t>
            </w:r>
          </w:p>
        </w:tc>
        <w:tc>
          <w:tcPr>
            <w:tcW w:w="1151" w:type="dxa"/>
            <w:vAlign w:val="center"/>
          </w:tcPr>
          <w:p>
            <w:pPr>
              <w:pStyle w:val="63"/>
            </w:pPr>
            <w:r>
              <w:rPr>
                <w:rFonts w:hint="eastAsia"/>
              </w:rPr>
              <w:t>18.4748</w:t>
            </w:r>
          </w:p>
        </w:tc>
        <w:tc>
          <w:tcPr>
            <w:tcW w:w="1151" w:type="dxa"/>
            <w:vAlign w:val="center"/>
          </w:tcPr>
          <w:p>
            <w:pPr>
              <w:pStyle w:val="63"/>
            </w:pPr>
            <w:r>
              <w:rPr>
                <w:rFonts w:hint="eastAsia"/>
              </w:rPr>
              <w:t>18.453</w:t>
            </w:r>
          </w:p>
        </w:tc>
        <w:tc>
          <w:tcPr>
            <w:tcW w:w="1151" w:type="dxa"/>
            <w:vAlign w:val="center"/>
          </w:tcPr>
          <w:p>
            <w:pPr>
              <w:pStyle w:val="63"/>
            </w:pPr>
            <w:r>
              <w:rPr>
                <w:rFonts w:hint="eastAsia"/>
              </w:rPr>
              <w:t>18.4251</w:t>
            </w:r>
          </w:p>
        </w:tc>
        <w:tc>
          <w:tcPr>
            <w:tcW w:w="1259" w:type="dxa"/>
            <w:vAlign w:val="center"/>
          </w:tcPr>
          <w:p>
            <w:pPr>
              <w:pStyle w:val="63"/>
            </w:pPr>
            <w:r>
              <w:rPr>
                <w:rFonts w:hint="eastAsia"/>
              </w:rPr>
              <w:t>18.3936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4000</w:t>
            </w:r>
          </w:p>
        </w:tc>
        <w:tc>
          <w:tcPr>
            <w:tcW w:w="1151" w:type="dxa"/>
            <w:vAlign w:val="center"/>
          </w:tcPr>
          <w:p>
            <w:pPr>
              <w:pStyle w:val="63"/>
            </w:pPr>
            <w:r>
              <w:rPr>
                <w:rFonts w:hint="eastAsia"/>
              </w:rPr>
              <w:t>18.4528</w:t>
            </w:r>
          </w:p>
        </w:tc>
        <w:tc>
          <w:tcPr>
            <w:tcW w:w="1151" w:type="dxa"/>
            <w:vAlign w:val="center"/>
          </w:tcPr>
          <w:p>
            <w:pPr>
              <w:pStyle w:val="63"/>
            </w:pPr>
            <w:r>
              <w:rPr>
                <w:rFonts w:hint="eastAsia"/>
              </w:rPr>
              <w:t>18.4489</w:t>
            </w:r>
          </w:p>
        </w:tc>
        <w:tc>
          <w:tcPr>
            <w:tcW w:w="1151" w:type="dxa"/>
            <w:vAlign w:val="center"/>
          </w:tcPr>
          <w:p>
            <w:pPr>
              <w:pStyle w:val="63"/>
            </w:pPr>
            <w:r>
              <w:rPr>
                <w:rFonts w:hint="eastAsia"/>
              </w:rPr>
              <w:t>18.4375</w:t>
            </w:r>
          </w:p>
        </w:tc>
        <w:tc>
          <w:tcPr>
            <w:tcW w:w="1151" w:type="dxa"/>
            <w:vAlign w:val="center"/>
          </w:tcPr>
          <w:p>
            <w:pPr>
              <w:pStyle w:val="63"/>
            </w:pPr>
            <w:r>
              <w:rPr>
                <w:rFonts w:hint="eastAsia"/>
              </w:rPr>
              <w:t>18.4194</w:t>
            </w:r>
          </w:p>
        </w:tc>
        <w:tc>
          <w:tcPr>
            <w:tcW w:w="1151" w:type="dxa"/>
            <w:vAlign w:val="center"/>
          </w:tcPr>
          <w:p>
            <w:pPr>
              <w:pStyle w:val="63"/>
            </w:pPr>
            <w:r>
              <w:rPr>
                <w:rFonts w:hint="eastAsia"/>
              </w:rPr>
              <w:t>18.3961</w:t>
            </w:r>
          </w:p>
        </w:tc>
        <w:tc>
          <w:tcPr>
            <w:tcW w:w="1259" w:type="dxa"/>
            <w:vAlign w:val="center"/>
          </w:tcPr>
          <w:p>
            <w:pPr>
              <w:pStyle w:val="63"/>
            </w:pPr>
            <w:r>
              <w:rPr>
                <w:rFonts w:hint="eastAsia"/>
              </w:rPr>
              <w:t>18.3692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pStyle w:val="63"/>
            </w:pPr>
            <w:r>
              <w:rPr>
                <w:rFonts w:hint="eastAsia"/>
              </w:rPr>
              <w:t>4500</w:t>
            </w:r>
          </w:p>
        </w:tc>
        <w:tc>
          <w:tcPr>
            <w:tcW w:w="1151" w:type="dxa"/>
            <w:vAlign w:val="center"/>
          </w:tcPr>
          <w:p>
            <w:pPr>
              <w:pStyle w:val="63"/>
            </w:pPr>
            <w:r>
              <w:rPr>
                <w:rFonts w:hint="eastAsia"/>
              </w:rPr>
              <w:t>18.4156</w:t>
            </w:r>
          </w:p>
        </w:tc>
        <w:tc>
          <w:tcPr>
            <w:tcW w:w="1151" w:type="dxa"/>
            <w:vAlign w:val="center"/>
          </w:tcPr>
          <w:p>
            <w:pPr>
              <w:pStyle w:val="63"/>
            </w:pPr>
            <w:r>
              <w:rPr>
                <w:rFonts w:hint="eastAsia"/>
              </w:rPr>
              <w:t>18.4124</w:t>
            </w:r>
          </w:p>
        </w:tc>
        <w:tc>
          <w:tcPr>
            <w:tcW w:w="1151" w:type="dxa"/>
            <w:vAlign w:val="center"/>
          </w:tcPr>
          <w:p>
            <w:pPr>
              <w:pStyle w:val="63"/>
            </w:pPr>
            <w:r>
              <w:rPr>
                <w:rFonts w:hint="eastAsia"/>
              </w:rPr>
              <w:t>18.4027</w:t>
            </w:r>
          </w:p>
        </w:tc>
        <w:tc>
          <w:tcPr>
            <w:tcW w:w="1151" w:type="dxa"/>
            <w:vAlign w:val="center"/>
          </w:tcPr>
          <w:p>
            <w:pPr>
              <w:pStyle w:val="63"/>
            </w:pPr>
            <w:r>
              <w:rPr>
                <w:rFonts w:hint="eastAsia"/>
              </w:rPr>
              <w:t>18.3874</w:t>
            </w:r>
          </w:p>
        </w:tc>
        <w:tc>
          <w:tcPr>
            <w:tcW w:w="1151" w:type="dxa"/>
            <w:vAlign w:val="center"/>
          </w:tcPr>
          <w:p>
            <w:pPr>
              <w:pStyle w:val="63"/>
            </w:pPr>
            <w:r>
              <w:rPr>
                <w:rFonts w:hint="eastAsia"/>
              </w:rPr>
              <w:t>18.3676</w:t>
            </w:r>
          </w:p>
        </w:tc>
        <w:tc>
          <w:tcPr>
            <w:tcW w:w="1259" w:type="dxa"/>
            <w:vAlign w:val="center"/>
          </w:tcPr>
          <w:p>
            <w:pPr>
              <w:pStyle w:val="63"/>
            </w:pPr>
            <w:r>
              <w:rPr>
                <w:rFonts w:hint="eastAsia"/>
              </w:rPr>
              <w:t>18.3444</w:t>
            </w:r>
          </w:p>
        </w:tc>
      </w:tr>
    </w:tbl>
    <w:p>
      <w:pPr>
        <w:pStyle w:val="6"/>
        <w:rPr>
          <w:lang w:val="zh-CN"/>
        </w:rPr>
      </w:pPr>
      <w:r>
        <w:rPr>
          <w:rFonts w:hint="eastAsia"/>
          <w:lang w:val="zh-CN"/>
        </w:rPr>
        <w:t>表</w:t>
      </w:r>
      <w:r>
        <w:rPr>
          <w:rFonts w:hint="eastAsia"/>
        </w:rPr>
        <w:t>4.6-9</w:t>
      </w:r>
      <w:r>
        <w:rPr>
          <w:rFonts w:hint="eastAsia"/>
          <w:lang w:val="zh-CN"/>
        </w:rPr>
        <w:t xml:space="preserve">   废水事故排放对长江枯水期NH3-N预测值(mg/L)</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208"/>
        <w:gridCol w:w="1208"/>
        <w:gridCol w:w="1208"/>
        <w:gridCol w:w="1208"/>
        <w:gridCol w:w="1208"/>
        <w:gridCol w:w="12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t>X\c/Y</w:t>
            </w:r>
          </w:p>
        </w:tc>
        <w:tc>
          <w:tcPr>
            <w:tcW w:w="1208" w:type="dxa"/>
            <w:vAlign w:val="center"/>
          </w:tcPr>
          <w:p>
            <w:pPr>
              <w:pStyle w:val="63"/>
            </w:pPr>
            <w:r>
              <w:t>0</w:t>
            </w:r>
          </w:p>
        </w:tc>
        <w:tc>
          <w:tcPr>
            <w:tcW w:w="1208" w:type="dxa"/>
            <w:vAlign w:val="center"/>
          </w:tcPr>
          <w:p>
            <w:pPr>
              <w:pStyle w:val="63"/>
            </w:pPr>
            <w:r>
              <w:t>10</w:t>
            </w:r>
          </w:p>
        </w:tc>
        <w:tc>
          <w:tcPr>
            <w:tcW w:w="1208" w:type="dxa"/>
            <w:vAlign w:val="center"/>
          </w:tcPr>
          <w:p>
            <w:pPr>
              <w:pStyle w:val="63"/>
            </w:pPr>
            <w:r>
              <w:t>20</w:t>
            </w:r>
          </w:p>
        </w:tc>
        <w:tc>
          <w:tcPr>
            <w:tcW w:w="1208" w:type="dxa"/>
            <w:vAlign w:val="center"/>
          </w:tcPr>
          <w:p>
            <w:pPr>
              <w:pStyle w:val="63"/>
            </w:pPr>
            <w:r>
              <w:t>30</w:t>
            </w:r>
          </w:p>
        </w:tc>
        <w:tc>
          <w:tcPr>
            <w:tcW w:w="1208" w:type="dxa"/>
            <w:vAlign w:val="center"/>
          </w:tcPr>
          <w:p>
            <w:pPr>
              <w:pStyle w:val="63"/>
            </w:pPr>
            <w:r>
              <w:t>40</w:t>
            </w:r>
          </w:p>
        </w:tc>
        <w:tc>
          <w:tcPr>
            <w:tcW w:w="1204" w:type="dxa"/>
            <w:vAlign w:val="center"/>
          </w:tcPr>
          <w:p>
            <w:pPr>
              <w:pStyle w:val="63"/>
            </w:pPr>
            <w: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10</w:t>
            </w:r>
          </w:p>
        </w:tc>
        <w:tc>
          <w:tcPr>
            <w:tcW w:w="1208" w:type="dxa"/>
            <w:vAlign w:val="center"/>
          </w:tcPr>
          <w:p>
            <w:pPr>
              <w:pStyle w:val="63"/>
            </w:pPr>
            <w:r>
              <w:rPr>
                <w:rFonts w:hint="eastAsia"/>
              </w:rPr>
              <w:t>0.9520</w:t>
            </w:r>
          </w:p>
        </w:tc>
        <w:tc>
          <w:tcPr>
            <w:tcW w:w="1208" w:type="dxa"/>
            <w:vAlign w:val="center"/>
          </w:tcPr>
          <w:p>
            <w:pPr>
              <w:pStyle w:val="63"/>
            </w:pPr>
            <w:r>
              <w:rPr>
                <w:rFonts w:hint="eastAsia"/>
              </w:rPr>
              <w:t>0.4321</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4" w:type="dxa"/>
            <w:vAlign w:val="center"/>
          </w:tcPr>
          <w:p>
            <w:pPr>
              <w:pStyle w:val="63"/>
            </w:pPr>
            <w:r>
              <w:rPr>
                <w:rFonts w:hint="eastAsia"/>
              </w:rPr>
              <w:t>0.4300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20</w:t>
            </w:r>
          </w:p>
        </w:tc>
        <w:tc>
          <w:tcPr>
            <w:tcW w:w="1208" w:type="dxa"/>
            <w:vAlign w:val="center"/>
          </w:tcPr>
          <w:p>
            <w:pPr>
              <w:pStyle w:val="63"/>
            </w:pPr>
            <w:r>
              <w:rPr>
                <w:rFonts w:hint="eastAsia"/>
              </w:rPr>
              <w:t>0.7991</w:t>
            </w:r>
          </w:p>
        </w:tc>
        <w:tc>
          <w:tcPr>
            <w:tcW w:w="1208" w:type="dxa"/>
            <w:vAlign w:val="center"/>
          </w:tcPr>
          <w:p>
            <w:pPr>
              <w:pStyle w:val="63"/>
            </w:pPr>
            <w:r>
              <w:rPr>
                <w:rFonts w:hint="eastAsia"/>
              </w:rPr>
              <w:t>0.4536</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4" w:type="dxa"/>
            <w:vAlign w:val="center"/>
          </w:tcPr>
          <w:p>
            <w:pPr>
              <w:pStyle w:val="63"/>
            </w:pPr>
            <w:r>
              <w:rPr>
                <w:rFonts w:hint="eastAsia"/>
              </w:rPr>
              <w:t>0.4300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30</w:t>
            </w:r>
          </w:p>
        </w:tc>
        <w:tc>
          <w:tcPr>
            <w:tcW w:w="1208" w:type="dxa"/>
            <w:vAlign w:val="center"/>
          </w:tcPr>
          <w:p>
            <w:pPr>
              <w:pStyle w:val="63"/>
            </w:pPr>
            <w:r>
              <w:rPr>
                <w:rFonts w:hint="eastAsia"/>
              </w:rPr>
              <w:t>0.7313</w:t>
            </w:r>
          </w:p>
        </w:tc>
        <w:tc>
          <w:tcPr>
            <w:tcW w:w="1208" w:type="dxa"/>
            <w:vAlign w:val="center"/>
          </w:tcPr>
          <w:p>
            <w:pPr>
              <w:pStyle w:val="63"/>
            </w:pPr>
            <w:r>
              <w:rPr>
                <w:rFonts w:hint="eastAsia"/>
              </w:rPr>
              <w:t>0.4782</w:t>
            </w:r>
          </w:p>
        </w:tc>
        <w:tc>
          <w:tcPr>
            <w:tcW w:w="1208" w:type="dxa"/>
            <w:vAlign w:val="center"/>
          </w:tcPr>
          <w:p>
            <w:pPr>
              <w:pStyle w:val="63"/>
            </w:pPr>
            <w:r>
              <w:rPr>
                <w:rFonts w:hint="eastAsia"/>
              </w:rPr>
              <w:t>0.4302</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4" w:type="dxa"/>
            <w:vAlign w:val="center"/>
          </w:tcPr>
          <w:p>
            <w:pPr>
              <w:pStyle w:val="63"/>
            </w:pPr>
            <w:r>
              <w:rPr>
                <w:rFonts w:hint="eastAsia"/>
              </w:rPr>
              <w:t>0.4300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40</w:t>
            </w:r>
          </w:p>
        </w:tc>
        <w:tc>
          <w:tcPr>
            <w:tcW w:w="1208" w:type="dxa"/>
            <w:vAlign w:val="center"/>
          </w:tcPr>
          <w:p>
            <w:pPr>
              <w:pStyle w:val="63"/>
            </w:pPr>
            <w:r>
              <w:rPr>
                <w:rFonts w:hint="eastAsia"/>
              </w:rPr>
              <w:t>0.6910</w:t>
            </w:r>
          </w:p>
        </w:tc>
        <w:tc>
          <w:tcPr>
            <w:tcW w:w="1208" w:type="dxa"/>
            <w:vAlign w:val="center"/>
          </w:tcPr>
          <w:p>
            <w:pPr>
              <w:pStyle w:val="63"/>
            </w:pPr>
            <w:r>
              <w:rPr>
                <w:rFonts w:hint="eastAsia"/>
              </w:rPr>
              <w:t>0.4960</w:t>
            </w:r>
          </w:p>
        </w:tc>
        <w:tc>
          <w:tcPr>
            <w:tcW w:w="1208" w:type="dxa"/>
            <w:vAlign w:val="center"/>
          </w:tcPr>
          <w:p>
            <w:pPr>
              <w:pStyle w:val="63"/>
            </w:pPr>
            <w:r>
              <w:rPr>
                <w:rFonts w:hint="eastAsia"/>
              </w:rPr>
              <w:t>0.4310</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4" w:type="dxa"/>
            <w:vAlign w:val="center"/>
          </w:tcPr>
          <w:p>
            <w:pPr>
              <w:pStyle w:val="63"/>
            </w:pPr>
            <w:r>
              <w:rPr>
                <w:rFonts w:hint="eastAsia"/>
              </w:rPr>
              <w:t>0.4300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50</w:t>
            </w:r>
          </w:p>
        </w:tc>
        <w:tc>
          <w:tcPr>
            <w:tcW w:w="1208" w:type="dxa"/>
            <w:vAlign w:val="center"/>
          </w:tcPr>
          <w:p>
            <w:pPr>
              <w:pStyle w:val="63"/>
            </w:pPr>
            <w:r>
              <w:rPr>
                <w:rFonts w:hint="eastAsia"/>
              </w:rPr>
              <w:t>0.6634</w:t>
            </w:r>
          </w:p>
        </w:tc>
        <w:tc>
          <w:tcPr>
            <w:tcW w:w="1208" w:type="dxa"/>
            <w:vAlign w:val="center"/>
          </w:tcPr>
          <w:p>
            <w:pPr>
              <w:pStyle w:val="63"/>
            </w:pPr>
            <w:r>
              <w:rPr>
                <w:rFonts w:hint="eastAsia"/>
              </w:rPr>
              <w:t>0.5077</w:t>
            </w:r>
          </w:p>
        </w:tc>
        <w:tc>
          <w:tcPr>
            <w:tcW w:w="1208" w:type="dxa"/>
            <w:vAlign w:val="center"/>
          </w:tcPr>
          <w:p>
            <w:pPr>
              <w:pStyle w:val="63"/>
            </w:pPr>
            <w:r>
              <w:rPr>
                <w:rFonts w:hint="eastAsia"/>
              </w:rPr>
              <w:t>0.4328</w:t>
            </w:r>
          </w:p>
        </w:tc>
        <w:tc>
          <w:tcPr>
            <w:tcW w:w="1208" w:type="dxa"/>
            <w:vAlign w:val="center"/>
          </w:tcPr>
          <w:p>
            <w:pPr>
              <w:pStyle w:val="63"/>
            </w:pPr>
            <w:r>
              <w:rPr>
                <w:rFonts w:hint="eastAsia"/>
              </w:rPr>
              <w:t>0.4300</w:t>
            </w:r>
          </w:p>
        </w:tc>
        <w:tc>
          <w:tcPr>
            <w:tcW w:w="1208" w:type="dxa"/>
            <w:vAlign w:val="center"/>
          </w:tcPr>
          <w:p>
            <w:pPr>
              <w:pStyle w:val="63"/>
            </w:pPr>
            <w:r>
              <w:rPr>
                <w:rFonts w:hint="eastAsia"/>
              </w:rPr>
              <w:t>0.4300</w:t>
            </w:r>
          </w:p>
        </w:tc>
        <w:tc>
          <w:tcPr>
            <w:tcW w:w="1204" w:type="dxa"/>
            <w:vAlign w:val="center"/>
          </w:tcPr>
          <w:p>
            <w:pPr>
              <w:pStyle w:val="63"/>
            </w:pPr>
            <w:r>
              <w:rPr>
                <w:rFonts w:hint="eastAsia"/>
              </w:rPr>
              <w:t>0.4300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60</w:t>
            </w:r>
          </w:p>
        </w:tc>
        <w:tc>
          <w:tcPr>
            <w:tcW w:w="1208" w:type="dxa"/>
            <w:vAlign w:val="center"/>
          </w:tcPr>
          <w:p>
            <w:pPr>
              <w:pStyle w:val="63"/>
            </w:pPr>
            <w:r>
              <w:rPr>
                <w:rFonts w:hint="eastAsia"/>
              </w:rPr>
              <w:t>0.6430</w:t>
            </w:r>
          </w:p>
        </w:tc>
        <w:tc>
          <w:tcPr>
            <w:tcW w:w="1208" w:type="dxa"/>
            <w:vAlign w:val="center"/>
          </w:tcPr>
          <w:p>
            <w:pPr>
              <w:pStyle w:val="63"/>
            </w:pPr>
            <w:r>
              <w:rPr>
                <w:rFonts w:hint="eastAsia"/>
              </w:rPr>
              <w:t>0.5151</w:t>
            </w:r>
          </w:p>
        </w:tc>
        <w:tc>
          <w:tcPr>
            <w:tcW w:w="1208" w:type="dxa"/>
            <w:vAlign w:val="center"/>
          </w:tcPr>
          <w:p>
            <w:pPr>
              <w:pStyle w:val="63"/>
            </w:pPr>
            <w:r>
              <w:rPr>
                <w:rFonts w:hint="eastAsia"/>
              </w:rPr>
              <w:t>0.4354</w:t>
            </w:r>
          </w:p>
        </w:tc>
        <w:tc>
          <w:tcPr>
            <w:tcW w:w="1208" w:type="dxa"/>
            <w:vAlign w:val="center"/>
          </w:tcPr>
          <w:p>
            <w:pPr>
              <w:pStyle w:val="63"/>
            </w:pPr>
            <w:r>
              <w:rPr>
                <w:rFonts w:hint="eastAsia"/>
              </w:rPr>
              <w:t>0.4300</w:t>
            </w:r>
          </w:p>
        </w:tc>
        <w:tc>
          <w:tcPr>
            <w:tcW w:w="1208" w:type="dxa"/>
            <w:vAlign w:val="center"/>
          </w:tcPr>
          <w:p>
            <w:pPr>
              <w:pStyle w:val="63"/>
            </w:pPr>
            <w:r>
              <w:rPr>
                <w:rFonts w:hint="eastAsia"/>
              </w:rPr>
              <w:t>0.4299</w:t>
            </w:r>
          </w:p>
        </w:tc>
        <w:tc>
          <w:tcPr>
            <w:tcW w:w="1204" w:type="dxa"/>
            <w:vAlign w:val="center"/>
          </w:tcPr>
          <w:p>
            <w:pPr>
              <w:pStyle w:val="63"/>
            </w:pPr>
            <w:r>
              <w:rPr>
                <w:rFonts w:hint="eastAsia"/>
              </w:rPr>
              <w:t>0.4299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70</w:t>
            </w:r>
          </w:p>
        </w:tc>
        <w:tc>
          <w:tcPr>
            <w:tcW w:w="1208" w:type="dxa"/>
            <w:vAlign w:val="center"/>
          </w:tcPr>
          <w:p>
            <w:pPr>
              <w:pStyle w:val="63"/>
            </w:pPr>
            <w:r>
              <w:rPr>
                <w:rFonts w:hint="eastAsia"/>
              </w:rPr>
              <w:t>0.6272</w:t>
            </w:r>
          </w:p>
        </w:tc>
        <w:tc>
          <w:tcPr>
            <w:tcW w:w="1208" w:type="dxa"/>
            <w:vAlign w:val="center"/>
          </w:tcPr>
          <w:p>
            <w:pPr>
              <w:pStyle w:val="63"/>
            </w:pPr>
            <w:r>
              <w:rPr>
                <w:rFonts w:hint="eastAsia"/>
              </w:rPr>
              <w:t>0.5199</w:t>
            </w:r>
          </w:p>
        </w:tc>
        <w:tc>
          <w:tcPr>
            <w:tcW w:w="1208" w:type="dxa"/>
            <w:vAlign w:val="center"/>
          </w:tcPr>
          <w:p>
            <w:pPr>
              <w:pStyle w:val="63"/>
            </w:pPr>
            <w:r>
              <w:rPr>
                <w:rFonts w:hint="eastAsia"/>
              </w:rPr>
              <w:t>0.4384</w:t>
            </w:r>
          </w:p>
        </w:tc>
        <w:tc>
          <w:tcPr>
            <w:tcW w:w="1208" w:type="dxa"/>
            <w:vAlign w:val="center"/>
          </w:tcPr>
          <w:p>
            <w:pPr>
              <w:pStyle w:val="63"/>
            </w:pPr>
            <w:r>
              <w:rPr>
                <w:rFonts w:hint="eastAsia"/>
              </w:rPr>
              <w:t>0.4301</w:t>
            </w:r>
          </w:p>
        </w:tc>
        <w:tc>
          <w:tcPr>
            <w:tcW w:w="1208" w:type="dxa"/>
            <w:vAlign w:val="center"/>
          </w:tcPr>
          <w:p>
            <w:pPr>
              <w:pStyle w:val="63"/>
            </w:pPr>
            <w:r>
              <w:rPr>
                <w:rFonts w:hint="eastAsia"/>
              </w:rPr>
              <w:t>0.4299</w:t>
            </w:r>
          </w:p>
        </w:tc>
        <w:tc>
          <w:tcPr>
            <w:tcW w:w="1204" w:type="dxa"/>
            <w:vAlign w:val="center"/>
          </w:tcPr>
          <w:p>
            <w:pPr>
              <w:pStyle w:val="63"/>
            </w:pPr>
            <w:r>
              <w:rPr>
                <w:rFonts w:hint="eastAsia"/>
              </w:rPr>
              <w:t>0.4299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80</w:t>
            </w:r>
          </w:p>
        </w:tc>
        <w:tc>
          <w:tcPr>
            <w:tcW w:w="1208" w:type="dxa"/>
            <w:vAlign w:val="center"/>
          </w:tcPr>
          <w:p>
            <w:pPr>
              <w:pStyle w:val="63"/>
            </w:pPr>
            <w:r>
              <w:rPr>
                <w:rFonts w:hint="eastAsia"/>
              </w:rPr>
              <w:t>0.6145</w:t>
            </w:r>
          </w:p>
        </w:tc>
        <w:tc>
          <w:tcPr>
            <w:tcW w:w="1208" w:type="dxa"/>
            <w:vAlign w:val="center"/>
          </w:tcPr>
          <w:p>
            <w:pPr>
              <w:pStyle w:val="63"/>
            </w:pPr>
            <w:r>
              <w:rPr>
                <w:rFonts w:hint="eastAsia"/>
              </w:rPr>
              <w:t>0.5227</w:t>
            </w:r>
          </w:p>
        </w:tc>
        <w:tc>
          <w:tcPr>
            <w:tcW w:w="1208" w:type="dxa"/>
            <w:vAlign w:val="center"/>
          </w:tcPr>
          <w:p>
            <w:pPr>
              <w:pStyle w:val="63"/>
            </w:pPr>
            <w:r>
              <w:rPr>
                <w:rFonts w:hint="eastAsia"/>
              </w:rPr>
              <w:t>0.4417</w:t>
            </w:r>
          </w:p>
        </w:tc>
        <w:tc>
          <w:tcPr>
            <w:tcW w:w="1208" w:type="dxa"/>
            <w:vAlign w:val="center"/>
          </w:tcPr>
          <w:p>
            <w:pPr>
              <w:pStyle w:val="63"/>
            </w:pPr>
            <w:r>
              <w:rPr>
                <w:rFonts w:hint="eastAsia"/>
              </w:rPr>
              <w:t>0.4303</w:t>
            </w:r>
          </w:p>
        </w:tc>
        <w:tc>
          <w:tcPr>
            <w:tcW w:w="1208" w:type="dxa"/>
            <w:vAlign w:val="center"/>
          </w:tcPr>
          <w:p>
            <w:pPr>
              <w:pStyle w:val="63"/>
            </w:pPr>
            <w:r>
              <w:rPr>
                <w:rFonts w:hint="eastAsia"/>
              </w:rPr>
              <w:t>0.4299</w:t>
            </w:r>
          </w:p>
        </w:tc>
        <w:tc>
          <w:tcPr>
            <w:tcW w:w="1204" w:type="dxa"/>
            <w:vAlign w:val="center"/>
          </w:tcPr>
          <w:p>
            <w:pPr>
              <w:pStyle w:val="63"/>
            </w:pPr>
            <w:r>
              <w:rPr>
                <w:rFonts w:hint="eastAsia"/>
              </w:rPr>
              <w:t>0.4299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90</w:t>
            </w:r>
          </w:p>
        </w:tc>
        <w:tc>
          <w:tcPr>
            <w:tcW w:w="1208" w:type="dxa"/>
            <w:vAlign w:val="center"/>
          </w:tcPr>
          <w:p>
            <w:pPr>
              <w:pStyle w:val="63"/>
            </w:pPr>
            <w:r>
              <w:rPr>
                <w:rFonts w:hint="eastAsia"/>
              </w:rPr>
              <w:t>0.6039</w:t>
            </w:r>
          </w:p>
        </w:tc>
        <w:tc>
          <w:tcPr>
            <w:tcW w:w="1208" w:type="dxa"/>
            <w:vAlign w:val="center"/>
          </w:tcPr>
          <w:p>
            <w:pPr>
              <w:pStyle w:val="63"/>
            </w:pPr>
            <w:r>
              <w:rPr>
                <w:rFonts w:hint="eastAsia"/>
              </w:rPr>
              <w:t>0.5243</w:t>
            </w:r>
          </w:p>
        </w:tc>
        <w:tc>
          <w:tcPr>
            <w:tcW w:w="1208" w:type="dxa"/>
            <w:vAlign w:val="center"/>
          </w:tcPr>
          <w:p>
            <w:pPr>
              <w:pStyle w:val="63"/>
            </w:pPr>
            <w:r>
              <w:rPr>
                <w:rFonts w:hint="eastAsia"/>
              </w:rPr>
              <w:t>0.4450</w:t>
            </w:r>
          </w:p>
        </w:tc>
        <w:tc>
          <w:tcPr>
            <w:tcW w:w="1208" w:type="dxa"/>
            <w:vAlign w:val="center"/>
          </w:tcPr>
          <w:p>
            <w:pPr>
              <w:pStyle w:val="63"/>
            </w:pPr>
            <w:r>
              <w:rPr>
                <w:rFonts w:hint="eastAsia"/>
              </w:rPr>
              <w:t>0.4306</w:t>
            </w:r>
          </w:p>
        </w:tc>
        <w:tc>
          <w:tcPr>
            <w:tcW w:w="1208" w:type="dxa"/>
            <w:vAlign w:val="center"/>
          </w:tcPr>
          <w:p>
            <w:pPr>
              <w:pStyle w:val="63"/>
            </w:pPr>
            <w:r>
              <w:rPr>
                <w:rFonts w:hint="eastAsia"/>
              </w:rPr>
              <w:t>0.4299</w:t>
            </w:r>
          </w:p>
        </w:tc>
        <w:tc>
          <w:tcPr>
            <w:tcW w:w="1204" w:type="dxa"/>
            <w:vAlign w:val="center"/>
          </w:tcPr>
          <w:p>
            <w:pPr>
              <w:pStyle w:val="63"/>
            </w:pPr>
            <w:r>
              <w:rPr>
                <w:rFonts w:hint="eastAsia"/>
              </w:rPr>
              <w:t>0.4299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100</w:t>
            </w:r>
          </w:p>
        </w:tc>
        <w:tc>
          <w:tcPr>
            <w:tcW w:w="1208" w:type="dxa"/>
            <w:vAlign w:val="center"/>
          </w:tcPr>
          <w:p>
            <w:pPr>
              <w:pStyle w:val="63"/>
            </w:pPr>
            <w:r>
              <w:rPr>
                <w:rFonts w:hint="eastAsia"/>
              </w:rPr>
              <w:t>0.5949</w:t>
            </w:r>
          </w:p>
        </w:tc>
        <w:tc>
          <w:tcPr>
            <w:tcW w:w="1208" w:type="dxa"/>
            <w:vAlign w:val="center"/>
          </w:tcPr>
          <w:p>
            <w:pPr>
              <w:pStyle w:val="63"/>
            </w:pPr>
            <w:r>
              <w:rPr>
                <w:rFonts w:hint="eastAsia"/>
              </w:rPr>
              <w:t>0.5251</w:t>
            </w:r>
          </w:p>
        </w:tc>
        <w:tc>
          <w:tcPr>
            <w:tcW w:w="1208" w:type="dxa"/>
            <w:vAlign w:val="center"/>
          </w:tcPr>
          <w:p>
            <w:pPr>
              <w:pStyle w:val="63"/>
            </w:pPr>
            <w:r>
              <w:rPr>
                <w:rFonts w:hint="eastAsia"/>
              </w:rPr>
              <w:t>0.4482</w:t>
            </w:r>
          </w:p>
        </w:tc>
        <w:tc>
          <w:tcPr>
            <w:tcW w:w="1208" w:type="dxa"/>
            <w:vAlign w:val="center"/>
          </w:tcPr>
          <w:p>
            <w:pPr>
              <w:pStyle w:val="63"/>
            </w:pPr>
            <w:r>
              <w:rPr>
                <w:rFonts w:hint="eastAsia"/>
              </w:rPr>
              <w:t>0.4311</w:t>
            </w:r>
          </w:p>
        </w:tc>
        <w:tc>
          <w:tcPr>
            <w:tcW w:w="1208" w:type="dxa"/>
            <w:vAlign w:val="center"/>
          </w:tcPr>
          <w:p>
            <w:pPr>
              <w:pStyle w:val="63"/>
            </w:pPr>
            <w:r>
              <w:rPr>
                <w:rFonts w:hint="eastAsia"/>
              </w:rPr>
              <w:t>0.4299</w:t>
            </w:r>
          </w:p>
        </w:tc>
        <w:tc>
          <w:tcPr>
            <w:tcW w:w="1204" w:type="dxa"/>
            <w:vAlign w:val="center"/>
          </w:tcPr>
          <w:p>
            <w:pPr>
              <w:pStyle w:val="63"/>
            </w:pPr>
            <w:r>
              <w:rPr>
                <w:rFonts w:hint="eastAsia"/>
              </w:rPr>
              <w:t>0.4299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200</w:t>
            </w:r>
          </w:p>
        </w:tc>
        <w:tc>
          <w:tcPr>
            <w:tcW w:w="1208" w:type="dxa"/>
            <w:vAlign w:val="center"/>
          </w:tcPr>
          <w:p>
            <w:pPr>
              <w:pStyle w:val="63"/>
            </w:pPr>
            <w:r>
              <w:rPr>
                <w:rFonts w:hint="eastAsia"/>
              </w:rPr>
              <w:t>0.5465</w:t>
            </w:r>
          </w:p>
        </w:tc>
        <w:tc>
          <w:tcPr>
            <w:tcW w:w="1208" w:type="dxa"/>
            <w:vAlign w:val="center"/>
          </w:tcPr>
          <w:p>
            <w:pPr>
              <w:pStyle w:val="63"/>
            </w:pPr>
            <w:r>
              <w:rPr>
                <w:rFonts w:hint="eastAsia"/>
              </w:rPr>
              <w:t>0.5184</w:t>
            </w:r>
          </w:p>
        </w:tc>
        <w:tc>
          <w:tcPr>
            <w:tcW w:w="1208" w:type="dxa"/>
            <w:vAlign w:val="center"/>
          </w:tcPr>
          <w:p>
            <w:pPr>
              <w:pStyle w:val="63"/>
            </w:pPr>
            <w:r>
              <w:rPr>
                <w:rFonts w:hint="eastAsia"/>
              </w:rPr>
              <w:t>0.4686</w:t>
            </w:r>
          </w:p>
        </w:tc>
        <w:tc>
          <w:tcPr>
            <w:tcW w:w="1208" w:type="dxa"/>
            <w:vAlign w:val="center"/>
          </w:tcPr>
          <w:p>
            <w:pPr>
              <w:pStyle w:val="63"/>
            </w:pPr>
            <w:r>
              <w:rPr>
                <w:rFonts w:hint="eastAsia"/>
              </w:rPr>
              <w:t>0.4396</w:t>
            </w:r>
          </w:p>
        </w:tc>
        <w:tc>
          <w:tcPr>
            <w:tcW w:w="1208" w:type="dxa"/>
            <w:vAlign w:val="center"/>
          </w:tcPr>
          <w:p>
            <w:pPr>
              <w:pStyle w:val="63"/>
            </w:pPr>
            <w:r>
              <w:rPr>
                <w:rFonts w:hint="eastAsia"/>
              </w:rPr>
              <w:t>0.4312</w:t>
            </w:r>
          </w:p>
        </w:tc>
        <w:tc>
          <w:tcPr>
            <w:tcW w:w="1204" w:type="dxa"/>
            <w:vAlign w:val="center"/>
          </w:tcPr>
          <w:p>
            <w:pPr>
              <w:pStyle w:val="63"/>
            </w:pPr>
            <w:r>
              <w:rPr>
                <w:rFonts w:hint="eastAsia"/>
              </w:rPr>
              <w:t>0.4299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300</w:t>
            </w:r>
          </w:p>
        </w:tc>
        <w:tc>
          <w:tcPr>
            <w:tcW w:w="1208" w:type="dxa"/>
            <w:vAlign w:val="center"/>
          </w:tcPr>
          <w:p>
            <w:pPr>
              <w:pStyle w:val="63"/>
            </w:pPr>
            <w:r>
              <w:rPr>
                <w:rFonts w:hint="eastAsia"/>
              </w:rPr>
              <w:t>0.525</w:t>
            </w:r>
          </w:p>
        </w:tc>
        <w:tc>
          <w:tcPr>
            <w:tcW w:w="1208" w:type="dxa"/>
            <w:vAlign w:val="center"/>
          </w:tcPr>
          <w:p>
            <w:pPr>
              <w:pStyle w:val="63"/>
            </w:pPr>
            <w:r>
              <w:rPr>
                <w:rFonts w:hint="eastAsia"/>
              </w:rPr>
              <w:t>0.509</w:t>
            </w:r>
          </w:p>
        </w:tc>
        <w:tc>
          <w:tcPr>
            <w:tcW w:w="1208" w:type="dxa"/>
            <w:vAlign w:val="center"/>
          </w:tcPr>
          <w:p>
            <w:pPr>
              <w:pStyle w:val="63"/>
            </w:pPr>
            <w:r>
              <w:rPr>
                <w:rFonts w:hint="eastAsia"/>
              </w:rPr>
              <w:t>0.4755</w:t>
            </w:r>
          </w:p>
        </w:tc>
        <w:tc>
          <w:tcPr>
            <w:tcW w:w="1208" w:type="dxa"/>
            <w:vAlign w:val="center"/>
          </w:tcPr>
          <w:p>
            <w:pPr>
              <w:pStyle w:val="63"/>
            </w:pPr>
            <w:r>
              <w:rPr>
                <w:rFonts w:hint="eastAsia"/>
              </w:rPr>
              <w:t>0.448</w:t>
            </w:r>
          </w:p>
        </w:tc>
        <w:tc>
          <w:tcPr>
            <w:tcW w:w="1208" w:type="dxa"/>
            <w:vAlign w:val="center"/>
          </w:tcPr>
          <w:p>
            <w:pPr>
              <w:pStyle w:val="63"/>
            </w:pPr>
            <w:r>
              <w:rPr>
                <w:rFonts w:hint="eastAsia"/>
              </w:rPr>
              <w:t>0.4348</w:t>
            </w:r>
          </w:p>
        </w:tc>
        <w:tc>
          <w:tcPr>
            <w:tcW w:w="1204" w:type="dxa"/>
            <w:vAlign w:val="center"/>
          </w:tcPr>
          <w:p>
            <w:pPr>
              <w:pStyle w:val="63"/>
            </w:pPr>
            <w:r>
              <w:rPr>
                <w:rFonts w:hint="eastAsia"/>
              </w:rPr>
              <w:t>0.4307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400</w:t>
            </w:r>
          </w:p>
        </w:tc>
        <w:tc>
          <w:tcPr>
            <w:tcW w:w="1208" w:type="dxa"/>
            <w:vAlign w:val="center"/>
          </w:tcPr>
          <w:p>
            <w:pPr>
              <w:pStyle w:val="63"/>
            </w:pPr>
            <w:r>
              <w:rPr>
                <w:rFonts w:hint="eastAsia"/>
              </w:rPr>
              <w:t>0.5121</w:t>
            </w:r>
          </w:p>
        </w:tc>
        <w:tc>
          <w:tcPr>
            <w:tcW w:w="1208" w:type="dxa"/>
            <w:vAlign w:val="center"/>
          </w:tcPr>
          <w:p>
            <w:pPr>
              <w:pStyle w:val="63"/>
            </w:pPr>
            <w:r>
              <w:rPr>
                <w:rFonts w:hint="eastAsia"/>
              </w:rPr>
              <w:t>0.5015</w:t>
            </w:r>
          </w:p>
        </w:tc>
        <w:tc>
          <w:tcPr>
            <w:tcW w:w="1208" w:type="dxa"/>
            <w:vAlign w:val="center"/>
          </w:tcPr>
          <w:p>
            <w:pPr>
              <w:pStyle w:val="63"/>
            </w:pPr>
            <w:r>
              <w:rPr>
                <w:rFonts w:hint="eastAsia"/>
              </w:rPr>
              <w:t>0.4772</w:t>
            </w:r>
          </w:p>
        </w:tc>
        <w:tc>
          <w:tcPr>
            <w:tcW w:w="1208" w:type="dxa"/>
            <w:vAlign w:val="center"/>
          </w:tcPr>
          <w:p>
            <w:pPr>
              <w:pStyle w:val="63"/>
            </w:pPr>
            <w:r>
              <w:rPr>
                <w:rFonts w:hint="eastAsia"/>
              </w:rPr>
              <w:t>0.4535</w:t>
            </w:r>
          </w:p>
        </w:tc>
        <w:tc>
          <w:tcPr>
            <w:tcW w:w="1208" w:type="dxa"/>
            <w:vAlign w:val="center"/>
          </w:tcPr>
          <w:p>
            <w:pPr>
              <w:pStyle w:val="63"/>
            </w:pPr>
            <w:r>
              <w:rPr>
                <w:rFonts w:hint="eastAsia"/>
              </w:rPr>
              <w:t>0.4387</w:t>
            </w:r>
          </w:p>
        </w:tc>
        <w:tc>
          <w:tcPr>
            <w:tcW w:w="1204" w:type="dxa"/>
            <w:vAlign w:val="center"/>
          </w:tcPr>
          <w:p>
            <w:pPr>
              <w:pStyle w:val="63"/>
            </w:pPr>
            <w:r>
              <w:rPr>
                <w:rFonts w:hint="eastAsia"/>
              </w:rPr>
              <w:t>0.4323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500</w:t>
            </w:r>
          </w:p>
        </w:tc>
        <w:tc>
          <w:tcPr>
            <w:tcW w:w="1208" w:type="dxa"/>
            <w:vAlign w:val="center"/>
          </w:tcPr>
          <w:p>
            <w:pPr>
              <w:pStyle w:val="63"/>
            </w:pPr>
            <w:r>
              <w:rPr>
                <w:rFonts w:hint="eastAsia"/>
              </w:rPr>
              <w:t>0.5033</w:t>
            </w:r>
          </w:p>
        </w:tc>
        <w:tc>
          <w:tcPr>
            <w:tcW w:w="1208" w:type="dxa"/>
            <w:vAlign w:val="center"/>
          </w:tcPr>
          <w:p>
            <w:pPr>
              <w:pStyle w:val="63"/>
            </w:pPr>
            <w:r>
              <w:rPr>
                <w:rFonts w:hint="eastAsia"/>
              </w:rPr>
              <w:t>0.4956</w:t>
            </w:r>
          </w:p>
        </w:tc>
        <w:tc>
          <w:tcPr>
            <w:tcW w:w="1208" w:type="dxa"/>
            <w:vAlign w:val="center"/>
          </w:tcPr>
          <w:p>
            <w:pPr>
              <w:pStyle w:val="63"/>
            </w:pPr>
            <w:r>
              <w:rPr>
                <w:rFonts w:hint="eastAsia"/>
              </w:rPr>
              <w:t>0.477</w:t>
            </w:r>
          </w:p>
        </w:tc>
        <w:tc>
          <w:tcPr>
            <w:tcW w:w="1208" w:type="dxa"/>
            <w:vAlign w:val="center"/>
          </w:tcPr>
          <w:p>
            <w:pPr>
              <w:pStyle w:val="63"/>
            </w:pPr>
            <w:r>
              <w:rPr>
                <w:rFonts w:hint="eastAsia"/>
              </w:rPr>
              <w:t>0.4569</w:t>
            </w:r>
          </w:p>
        </w:tc>
        <w:tc>
          <w:tcPr>
            <w:tcW w:w="1208" w:type="dxa"/>
            <w:vAlign w:val="center"/>
          </w:tcPr>
          <w:p>
            <w:pPr>
              <w:pStyle w:val="63"/>
            </w:pPr>
            <w:r>
              <w:rPr>
                <w:rFonts w:hint="eastAsia"/>
              </w:rPr>
              <w:t>0.4422</w:t>
            </w:r>
          </w:p>
        </w:tc>
        <w:tc>
          <w:tcPr>
            <w:tcW w:w="1204" w:type="dxa"/>
            <w:vAlign w:val="center"/>
          </w:tcPr>
          <w:p>
            <w:pPr>
              <w:pStyle w:val="63"/>
            </w:pPr>
            <w:r>
              <w:rPr>
                <w:rFonts w:hint="eastAsia"/>
              </w:rPr>
              <w:t>0.4342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600</w:t>
            </w:r>
          </w:p>
        </w:tc>
        <w:tc>
          <w:tcPr>
            <w:tcW w:w="1208" w:type="dxa"/>
            <w:vAlign w:val="center"/>
          </w:tcPr>
          <w:p>
            <w:pPr>
              <w:pStyle w:val="63"/>
            </w:pPr>
            <w:r>
              <w:rPr>
                <w:rFonts w:hint="eastAsia"/>
              </w:rPr>
              <w:t>0.4967</w:t>
            </w:r>
          </w:p>
        </w:tc>
        <w:tc>
          <w:tcPr>
            <w:tcW w:w="1208" w:type="dxa"/>
            <w:vAlign w:val="center"/>
          </w:tcPr>
          <w:p>
            <w:pPr>
              <w:pStyle w:val="63"/>
            </w:pPr>
            <w:r>
              <w:rPr>
                <w:rFonts w:hint="eastAsia"/>
              </w:rPr>
              <w:t>0.4908</w:t>
            </w:r>
          </w:p>
        </w:tc>
        <w:tc>
          <w:tcPr>
            <w:tcW w:w="1208" w:type="dxa"/>
            <w:vAlign w:val="center"/>
          </w:tcPr>
          <w:p>
            <w:pPr>
              <w:pStyle w:val="63"/>
            </w:pPr>
            <w:r>
              <w:rPr>
                <w:rFonts w:hint="eastAsia"/>
              </w:rPr>
              <w:t>0.4761</w:t>
            </w:r>
          </w:p>
        </w:tc>
        <w:tc>
          <w:tcPr>
            <w:tcW w:w="1208" w:type="dxa"/>
            <w:vAlign w:val="center"/>
          </w:tcPr>
          <w:p>
            <w:pPr>
              <w:pStyle w:val="63"/>
            </w:pPr>
            <w:r>
              <w:rPr>
                <w:rFonts w:hint="eastAsia"/>
              </w:rPr>
              <w:t>0.4589</w:t>
            </w:r>
          </w:p>
        </w:tc>
        <w:tc>
          <w:tcPr>
            <w:tcW w:w="1208" w:type="dxa"/>
            <w:vAlign w:val="center"/>
          </w:tcPr>
          <w:p>
            <w:pPr>
              <w:pStyle w:val="63"/>
            </w:pPr>
            <w:r>
              <w:rPr>
                <w:rFonts w:hint="eastAsia"/>
              </w:rPr>
              <w:t>0.4449</w:t>
            </w:r>
          </w:p>
        </w:tc>
        <w:tc>
          <w:tcPr>
            <w:tcW w:w="1204" w:type="dxa"/>
            <w:vAlign w:val="center"/>
          </w:tcPr>
          <w:p>
            <w:pPr>
              <w:pStyle w:val="63"/>
            </w:pPr>
            <w:r>
              <w:rPr>
                <w:rFonts w:hint="eastAsia"/>
              </w:rPr>
              <w:t>0.4362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700</w:t>
            </w:r>
          </w:p>
        </w:tc>
        <w:tc>
          <w:tcPr>
            <w:tcW w:w="1208" w:type="dxa"/>
            <w:vAlign w:val="center"/>
          </w:tcPr>
          <w:p>
            <w:pPr>
              <w:pStyle w:val="63"/>
            </w:pPr>
            <w:r>
              <w:rPr>
                <w:rFonts w:hint="eastAsia"/>
              </w:rPr>
              <w:t>0.4916</w:t>
            </w:r>
          </w:p>
        </w:tc>
        <w:tc>
          <w:tcPr>
            <w:tcW w:w="1208" w:type="dxa"/>
            <w:vAlign w:val="center"/>
          </w:tcPr>
          <w:p>
            <w:pPr>
              <w:pStyle w:val="63"/>
            </w:pPr>
            <w:r>
              <w:rPr>
                <w:rFonts w:hint="eastAsia"/>
              </w:rPr>
              <w:t>0.4869</w:t>
            </w:r>
          </w:p>
        </w:tc>
        <w:tc>
          <w:tcPr>
            <w:tcW w:w="1208" w:type="dxa"/>
            <w:vAlign w:val="center"/>
          </w:tcPr>
          <w:p>
            <w:pPr>
              <w:pStyle w:val="63"/>
            </w:pPr>
            <w:r>
              <w:rPr>
                <w:rFonts w:hint="eastAsia"/>
              </w:rPr>
              <w:t>0.4748</w:t>
            </w:r>
          </w:p>
        </w:tc>
        <w:tc>
          <w:tcPr>
            <w:tcW w:w="1208" w:type="dxa"/>
            <w:vAlign w:val="center"/>
          </w:tcPr>
          <w:p>
            <w:pPr>
              <w:pStyle w:val="63"/>
            </w:pPr>
            <w:r>
              <w:rPr>
                <w:rFonts w:hint="eastAsia"/>
              </w:rPr>
              <w:t>0.46</w:t>
            </w:r>
          </w:p>
        </w:tc>
        <w:tc>
          <w:tcPr>
            <w:tcW w:w="1208" w:type="dxa"/>
            <w:vAlign w:val="center"/>
          </w:tcPr>
          <w:p>
            <w:pPr>
              <w:pStyle w:val="63"/>
            </w:pPr>
            <w:r>
              <w:rPr>
                <w:rFonts w:hint="eastAsia"/>
              </w:rPr>
              <w:t>0.447</w:t>
            </w:r>
          </w:p>
        </w:tc>
        <w:tc>
          <w:tcPr>
            <w:tcW w:w="1204" w:type="dxa"/>
            <w:vAlign w:val="center"/>
          </w:tcPr>
          <w:p>
            <w:pPr>
              <w:pStyle w:val="63"/>
            </w:pPr>
            <w:r>
              <w:rPr>
                <w:rFonts w:hint="eastAsia"/>
              </w:rPr>
              <w:t>0.4381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800</w:t>
            </w:r>
          </w:p>
        </w:tc>
        <w:tc>
          <w:tcPr>
            <w:tcW w:w="1208" w:type="dxa"/>
            <w:vAlign w:val="center"/>
          </w:tcPr>
          <w:p>
            <w:pPr>
              <w:pStyle w:val="63"/>
            </w:pPr>
            <w:r>
              <w:rPr>
                <w:rFonts w:hint="eastAsia"/>
              </w:rPr>
              <w:t>0.4875</w:t>
            </w:r>
          </w:p>
        </w:tc>
        <w:tc>
          <w:tcPr>
            <w:tcW w:w="1208" w:type="dxa"/>
            <w:vAlign w:val="center"/>
          </w:tcPr>
          <w:p>
            <w:pPr>
              <w:pStyle w:val="63"/>
            </w:pPr>
            <w:r>
              <w:rPr>
                <w:rFonts w:hint="eastAsia"/>
              </w:rPr>
              <w:t>0.4836</w:t>
            </w:r>
          </w:p>
        </w:tc>
        <w:tc>
          <w:tcPr>
            <w:tcW w:w="1208" w:type="dxa"/>
            <w:vAlign w:val="center"/>
          </w:tcPr>
          <w:p>
            <w:pPr>
              <w:pStyle w:val="63"/>
            </w:pPr>
            <w:r>
              <w:rPr>
                <w:rFonts w:hint="eastAsia"/>
              </w:rPr>
              <w:t>0.4735</w:t>
            </w:r>
          </w:p>
        </w:tc>
        <w:tc>
          <w:tcPr>
            <w:tcW w:w="1208" w:type="dxa"/>
            <w:vAlign w:val="center"/>
          </w:tcPr>
          <w:p>
            <w:pPr>
              <w:pStyle w:val="63"/>
            </w:pPr>
            <w:r>
              <w:rPr>
                <w:rFonts w:hint="eastAsia"/>
              </w:rPr>
              <w:t>0.4606</w:t>
            </w:r>
          </w:p>
        </w:tc>
        <w:tc>
          <w:tcPr>
            <w:tcW w:w="1208" w:type="dxa"/>
            <w:vAlign w:val="center"/>
          </w:tcPr>
          <w:p>
            <w:pPr>
              <w:pStyle w:val="63"/>
            </w:pPr>
            <w:r>
              <w:rPr>
                <w:rFonts w:hint="eastAsia"/>
              </w:rPr>
              <w:t>0.4486</w:t>
            </w:r>
          </w:p>
        </w:tc>
        <w:tc>
          <w:tcPr>
            <w:tcW w:w="1204" w:type="dxa"/>
            <w:vAlign w:val="center"/>
          </w:tcPr>
          <w:p>
            <w:pPr>
              <w:pStyle w:val="63"/>
            </w:pPr>
            <w:r>
              <w:rPr>
                <w:rFonts w:hint="eastAsia"/>
              </w:rPr>
              <w:t>0.4397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900</w:t>
            </w:r>
          </w:p>
        </w:tc>
        <w:tc>
          <w:tcPr>
            <w:tcW w:w="1208" w:type="dxa"/>
            <w:vAlign w:val="center"/>
          </w:tcPr>
          <w:p>
            <w:pPr>
              <w:pStyle w:val="63"/>
            </w:pPr>
            <w:r>
              <w:rPr>
                <w:rFonts w:hint="eastAsia"/>
              </w:rPr>
              <w:t>0.484</w:t>
            </w:r>
          </w:p>
        </w:tc>
        <w:tc>
          <w:tcPr>
            <w:tcW w:w="1208" w:type="dxa"/>
            <w:vAlign w:val="center"/>
          </w:tcPr>
          <w:p>
            <w:pPr>
              <w:pStyle w:val="63"/>
            </w:pPr>
            <w:r>
              <w:rPr>
                <w:rFonts w:hint="eastAsia"/>
              </w:rPr>
              <w:t>0.4808</w:t>
            </w:r>
          </w:p>
        </w:tc>
        <w:tc>
          <w:tcPr>
            <w:tcW w:w="1208" w:type="dxa"/>
            <w:vAlign w:val="center"/>
          </w:tcPr>
          <w:p>
            <w:pPr>
              <w:pStyle w:val="63"/>
            </w:pPr>
            <w:r>
              <w:rPr>
                <w:rFonts w:hint="eastAsia"/>
              </w:rPr>
              <w:t>0.4721</w:t>
            </w:r>
          </w:p>
        </w:tc>
        <w:tc>
          <w:tcPr>
            <w:tcW w:w="1208" w:type="dxa"/>
            <w:vAlign w:val="center"/>
          </w:tcPr>
          <w:p>
            <w:pPr>
              <w:pStyle w:val="63"/>
            </w:pPr>
            <w:r>
              <w:rPr>
                <w:rFonts w:hint="eastAsia"/>
              </w:rPr>
              <w:t>0.4608</w:t>
            </w:r>
          </w:p>
        </w:tc>
        <w:tc>
          <w:tcPr>
            <w:tcW w:w="1208" w:type="dxa"/>
            <w:vAlign w:val="center"/>
          </w:tcPr>
          <w:p>
            <w:pPr>
              <w:pStyle w:val="63"/>
            </w:pPr>
            <w:r>
              <w:rPr>
                <w:rFonts w:hint="eastAsia"/>
              </w:rPr>
              <w:t>0.4498</w:t>
            </w:r>
          </w:p>
        </w:tc>
        <w:tc>
          <w:tcPr>
            <w:tcW w:w="1204" w:type="dxa"/>
            <w:vAlign w:val="center"/>
          </w:tcPr>
          <w:p>
            <w:pPr>
              <w:pStyle w:val="63"/>
            </w:pPr>
            <w:r>
              <w:rPr>
                <w:rFonts w:hint="eastAsia"/>
              </w:rPr>
              <w:t>0.441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1000</w:t>
            </w:r>
          </w:p>
        </w:tc>
        <w:tc>
          <w:tcPr>
            <w:tcW w:w="1208" w:type="dxa"/>
            <w:vAlign w:val="center"/>
          </w:tcPr>
          <w:p>
            <w:pPr>
              <w:pStyle w:val="63"/>
            </w:pPr>
            <w:r>
              <w:rPr>
                <w:rFonts w:hint="eastAsia"/>
              </w:rPr>
              <w:t>0.4811</w:t>
            </w:r>
          </w:p>
        </w:tc>
        <w:tc>
          <w:tcPr>
            <w:tcW w:w="1208" w:type="dxa"/>
            <w:vAlign w:val="center"/>
          </w:tcPr>
          <w:p>
            <w:pPr>
              <w:pStyle w:val="63"/>
            </w:pPr>
            <w:r>
              <w:rPr>
                <w:rFonts w:hint="eastAsia"/>
              </w:rPr>
              <w:t>0.4783</w:t>
            </w:r>
          </w:p>
        </w:tc>
        <w:tc>
          <w:tcPr>
            <w:tcW w:w="1208" w:type="dxa"/>
            <w:vAlign w:val="center"/>
          </w:tcPr>
          <w:p>
            <w:pPr>
              <w:pStyle w:val="63"/>
            </w:pPr>
            <w:r>
              <w:rPr>
                <w:rFonts w:hint="eastAsia"/>
              </w:rPr>
              <w:t>0.4708</w:t>
            </w:r>
          </w:p>
        </w:tc>
        <w:tc>
          <w:tcPr>
            <w:tcW w:w="1208" w:type="dxa"/>
            <w:vAlign w:val="center"/>
          </w:tcPr>
          <w:p>
            <w:pPr>
              <w:pStyle w:val="63"/>
            </w:pPr>
            <w:r>
              <w:rPr>
                <w:rFonts w:hint="eastAsia"/>
              </w:rPr>
              <w:t>0.4608</w:t>
            </w:r>
          </w:p>
        </w:tc>
        <w:tc>
          <w:tcPr>
            <w:tcW w:w="1208" w:type="dxa"/>
            <w:vAlign w:val="center"/>
          </w:tcPr>
          <w:p>
            <w:pPr>
              <w:pStyle w:val="63"/>
            </w:pPr>
            <w:r>
              <w:rPr>
                <w:rFonts w:hint="eastAsia"/>
              </w:rPr>
              <w:t>0.4506</w:t>
            </w:r>
          </w:p>
        </w:tc>
        <w:tc>
          <w:tcPr>
            <w:tcW w:w="1204" w:type="dxa"/>
            <w:vAlign w:val="center"/>
          </w:tcPr>
          <w:p>
            <w:pPr>
              <w:pStyle w:val="63"/>
            </w:pPr>
            <w:r>
              <w:rPr>
                <w:rFonts w:hint="eastAsia"/>
              </w:rPr>
              <w:t>0.4422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1500</w:t>
            </w:r>
          </w:p>
        </w:tc>
        <w:tc>
          <w:tcPr>
            <w:tcW w:w="1208" w:type="dxa"/>
            <w:vAlign w:val="center"/>
          </w:tcPr>
          <w:p>
            <w:pPr>
              <w:pStyle w:val="63"/>
            </w:pPr>
            <w:r>
              <w:rPr>
                <w:rFonts w:hint="eastAsia"/>
              </w:rPr>
              <w:t>0.471</w:t>
            </w:r>
          </w:p>
        </w:tc>
        <w:tc>
          <w:tcPr>
            <w:tcW w:w="1208" w:type="dxa"/>
            <w:vAlign w:val="center"/>
          </w:tcPr>
          <w:p>
            <w:pPr>
              <w:pStyle w:val="63"/>
            </w:pPr>
            <w:r>
              <w:rPr>
                <w:rFonts w:hint="eastAsia"/>
              </w:rPr>
              <w:t>0.4695</w:t>
            </w:r>
          </w:p>
        </w:tc>
        <w:tc>
          <w:tcPr>
            <w:tcW w:w="1208" w:type="dxa"/>
            <w:vAlign w:val="center"/>
          </w:tcPr>
          <w:p>
            <w:pPr>
              <w:pStyle w:val="63"/>
            </w:pPr>
            <w:r>
              <w:rPr>
                <w:rFonts w:hint="eastAsia"/>
              </w:rPr>
              <w:t>0.4652</w:t>
            </w:r>
          </w:p>
        </w:tc>
        <w:tc>
          <w:tcPr>
            <w:tcW w:w="1208" w:type="dxa"/>
            <w:vAlign w:val="center"/>
          </w:tcPr>
          <w:p>
            <w:pPr>
              <w:pStyle w:val="63"/>
            </w:pPr>
            <w:r>
              <w:rPr>
                <w:rFonts w:hint="eastAsia"/>
              </w:rPr>
              <w:t>0.4591</w:t>
            </w:r>
          </w:p>
        </w:tc>
        <w:tc>
          <w:tcPr>
            <w:tcW w:w="1208" w:type="dxa"/>
            <w:vAlign w:val="center"/>
          </w:tcPr>
          <w:p>
            <w:pPr>
              <w:pStyle w:val="63"/>
            </w:pPr>
            <w:r>
              <w:rPr>
                <w:rFonts w:hint="eastAsia"/>
              </w:rPr>
              <w:t>0.4522</w:t>
            </w:r>
          </w:p>
        </w:tc>
        <w:tc>
          <w:tcPr>
            <w:tcW w:w="1204" w:type="dxa"/>
            <w:vAlign w:val="center"/>
          </w:tcPr>
          <w:p>
            <w:pPr>
              <w:pStyle w:val="63"/>
            </w:pPr>
            <w:r>
              <w:rPr>
                <w:rFonts w:hint="eastAsia"/>
              </w:rPr>
              <w:t>0.4455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2000</w:t>
            </w:r>
          </w:p>
        </w:tc>
        <w:tc>
          <w:tcPr>
            <w:tcW w:w="1208" w:type="dxa"/>
            <w:vAlign w:val="center"/>
          </w:tcPr>
          <w:p>
            <w:pPr>
              <w:pStyle w:val="63"/>
            </w:pPr>
            <w:r>
              <w:rPr>
                <w:rFonts w:hint="eastAsia"/>
              </w:rPr>
              <w:t>0.4648</w:t>
            </w:r>
          </w:p>
        </w:tc>
        <w:tc>
          <w:tcPr>
            <w:tcW w:w="1208" w:type="dxa"/>
            <w:vAlign w:val="center"/>
          </w:tcPr>
          <w:p>
            <w:pPr>
              <w:pStyle w:val="63"/>
            </w:pPr>
            <w:r>
              <w:rPr>
                <w:rFonts w:hint="eastAsia"/>
              </w:rPr>
              <w:t>0.4638</w:t>
            </w:r>
          </w:p>
        </w:tc>
        <w:tc>
          <w:tcPr>
            <w:tcW w:w="1208" w:type="dxa"/>
            <w:vAlign w:val="center"/>
          </w:tcPr>
          <w:p>
            <w:pPr>
              <w:pStyle w:val="63"/>
            </w:pPr>
            <w:r>
              <w:rPr>
                <w:rFonts w:hint="eastAsia"/>
              </w:rPr>
              <w:t>0.461</w:t>
            </w:r>
          </w:p>
        </w:tc>
        <w:tc>
          <w:tcPr>
            <w:tcW w:w="1208" w:type="dxa"/>
            <w:vAlign w:val="center"/>
          </w:tcPr>
          <w:p>
            <w:pPr>
              <w:pStyle w:val="63"/>
            </w:pPr>
            <w:r>
              <w:rPr>
                <w:rFonts w:hint="eastAsia"/>
              </w:rPr>
              <w:t>0.4568</w:t>
            </w:r>
          </w:p>
        </w:tc>
        <w:tc>
          <w:tcPr>
            <w:tcW w:w="1208" w:type="dxa"/>
            <w:vAlign w:val="center"/>
          </w:tcPr>
          <w:p>
            <w:pPr>
              <w:pStyle w:val="63"/>
            </w:pPr>
            <w:r>
              <w:rPr>
                <w:rFonts w:hint="eastAsia"/>
              </w:rPr>
              <w:t>0.4517</w:t>
            </w:r>
          </w:p>
        </w:tc>
        <w:tc>
          <w:tcPr>
            <w:tcW w:w="1204" w:type="dxa"/>
            <w:vAlign w:val="center"/>
          </w:tcPr>
          <w:p>
            <w:pPr>
              <w:pStyle w:val="63"/>
            </w:pPr>
            <w:r>
              <w:rPr>
                <w:rFonts w:hint="eastAsia"/>
              </w:rPr>
              <w:t>0.4465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2500</w:t>
            </w:r>
          </w:p>
        </w:tc>
        <w:tc>
          <w:tcPr>
            <w:tcW w:w="1208" w:type="dxa"/>
            <w:vAlign w:val="center"/>
          </w:tcPr>
          <w:p>
            <w:pPr>
              <w:pStyle w:val="63"/>
            </w:pPr>
            <w:r>
              <w:rPr>
                <w:rFonts w:hint="eastAsia"/>
              </w:rPr>
              <w:t>0.4604</w:t>
            </w:r>
          </w:p>
        </w:tc>
        <w:tc>
          <w:tcPr>
            <w:tcW w:w="1208" w:type="dxa"/>
            <w:vAlign w:val="center"/>
          </w:tcPr>
          <w:p>
            <w:pPr>
              <w:pStyle w:val="63"/>
            </w:pPr>
            <w:r>
              <w:rPr>
                <w:rFonts w:hint="eastAsia"/>
              </w:rPr>
              <w:t>0.4597</w:t>
            </w:r>
          </w:p>
        </w:tc>
        <w:tc>
          <w:tcPr>
            <w:tcW w:w="1208" w:type="dxa"/>
            <w:vAlign w:val="center"/>
          </w:tcPr>
          <w:p>
            <w:pPr>
              <w:pStyle w:val="63"/>
            </w:pPr>
            <w:r>
              <w:rPr>
                <w:rFonts w:hint="eastAsia"/>
              </w:rPr>
              <w:t>0.4576</w:t>
            </w:r>
          </w:p>
        </w:tc>
        <w:tc>
          <w:tcPr>
            <w:tcW w:w="1208" w:type="dxa"/>
            <w:vAlign w:val="center"/>
          </w:tcPr>
          <w:p>
            <w:pPr>
              <w:pStyle w:val="63"/>
            </w:pPr>
            <w:r>
              <w:rPr>
                <w:rFonts w:hint="eastAsia"/>
              </w:rPr>
              <w:t>0.4545</w:t>
            </w:r>
          </w:p>
        </w:tc>
        <w:tc>
          <w:tcPr>
            <w:tcW w:w="1208" w:type="dxa"/>
            <w:vAlign w:val="center"/>
          </w:tcPr>
          <w:p>
            <w:pPr>
              <w:pStyle w:val="63"/>
            </w:pPr>
            <w:r>
              <w:rPr>
                <w:rFonts w:hint="eastAsia"/>
              </w:rPr>
              <w:t>0.4507</w:t>
            </w:r>
          </w:p>
        </w:tc>
        <w:tc>
          <w:tcPr>
            <w:tcW w:w="1204" w:type="dxa"/>
            <w:vAlign w:val="center"/>
          </w:tcPr>
          <w:p>
            <w:pPr>
              <w:pStyle w:val="63"/>
            </w:pPr>
            <w:r>
              <w:rPr>
                <w:rFonts w:hint="eastAsia"/>
              </w:rPr>
              <w:t>0.4465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3000</w:t>
            </w:r>
          </w:p>
        </w:tc>
        <w:tc>
          <w:tcPr>
            <w:tcW w:w="1208" w:type="dxa"/>
            <w:vAlign w:val="center"/>
          </w:tcPr>
          <w:p>
            <w:pPr>
              <w:pStyle w:val="63"/>
            </w:pPr>
            <w:r>
              <w:rPr>
                <w:rFonts w:hint="eastAsia"/>
              </w:rPr>
              <w:t>0.457</w:t>
            </w:r>
          </w:p>
        </w:tc>
        <w:tc>
          <w:tcPr>
            <w:tcW w:w="1208" w:type="dxa"/>
            <w:vAlign w:val="center"/>
          </w:tcPr>
          <w:p>
            <w:pPr>
              <w:pStyle w:val="63"/>
            </w:pPr>
            <w:r>
              <w:rPr>
                <w:rFonts w:hint="eastAsia"/>
              </w:rPr>
              <w:t>0.4565</w:t>
            </w:r>
          </w:p>
        </w:tc>
        <w:tc>
          <w:tcPr>
            <w:tcW w:w="1208" w:type="dxa"/>
            <w:vAlign w:val="center"/>
          </w:tcPr>
          <w:p>
            <w:pPr>
              <w:pStyle w:val="63"/>
            </w:pPr>
            <w:r>
              <w:rPr>
                <w:rFonts w:hint="eastAsia"/>
              </w:rPr>
              <w:t>0.4549</w:t>
            </w:r>
          </w:p>
        </w:tc>
        <w:tc>
          <w:tcPr>
            <w:tcW w:w="1208" w:type="dxa"/>
            <w:vAlign w:val="center"/>
          </w:tcPr>
          <w:p>
            <w:pPr>
              <w:pStyle w:val="63"/>
            </w:pPr>
            <w:r>
              <w:rPr>
                <w:rFonts w:hint="eastAsia"/>
              </w:rPr>
              <w:t>0.4525</w:t>
            </w:r>
          </w:p>
        </w:tc>
        <w:tc>
          <w:tcPr>
            <w:tcW w:w="1208" w:type="dxa"/>
            <w:vAlign w:val="center"/>
          </w:tcPr>
          <w:p>
            <w:pPr>
              <w:pStyle w:val="63"/>
            </w:pPr>
            <w:r>
              <w:rPr>
                <w:rFonts w:hint="eastAsia"/>
              </w:rPr>
              <w:t>0.4494</w:t>
            </w:r>
          </w:p>
        </w:tc>
        <w:tc>
          <w:tcPr>
            <w:tcW w:w="1204" w:type="dxa"/>
            <w:vAlign w:val="center"/>
          </w:tcPr>
          <w:p>
            <w:pPr>
              <w:pStyle w:val="63"/>
            </w:pPr>
            <w:r>
              <w:rPr>
                <w:rFonts w:hint="eastAsia"/>
              </w:rPr>
              <w:t>0.446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3500</w:t>
            </w:r>
          </w:p>
        </w:tc>
        <w:tc>
          <w:tcPr>
            <w:tcW w:w="1208" w:type="dxa"/>
            <w:vAlign w:val="center"/>
          </w:tcPr>
          <w:p>
            <w:pPr>
              <w:pStyle w:val="63"/>
            </w:pPr>
            <w:r>
              <w:rPr>
                <w:rFonts w:hint="eastAsia"/>
              </w:rPr>
              <w:t>0.4543</w:t>
            </w:r>
          </w:p>
        </w:tc>
        <w:tc>
          <w:tcPr>
            <w:tcW w:w="1208" w:type="dxa"/>
            <w:vAlign w:val="center"/>
          </w:tcPr>
          <w:p>
            <w:pPr>
              <w:pStyle w:val="63"/>
            </w:pPr>
            <w:r>
              <w:rPr>
                <w:rFonts w:hint="eastAsia"/>
              </w:rPr>
              <w:t>0.4539</w:t>
            </w:r>
          </w:p>
        </w:tc>
        <w:tc>
          <w:tcPr>
            <w:tcW w:w="1208" w:type="dxa"/>
            <w:vAlign w:val="center"/>
          </w:tcPr>
          <w:p>
            <w:pPr>
              <w:pStyle w:val="63"/>
            </w:pPr>
            <w:r>
              <w:rPr>
                <w:rFonts w:hint="eastAsia"/>
              </w:rPr>
              <w:t>0.4526</w:t>
            </w:r>
          </w:p>
        </w:tc>
        <w:tc>
          <w:tcPr>
            <w:tcW w:w="1208" w:type="dxa"/>
            <w:vAlign w:val="center"/>
          </w:tcPr>
          <w:p>
            <w:pPr>
              <w:pStyle w:val="63"/>
            </w:pPr>
            <w:r>
              <w:rPr>
                <w:rFonts w:hint="eastAsia"/>
              </w:rPr>
              <w:t>0.4507</w:t>
            </w:r>
          </w:p>
        </w:tc>
        <w:tc>
          <w:tcPr>
            <w:tcW w:w="1208" w:type="dxa"/>
            <w:vAlign w:val="center"/>
          </w:tcPr>
          <w:p>
            <w:pPr>
              <w:pStyle w:val="63"/>
            </w:pPr>
            <w:r>
              <w:rPr>
                <w:rFonts w:hint="eastAsia"/>
              </w:rPr>
              <w:t>0.4482</w:t>
            </w:r>
          </w:p>
        </w:tc>
        <w:tc>
          <w:tcPr>
            <w:tcW w:w="1204" w:type="dxa"/>
            <w:vAlign w:val="center"/>
          </w:tcPr>
          <w:p>
            <w:pPr>
              <w:pStyle w:val="63"/>
            </w:pPr>
            <w:r>
              <w:rPr>
                <w:rFonts w:hint="eastAsia"/>
              </w:rPr>
              <w:t>0.4453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4000</w:t>
            </w:r>
          </w:p>
        </w:tc>
        <w:tc>
          <w:tcPr>
            <w:tcW w:w="1208" w:type="dxa"/>
            <w:vAlign w:val="center"/>
          </w:tcPr>
          <w:p>
            <w:pPr>
              <w:pStyle w:val="63"/>
            </w:pPr>
            <w:r>
              <w:rPr>
                <w:rFonts w:hint="eastAsia"/>
              </w:rPr>
              <w:t>0.452</w:t>
            </w:r>
          </w:p>
        </w:tc>
        <w:tc>
          <w:tcPr>
            <w:tcW w:w="1208" w:type="dxa"/>
            <w:vAlign w:val="center"/>
          </w:tcPr>
          <w:p>
            <w:pPr>
              <w:pStyle w:val="63"/>
            </w:pPr>
            <w:r>
              <w:rPr>
                <w:rFonts w:hint="eastAsia"/>
              </w:rPr>
              <w:t>0.4517</w:t>
            </w:r>
          </w:p>
        </w:tc>
        <w:tc>
          <w:tcPr>
            <w:tcW w:w="1208" w:type="dxa"/>
            <w:vAlign w:val="center"/>
          </w:tcPr>
          <w:p>
            <w:pPr>
              <w:pStyle w:val="63"/>
            </w:pPr>
            <w:r>
              <w:rPr>
                <w:rFonts w:hint="eastAsia"/>
              </w:rPr>
              <w:t>0.4506</w:t>
            </w:r>
          </w:p>
        </w:tc>
        <w:tc>
          <w:tcPr>
            <w:tcW w:w="1208" w:type="dxa"/>
            <w:vAlign w:val="center"/>
          </w:tcPr>
          <w:p>
            <w:pPr>
              <w:pStyle w:val="63"/>
            </w:pPr>
            <w:r>
              <w:rPr>
                <w:rFonts w:hint="eastAsia"/>
              </w:rPr>
              <w:t>0.449</w:t>
            </w:r>
          </w:p>
        </w:tc>
        <w:tc>
          <w:tcPr>
            <w:tcW w:w="1208" w:type="dxa"/>
            <w:vAlign w:val="center"/>
          </w:tcPr>
          <w:p>
            <w:pPr>
              <w:pStyle w:val="63"/>
            </w:pPr>
            <w:r>
              <w:rPr>
                <w:rFonts w:hint="eastAsia"/>
              </w:rPr>
              <w:t>0.4469</w:t>
            </w:r>
          </w:p>
        </w:tc>
        <w:tc>
          <w:tcPr>
            <w:tcW w:w="1204" w:type="dxa"/>
            <w:vAlign w:val="center"/>
          </w:tcPr>
          <w:p>
            <w:pPr>
              <w:pStyle w:val="63"/>
            </w:pPr>
            <w:r>
              <w:rPr>
                <w:rFonts w:hint="eastAsia"/>
              </w:rPr>
              <w:t>0.4445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7" w:type="dxa"/>
            <w:vAlign w:val="center"/>
          </w:tcPr>
          <w:p>
            <w:pPr>
              <w:pStyle w:val="63"/>
            </w:pPr>
            <w:r>
              <w:rPr>
                <w:rFonts w:hint="eastAsia"/>
              </w:rPr>
              <w:t>4500</w:t>
            </w:r>
          </w:p>
        </w:tc>
        <w:tc>
          <w:tcPr>
            <w:tcW w:w="1208" w:type="dxa"/>
            <w:vAlign w:val="center"/>
          </w:tcPr>
          <w:p>
            <w:pPr>
              <w:pStyle w:val="63"/>
            </w:pPr>
            <w:r>
              <w:rPr>
                <w:rFonts w:hint="eastAsia"/>
              </w:rPr>
              <w:t>0.45</w:t>
            </w:r>
          </w:p>
        </w:tc>
        <w:tc>
          <w:tcPr>
            <w:tcW w:w="1208" w:type="dxa"/>
            <w:vAlign w:val="center"/>
          </w:tcPr>
          <w:p>
            <w:pPr>
              <w:pStyle w:val="63"/>
            </w:pPr>
            <w:r>
              <w:rPr>
                <w:rFonts w:hint="eastAsia"/>
              </w:rPr>
              <w:t>0.4497</w:t>
            </w:r>
          </w:p>
        </w:tc>
        <w:tc>
          <w:tcPr>
            <w:tcW w:w="1208" w:type="dxa"/>
            <w:vAlign w:val="center"/>
          </w:tcPr>
          <w:p>
            <w:pPr>
              <w:pStyle w:val="63"/>
            </w:pPr>
            <w:r>
              <w:rPr>
                <w:rFonts w:hint="eastAsia"/>
              </w:rPr>
              <w:t>0.4489</w:t>
            </w:r>
          </w:p>
        </w:tc>
        <w:tc>
          <w:tcPr>
            <w:tcW w:w="1208" w:type="dxa"/>
            <w:vAlign w:val="center"/>
          </w:tcPr>
          <w:p>
            <w:pPr>
              <w:pStyle w:val="63"/>
            </w:pPr>
            <w:r>
              <w:rPr>
                <w:rFonts w:hint="eastAsia"/>
              </w:rPr>
              <w:t>0.4475</w:t>
            </w:r>
          </w:p>
        </w:tc>
        <w:tc>
          <w:tcPr>
            <w:tcW w:w="1208" w:type="dxa"/>
            <w:vAlign w:val="center"/>
          </w:tcPr>
          <w:p>
            <w:pPr>
              <w:pStyle w:val="63"/>
            </w:pPr>
            <w:r>
              <w:rPr>
                <w:rFonts w:hint="eastAsia"/>
              </w:rPr>
              <w:t>0.4457</w:t>
            </w:r>
          </w:p>
        </w:tc>
        <w:tc>
          <w:tcPr>
            <w:tcW w:w="1204" w:type="dxa"/>
            <w:vAlign w:val="center"/>
          </w:tcPr>
          <w:p>
            <w:pPr>
              <w:pStyle w:val="63"/>
            </w:pPr>
            <w:r>
              <w:rPr>
                <w:rFonts w:hint="eastAsia"/>
              </w:rPr>
              <w:t>0.4436</w:t>
            </w:r>
          </w:p>
        </w:tc>
      </w:tr>
    </w:tbl>
    <w:p>
      <w:pPr>
        <w:pStyle w:val="34"/>
        <w:spacing w:after="0" w:line="360" w:lineRule="auto"/>
        <w:ind w:firstLine="480" w:firstLineChars="200"/>
      </w:pPr>
      <w:r>
        <w:rPr>
          <w:rFonts w:hint="eastAsia"/>
        </w:rPr>
        <w:t>根据预测结果的分析，可以看出，污水处理厂事故情况下的污水排放，COD的预测浓度在排放口下游0m-100m范围内存在超标现象，NH</w:t>
      </w:r>
      <w:r>
        <w:rPr>
          <w:rFonts w:hint="eastAsia"/>
          <w:vertAlign w:val="subscript"/>
        </w:rPr>
        <w:t>3</w:t>
      </w:r>
      <w:r>
        <w:rPr>
          <w:rFonts w:hint="eastAsia"/>
        </w:rPr>
        <w:t>-N的预测浓度不存在超标。污水厂运营单位应加强管理，规范运营，杜绝污水的事故排放，同时制定污水事故排放应急预案，事故排放及时发现，及时治理。</w:t>
      </w:r>
    </w:p>
    <w:p>
      <w:pPr>
        <w:spacing w:line="360" w:lineRule="auto"/>
        <w:ind w:firstLine="480" w:firstLineChars="200"/>
      </w:pPr>
      <w:r>
        <w:rPr>
          <w:rFonts w:hint="eastAsia"/>
        </w:rPr>
        <w:t>由于现有污水厂排污口位于白鱀豚保护区实验区内，根据《中华人民共和国自然保护区条例》、国家九部委环发[2015]57号文件及</w:t>
      </w:r>
      <w:r>
        <w:rPr>
          <w:rFonts w:hint="eastAsia" w:ascii="宋体" w:hAnsi="宋体"/>
        </w:rPr>
        <w:t>湖南省环境保护厅关于临湘工业园滨江产业区规划环境影响报告书的审查意见要求，</w:t>
      </w:r>
      <w:r>
        <w:rPr>
          <w:rFonts w:hint="eastAsia"/>
        </w:rPr>
        <w:t>对现有污水处理厂及其排污口进行改造，出水水质达到《城镇污水处理厂污染物排放标准》（GB18918-2002）一级A标准。污水处理厂提质改造后，可减少污染物的排放，减轻对长江及白鱀豚保护区的影响。</w:t>
      </w:r>
    </w:p>
    <w:p>
      <w:pPr>
        <w:spacing w:line="360" w:lineRule="auto"/>
        <w:ind w:firstLine="480" w:firstLineChars="200"/>
      </w:pPr>
      <w:r>
        <w:rPr>
          <w:rFonts w:hint="eastAsia"/>
        </w:rPr>
        <w:t>企业废水进入深水海纳污水处理厂有在线监控，一旦超标，污水处理厂通知园区，园区通知企业，在10min以内关闭企业的排水阀，因此，造成污水处理厂事故排放的可能想较小。</w:t>
      </w:r>
    </w:p>
    <w:p>
      <w:pPr>
        <w:pStyle w:val="5"/>
        <w:ind w:firstLine="482"/>
      </w:pPr>
      <w:r>
        <w:rPr>
          <w:rFonts w:hint="eastAsia"/>
        </w:rPr>
        <w:t>6.12.3.4 污水处理厂废水事故外排突发环境事件</w:t>
      </w:r>
    </w:p>
    <w:p>
      <w:pPr>
        <w:spacing w:line="360" w:lineRule="auto"/>
        <w:ind w:firstLine="480" w:firstLineChars="200"/>
        <w:rPr>
          <w:szCs w:val="24"/>
        </w:rPr>
      </w:pPr>
      <w:r>
        <w:t>正常排污工况情况下，各排污口下游河段CODcr、NH</w:t>
      </w:r>
      <w:r>
        <w:rPr>
          <w:vertAlign w:val="subscript"/>
        </w:rPr>
        <w:t>3</w:t>
      </w:r>
      <w:r>
        <w:t>-N的浓度预测值亦能够满足《地表水环境质量标准》（GB3838-2002）对应的水环境质量标准要求，但污染物排放浓度有所增加。</w:t>
      </w:r>
    </w:p>
    <w:p>
      <w:pPr>
        <w:spacing w:line="360" w:lineRule="auto"/>
        <w:ind w:firstLine="480" w:firstLineChars="200"/>
      </w:pPr>
      <w:r>
        <w:t>同时为减小各污水处理厂非正常排放对长江的影响，应做好以下几个方面：</w:t>
      </w:r>
    </w:p>
    <w:p>
      <w:pPr>
        <w:spacing w:line="360" w:lineRule="auto"/>
        <w:ind w:firstLine="480" w:firstLineChars="200"/>
      </w:pPr>
      <w:r>
        <w:rPr>
          <w:rFonts w:hint="eastAsia" w:ascii="宋体" w:hAnsi="宋体" w:cs="宋体"/>
        </w:rPr>
        <w:t>①</w:t>
      </w:r>
      <w:r>
        <w:t>各污水处理厂在全面落实各污染防治、风险防范等措施的前提下，污染物排放达到国家规定的标准，同时开展增殖放流、保护区管理与监测等生态补偿措施，减缓项目对保护区的影响。</w:t>
      </w:r>
    </w:p>
    <w:p>
      <w:pPr>
        <w:spacing w:line="360" w:lineRule="auto"/>
        <w:ind w:firstLine="480" w:firstLineChars="200"/>
      </w:pPr>
      <w:r>
        <w:rPr>
          <w:rFonts w:hint="eastAsia" w:ascii="宋体" w:hAnsi="宋体" w:cs="宋体"/>
        </w:rPr>
        <w:t>②</w:t>
      </w:r>
      <w:r>
        <w:t>园区管委会应不断改进、优化事故分级响应和应急处置预案，提升园区环境管理水平，切实加强园区风险应急措施及风险源管控，做好园区应急演练和外排污水监测，防止污染事故的发生。</w:t>
      </w:r>
    </w:p>
    <w:p>
      <w:pPr>
        <w:spacing w:line="360" w:lineRule="auto"/>
        <w:ind w:firstLine="480" w:firstLineChars="200"/>
      </w:pPr>
      <w:r>
        <w:rPr>
          <w:rFonts w:hint="eastAsia" w:ascii="宋体" w:hAnsi="宋体" w:cs="宋体"/>
        </w:rPr>
        <w:t>③</w:t>
      </w:r>
      <w:r>
        <w:t>按规定对退水水质和水量进行监测，并加强对园区特征污染物苯系物、有机物等因子的监测定期向当地生态环境行政主管部门和湖南省生态环境厅报送入河排污口监测统计有关信息。</w:t>
      </w:r>
    </w:p>
    <w:p>
      <w:pPr>
        <w:spacing w:line="360" w:lineRule="auto"/>
        <w:ind w:firstLine="480" w:firstLineChars="200"/>
      </w:pPr>
      <w:r>
        <w:rPr>
          <w:rFonts w:hint="eastAsia" w:ascii="宋体" w:hAnsi="宋体" w:cs="宋体"/>
        </w:rPr>
        <w:t>④</w:t>
      </w:r>
      <w:r>
        <w:t>污水处理厂应加强运行管理，定期检修污水处理设备，加强应急演练，避免事故排放。</w:t>
      </w:r>
    </w:p>
    <w:p>
      <w:pPr>
        <w:spacing w:line="360" w:lineRule="auto"/>
        <w:ind w:firstLine="480" w:firstLineChars="20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园区</w:t>
      </w:r>
      <w:r>
        <w:t>需加强雨污管网的</w:t>
      </w:r>
      <w:r>
        <w:rPr>
          <w:rFonts w:hint="eastAsia"/>
        </w:rPr>
        <w:t>维护</w:t>
      </w:r>
      <w:r>
        <w:t>，</w:t>
      </w:r>
      <w:r>
        <w:rPr>
          <w:rFonts w:hint="eastAsia"/>
        </w:rPr>
        <w:t>加强</w:t>
      </w:r>
      <w:r>
        <w:t>管网的巡检，</w:t>
      </w:r>
      <w:r>
        <w:rPr>
          <w:rFonts w:hint="eastAsia"/>
        </w:rPr>
        <w:t>避免</w:t>
      </w:r>
      <w:r>
        <w:t>暴雨</w:t>
      </w:r>
      <w:r>
        <w:rPr>
          <w:rFonts w:hint="eastAsia"/>
        </w:rPr>
        <w:t>天气下</w:t>
      </w:r>
      <w:r>
        <w:t>废水经雨水管网流入外环境。</w:t>
      </w:r>
    </w:p>
    <w:p>
      <w:pPr>
        <w:pStyle w:val="4"/>
      </w:pPr>
      <w:bookmarkStart w:id="671" w:name="_Toc146091999"/>
      <w:r>
        <w:rPr>
          <w:rFonts w:hint="eastAsia"/>
        </w:rPr>
        <w:t>6.11.4 环境风险防范措施</w:t>
      </w:r>
      <w:bookmarkEnd w:id="671"/>
    </w:p>
    <w:p>
      <w:pPr>
        <w:spacing w:line="360" w:lineRule="auto"/>
        <w:ind w:firstLine="480" w:firstLineChars="200"/>
      </w:pPr>
      <w:r>
        <w:rPr>
          <w:rFonts w:hint="eastAsia"/>
        </w:rPr>
        <w:t>通过事故源项分析识别，园区存在因使用和贮存有毒害性物质而引起火灾、爆炸和毒害性物质扩散污染大气环境的事故隐患，具有一定的环境风险。从管理和安全出发，并根据《化工园区建设标准和认定管理办法（试行）》、《湖南省化工园区污水收集处理规范化建设暂行规定》，管委会应采取一系列的风险管理措施，进行科学规划、合理布局，并从技术、工艺、管理方法等方面加强对园区内企业风险防范措施建设的管理，检查、监督。区内各企业采取严格的防火、防爆、防泄漏措施，以及建立安全生产制度，大力提高操作人员的素质和水平；另一方面还应建立起有针对性的风险防范体系，配备一定的硬件设施，以加强对潜在事故的监控，及时发现事故隐患，及时消除，将事故控制在萌芽状态。</w:t>
      </w:r>
    </w:p>
    <w:p>
      <w:pPr>
        <w:pStyle w:val="5"/>
        <w:ind w:firstLine="482"/>
      </w:pPr>
      <w:r>
        <w:rPr>
          <w:rFonts w:hint="eastAsia"/>
        </w:rPr>
        <w:t>6.12.4.1 风险防控体系与应急防范措施</w:t>
      </w:r>
    </w:p>
    <w:p>
      <w:pPr>
        <w:spacing w:line="360" w:lineRule="auto"/>
        <w:ind w:firstLine="480" w:firstLineChars="200"/>
      </w:pPr>
      <w:r>
        <w:rPr>
          <w:rFonts w:hint="eastAsia"/>
        </w:rPr>
        <w:t>1、园区层面</w:t>
      </w:r>
    </w:p>
    <w:p>
      <w:pPr>
        <w:spacing w:line="360" w:lineRule="auto"/>
        <w:ind w:firstLine="480" w:firstLineChars="200"/>
      </w:pPr>
      <w:r>
        <w:rPr>
          <w:rFonts w:hint="eastAsia"/>
        </w:rPr>
        <w:t>（1）建立健全园区突发环境污染事故的应急机制，提高园区应急管理水平，有效预防、及时控制和消除重大环境污染事件造成的危害，建立健全突发环境事件应急机制，提高对涉及公共场所危机的突发环境污染事件的处置能力，保障公众的生命健康和财产安全，保护环境，促进社会全面、协调、可持续发展。以确保园区各企业或在园区公共区域内突发环境事件发生后，能及时有效地调配各种应急资源，实施应急救援，最大限度地阻止和控制污染向周围环境进一步扩散，最大可能避免对公共环境造成的污染。</w:t>
      </w:r>
    </w:p>
    <w:p>
      <w:pPr>
        <w:spacing w:line="360" w:lineRule="auto"/>
        <w:ind w:firstLine="480" w:firstLineChars="200"/>
      </w:pPr>
      <w:r>
        <w:rPr>
          <w:rFonts w:hint="eastAsia"/>
        </w:rPr>
        <w:t>在园区现有环境风险控制应急响应体系基础上进一步加强园区风险管理与事故应急防范工作，应编制园区突发环境事件应急预案，其次应进一步加强应急救援队、风险监控体系建设、定期开展应急演练、储备必要的应急物资等工作的建设，全面提升园区风险防控和事故应急处置能力，建立污染源头、过程处理和最终排放的“三级防控”机制。</w:t>
      </w:r>
    </w:p>
    <w:p>
      <w:pPr>
        <w:spacing w:line="360" w:lineRule="auto"/>
        <w:ind w:firstLine="480" w:firstLineChars="200"/>
      </w:pPr>
      <w:r>
        <w:rPr>
          <w:rFonts w:hint="eastAsia"/>
        </w:rPr>
        <w:t>（2）严格筛选进区项目，禁止生产工艺及设备落后、风险防范措施疏漏、抗风险性能差的项目入区。项目入区后，合理规划平面布置，危险品仓储用地应与人员稠密的车间、食堂等保持一定距离；配备足够的消防设施，落实防火安全责任制。</w:t>
      </w:r>
    </w:p>
    <w:p>
      <w:pPr>
        <w:spacing w:line="360" w:lineRule="auto"/>
        <w:ind w:firstLine="480" w:firstLineChars="200"/>
      </w:pPr>
      <w:r>
        <w:rPr>
          <w:rFonts w:hint="eastAsia"/>
        </w:rPr>
        <w:t>（3）加强企业管理，建立可靠的监测和预警系统，有针对性地排查环境安全隐患，对排查出的问题及时预警，对入区企业提出建立突发环境事件应急预案和事故防范、减缓措施的要求，特别是使用或生产危险性较大的物料的企业，必须提出行之有效的杜绝环境污染事故发生的防范与抢险措施。</w:t>
      </w:r>
    </w:p>
    <w:p>
      <w:pPr>
        <w:spacing w:line="360" w:lineRule="auto"/>
        <w:ind w:firstLine="480" w:firstLineChars="200"/>
      </w:pPr>
      <w:r>
        <w:rPr>
          <w:rFonts w:hint="eastAsia"/>
        </w:rPr>
        <w:t>（4）规划实施过程中，应限期举办区内专职应急人员培训、企业内部环境风险防范、应急教育活动，并组织相关应急人员到周边居民居住区进行环境风险防范知识宣传活动等。</w:t>
      </w:r>
    </w:p>
    <w:p>
      <w:pPr>
        <w:spacing w:line="360" w:lineRule="auto"/>
        <w:ind w:firstLine="480" w:firstLineChars="200"/>
      </w:pPr>
      <w:r>
        <w:rPr>
          <w:rFonts w:hint="eastAsia"/>
        </w:rPr>
        <w:t>（5）按照片区成立环境管理领导小组和事故应急处理机构，制定详细的环境风险应急预案，做好入园企业、管委会和其它专业管理部门（如生态环境局、消防中队、水务局、应急管理局等职能部门）的之间的协调、沟通工作，完善片区的环境风险防范及环境安全突发事件应急处理的综合方案。</w:t>
      </w:r>
    </w:p>
    <w:p>
      <w:pPr>
        <w:spacing w:line="360" w:lineRule="auto"/>
        <w:ind w:firstLine="480" w:firstLineChars="200"/>
      </w:pPr>
      <w:r>
        <w:rPr>
          <w:rFonts w:hint="eastAsia"/>
        </w:rPr>
        <w:t>（6）化工园区应按照“分类控制、分级管理、分步实施”要求，结合产业结构、产业链特点、安全风险类型等实际情况，分区实行封闭化管理，建立门禁系统和视频监控系统，对易燃易爆、有毒有害化学品等物料、人员、车辆进出实施全过程监管，</w:t>
      </w:r>
    </w:p>
    <w:p>
      <w:pPr>
        <w:spacing w:line="360" w:lineRule="auto"/>
        <w:ind w:firstLine="480" w:firstLineChars="200"/>
      </w:pPr>
      <w:r>
        <w:rPr>
          <w:rFonts w:hint="eastAsia"/>
        </w:rPr>
        <w:t>（7）化工园区应具备对产生危险废物全部收集的能力，根据园区危险废物产生情况和所在区域危险废物利用处置能力统筹配建危险废物利用处置能力。</w:t>
      </w:r>
    </w:p>
    <w:p>
      <w:pPr>
        <w:spacing w:line="360" w:lineRule="auto"/>
        <w:ind w:firstLine="480" w:firstLineChars="200"/>
      </w:pPr>
      <w:r>
        <w:rPr>
          <w:rFonts w:hint="eastAsia"/>
        </w:rPr>
        <w:t>（8）化工园区应根据自身规模和产业结构需要，建立完善的安全生产和生态环境的监测监控和风险预警体系，相关监控数据应接入地方监测预警系统。</w:t>
      </w:r>
    </w:p>
    <w:p>
      <w:pPr>
        <w:spacing w:line="360" w:lineRule="auto"/>
        <w:ind w:firstLine="480" w:firstLineChars="200"/>
      </w:pPr>
      <w:r>
        <w:rPr>
          <w:rFonts w:hint="eastAsia"/>
        </w:rPr>
        <w:t>2、企业层面</w:t>
      </w:r>
    </w:p>
    <w:p>
      <w:pPr>
        <w:spacing w:line="360" w:lineRule="auto"/>
        <w:ind w:firstLine="480" w:firstLineChars="200"/>
      </w:pPr>
      <w:r>
        <w:rPr>
          <w:rFonts w:hint="eastAsia"/>
        </w:rPr>
        <w:t>园区入园企业建立各自的风险防范措施，完善事故风险防范体系。</w:t>
      </w:r>
    </w:p>
    <w:p>
      <w:pPr>
        <w:pStyle w:val="6"/>
      </w:pPr>
      <w:r>
        <w:t xml:space="preserve">表6.11-4   </w:t>
      </w:r>
      <w:r>
        <w:rPr>
          <w:rFonts w:hint="eastAsia"/>
        </w:rPr>
        <w:t>化</w:t>
      </w:r>
      <w:r>
        <w:t>工企业风险防范措施（</w:t>
      </w:r>
      <w:r>
        <w:rPr>
          <w:rFonts w:hint="eastAsia"/>
        </w:rPr>
        <w:t>其余企业</w:t>
      </w:r>
      <w:r>
        <w:t>可参照）</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05"/>
        <w:gridCol w:w="1217"/>
        <w:gridCol w:w="3242"/>
        <w:gridCol w:w="3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8" w:hRule="atLeast"/>
          <w:jc w:val="center"/>
        </w:trPr>
        <w:tc>
          <w:tcPr>
            <w:tcW w:w="182" w:type="pct"/>
            <w:tcBorders>
              <w:top w:val="single" w:color="auto" w:sz="12" w:space="0"/>
              <w:left w:val="single" w:color="auto" w:sz="12" w:space="0"/>
              <w:bottom w:val="single" w:color="auto" w:sz="6" w:space="0"/>
              <w:right w:val="single" w:color="auto" w:sz="6" w:space="0"/>
            </w:tcBorders>
            <w:noWrap/>
            <w:vAlign w:val="center"/>
          </w:tcPr>
          <w:p>
            <w:pPr>
              <w:pStyle w:val="63"/>
            </w:pPr>
            <w:r>
              <w:t>序号</w:t>
            </w:r>
          </w:p>
        </w:tc>
        <w:tc>
          <w:tcPr>
            <w:tcW w:w="727" w:type="pct"/>
            <w:tcBorders>
              <w:top w:val="single" w:color="auto" w:sz="12" w:space="0"/>
              <w:left w:val="single" w:color="auto" w:sz="6" w:space="0"/>
              <w:bottom w:val="single" w:color="auto" w:sz="6" w:space="0"/>
              <w:right w:val="single" w:color="auto" w:sz="6" w:space="0"/>
            </w:tcBorders>
            <w:noWrap/>
            <w:vAlign w:val="center"/>
          </w:tcPr>
          <w:p>
            <w:pPr>
              <w:pStyle w:val="63"/>
            </w:pPr>
            <w:r>
              <w:t>防范措施</w:t>
            </w:r>
          </w:p>
        </w:tc>
        <w:tc>
          <w:tcPr>
            <w:tcW w:w="1936" w:type="pct"/>
            <w:tcBorders>
              <w:top w:val="single" w:color="auto" w:sz="12" w:space="0"/>
              <w:left w:val="single" w:color="auto" w:sz="6" w:space="0"/>
              <w:bottom w:val="single" w:color="auto" w:sz="6" w:space="0"/>
              <w:right w:val="single" w:color="auto" w:sz="6" w:space="0"/>
            </w:tcBorders>
            <w:noWrap/>
            <w:vAlign w:val="center"/>
          </w:tcPr>
          <w:p>
            <w:pPr>
              <w:pStyle w:val="63"/>
            </w:pPr>
            <w:r>
              <w:t>主要内容</w:t>
            </w:r>
          </w:p>
        </w:tc>
        <w:tc>
          <w:tcPr>
            <w:tcW w:w="2153" w:type="pct"/>
            <w:tcBorders>
              <w:top w:val="single" w:color="auto" w:sz="12" w:space="0"/>
              <w:left w:val="single" w:color="auto" w:sz="6" w:space="0"/>
              <w:bottom w:val="single" w:color="auto" w:sz="6" w:space="0"/>
              <w:right w:val="single" w:color="auto" w:sz="12" w:space="0"/>
            </w:tcBorders>
            <w:noWrap/>
            <w:vAlign w:val="center"/>
          </w:tcPr>
          <w:p>
            <w:pPr>
              <w:pStyle w:val="63"/>
            </w:pPr>
            <w:r>
              <w:t>规范要求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3" w:hRule="atLeast"/>
          <w:jc w:val="center"/>
        </w:trPr>
        <w:tc>
          <w:tcPr>
            <w:tcW w:w="182" w:type="pct"/>
            <w:tcBorders>
              <w:top w:val="single" w:color="auto" w:sz="6" w:space="0"/>
              <w:left w:val="single" w:color="auto" w:sz="12" w:space="0"/>
              <w:bottom w:val="single" w:color="auto" w:sz="6" w:space="0"/>
              <w:right w:val="single" w:color="auto" w:sz="6" w:space="0"/>
            </w:tcBorders>
            <w:noWrap/>
            <w:vAlign w:val="center"/>
          </w:tcPr>
          <w:p>
            <w:pPr>
              <w:pStyle w:val="63"/>
            </w:pPr>
            <w:r>
              <w:t>1</w:t>
            </w:r>
          </w:p>
        </w:tc>
        <w:tc>
          <w:tcPr>
            <w:tcW w:w="727" w:type="pct"/>
            <w:tcBorders>
              <w:top w:val="single" w:color="auto" w:sz="6" w:space="0"/>
              <w:left w:val="single" w:color="auto" w:sz="6" w:space="0"/>
              <w:bottom w:val="single" w:color="auto" w:sz="6" w:space="0"/>
              <w:right w:val="single" w:color="auto" w:sz="6" w:space="0"/>
            </w:tcBorders>
            <w:noWrap/>
            <w:vAlign w:val="center"/>
          </w:tcPr>
          <w:p>
            <w:pPr>
              <w:pStyle w:val="63"/>
            </w:pPr>
            <w:r>
              <w:t>选址、总图布置和建筑安全防范措施</w:t>
            </w:r>
          </w:p>
        </w:tc>
        <w:tc>
          <w:tcPr>
            <w:tcW w:w="1936" w:type="pct"/>
            <w:tcBorders>
              <w:top w:val="single" w:color="auto" w:sz="6" w:space="0"/>
              <w:left w:val="single" w:color="auto" w:sz="6" w:space="0"/>
              <w:bottom w:val="single" w:color="auto" w:sz="6" w:space="0"/>
              <w:right w:val="single" w:color="auto" w:sz="6" w:space="0"/>
            </w:tcBorders>
            <w:noWrap/>
            <w:vAlign w:val="center"/>
          </w:tcPr>
          <w:p>
            <w:pPr>
              <w:pStyle w:val="63"/>
            </w:pPr>
            <w:r>
              <w:t>拟建装置总平面布置、管道布置符合防范爆炸、火灾等事故要求，有完善应急救援设施及救援通道、应急疏散通道。</w:t>
            </w:r>
          </w:p>
        </w:tc>
        <w:tc>
          <w:tcPr>
            <w:tcW w:w="2153" w:type="pct"/>
            <w:tcBorders>
              <w:top w:val="single" w:color="auto" w:sz="6" w:space="0"/>
              <w:left w:val="single" w:color="auto" w:sz="6" w:space="0"/>
              <w:bottom w:val="single" w:color="auto" w:sz="6" w:space="0"/>
              <w:right w:val="single" w:color="auto" w:sz="12" w:space="0"/>
            </w:tcBorders>
            <w:noWrap/>
            <w:vAlign w:val="center"/>
          </w:tcPr>
          <w:p>
            <w:pPr>
              <w:pStyle w:val="63"/>
            </w:pPr>
            <w:r>
              <w:t>《爆炸危险环境电力管理设计规范》、《建筑设计防火规范》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3" w:hRule="atLeast"/>
          <w:jc w:val="center"/>
        </w:trPr>
        <w:tc>
          <w:tcPr>
            <w:tcW w:w="182" w:type="pct"/>
            <w:tcBorders>
              <w:top w:val="single" w:color="auto" w:sz="6" w:space="0"/>
              <w:left w:val="single" w:color="auto" w:sz="12" w:space="0"/>
              <w:bottom w:val="single" w:color="auto" w:sz="6" w:space="0"/>
              <w:right w:val="single" w:color="auto" w:sz="6" w:space="0"/>
            </w:tcBorders>
            <w:noWrap/>
            <w:vAlign w:val="center"/>
          </w:tcPr>
          <w:p>
            <w:pPr>
              <w:pStyle w:val="63"/>
            </w:pPr>
            <w:r>
              <w:t>2</w:t>
            </w:r>
          </w:p>
        </w:tc>
        <w:tc>
          <w:tcPr>
            <w:tcW w:w="727" w:type="pct"/>
            <w:tcBorders>
              <w:top w:val="single" w:color="auto" w:sz="6" w:space="0"/>
              <w:left w:val="single" w:color="auto" w:sz="6" w:space="0"/>
              <w:bottom w:val="single" w:color="auto" w:sz="6" w:space="0"/>
              <w:right w:val="single" w:color="auto" w:sz="6" w:space="0"/>
            </w:tcBorders>
            <w:noWrap/>
            <w:vAlign w:val="center"/>
          </w:tcPr>
          <w:p>
            <w:pPr>
              <w:pStyle w:val="63"/>
            </w:pPr>
            <w:r>
              <w:t>危险化学品贮运安全防范措施</w:t>
            </w:r>
          </w:p>
        </w:tc>
        <w:tc>
          <w:tcPr>
            <w:tcW w:w="1936" w:type="pct"/>
            <w:tcBorders>
              <w:top w:val="single" w:color="auto" w:sz="6" w:space="0"/>
              <w:left w:val="single" w:color="auto" w:sz="6" w:space="0"/>
              <w:bottom w:val="single" w:color="auto" w:sz="6" w:space="0"/>
              <w:right w:val="single" w:color="auto" w:sz="6" w:space="0"/>
            </w:tcBorders>
            <w:noWrap/>
            <w:vAlign w:val="center"/>
          </w:tcPr>
          <w:p>
            <w:pPr>
              <w:pStyle w:val="63"/>
            </w:pPr>
            <w:r>
              <w:t>确保防火间距、消防通道、消防设施等满足规定要求。</w:t>
            </w:r>
          </w:p>
        </w:tc>
        <w:tc>
          <w:tcPr>
            <w:tcW w:w="2153" w:type="pct"/>
            <w:tcBorders>
              <w:top w:val="single" w:color="auto" w:sz="6" w:space="0"/>
              <w:left w:val="single" w:color="auto" w:sz="6" w:space="0"/>
              <w:bottom w:val="single" w:color="auto" w:sz="6" w:space="0"/>
              <w:right w:val="single" w:color="auto" w:sz="12" w:space="0"/>
            </w:tcBorders>
            <w:noWrap/>
            <w:vAlign w:val="center"/>
          </w:tcPr>
          <w:p>
            <w:pPr>
              <w:pStyle w:val="63"/>
            </w:pPr>
            <w:r>
              <w:t>《营运车辆综合性能要求和检验方法》、《道路运输危险货物车辆标志》、《道路危险货物运输管理规定》、《压力容器设计规范》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3" w:hRule="atLeast"/>
          <w:jc w:val="center"/>
        </w:trPr>
        <w:tc>
          <w:tcPr>
            <w:tcW w:w="182" w:type="pct"/>
            <w:tcBorders>
              <w:top w:val="single" w:color="auto" w:sz="6" w:space="0"/>
              <w:left w:val="single" w:color="auto" w:sz="12" w:space="0"/>
              <w:bottom w:val="single" w:color="auto" w:sz="6" w:space="0"/>
              <w:right w:val="single" w:color="auto" w:sz="6" w:space="0"/>
            </w:tcBorders>
            <w:noWrap/>
            <w:vAlign w:val="center"/>
          </w:tcPr>
          <w:p>
            <w:pPr>
              <w:pStyle w:val="63"/>
            </w:pPr>
            <w:r>
              <w:t>3</w:t>
            </w:r>
          </w:p>
        </w:tc>
        <w:tc>
          <w:tcPr>
            <w:tcW w:w="727" w:type="pct"/>
            <w:tcBorders>
              <w:top w:val="single" w:color="auto" w:sz="6" w:space="0"/>
              <w:left w:val="single" w:color="auto" w:sz="6" w:space="0"/>
              <w:bottom w:val="single" w:color="auto" w:sz="6" w:space="0"/>
              <w:right w:val="single" w:color="auto" w:sz="6" w:space="0"/>
            </w:tcBorders>
            <w:noWrap/>
            <w:vAlign w:val="center"/>
          </w:tcPr>
          <w:p>
            <w:pPr>
              <w:pStyle w:val="63"/>
            </w:pPr>
            <w:r>
              <w:t>工艺技术设计安全防范措施</w:t>
            </w:r>
          </w:p>
        </w:tc>
        <w:tc>
          <w:tcPr>
            <w:tcW w:w="1936" w:type="pct"/>
            <w:tcBorders>
              <w:top w:val="single" w:color="auto" w:sz="6" w:space="0"/>
              <w:left w:val="single" w:color="auto" w:sz="6" w:space="0"/>
              <w:bottom w:val="single" w:color="auto" w:sz="6" w:space="0"/>
              <w:right w:val="single" w:color="auto" w:sz="6" w:space="0"/>
            </w:tcBorders>
            <w:noWrap/>
            <w:vAlign w:val="center"/>
          </w:tcPr>
          <w:p>
            <w:pPr>
              <w:pStyle w:val="63"/>
            </w:pPr>
            <w:r>
              <w:t>生产设施按规范设置自动监测、报警、紧急切断及紧急停车系统以及防火、防爆、防中毒等事故处理系统。</w:t>
            </w:r>
          </w:p>
        </w:tc>
        <w:tc>
          <w:tcPr>
            <w:tcW w:w="2153" w:type="pct"/>
            <w:tcBorders>
              <w:top w:val="single" w:color="auto" w:sz="6" w:space="0"/>
              <w:left w:val="single" w:color="auto" w:sz="6" w:space="0"/>
              <w:bottom w:val="single" w:color="auto" w:sz="6" w:space="0"/>
              <w:right w:val="single" w:color="auto" w:sz="12" w:space="0"/>
            </w:tcBorders>
            <w:noWrap/>
            <w:vAlign w:val="center"/>
          </w:tcPr>
          <w:p>
            <w:pPr>
              <w:pStyle w:val="63"/>
            </w:pPr>
            <w:r>
              <w:t>按企业性质执行相应规范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5" w:hRule="atLeast"/>
          <w:jc w:val="center"/>
        </w:trPr>
        <w:tc>
          <w:tcPr>
            <w:tcW w:w="182" w:type="pct"/>
            <w:tcBorders>
              <w:top w:val="single" w:color="auto" w:sz="6" w:space="0"/>
              <w:left w:val="single" w:color="auto" w:sz="12" w:space="0"/>
              <w:bottom w:val="single" w:color="auto" w:sz="6" w:space="0"/>
              <w:right w:val="single" w:color="auto" w:sz="6" w:space="0"/>
            </w:tcBorders>
            <w:noWrap/>
            <w:vAlign w:val="center"/>
          </w:tcPr>
          <w:p>
            <w:pPr>
              <w:pStyle w:val="63"/>
            </w:pPr>
            <w:r>
              <w:t>4</w:t>
            </w:r>
          </w:p>
        </w:tc>
        <w:tc>
          <w:tcPr>
            <w:tcW w:w="727" w:type="pct"/>
            <w:tcBorders>
              <w:top w:val="single" w:color="auto" w:sz="6" w:space="0"/>
              <w:left w:val="single" w:color="auto" w:sz="6" w:space="0"/>
              <w:bottom w:val="single" w:color="auto" w:sz="6" w:space="0"/>
              <w:right w:val="single" w:color="auto" w:sz="6" w:space="0"/>
            </w:tcBorders>
            <w:noWrap/>
            <w:vAlign w:val="center"/>
          </w:tcPr>
          <w:p>
            <w:pPr>
              <w:pStyle w:val="63"/>
            </w:pPr>
            <w:r>
              <w:t>自动控制设计安全防范措施</w:t>
            </w:r>
          </w:p>
        </w:tc>
        <w:tc>
          <w:tcPr>
            <w:tcW w:w="1936" w:type="pct"/>
            <w:tcBorders>
              <w:top w:val="single" w:color="auto" w:sz="6" w:space="0"/>
              <w:left w:val="single" w:color="auto" w:sz="6" w:space="0"/>
              <w:bottom w:val="single" w:color="auto" w:sz="6" w:space="0"/>
              <w:right w:val="single" w:color="auto" w:sz="6" w:space="0"/>
            </w:tcBorders>
            <w:noWrap/>
            <w:vAlign w:val="center"/>
          </w:tcPr>
          <w:p>
            <w:pPr>
              <w:pStyle w:val="63"/>
            </w:pPr>
            <w:r>
              <w:t>设置可燃气体、有毒气体检测报警系统和在线分析系统，防范风险事故的发生。</w:t>
            </w:r>
          </w:p>
        </w:tc>
        <w:tc>
          <w:tcPr>
            <w:tcW w:w="2153" w:type="pct"/>
            <w:tcBorders>
              <w:top w:val="single" w:color="auto" w:sz="6" w:space="0"/>
              <w:left w:val="single" w:color="auto" w:sz="6" w:space="0"/>
              <w:bottom w:val="single" w:color="auto" w:sz="6" w:space="0"/>
              <w:right w:val="single" w:color="auto" w:sz="12" w:space="0"/>
            </w:tcBorders>
            <w:noWrap/>
            <w:vAlign w:val="center"/>
          </w:tcPr>
          <w:p>
            <w:pPr>
              <w:pStyle w:val="63"/>
            </w:pPr>
            <w:r>
              <w:t>《国家突发环境事件应急预案》、《化工建设项目环境保护设计规范》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jc w:val="center"/>
        </w:trPr>
        <w:tc>
          <w:tcPr>
            <w:tcW w:w="182" w:type="pct"/>
            <w:tcBorders>
              <w:top w:val="single" w:color="auto" w:sz="6" w:space="0"/>
              <w:left w:val="single" w:color="auto" w:sz="12" w:space="0"/>
              <w:bottom w:val="single" w:color="auto" w:sz="6" w:space="0"/>
              <w:right w:val="single" w:color="auto" w:sz="6" w:space="0"/>
            </w:tcBorders>
            <w:noWrap/>
            <w:vAlign w:val="center"/>
          </w:tcPr>
          <w:p>
            <w:pPr>
              <w:pStyle w:val="63"/>
            </w:pPr>
            <w:r>
              <w:t>5</w:t>
            </w:r>
          </w:p>
        </w:tc>
        <w:tc>
          <w:tcPr>
            <w:tcW w:w="727" w:type="pct"/>
            <w:tcBorders>
              <w:top w:val="single" w:color="auto" w:sz="6" w:space="0"/>
              <w:left w:val="single" w:color="auto" w:sz="6" w:space="0"/>
              <w:bottom w:val="single" w:color="auto" w:sz="6" w:space="0"/>
              <w:right w:val="single" w:color="auto" w:sz="6" w:space="0"/>
            </w:tcBorders>
            <w:noWrap/>
            <w:vAlign w:val="center"/>
          </w:tcPr>
          <w:p>
            <w:pPr>
              <w:pStyle w:val="63"/>
            </w:pPr>
            <w:r>
              <w:t>电气、电信</w:t>
            </w:r>
          </w:p>
        </w:tc>
        <w:tc>
          <w:tcPr>
            <w:tcW w:w="1936" w:type="pct"/>
            <w:tcBorders>
              <w:top w:val="single" w:color="auto" w:sz="6" w:space="0"/>
              <w:left w:val="single" w:color="auto" w:sz="6" w:space="0"/>
              <w:bottom w:val="single" w:color="auto" w:sz="6" w:space="0"/>
              <w:right w:val="single" w:color="auto" w:sz="6" w:space="0"/>
            </w:tcBorders>
            <w:noWrap/>
            <w:vAlign w:val="center"/>
          </w:tcPr>
          <w:p>
            <w:pPr>
              <w:pStyle w:val="63"/>
            </w:pPr>
            <w:r>
              <w:t>设置工作接地、保护接地、防雷击、防静电接地系统；选用防爆产品</w:t>
            </w:r>
          </w:p>
        </w:tc>
        <w:tc>
          <w:tcPr>
            <w:tcW w:w="2153" w:type="pct"/>
            <w:tcBorders>
              <w:top w:val="single" w:color="auto" w:sz="6" w:space="0"/>
              <w:left w:val="single" w:color="auto" w:sz="6" w:space="0"/>
              <w:bottom w:val="single" w:color="auto" w:sz="6" w:space="0"/>
              <w:right w:val="single" w:color="auto" w:sz="12" w:space="0"/>
            </w:tcBorders>
            <w:noWrap/>
            <w:vAlign w:val="center"/>
          </w:tcPr>
          <w:p>
            <w:pPr>
              <w:pStyle w:val="63"/>
            </w:pPr>
            <w:r>
              <w:t>《建筑物防雷设计规范》、《爆炸和火灾危险环境电力装置设计规范》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3" w:hRule="atLeast"/>
          <w:jc w:val="center"/>
        </w:trPr>
        <w:tc>
          <w:tcPr>
            <w:tcW w:w="182" w:type="pct"/>
            <w:tcBorders>
              <w:top w:val="single" w:color="auto" w:sz="6" w:space="0"/>
              <w:left w:val="single" w:color="auto" w:sz="12" w:space="0"/>
              <w:bottom w:val="single" w:color="auto" w:sz="6" w:space="0"/>
              <w:right w:val="single" w:color="auto" w:sz="6" w:space="0"/>
            </w:tcBorders>
            <w:noWrap/>
            <w:vAlign w:val="center"/>
          </w:tcPr>
          <w:p>
            <w:pPr>
              <w:pStyle w:val="63"/>
            </w:pPr>
            <w:r>
              <w:t>6</w:t>
            </w:r>
          </w:p>
        </w:tc>
        <w:tc>
          <w:tcPr>
            <w:tcW w:w="727" w:type="pct"/>
            <w:tcBorders>
              <w:top w:val="single" w:color="auto" w:sz="6" w:space="0"/>
              <w:left w:val="single" w:color="auto" w:sz="6" w:space="0"/>
              <w:bottom w:val="single" w:color="auto" w:sz="6" w:space="0"/>
              <w:right w:val="single" w:color="auto" w:sz="6" w:space="0"/>
            </w:tcBorders>
            <w:noWrap/>
            <w:vAlign w:val="center"/>
          </w:tcPr>
          <w:p>
            <w:pPr>
              <w:pStyle w:val="63"/>
            </w:pPr>
            <w:r>
              <w:t>加强企业安全生产管理</w:t>
            </w:r>
          </w:p>
        </w:tc>
        <w:tc>
          <w:tcPr>
            <w:tcW w:w="1936" w:type="pct"/>
            <w:tcBorders>
              <w:top w:val="single" w:color="auto" w:sz="6" w:space="0"/>
              <w:left w:val="single" w:color="auto" w:sz="6" w:space="0"/>
              <w:bottom w:val="single" w:color="auto" w:sz="6" w:space="0"/>
              <w:right w:val="single" w:color="auto" w:sz="6" w:space="0"/>
            </w:tcBorders>
            <w:noWrap/>
            <w:vAlign w:val="center"/>
          </w:tcPr>
          <w:p>
            <w:pPr>
              <w:pStyle w:val="63"/>
            </w:pPr>
            <w:r>
              <w:t>以安全生产标准化为抓手，进一步推动企业健全安全管理机构，严格执行规章制度</w:t>
            </w:r>
          </w:p>
        </w:tc>
        <w:tc>
          <w:tcPr>
            <w:tcW w:w="2153" w:type="pct"/>
            <w:tcBorders>
              <w:top w:val="single" w:color="auto" w:sz="6" w:space="0"/>
              <w:left w:val="single" w:color="auto" w:sz="6" w:space="0"/>
              <w:bottom w:val="single" w:color="auto" w:sz="6" w:space="0"/>
              <w:right w:val="single" w:color="auto" w:sz="12" w:space="0"/>
            </w:tcBorders>
            <w:noWrap/>
            <w:vAlign w:val="center"/>
          </w:tcPr>
          <w:p>
            <w:pPr>
              <w:pStyle w:val="63"/>
            </w:pPr>
            <w:r>
              <w:t>《化工企业工艺安全管理实施导则》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5" w:hRule="atLeast"/>
          <w:jc w:val="center"/>
        </w:trPr>
        <w:tc>
          <w:tcPr>
            <w:tcW w:w="182" w:type="pct"/>
            <w:tcBorders>
              <w:top w:val="single" w:color="auto" w:sz="6" w:space="0"/>
              <w:left w:val="single" w:color="auto" w:sz="12" w:space="0"/>
              <w:bottom w:val="single" w:color="auto" w:sz="12" w:space="0"/>
              <w:right w:val="single" w:color="auto" w:sz="6" w:space="0"/>
            </w:tcBorders>
            <w:noWrap/>
            <w:vAlign w:val="center"/>
          </w:tcPr>
          <w:p>
            <w:pPr>
              <w:pStyle w:val="63"/>
            </w:pPr>
            <w:r>
              <w:t>7</w:t>
            </w:r>
          </w:p>
        </w:tc>
        <w:tc>
          <w:tcPr>
            <w:tcW w:w="727" w:type="pct"/>
            <w:tcBorders>
              <w:top w:val="single" w:color="auto" w:sz="6" w:space="0"/>
              <w:left w:val="single" w:color="auto" w:sz="6" w:space="0"/>
              <w:bottom w:val="single" w:color="auto" w:sz="12" w:space="0"/>
              <w:right w:val="single" w:color="auto" w:sz="6" w:space="0"/>
            </w:tcBorders>
            <w:noWrap/>
            <w:vAlign w:val="center"/>
          </w:tcPr>
          <w:p>
            <w:pPr>
              <w:pStyle w:val="63"/>
            </w:pPr>
            <w:r>
              <w:t>健全企业水环境三级防控体系</w:t>
            </w:r>
          </w:p>
        </w:tc>
        <w:tc>
          <w:tcPr>
            <w:tcW w:w="1936" w:type="pct"/>
            <w:tcBorders>
              <w:top w:val="single" w:color="auto" w:sz="6" w:space="0"/>
              <w:left w:val="single" w:color="auto" w:sz="6" w:space="0"/>
              <w:bottom w:val="single" w:color="auto" w:sz="12" w:space="0"/>
              <w:right w:val="single" w:color="auto" w:sz="6" w:space="0"/>
            </w:tcBorders>
            <w:noWrap/>
            <w:vAlign w:val="center"/>
          </w:tcPr>
          <w:p>
            <w:pPr>
              <w:pStyle w:val="63"/>
            </w:pPr>
            <w:r>
              <w:t>加强企业内部环境风险三级防控措施，并与开发区的污水处理设施连通。</w:t>
            </w:r>
          </w:p>
        </w:tc>
        <w:tc>
          <w:tcPr>
            <w:tcW w:w="2153" w:type="pct"/>
            <w:tcBorders>
              <w:top w:val="single" w:color="auto" w:sz="6" w:space="0"/>
              <w:left w:val="single" w:color="auto" w:sz="6" w:space="0"/>
              <w:bottom w:val="single" w:color="auto" w:sz="12" w:space="0"/>
              <w:right w:val="single" w:color="auto" w:sz="12" w:space="0"/>
            </w:tcBorders>
            <w:noWrap/>
            <w:vAlign w:val="center"/>
          </w:tcPr>
          <w:p>
            <w:pPr>
              <w:pStyle w:val="63"/>
            </w:pPr>
            <w:r>
              <w:t>《事故状态下水体污染的预防与控制技术要求》</w:t>
            </w:r>
          </w:p>
        </w:tc>
      </w:tr>
    </w:tbl>
    <w:p>
      <w:pPr>
        <w:pStyle w:val="3"/>
      </w:pPr>
      <w:bookmarkStart w:id="672" w:name="_Toc93071888"/>
      <w:bookmarkStart w:id="673" w:name="_Toc146092000"/>
      <w:r>
        <w:t>6.13</w:t>
      </w:r>
      <w:r>
        <w:rPr>
          <w:rFonts w:hint="eastAsia"/>
        </w:rPr>
        <w:t>累积</w:t>
      </w:r>
      <w:r>
        <w:t>环境影响分析</w:t>
      </w:r>
      <w:bookmarkEnd w:id="672"/>
      <w:bookmarkEnd w:id="673"/>
    </w:p>
    <w:p>
      <w:pPr>
        <w:spacing w:line="360" w:lineRule="auto"/>
        <w:ind w:firstLine="480" w:firstLineChars="200"/>
      </w:pPr>
      <w:r>
        <w:rPr>
          <w:rFonts w:hint="eastAsia"/>
        </w:rPr>
        <w:t>园区</w:t>
      </w:r>
      <w:r>
        <w:t>累积环境影响主要表现在：</w:t>
      </w:r>
      <w:r>
        <w:rPr>
          <w:rFonts w:hint="eastAsia"/>
        </w:rPr>
        <w:t>①</w:t>
      </w:r>
      <w:r>
        <w:t>园区现状排污企业现状虽然目前已经建设并运行环保设施、未来也要求这些企业严格按照国家相关法规和规范要求达标，但</w:t>
      </w:r>
      <w:r>
        <w:rPr>
          <w:rFonts w:hint="eastAsia"/>
        </w:rPr>
        <w:t>污染物通过大气— 土壤—地下水等环境介质跨相输送、迁移和累积过程</w:t>
      </w:r>
      <w:r>
        <w:t>的环境风险客观存在；</w:t>
      </w:r>
      <w:r>
        <w:rPr>
          <w:rFonts w:hint="eastAsia"/>
        </w:rPr>
        <w:t>②</w:t>
      </w:r>
      <w:r>
        <w:t>随着园区的建设和企业入驻，持久性有机污染物等污染物通过空气、地表水、地下水将渗透、迁移转化至土壤中，导致土壤中的有机物等污染物含量累积。</w:t>
      </w:r>
    </w:p>
    <w:p>
      <w:pPr>
        <w:spacing w:line="360" w:lineRule="auto"/>
        <w:ind w:firstLine="480" w:firstLineChars="200"/>
      </w:pPr>
      <w:r>
        <w:rPr>
          <w:rFonts w:hint="eastAsia"/>
        </w:rPr>
        <w:t>累积环境影响</w:t>
      </w:r>
      <w:r>
        <w:t>具有隐蔽累积性、生物富集性、后果严重性和清除难度大的特点，这些累积在土壤中的污染物可能对土壤生物、地表动植物和地下水环境产生有害影响，并且会逐步改变园区内及周边区域土壤的理化性质，进而使土壤中的动物和微生物因土壤理化性状变化和受到的污染影响，在种类、数量和生物量上有所变化，土壤生物群落结构趋向简单化，特别是园区范围内土壤生物种类、数量和生物量还会比周边农用的土壤少很多，从而影响土壤生物多样性。并且，沉积在土壤中的污染物还可能通过食物链进入人体，使区域人群的身体健康受到损害。</w:t>
      </w:r>
    </w:p>
    <w:p>
      <w:pPr>
        <w:spacing w:line="360" w:lineRule="auto"/>
        <w:ind w:firstLine="480" w:firstLineChars="200"/>
      </w:pPr>
      <w:r>
        <w:rPr>
          <w:rFonts w:hint="eastAsia"/>
        </w:rPr>
        <w:t>根据本次规划环评的4.3章节区域环境质量变化趋势可知，园区规划至今大气中的TVOC相比原规划环评浓度下降，达到标准以内；氨略有上升，区域总体环境质量变化不大，相对有所改善。地表水中的临湘工业园排污口上游500m本次监测的化学需氧量、五日生化需氧量、总磷浓度均有所上升，但均满足标准要求，氟化物略微下降，环境质量整体变化幅度变化不大。区域地下水环境质量相对有所改善，环境质量整体变化幅度不大。区域土壤建设用地砷和汞均有所下降，其余因子基本保持稳定，环境质量变化不大。由以上检测结果可知，园区开发至今，整体区域污染累积环境影响较小。</w:t>
      </w:r>
    </w:p>
    <w:p>
      <w:pPr>
        <w:spacing w:line="360" w:lineRule="auto"/>
        <w:ind w:firstLine="480" w:firstLineChars="200"/>
      </w:pPr>
      <w:r>
        <w:rPr>
          <w:rFonts w:hint="eastAsia"/>
        </w:rPr>
        <w:t>本次调扩区要求入园企业严格采取规划环评及其项目环评提出的污染防控措施，</w:t>
      </w:r>
      <w:r>
        <w:t>规划实施后，污染物经过长期的积累，对园区及周边区域的土壤环境造成的不利影响可控</w:t>
      </w:r>
      <w:r>
        <w:rPr>
          <w:rFonts w:hint="eastAsia"/>
        </w:rPr>
        <w:t>，</w:t>
      </w:r>
      <w:r>
        <w:t>园区建成后，应定期对土壤环境进行监测。</w:t>
      </w:r>
    </w:p>
    <w:p>
      <w:pPr>
        <w:pStyle w:val="3"/>
      </w:pPr>
      <w:bookmarkStart w:id="674" w:name="_Toc93071889"/>
      <w:bookmarkStart w:id="675" w:name="_Toc146092001"/>
      <w:r>
        <w:t>6.1</w:t>
      </w:r>
      <w:r>
        <w:rPr>
          <w:rFonts w:hint="eastAsia"/>
        </w:rPr>
        <w:t>4碳排放影响分析</w:t>
      </w:r>
      <w:bookmarkEnd w:id="674"/>
      <w:bookmarkEnd w:id="675"/>
    </w:p>
    <w:p>
      <w:pPr>
        <w:pStyle w:val="4"/>
      </w:pPr>
      <w:bookmarkStart w:id="676" w:name="_Toc79677146"/>
      <w:bookmarkStart w:id="677" w:name="_Toc79743634"/>
      <w:bookmarkStart w:id="678" w:name="_Toc146092002"/>
      <w:r>
        <w:t>6.14.1碳排放</w:t>
      </w:r>
      <w:bookmarkEnd w:id="676"/>
      <w:bookmarkEnd w:id="677"/>
      <w:r>
        <w:t>预测</w:t>
      </w:r>
      <w:bookmarkEnd w:id="678"/>
    </w:p>
    <w:p>
      <w:pPr>
        <w:spacing w:line="360" w:lineRule="auto"/>
        <w:ind w:firstLine="480" w:firstLineChars="200"/>
      </w:pPr>
      <w:r>
        <w:t>由于湖南省暂未出台碳排放分析与评价相关文件，本次评价参考《重庆市规划环境影响评价技术指南——碳排放评价（试行）》《重庆市建设项目环境影响评价技术指南——碳排放评价（试行）》、《温室气体排放核算与报告要求第10部分：化工生产企业》（GB/T32151.10-2015）和其他相关行业文件进行分析与评价。根据《重庆市规划环境影响评价技术指南——碳排放评价（试行）》等技术规范可知碳排放现状主要分为园区层面和企业层面两方面。其中园区层面碳排放主要包括能源活动排放和净调入电力两方面；企业层面主要为重点企业碳排放调查，包括能源活动排放、净调入电力和热力排放及工业生产过程排放。</w:t>
      </w:r>
    </w:p>
    <w:p>
      <w:pPr>
        <w:spacing w:line="360" w:lineRule="auto"/>
        <w:ind w:firstLine="480" w:firstLineChars="200"/>
      </w:pPr>
      <w:r>
        <w:t>（一）排放源</w:t>
      </w:r>
    </w:p>
    <w:p>
      <w:pPr>
        <w:spacing w:line="360" w:lineRule="auto"/>
        <w:ind w:firstLine="480" w:firstLineChars="200"/>
      </w:pPr>
      <w:r>
        <w:t>1）燃料燃烧排放</w:t>
      </w:r>
    </w:p>
    <w:p>
      <w:pPr>
        <w:spacing w:line="360" w:lineRule="auto"/>
        <w:ind w:firstLine="480" w:firstLineChars="200"/>
      </w:pPr>
      <w:r>
        <w:t>规划区主要是天然气燃烧的二氧化碳排放、工艺有机废气等燃烧的二氧化碳排放。</w:t>
      </w:r>
    </w:p>
    <w:p>
      <w:pPr>
        <w:spacing w:line="360" w:lineRule="auto"/>
        <w:ind w:firstLine="480" w:firstLineChars="200"/>
      </w:pPr>
      <w:r>
        <w:t>2）购入的电力产生的排放</w:t>
      </w:r>
    </w:p>
    <w:p>
      <w:pPr>
        <w:spacing w:line="360" w:lineRule="auto"/>
        <w:ind w:firstLine="480" w:firstLineChars="200"/>
      </w:pPr>
      <w:r>
        <w:t>规划区项目消费购入的电所对应的二氧化碳排放。</w:t>
      </w:r>
    </w:p>
    <w:p>
      <w:pPr>
        <w:spacing w:line="360" w:lineRule="auto"/>
        <w:ind w:firstLine="480" w:firstLineChars="200"/>
      </w:pPr>
      <w:r>
        <w:t>3）过程排放</w:t>
      </w:r>
    </w:p>
    <w:p>
      <w:pPr>
        <w:spacing w:line="360" w:lineRule="auto"/>
        <w:ind w:firstLine="480" w:firstLineChars="200"/>
      </w:pPr>
      <w:r>
        <w:t>规划区涉及化石燃料和其他碳氢化合物作为原材料产生的二氧化碳排放。</w:t>
      </w:r>
    </w:p>
    <w:p>
      <w:pPr>
        <w:spacing w:line="360" w:lineRule="auto"/>
        <w:ind w:firstLine="480" w:firstLineChars="200"/>
      </w:pPr>
      <w:r>
        <w:t>因此规划区涉及的原料产生的碳排放量以及规划区的电力、天然气、工艺过程的排放。</w:t>
      </w:r>
    </w:p>
    <w:p>
      <w:pPr>
        <w:spacing w:line="360" w:lineRule="auto"/>
        <w:ind w:firstLine="480" w:firstLineChars="200"/>
      </w:pPr>
      <w:r>
        <w:t>（二）计算方法</w:t>
      </w:r>
    </w:p>
    <w:p>
      <w:pPr>
        <w:spacing w:line="360" w:lineRule="auto"/>
        <w:ind w:firstLine="480" w:firstLineChars="200"/>
      </w:pPr>
      <w:r>
        <w:t>参考《重庆市规划环境影响评价技术指南——碳排放评价（试行）》等技术规范，规划区碳排放总量计算见公式（1）~（7）：</w:t>
      </w:r>
    </w:p>
    <w:p>
      <w:pPr>
        <w:spacing w:line="360" w:lineRule="auto"/>
        <w:ind w:firstLine="480" w:firstLineChars="200"/>
      </w:pPr>
      <w:r>
        <w:t>AE总=AE燃料燃烧+AE工业生产过程+AE净调入电力和热力……（1）</w:t>
      </w:r>
    </w:p>
    <w:p>
      <w:pPr>
        <w:spacing w:line="360" w:lineRule="auto"/>
        <w:ind w:firstLine="480" w:firstLineChars="200"/>
      </w:pPr>
      <w:r>
        <w:t>AE燃料燃烧=AE电燃+AE工燃……（2）</w:t>
      </w:r>
    </w:p>
    <w:p>
      <w:pPr>
        <w:spacing w:line="360" w:lineRule="auto"/>
        <w:ind w:firstLine="480" w:firstLineChars="200"/>
      </w:pPr>
      <w:r>
        <w:t>AE电燃=∑（ADi燃料×EFi燃料+ADi燃料×EFi燃料×GWPN2O）……（3）</w:t>
      </w:r>
    </w:p>
    <w:p>
      <w:pPr>
        <w:spacing w:line="360" w:lineRule="auto"/>
        <w:ind w:firstLine="480" w:firstLineChars="200"/>
      </w:pPr>
      <w:r>
        <w:t>AE工燃=∑（ADi燃料×EFi燃料）……（4）</w:t>
      </w:r>
    </w:p>
    <w:p>
      <w:pPr>
        <w:spacing w:line="360" w:lineRule="auto"/>
        <w:ind w:firstLine="480" w:firstLineChars="200"/>
      </w:pPr>
      <w:r>
        <w:t>AE净调入电力和热力=AE净调入电力+AE净调入热力……（5）</w:t>
      </w:r>
    </w:p>
    <w:p>
      <w:pPr>
        <w:spacing w:line="360" w:lineRule="auto"/>
        <w:ind w:firstLine="480" w:firstLineChars="200"/>
      </w:pPr>
      <w:r>
        <w:t>AE净调入电力=AD净调入电量×EF电力……（6）</w:t>
      </w:r>
    </w:p>
    <w:p>
      <w:pPr>
        <w:spacing w:line="360" w:lineRule="auto"/>
        <w:ind w:firstLine="480" w:firstLineChars="200"/>
      </w:pPr>
      <w:r>
        <w:t>AE净调入热力=AD净调入热力消耗量×EF热力……（7）</w:t>
      </w:r>
    </w:p>
    <w:p>
      <w:pPr>
        <w:spacing w:line="360" w:lineRule="auto"/>
        <w:ind w:firstLine="480" w:firstLineChars="200"/>
      </w:pPr>
      <w:r>
        <w:t>以上各式中参数解释如下：</w:t>
      </w:r>
    </w:p>
    <w:p>
      <w:pPr>
        <w:spacing w:line="360" w:lineRule="auto"/>
        <w:ind w:firstLine="480" w:firstLineChars="200"/>
      </w:pPr>
      <w:r>
        <w:t>AE总—碳排放总量（tCO2e）；</w:t>
      </w:r>
    </w:p>
    <w:p>
      <w:pPr>
        <w:spacing w:line="360" w:lineRule="auto"/>
        <w:ind w:firstLine="480" w:firstLineChars="200"/>
      </w:pPr>
      <w:r>
        <w:t>AE燃料燃烧—燃料燃烧碳排放量（tCO2e）；</w:t>
      </w:r>
    </w:p>
    <w:p>
      <w:pPr>
        <w:spacing w:line="360" w:lineRule="auto"/>
        <w:ind w:firstLine="480" w:firstLineChars="200"/>
      </w:pPr>
      <w:r>
        <w:t>AE工业生产过程—工业生产过程碳排放量（tCO2e），根据表D.4给出的对应行业的《温室气体排放核算方法与报告指南》中方法进行计算；</w:t>
      </w:r>
    </w:p>
    <w:p>
      <w:pPr>
        <w:spacing w:line="360" w:lineRule="auto"/>
        <w:ind w:firstLine="480" w:firstLineChars="200"/>
      </w:pPr>
      <w:r>
        <w:t>AE净调入电力和热力—净调入电力和热力消耗碳排放总量（tCO2e）；</w:t>
      </w:r>
    </w:p>
    <w:p>
      <w:pPr>
        <w:spacing w:line="360" w:lineRule="auto"/>
        <w:ind w:firstLine="480" w:firstLineChars="200"/>
      </w:pPr>
      <w:r>
        <w:t>AE电燃—电力生产燃料燃烧排放量（tCO2e），本规划区不涉及；</w:t>
      </w:r>
    </w:p>
    <w:p>
      <w:pPr>
        <w:spacing w:line="360" w:lineRule="auto"/>
        <w:ind w:firstLine="480" w:firstLineChars="200"/>
      </w:pPr>
      <w:r>
        <w:t>AE工燃—工业生产燃料燃烧排放量（tCO2e）；</w:t>
      </w:r>
    </w:p>
    <w:p>
      <w:pPr>
        <w:spacing w:line="360" w:lineRule="auto"/>
        <w:ind w:firstLine="480" w:firstLineChars="200"/>
      </w:pPr>
      <w:r>
        <w:t>i—燃料种类；</w:t>
      </w:r>
    </w:p>
    <w:p>
      <w:pPr>
        <w:spacing w:line="360" w:lineRule="auto"/>
        <w:ind w:firstLine="480" w:firstLineChars="200"/>
      </w:pPr>
      <w:r>
        <w:t>ADi燃料—i燃料燃烧消耗量（t或kNm3）；</w:t>
      </w:r>
    </w:p>
    <w:p>
      <w:pPr>
        <w:spacing w:line="360" w:lineRule="auto"/>
        <w:ind w:firstLine="480" w:firstLineChars="200"/>
      </w:pPr>
      <w:r>
        <w:t>EFi燃料—i燃料燃烧二氧化碳排放因子（tCO2e/kg或tCO2e/kNm3），按照表D.2选取；</w:t>
      </w:r>
    </w:p>
    <w:p>
      <w:pPr>
        <w:spacing w:line="360" w:lineRule="auto"/>
        <w:ind w:firstLine="480" w:firstLineChars="200"/>
      </w:pPr>
      <w:r>
        <w:t>EFi燃料—i燃料燃烧氧化亚氮排放因子（tCO2e/kg或tCO2e/kNm3），按照表D.3选取；</w:t>
      </w:r>
    </w:p>
    <w:p>
      <w:pPr>
        <w:spacing w:line="360" w:lineRule="auto"/>
        <w:ind w:firstLine="480" w:firstLineChars="200"/>
      </w:pPr>
      <w:r>
        <w:t>GWPN2O—氧化亚氮全球变暖潜势值，按照表A.1选取。</w:t>
      </w:r>
    </w:p>
    <w:p>
      <w:pPr>
        <w:spacing w:line="360" w:lineRule="auto"/>
        <w:ind w:firstLine="480" w:firstLineChars="200"/>
      </w:pPr>
      <w:r>
        <w:t>AE净调入电力—净调入电力消耗碳排放量（tCO2e）；</w:t>
      </w:r>
    </w:p>
    <w:p>
      <w:pPr>
        <w:spacing w:line="360" w:lineRule="auto"/>
        <w:ind w:firstLine="480" w:firstLineChars="200"/>
      </w:pPr>
      <w:r>
        <w:t>AE净调入热力—净调入热力消耗碳排放量（tCO2e）。</w:t>
      </w:r>
    </w:p>
    <w:p>
      <w:pPr>
        <w:spacing w:line="360" w:lineRule="auto"/>
        <w:ind w:firstLine="480" w:firstLineChars="200"/>
      </w:pPr>
      <w:r>
        <w:t>AD净调入电量—净调入电力消耗量（MWh）；</w:t>
      </w:r>
    </w:p>
    <w:p>
      <w:pPr>
        <w:spacing w:line="360" w:lineRule="auto"/>
        <w:ind w:firstLine="480" w:firstLineChars="200"/>
      </w:pPr>
      <w:r>
        <w:t>EF电力—电力排放因子（tCO2e/MWh），为0.9944tCO2/MWh。</w:t>
      </w:r>
    </w:p>
    <w:p>
      <w:pPr>
        <w:spacing w:line="360" w:lineRule="auto"/>
        <w:ind w:firstLine="480" w:firstLineChars="200"/>
      </w:pPr>
      <w:r>
        <w:t>AD净调入热力消耗量—净调入热力消耗量（GJ）；</w:t>
      </w:r>
    </w:p>
    <w:p>
      <w:pPr>
        <w:spacing w:line="360" w:lineRule="auto"/>
        <w:ind w:firstLine="480" w:firstLineChars="200"/>
      </w:pPr>
      <w:r>
        <w:t>EF热力—热力排放因子（tCO2e/GJ），为0.11tCO2e/GJ。</w:t>
      </w:r>
    </w:p>
    <w:p>
      <w:pPr>
        <w:spacing w:line="360" w:lineRule="auto"/>
        <w:ind w:firstLine="480" w:firstLineChars="200"/>
      </w:pPr>
      <w:r>
        <w:t>（三）碳排放计算</w:t>
      </w:r>
    </w:p>
    <w:p>
      <w:pPr>
        <w:spacing w:line="360" w:lineRule="auto"/>
        <w:ind w:firstLine="480" w:firstLineChars="200"/>
      </w:pPr>
      <w:r>
        <w:t>（1）能源活动排放</w:t>
      </w:r>
    </w:p>
    <w:p>
      <w:pPr>
        <w:spacing w:line="360" w:lineRule="auto"/>
        <w:ind w:firstLine="480" w:firstLineChars="200"/>
      </w:pPr>
      <w:r>
        <w:rPr>
          <w:rFonts w:hint="eastAsia"/>
        </w:rPr>
        <w:t>根据可</w:t>
      </w:r>
      <w:r>
        <w:t>知</w:t>
      </w:r>
      <w:r>
        <w:rPr>
          <w:rFonts w:hint="eastAsia"/>
        </w:rPr>
        <w:t>园区</w:t>
      </w:r>
      <w:r>
        <w:t>天然气使用量为11100.7</w:t>
      </w:r>
      <w:r>
        <w:rPr>
          <w:rFonts w:hint="eastAsia"/>
        </w:rPr>
        <w:t>万m3/</w:t>
      </w:r>
      <w:r>
        <w:t>a，根据《重庆市建设项目环境影响评价技术指南—碳排放评价（试行）》附录D表D.2可知各燃料燃烧二氧化碳排放因子，园区燃料燃烧排放量详见下表</w:t>
      </w:r>
    </w:p>
    <w:p>
      <w:pPr>
        <w:pStyle w:val="6"/>
      </w:pPr>
      <w:r>
        <w:t>表6.1-27  园区</w:t>
      </w:r>
      <w:r>
        <w:rPr>
          <w:rFonts w:hint="eastAsia"/>
        </w:rPr>
        <w:t>天然</w:t>
      </w:r>
      <w:r>
        <w:t>气消耗碳排放统计表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6"/>
        <w:gridCol w:w="2153"/>
        <w:gridCol w:w="2818"/>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0" w:type="auto"/>
            <w:vAlign w:val="center"/>
          </w:tcPr>
          <w:p>
            <w:pPr>
              <w:pStyle w:val="63"/>
            </w:pPr>
            <w:r>
              <w:rPr>
                <w:rFonts w:hint="eastAsia"/>
              </w:rPr>
              <w:t>序号</w:t>
            </w:r>
          </w:p>
        </w:tc>
        <w:tc>
          <w:tcPr>
            <w:tcW w:w="0" w:type="auto"/>
            <w:vAlign w:val="center"/>
          </w:tcPr>
          <w:p>
            <w:pPr>
              <w:pStyle w:val="63"/>
            </w:pPr>
            <w:r>
              <w:rPr>
                <w:rFonts w:hint="eastAsia"/>
              </w:rPr>
              <w:t>能源种类</w:t>
            </w:r>
          </w:p>
        </w:tc>
        <w:tc>
          <w:tcPr>
            <w:tcW w:w="0" w:type="auto"/>
            <w:vAlign w:val="center"/>
          </w:tcPr>
          <w:p>
            <w:pPr>
              <w:pStyle w:val="63"/>
            </w:pPr>
            <w:r>
              <w:rPr>
                <w:rFonts w:hint="eastAsia"/>
              </w:rPr>
              <w:t>年消耗量（kNm³/a）</w:t>
            </w:r>
          </w:p>
        </w:tc>
        <w:tc>
          <w:tcPr>
            <w:tcW w:w="0" w:type="auto"/>
            <w:vAlign w:val="center"/>
          </w:tcPr>
          <w:p>
            <w:pPr>
              <w:pStyle w:val="63"/>
            </w:pPr>
            <w:r>
              <w:rPr>
                <w:rFonts w:hint="eastAsia"/>
              </w:rPr>
              <w:t>排放因子值（tCO2e/kNm3）</w:t>
            </w:r>
          </w:p>
        </w:tc>
        <w:tc>
          <w:tcPr>
            <w:tcW w:w="0" w:type="auto"/>
            <w:vAlign w:val="center"/>
          </w:tcPr>
          <w:p>
            <w:pPr>
              <w:pStyle w:val="63"/>
            </w:pPr>
            <w:r>
              <w:rPr>
                <w:rFonts w:hint="eastAsia"/>
              </w:rPr>
              <w:t>碳排放（</w:t>
            </w:r>
            <w:r>
              <w:t>tCO2e</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Style w:val="63"/>
            </w:pPr>
            <w:r>
              <w:t>1</w:t>
            </w:r>
          </w:p>
        </w:tc>
        <w:tc>
          <w:tcPr>
            <w:tcW w:w="0" w:type="auto"/>
            <w:vAlign w:val="center"/>
          </w:tcPr>
          <w:p>
            <w:pPr>
              <w:pStyle w:val="63"/>
            </w:pPr>
            <w:r>
              <w:rPr>
                <w:rFonts w:hint="eastAsia"/>
              </w:rPr>
              <w:t>天然气</w:t>
            </w:r>
          </w:p>
        </w:tc>
        <w:tc>
          <w:tcPr>
            <w:tcW w:w="0" w:type="auto"/>
            <w:vAlign w:val="center"/>
          </w:tcPr>
          <w:p>
            <w:pPr>
              <w:pStyle w:val="63"/>
            </w:pPr>
            <w:r>
              <w:t>11100.7</w:t>
            </w:r>
          </w:p>
        </w:tc>
        <w:tc>
          <w:tcPr>
            <w:tcW w:w="0" w:type="auto"/>
            <w:vAlign w:val="center"/>
          </w:tcPr>
          <w:p>
            <w:pPr>
              <w:pStyle w:val="63"/>
            </w:pPr>
            <w:r>
              <w:t>2.16</w:t>
            </w:r>
          </w:p>
        </w:tc>
        <w:tc>
          <w:tcPr>
            <w:tcW w:w="0" w:type="auto"/>
            <w:vAlign w:val="center"/>
          </w:tcPr>
          <w:p>
            <w:pPr>
              <w:pStyle w:val="63"/>
            </w:pPr>
            <w:r>
              <w:t>23978</w:t>
            </w:r>
          </w:p>
        </w:tc>
      </w:tr>
    </w:tbl>
    <w:p>
      <w:pPr>
        <w:pStyle w:val="6"/>
      </w:pPr>
      <w:r>
        <w:t xml:space="preserve">表6.1-28  </w:t>
      </w:r>
      <w:r>
        <w:rPr>
          <w:rFonts w:hint="eastAsia"/>
        </w:rPr>
        <w:t>煤</w:t>
      </w:r>
      <w:r>
        <w:t>消耗碳排放统计表  单位：t/a</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2150"/>
        <w:gridCol w:w="1922"/>
        <w:gridCol w:w="1994"/>
        <w:gridCol w:w="1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pPr>
              <w:pStyle w:val="63"/>
            </w:pPr>
            <w:r>
              <w:rPr>
                <w:rFonts w:hint="eastAsia"/>
              </w:rPr>
              <w:t>项目</w:t>
            </w:r>
          </w:p>
        </w:tc>
        <w:tc>
          <w:tcPr>
            <w:tcW w:w="2149" w:type="dxa"/>
            <w:vAlign w:val="center"/>
          </w:tcPr>
          <w:p>
            <w:pPr>
              <w:pStyle w:val="63"/>
            </w:pPr>
            <w:r>
              <w:t>能源种类</w:t>
            </w:r>
          </w:p>
        </w:tc>
        <w:tc>
          <w:tcPr>
            <w:tcW w:w="1921" w:type="dxa"/>
            <w:vAlign w:val="center"/>
          </w:tcPr>
          <w:p>
            <w:pPr>
              <w:pStyle w:val="63"/>
            </w:pPr>
            <w:r>
              <w:t>年消耗量（t/a）</w:t>
            </w:r>
          </w:p>
        </w:tc>
        <w:tc>
          <w:tcPr>
            <w:tcW w:w="1993" w:type="dxa"/>
            <w:vAlign w:val="center"/>
          </w:tcPr>
          <w:p>
            <w:pPr>
              <w:pStyle w:val="63"/>
            </w:pPr>
            <w:r>
              <w:t>排放因子值（tCO2e/t）</w:t>
            </w:r>
          </w:p>
        </w:tc>
        <w:tc>
          <w:tcPr>
            <w:tcW w:w="1662" w:type="dxa"/>
            <w:vAlign w:val="center"/>
          </w:tcPr>
          <w:p>
            <w:pPr>
              <w:pStyle w:val="63"/>
            </w:pPr>
            <w:r>
              <w:t>碳排放（tCO2e）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pPr>
              <w:pStyle w:val="63"/>
            </w:pPr>
            <w:r>
              <w:rPr>
                <w:rFonts w:hint="eastAsia"/>
              </w:rPr>
              <w:t>热电联产项目</w:t>
            </w:r>
          </w:p>
        </w:tc>
        <w:tc>
          <w:tcPr>
            <w:tcW w:w="2149" w:type="dxa"/>
            <w:vAlign w:val="center"/>
          </w:tcPr>
          <w:p>
            <w:pPr>
              <w:pStyle w:val="63"/>
            </w:pPr>
            <w:r>
              <w:t>原煤</w:t>
            </w:r>
          </w:p>
        </w:tc>
        <w:tc>
          <w:tcPr>
            <w:tcW w:w="1921" w:type="dxa"/>
            <w:vAlign w:val="center"/>
          </w:tcPr>
          <w:p>
            <w:pPr>
              <w:pStyle w:val="63"/>
            </w:pPr>
            <w:r>
              <w:t>872500</w:t>
            </w:r>
          </w:p>
        </w:tc>
        <w:tc>
          <w:tcPr>
            <w:tcW w:w="1993" w:type="dxa"/>
            <w:vAlign w:val="center"/>
          </w:tcPr>
          <w:p>
            <w:pPr>
              <w:pStyle w:val="63"/>
            </w:pPr>
            <w:r>
              <w:t>2.344</w:t>
            </w:r>
          </w:p>
        </w:tc>
        <w:tc>
          <w:tcPr>
            <w:tcW w:w="1662" w:type="dxa"/>
            <w:vAlign w:val="center"/>
          </w:tcPr>
          <w:p>
            <w:pPr>
              <w:pStyle w:val="63"/>
            </w:pPr>
            <w:r>
              <w:t>2045140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pPr>
              <w:pStyle w:val="63"/>
            </w:pPr>
            <w:r>
              <w:rPr>
                <w:rFonts w:hint="eastAsia"/>
              </w:rPr>
              <w:t>海螺水泥</w:t>
            </w:r>
          </w:p>
        </w:tc>
        <w:tc>
          <w:tcPr>
            <w:tcW w:w="2149" w:type="dxa"/>
            <w:vAlign w:val="center"/>
          </w:tcPr>
          <w:p>
            <w:pPr>
              <w:pStyle w:val="63"/>
            </w:pPr>
            <w:r>
              <w:rPr>
                <w:rFonts w:hint="eastAsia"/>
              </w:rPr>
              <w:t>原煤</w:t>
            </w:r>
          </w:p>
        </w:tc>
        <w:tc>
          <w:tcPr>
            <w:tcW w:w="1921" w:type="dxa"/>
            <w:vAlign w:val="center"/>
          </w:tcPr>
          <w:p>
            <w:pPr>
              <w:pStyle w:val="63"/>
            </w:pPr>
            <w:r>
              <w:t>257726</w:t>
            </w:r>
          </w:p>
        </w:tc>
        <w:tc>
          <w:tcPr>
            <w:tcW w:w="1993" w:type="dxa"/>
            <w:vAlign w:val="center"/>
          </w:tcPr>
          <w:p>
            <w:pPr>
              <w:pStyle w:val="63"/>
            </w:pPr>
            <w:r>
              <w:t>2.344</w:t>
            </w:r>
          </w:p>
        </w:tc>
        <w:tc>
          <w:tcPr>
            <w:tcW w:w="1662" w:type="dxa"/>
            <w:vAlign w:val="center"/>
          </w:tcPr>
          <w:p>
            <w:pPr>
              <w:pStyle w:val="63"/>
            </w:pPr>
            <w:r>
              <w:t xml:space="preserve">604110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64" w:type="dxa"/>
            <w:gridSpan w:val="4"/>
            <w:vAlign w:val="center"/>
          </w:tcPr>
          <w:p>
            <w:pPr>
              <w:pStyle w:val="63"/>
            </w:pPr>
            <w:r>
              <w:t>合计</w:t>
            </w:r>
          </w:p>
        </w:tc>
        <w:tc>
          <w:tcPr>
            <w:tcW w:w="1662" w:type="dxa"/>
            <w:vAlign w:val="center"/>
          </w:tcPr>
          <w:p>
            <w:pPr>
              <w:pStyle w:val="63"/>
            </w:pPr>
            <w:r>
              <w:t xml:space="preserve">2649250 </w:t>
            </w:r>
          </w:p>
        </w:tc>
      </w:tr>
    </w:tbl>
    <w:p>
      <w:pPr>
        <w:spacing w:line="360" w:lineRule="auto"/>
        <w:ind w:firstLine="480" w:firstLineChars="200"/>
      </w:pPr>
      <w:r>
        <w:t>（2）净调入电力</w:t>
      </w:r>
    </w:p>
    <w:p>
      <w:pPr>
        <w:ind w:firstLine="480"/>
      </w:pPr>
      <w:r>
        <w:t>根据</w:t>
      </w:r>
      <w:r>
        <w:rPr>
          <w:rFonts w:hint="eastAsia"/>
        </w:rPr>
        <w:t>规划</w:t>
      </w:r>
      <w:r>
        <w:t>可知</w:t>
      </w:r>
      <w:r>
        <w:rPr>
          <w:rFonts w:ascii="Times New Roman" w:hAnsi="Times New Roman" w:cs="Times New Roman"/>
        </w:rPr>
        <w:t>规划区总负荷41.57万千瓦</w:t>
      </w:r>
      <w:r>
        <w:rPr>
          <w:rFonts w:hint="eastAsia" w:ascii="Times New Roman" w:hAnsi="Times New Roman" w:cs="Times New Roman"/>
        </w:rPr>
        <w:t>，</w:t>
      </w:r>
      <w:r>
        <w:t>园区净调入电力详见下表</w:t>
      </w:r>
    </w:p>
    <w:p>
      <w:pPr>
        <w:pStyle w:val="6"/>
      </w:pPr>
      <w:r>
        <w:t>表6.1-29  园区净调入电力和热力消耗统计表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246"/>
        <w:gridCol w:w="1997"/>
        <w:gridCol w:w="1724"/>
        <w:gridCol w:w="1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pStyle w:val="63"/>
            </w:pPr>
            <w:r>
              <w:t>序号</w:t>
            </w:r>
          </w:p>
        </w:tc>
        <w:tc>
          <w:tcPr>
            <w:tcW w:w="2245" w:type="dxa"/>
            <w:vAlign w:val="center"/>
          </w:tcPr>
          <w:p>
            <w:pPr>
              <w:pStyle w:val="63"/>
            </w:pPr>
            <w:r>
              <w:t>能源种类</w:t>
            </w:r>
          </w:p>
        </w:tc>
        <w:tc>
          <w:tcPr>
            <w:tcW w:w="1996" w:type="dxa"/>
            <w:vAlign w:val="center"/>
          </w:tcPr>
          <w:p>
            <w:pPr>
              <w:pStyle w:val="63"/>
            </w:pPr>
            <w:r>
              <w:t>年消耗量</w:t>
            </w:r>
          </w:p>
        </w:tc>
        <w:tc>
          <w:tcPr>
            <w:tcW w:w="1723" w:type="dxa"/>
            <w:vAlign w:val="center"/>
          </w:tcPr>
          <w:p>
            <w:pPr>
              <w:pStyle w:val="63"/>
            </w:pPr>
            <w:r>
              <w:t>排放因子值</w:t>
            </w:r>
          </w:p>
        </w:tc>
        <w:tc>
          <w:tcPr>
            <w:tcW w:w="1723" w:type="dxa"/>
            <w:vAlign w:val="center"/>
          </w:tcPr>
          <w:p>
            <w:pPr>
              <w:pStyle w:val="63"/>
            </w:pPr>
            <w:r>
              <w:t>碳排放（tCO2e）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pStyle w:val="63"/>
            </w:pPr>
            <w:r>
              <w:t>1</w:t>
            </w:r>
          </w:p>
        </w:tc>
        <w:tc>
          <w:tcPr>
            <w:tcW w:w="2245" w:type="dxa"/>
            <w:vAlign w:val="center"/>
          </w:tcPr>
          <w:p>
            <w:pPr>
              <w:pStyle w:val="63"/>
            </w:pPr>
            <w:r>
              <w:rPr>
                <w:rFonts w:hint="eastAsia"/>
              </w:rPr>
              <w:t>电</w:t>
            </w:r>
          </w:p>
        </w:tc>
        <w:tc>
          <w:tcPr>
            <w:tcW w:w="1996" w:type="dxa"/>
            <w:vAlign w:val="center"/>
          </w:tcPr>
          <w:p>
            <w:pPr>
              <w:pStyle w:val="63"/>
            </w:pPr>
            <w:r>
              <w:t>4157000</w:t>
            </w:r>
          </w:p>
        </w:tc>
        <w:tc>
          <w:tcPr>
            <w:tcW w:w="1723" w:type="dxa"/>
            <w:vAlign w:val="bottom"/>
          </w:tcPr>
          <w:p>
            <w:pPr>
              <w:pStyle w:val="63"/>
            </w:pPr>
            <w:r>
              <w:t>0.9944</w:t>
            </w:r>
          </w:p>
        </w:tc>
        <w:tc>
          <w:tcPr>
            <w:tcW w:w="1723" w:type="dxa"/>
            <w:vAlign w:val="center"/>
          </w:tcPr>
          <w:p>
            <w:pPr>
              <w:pStyle w:val="63"/>
            </w:pPr>
            <w:r>
              <w:t xml:space="preserve">4133721 </w:t>
            </w:r>
          </w:p>
        </w:tc>
      </w:tr>
    </w:tbl>
    <w:p>
      <w:pPr>
        <w:spacing w:line="360" w:lineRule="auto"/>
        <w:ind w:firstLine="480" w:firstLineChars="200"/>
      </w:pPr>
      <w:r>
        <w:t>（3）</w:t>
      </w:r>
      <w:r>
        <w:rPr>
          <w:rFonts w:hint="eastAsia"/>
        </w:rPr>
        <w:t>滨江片区绿色化工产业园</w:t>
      </w:r>
      <w:r>
        <w:t>碳排放</w:t>
      </w:r>
    </w:p>
    <w:p>
      <w:pPr>
        <w:spacing w:line="360" w:lineRule="auto"/>
        <w:ind w:firstLine="480" w:firstLineChars="200"/>
        <w:rPr>
          <w:highlight w:val="yellow"/>
        </w:rPr>
      </w:pPr>
      <w:r>
        <w:rPr>
          <w:highlight w:val="yellow"/>
        </w:rPr>
        <w:t>临湘</w:t>
      </w:r>
      <w:r>
        <w:rPr>
          <w:rFonts w:hint="eastAsia"/>
          <w:highlight w:val="yellow"/>
        </w:rPr>
        <w:t>高新</w:t>
      </w:r>
      <w:r>
        <w:rPr>
          <w:highlight w:val="yellow"/>
        </w:rPr>
        <w:t>区</w:t>
      </w:r>
      <w:r>
        <w:rPr>
          <w:rFonts w:hint="eastAsia"/>
        </w:rPr>
        <w:t>滨江片区绿色化工产业园</w:t>
      </w:r>
      <w:r>
        <w:rPr>
          <w:rFonts w:ascii="Times New Roman" w:hAnsi="Times New Roman" w:cs="Times New Roman"/>
        </w:rPr>
        <w:t>主动谋划融入岳阳石化深加工及化工新材料产业链，</w:t>
      </w:r>
      <w:r>
        <w:rPr>
          <w:rFonts w:hint="eastAsia" w:ascii="Times New Roman" w:hAnsi="Times New Roman" w:cs="Times New Roman"/>
        </w:rPr>
        <w:t>规划</w:t>
      </w:r>
      <w:r>
        <w:rPr>
          <w:rFonts w:ascii="Times New Roman" w:hAnsi="Times New Roman" w:cs="Times New Roman"/>
        </w:rPr>
        <w:t>发展绿色精细化工、先进化工新材料、生物医药</w:t>
      </w:r>
      <w:r>
        <w:rPr>
          <w:rFonts w:hint="eastAsia" w:ascii="Times New Roman" w:hAnsi="Times New Roman" w:cs="Times New Roman"/>
        </w:rPr>
        <w:t>等产业</w:t>
      </w:r>
      <w:r>
        <w:rPr>
          <w:rFonts w:ascii="Times New Roman" w:hAnsi="Times New Roman" w:cs="Times New Roman"/>
        </w:rPr>
        <w:t>，</w:t>
      </w:r>
      <w:r>
        <w:rPr>
          <w:rFonts w:hint="eastAsia" w:ascii="Times New Roman" w:hAnsi="Times New Roman" w:cs="Times New Roman"/>
        </w:rPr>
        <w:t>与</w:t>
      </w:r>
      <w:r>
        <w:rPr>
          <w:rFonts w:ascii="Times New Roman" w:hAnsi="Times New Roman" w:cs="Times New Roman"/>
        </w:rPr>
        <w:t>岳阳绿色化工产业园</w:t>
      </w:r>
      <w:r>
        <w:rPr>
          <w:highlight w:val="yellow"/>
        </w:rPr>
        <w:t>现有产业相似，因此，本次评价临湘</w:t>
      </w:r>
      <w:r>
        <w:rPr>
          <w:rFonts w:hint="eastAsia"/>
          <w:highlight w:val="yellow"/>
        </w:rPr>
        <w:t>高新</w:t>
      </w:r>
      <w:r>
        <w:rPr>
          <w:highlight w:val="yellow"/>
        </w:rPr>
        <w:t>区</w:t>
      </w:r>
      <w:r>
        <w:rPr>
          <w:rFonts w:hint="eastAsia"/>
        </w:rPr>
        <w:t>滨江片区绿色化工产业园碳</w:t>
      </w:r>
      <w:r>
        <w:t>评价</w:t>
      </w:r>
      <w:r>
        <w:rPr>
          <w:highlight w:val="yellow"/>
        </w:rPr>
        <w:t>排放量预测采用“工业用地面积×排污系数F”计算，其中F值</w:t>
      </w:r>
      <w:r>
        <w:rPr>
          <w:rFonts w:hint="eastAsia"/>
          <w:highlight w:val="yellow"/>
        </w:rPr>
        <w:t>取自岳阳</w:t>
      </w:r>
      <w:r>
        <w:rPr>
          <w:highlight w:val="yellow"/>
        </w:rPr>
        <w:t>绿色化工产业园。</w:t>
      </w:r>
    </w:p>
    <w:p>
      <w:pPr>
        <w:pStyle w:val="6"/>
        <w:rPr>
          <w:highlight w:val="yellow"/>
        </w:rPr>
      </w:pPr>
      <w:r>
        <w:t xml:space="preserve">表6.1-30  </w:t>
      </w:r>
      <w:r>
        <w:rPr>
          <w:rFonts w:hint="eastAsia"/>
        </w:rPr>
        <w:t>滨江片区绿色化工产业园化</w:t>
      </w:r>
      <w:r>
        <w:t>碳排放</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437"/>
        <w:gridCol w:w="2180"/>
        <w:gridCol w:w="2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15" w:type="pct"/>
            <w:vAlign w:val="center"/>
          </w:tcPr>
          <w:p>
            <w:pPr>
              <w:pStyle w:val="63"/>
            </w:pPr>
            <w:r>
              <w:rPr>
                <w:rFonts w:hint="eastAsia"/>
              </w:rPr>
              <w:t>岳阳</w:t>
            </w:r>
            <w:r>
              <w:t>绿色化工产业</w:t>
            </w:r>
            <w:r>
              <w:rPr>
                <w:rFonts w:hint="eastAsia"/>
              </w:rPr>
              <w:t>园</w:t>
            </w:r>
            <w:r>
              <w:t>系数（tCO2e/hm2）</w:t>
            </w:r>
          </w:p>
        </w:tc>
        <w:tc>
          <w:tcPr>
            <w:tcW w:w="1278" w:type="pct"/>
            <w:vAlign w:val="center"/>
          </w:tcPr>
          <w:p>
            <w:pPr>
              <w:pStyle w:val="63"/>
            </w:pPr>
            <w:r>
              <w:t>面积</w:t>
            </w:r>
          </w:p>
        </w:tc>
        <w:tc>
          <w:tcPr>
            <w:tcW w:w="1707" w:type="pct"/>
            <w:vAlign w:val="center"/>
          </w:tcPr>
          <w:p>
            <w:pPr>
              <w:pStyle w:val="63"/>
            </w:pPr>
            <w:r>
              <w:t>AE总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15" w:type="pct"/>
            <w:vAlign w:val="center"/>
          </w:tcPr>
          <w:p>
            <w:pPr>
              <w:pStyle w:val="63"/>
            </w:pPr>
            <w:r>
              <w:t>212.088</w:t>
            </w:r>
          </w:p>
        </w:tc>
        <w:tc>
          <w:tcPr>
            <w:tcW w:w="1278" w:type="pct"/>
            <w:vAlign w:val="center"/>
          </w:tcPr>
          <w:p>
            <w:pPr>
              <w:pStyle w:val="63"/>
            </w:pPr>
            <w:r>
              <w:rPr>
                <w:rFonts w:hint="eastAsia"/>
              </w:rPr>
              <w:t>425.32</w:t>
            </w:r>
          </w:p>
        </w:tc>
        <w:tc>
          <w:tcPr>
            <w:tcW w:w="1707" w:type="pct"/>
            <w:vAlign w:val="center"/>
          </w:tcPr>
          <w:p>
            <w:pPr>
              <w:pStyle w:val="63"/>
            </w:pPr>
            <w:r>
              <w:rPr>
                <w:rFonts w:hint="eastAsia"/>
              </w:rPr>
              <w:t>90205</w:t>
            </w:r>
          </w:p>
        </w:tc>
      </w:tr>
    </w:tbl>
    <w:p>
      <w:pPr>
        <w:spacing w:line="360" w:lineRule="auto"/>
        <w:ind w:firstLine="480" w:firstLineChars="200"/>
      </w:pPr>
      <w:r>
        <w:rPr>
          <w:rFonts w:hint="eastAsia"/>
        </w:rPr>
        <w:t>（三</w:t>
      </w:r>
      <w:r>
        <w:t>）区域碳排放总量</w:t>
      </w:r>
    </w:p>
    <w:p>
      <w:pPr>
        <w:spacing w:line="360" w:lineRule="auto"/>
        <w:ind w:firstLine="480" w:firstLineChars="200"/>
      </w:pPr>
      <w:r>
        <w:t>区域碳排放总量详见下表。</w:t>
      </w:r>
    </w:p>
    <w:p>
      <w:pPr>
        <w:pStyle w:val="6"/>
      </w:pPr>
      <w:r>
        <w:t>表6.1-31  区域碳排放总量一览表  单位：万tCO2e</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0" w:type="pct"/>
            <w:vMerge w:val="restart"/>
            <w:noWrap/>
            <w:vAlign w:val="center"/>
          </w:tcPr>
          <w:p>
            <w:pPr>
              <w:pStyle w:val="63"/>
            </w:pPr>
            <w:r>
              <w:rPr>
                <w:rFonts w:hint="eastAsia"/>
              </w:rPr>
              <w:t>临湘高新区</w:t>
            </w:r>
          </w:p>
        </w:tc>
        <w:tc>
          <w:tcPr>
            <w:tcW w:w="2500" w:type="pct"/>
            <w:vAlign w:val="center"/>
          </w:tcPr>
          <w:p>
            <w:pPr>
              <w:pStyle w:val="63"/>
            </w:pPr>
            <w:r>
              <w:t>AE</w:t>
            </w:r>
            <w:r>
              <w:rPr>
                <w:rFonts w:hint="eastAsia"/>
              </w:rPr>
              <w:t>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0" w:type="pct"/>
            <w:vMerge w:val="continue"/>
            <w:vAlign w:val="center"/>
          </w:tcPr>
          <w:p>
            <w:pPr>
              <w:pStyle w:val="63"/>
            </w:pPr>
          </w:p>
        </w:tc>
        <w:tc>
          <w:tcPr>
            <w:tcW w:w="2500" w:type="pct"/>
            <w:noWrap/>
            <w:vAlign w:val="center"/>
          </w:tcPr>
          <w:p>
            <w:pPr>
              <w:pStyle w:val="63"/>
            </w:pPr>
            <w:r>
              <w:rPr>
                <w:rFonts w:hint="eastAsia"/>
              </w:rPr>
              <w:t>700</w:t>
            </w:r>
          </w:p>
        </w:tc>
      </w:tr>
    </w:tbl>
    <w:p>
      <w:pPr>
        <w:pStyle w:val="4"/>
      </w:pPr>
      <w:bookmarkStart w:id="679" w:name="_Toc146092003"/>
      <w:r>
        <w:t>6.1</w:t>
      </w:r>
      <w:r>
        <w:rPr>
          <w:rFonts w:hint="eastAsia"/>
        </w:rPr>
        <w:t>4</w:t>
      </w:r>
      <w:r>
        <w:t>.2</w:t>
      </w:r>
      <w:r>
        <w:rPr>
          <w:rFonts w:hint="eastAsia"/>
        </w:rPr>
        <w:t>单位工业增加值碳排放</w:t>
      </w:r>
      <w:bookmarkEnd w:id="679"/>
    </w:p>
    <w:p>
      <w:pPr>
        <w:spacing w:line="360" w:lineRule="auto"/>
        <w:ind w:firstLine="480" w:firstLineChars="200"/>
      </w:pPr>
      <w:r>
        <w:rPr>
          <w:rFonts w:hint="eastAsia"/>
        </w:rPr>
        <w:t>根据前文可知目前园区现有碳排放量为</w:t>
      </w:r>
      <w:r>
        <w:t>22452305tCO2e</w:t>
      </w:r>
      <w:r>
        <w:rPr>
          <w:rFonts w:hint="eastAsia"/>
        </w:rPr>
        <w:t>，园区现有产值为</w:t>
      </w:r>
      <w:r>
        <w:t>11095177</w:t>
      </w:r>
      <w:r>
        <w:rPr>
          <w:rFonts w:hint="eastAsia"/>
        </w:rPr>
        <w:t>万元，因此可计算得到园区单位工业增加值碳排放</w:t>
      </w:r>
      <w:bookmarkStart w:id="680" w:name="_Hlk86585513"/>
      <w:r>
        <w:rPr>
          <w:rFonts w:hint="eastAsia"/>
        </w:rPr>
        <w:t>为</w:t>
      </w:r>
      <w:r>
        <w:t>2.024</w:t>
      </w:r>
      <w:r>
        <w:rPr>
          <w:rFonts w:hint="eastAsia"/>
        </w:rPr>
        <w:t>t</w:t>
      </w:r>
      <w:r>
        <w:t>CO2/万元</w:t>
      </w:r>
      <w:bookmarkEnd w:id="680"/>
      <w:r>
        <w:rPr>
          <w:rFonts w:hint="eastAsia"/>
        </w:rPr>
        <w:t>，远低于《浙江省建设项目碳排放评价编制指南（试行）》附表6中石油加工、炼焦和核燃料加工业</w:t>
      </w:r>
      <w:r>
        <w:t>25</w:t>
      </w:r>
      <w:r>
        <w:rPr>
          <w:rFonts w:hint="eastAsia"/>
        </w:rPr>
        <w:t>：</w:t>
      </w:r>
      <w:r>
        <w:t>5.65</w:t>
      </w:r>
      <w:r>
        <w:rPr>
          <w:rFonts w:hint="eastAsia"/>
        </w:rPr>
        <w:t>t</w:t>
      </w:r>
      <w:r>
        <w:t>CO2/万元</w:t>
      </w:r>
      <w:r>
        <w:rPr>
          <w:rFonts w:hint="eastAsia"/>
        </w:rPr>
        <w:t>，主要原因是园区以电、天然气、生物质等清洁能源为主，实现了集中供热等措施。</w:t>
      </w:r>
    </w:p>
    <w:p>
      <w:pPr>
        <w:spacing w:line="360" w:lineRule="auto"/>
        <w:ind w:firstLine="480" w:firstLineChars="200"/>
      </w:pPr>
      <w:r>
        <w:rPr>
          <w:rFonts w:hint="eastAsia"/>
        </w:rPr>
        <w:t>到规划末期园区产值约为</w:t>
      </w:r>
      <w:r>
        <w:t>28449994</w:t>
      </w:r>
      <w:r>
        <w:rPr>
          <w:rFonts w:hint="eastAsia"/>
        </w:rPr>
        <w:t>万元，规划末期碳排放量为</w:t>
      </w:r>
      <w:r>
        <w:t>45760000tCO2e</w:t>
      </w:r>
      <w:r>
        <w:rPr>
          <w:rFonts w:hint="eastAsia"/>
        </w:rPr>
        <w:t>，因此可计算得到园区单位工业增加值碳排放</w:t>
      </w:r>
      <w:r>
        <w:t>1.61</w:t>
      </w:r>
      <w:r>
        <w:rPr>
          <w:rFonts w:hint="eastAsia"/>
        </w:rPr>
        <w:t>t</w:t>
      </w:r>
      <w:r>
        <w:t>CO2/万元</w:t>
      </w:r>
      <w:r>
        <w:rPr>
          <w:rFonts w:hint="eastAsia"/>
        </w:rPr>
        <w:t>，远低于《浙江省建设项目碳排放评价编制指南（试行）》附表6中石油加工、炼焦和核燃料加工业</w:t>
      </w:r>
      <w:r>
        <w:t>25</w:t>
      </w:r>
      <w:r>
        <w:rPr>
          <w:rFonts w:hint="eastAsia"/>
        </w:rPr>
        <w:t>：</w:t>
      </w:r>
      <w:r>
        <w:t>5.65</w:t>
      </w:r>
      <w:r>
        <w:rPr>
          <w:rFonts w:hint="eastAsia"/>
        </w:rPr>
        <w:t>t</w:t>
      </w:r>
      <w:r>
        <w:t>CO2/万元</w:t>
      </w:r>
      <w:r>
        <w:rPr>
          <w:rFonts w:hint="eastAsia"/>
        </w:rPr>
        <w:t>。</w:t>
      </w:r>
    </w:p>
    <w:p>
      <w:pPr>
        <w:pStyle w:val="4"/>
      </w:pPr>
      <w:bookmarkStart w:id="681" w:name="_Toc146092004"/>
      <w:r>
        <w:t>6.1</w:t>
      </w:r>
      <w:r>
        <w:rPr>
          <w:rFonts w:hint="eastAsia"/>
        </w:rPr>
        <w:t>4</w:t>
      </w:r>
      <w:r>
        <w:t>.3 碳排放潜力分析</w:t>
      </w:r>
      <w:bookmarkEnd w:id="681"/>
    </w:p>
    <w:bookmarkEnd w:id="614"/>
    <w:bookmarkEnd w:id="615"/>
    <w:p>
      <w:pPr>
        <w:spacing w:line="360" w:lineRule="auto"/>
        <w:ind w:firstLine="480" w:firstLineChars="200"/>
      </w:pPr>
      <w:bookmarkStart w:id="682" w:name="_Toc72349939"/>
      <w:bookmarkStart w:id="683" w:name="_Toc74120829"/>
      <w:bookmarkStart w:id="684" w:name="_Toc66105908"/>
      <w:bookmarkStart w:id="685" w:name="_Toc11841843"/>
      <w:r>
        <w:rPr>
          <w:rFonts w:hint="eastAsia"/>
        </w:rPr>
        <w:t>规划区的碳排放源主要包括燃料燃烧排放、购入电力排放、工艺过程排放，由下图可知，现状对碳排放结果影响最大的为工业生产过程中碳排放，其次为燃料燃烧的排放，规划末期对碳排放结果影响最大的为燃料燃烧的排放，其次为工业生产过程中碳排放，大力优化能源结构，提升能源利用效率，稳步实施二氧化碳减排措施，探索绿色金融，持续推进化石能源洁净化、洁净能源规模化、生产过程低碳化，努力实现净零排放的终极目标，着力提升绿色低碳可持续发展竞争力，助力国家实现碳达峰、碳中和目标。确保在国家碳达峰目标完成前实现二氧化碳达峰。</w:t>
      </w:r>
    </w:p>
    <w:p>
      <w:pPr>
        <w:spacing w:line="360" w:lineRule="auto"/>
        <w:ind w:firstLine="480" w:firstLineChars="200"/>
      </w:pPr>
      <w:r>
        <w:rPr>
          <w:rFonts w:hint="eastAsia"/>
        </w:rPr>
        <w:t>园区具体碳减排措施详见碳排放章节。</w:t>
      </w:r>
    </w:p>
    <w:p>
      <w:pPr>
        <w:pStyle w:val="3"/>
      </w:pPr>
      <w:bookmarkStart w:id="686" w:name="_Toc93071890"/>
      <w:bookmarkStart w:id="687" w:name="_Toc146092005"/>
      <w:r>
        <w:t>6.1</w:t>
      </w:r>
      <w:r>
        <w:rPr>
          <w:rFonts w:hint="eastAsia"/>
        </w:rPr>
        <w:t>5</w:t>
      </w:r>
      <w:r>
        <w:t xml:space="preserve"> 清洁生产与循环经济</w:t>
      </w:r>
      <w:bookmarkEnd w:id="682"/>
      <w:bookmarkEnd w:id="683"/>
      <w:bookmarkEnd w:id="684"/>
      <w:bookmarkEnd w:id="686"/>
      <w:bookmarkEnd w:id="687"/>
    </w:p>
    <w:p>
      <w:pPr>
        <w:pStyle w:val="4"/>
      </w:pPr>
      <w:bookmarkStart w:id="688" w:name="_Toc409536255"/>
      <w:bookmarkStart w:id="689" w:name="_Toc461902403"/>
      <w:bookmarkStart w:id="690" w:name="_Toc531529381"/>
      <w:bookmarkStart w:id="691" w:name="_Toc13747315"/>
      <w:bookmarkStart w:id="692" w:name="_Toc146092006"/>
      <w:r>
        <w:t>6.1</w:t>
      </w:r>
      <w:r>
        <w:rPr>
          <w:rFonts w:hint="eastAsia"/>
        </w:rPr>
        <w:t>5</w:t>
      </w:r>
      <w:r>
        <w:t xml:space="preserve">.1 </w:t>
      </w:r>
      <w:bookmarkEnd w:id="688"/>
      <w:bookmarkEnd w:id="689"/>
      <w:bookmarkEnd w:id="690"/>
      <w:bookmarkEnd w:id="691"/>
      <w:r>
        <w:t>清洁生产</w:t>
      </w:r>
      <w:bookmarkEnd w:id="692"/>
    </w:p>
    <w:p>
      <w:pPr>
        <w:pStyle w:val="5"/>
        <w:ind w:firstLine="482"/>
      </w:pPr>
      <w:r>
        <w:t>6.1</w:t>
      </w:r>
      <w:r>
        <w:rPr>
          <w:rFonts w:hint="eastAsia"/>
        </w:rPr>
        <w:t>5</w:t>
      </w:r>
      <w:r>
        <w:t>.1.1 清洁生产概述</w:t>
      </w:r>
    </w:p>
    <w:p>
      <w:pPr>
        <w:spacing w:line="360" w:lineRule="auto"/>
        <w:ind w:firstLine="480" w:firstLineChars="200"/>
      </w:pPr>
      <w:r>
        <w:t>根据《中华人民共和国清洁生产促进法》第一章第二条规定：清洁生产，是指不断采取改进设计，使清洁的能源和原料，采用先进工艺技术与设备、改善管理、综合利用等措施，从源头削减污染，提高资源利用效率，减少或避免生产、服务和产品使用过程中污染物的产生和排放，以减轻或者消除对人类健康和环境的危害。同时，促进法中明确提出国家鼓励和促进清洁生产，国务院和县级以上的地方人民政府，应当将清洁生产纳入国民经济和社会发展计划及环境保护、资源利用、产业发展、区域开发等规划。园区在开发性质、内容、引进项目应按照规划区的环境承载力、统一规划、部署引进项目，应引进工艺生产工艺成熟、已达到国内或国际清洁生产基本水平的企业。</w:t>
      </w:r>
    </w:p>
    <w:p>
      <w:pPr>
        <w:pStyle w:val="5"/>
        <w:ind w:firstLine="482"/>
      </w:pPr>
      <w:r>
        <w:t>6.1</w:t>
      </w:r>
      <w:r>
        <w:rPr>
          <w:rFonts w:hint="eastAsia"/>
        </w:rPr>
        <w:t>5</w:t>
      </w:r>
      <w:r>
        <w:t>.1.2 清洁生产要求</w:t>
      </w:r>
    </w:p>
    <w:p>
      <w:pPr>
        <w:spacing w:line="360" w:lineRule="auto"/>
        <w:ind w:firstLine="480" w:firstLineChars="200"/>
      </w:pPr>
      <w:r>
        <w:t>根据现有入驻企业在生产过程中虽然已有一定清洁生产概念，但是与清洁生产的要求仍有很大差距，对环境的影响不容忽视。根据《关于深入推进重点企业清洁生产的通知》（环发[2010]54号）中的要求：“当前要将重有色金属矿（含伴生矿）采选业、有色金属冶炼业、含铅蓄电池业、皮革及其制品业、化学原料及化学制品制造业五个重金属污染防治重点防控行业，以及钢铁、水泥、平板玻璃、煤化工、多晶硅、电解铝、造船七个产能过剩主要行业，作为实施清洁生产审核的重点。各省可按照《重点企业清洁生产行业分类管理名录》，确定本辖区内需实施清洁生产审核的其他重点企业”。根据《关于深入推进重点行业清洁生产审核工作的通知》（环办科财〔2020〕27号）“以能源、冶金、焦化、建材、有色、化工、印染、造纸、原料药、电镀、农副食品加工、工业涂装、包装印刷等行业作为当前实施清洁生产审核的重点（各地也可根据当地行业实际情况适当补充），全面落实强制性清洁生产审核要求”。</w:t>
      </w:r>
    </w:p>
    <w:p>
      <w:pPr>
        <w:spacing w:line="360" w:lineRule="auto"/>
        <w:ind w:firstLine="480" w:firstLineChars="200"/>
      </w:pPr>
      <w:r>
        <w:t>园区产业定位为石油化工、化工新材料、催化剂及催化新材料三大产业及相关配套产业为主导的化工园区。入园重点行业的企业等园区重点企业需实施清洁生产审核，且每五年开展一轮清洁生产审核。</w:t>
      </w:r>
    </w:p>
    <w:p>
      <w:pPr>
        <w:spacing w:line="360" w:lineRule="auto"/>
        <w:ind w:firstLine="480" w:firstLineChars="200"/>
      </w:pPr>
      <w:r>
        <w:t>因此，还应当从以下几个方面全方位推行清洁生产。</w:t>
      </w:r>
    </w:p>
    <w:p>
      <w:pPr>
        <w:spacing w:line="360" w:lineRule="auto"/>
        <w:ind w:firstLine="480" w:firstLineChars="200"/>
      </w:pPr>
      <w:r>
        <w:t>1）引进清洁生产水平较高的企业。引进企业的清洁生产应按照清洁的能源、清洁的生产过程、清洁的技术、清洁的产品等环节进行审核控制。</w:t>
      </w:r>
    </w:p>
    <w:p>
      <w:pPr>
        <w:spacing w:line="360" w:lineRule="auto"/>
        <w:ind w:firstLine="480" w:firstLineChars="200"/>
      </w:pPr>
      <w:r>
        <w:t>2）现状开发区重点企业进行清洁生产审核，减少污染物的产生，提高原料的利用率。</w:t>
      </w:r>
    </w:p>
    <w:p>
      <w:pPr>
        <w:spacing w:line="360" w:lineRule="auto"/>
        <w:ind w:firstLine="480" w:firstLineChars="200"/>
      </w:pPr>
      <w:r>
        <w:t>3）调整优化产业结构，严格落实《产业结构调整指导目录（2019年本）》，淘汰落后产能。</w:t>
      </w:r>
    </w:p>
    <w:p>
      <w:pPr>
        <w:spacing w:line="360" w:lineRule="auto"/>
        <w:ind w:firstLine="480" w:firstLineChars="200"/>
      </w:pPr>
      <w:r>
        <w:t>4）强化主要污染物减排，加强重点行业污染预防，加大工业废水治理及回用力度等。</w:t>
      </w:r>
    </w:p>
    <w:p>
      <w:pPr>
        <w:pStyle w:val="4"/>
      </w:pPr>
      <w:bookmarkStart w:id="693" w:name="_Toc290728520"/>
      <w:bookmarkStart w:id="694" w:name="_Toc335923108"/>
      <w:bookmarkStart w:id="695" w:name="_Toc279148473"/>
      <w:bookmarkStart w:id="696" w:name="_Toc286134185"/>
      <w:bookmarkStart w:id="697" w:name="_Toc279589184"/>
      <w:bookmarkStart w:id="698" w:name="_Toc202150889"/>
      <w:bookmarkStart w:id="699" w:name="_Toc280009489"/>
      <w:bookmarkStart w:id="700" w:name="_Toc296251301"/>
      <w:bookmarkStart w:id="701" w:name="_Toc296161754"/>
      <w:bookmarkStart w:id="702" w:name="_Toc196890017"/>
      <w:bookmarkStart w:id="703" w:name="_Toc298316771"/>
      <w:bookmarkStart w:id="704" w:name="_Toc295686279"/>
      <w:bookmarkStart w:id="705" w:name="_Toc296346120"/>
      <w:bookmarkStart w:id="706" w:name="_Toc298164226"/>
      <w:bookmarkStart w:id="707" w:name="_Toc285632484"/>
      <w:bookmarkStart w:id="708" w:name="_Toc295314419"/>
      <w:bookmarkStart w:id="709" w:name="_Toc13747316"/>
      <w:bookmarkStart w:id="710" w:name="_Toc531529382"/>
      <w:bookmarkStart w:id="711" w:name="_Toc409536256"/>
      <w:bookmarkStart w:id="712" w:name="_Toc461902404"/>
      <w:bookmarkStart w:id="713" w:name="_Toc146092007"/>
      <w:r>
        <w:t>6.1</w:t>
      </w:r>
      <w:r>
        <w:rPr>
          <w:rFonts w:hint="eastAsia"/>
        </w:rPr>
        <w:t>5</w:t>
      </w:r>
      <w:r>
        <w:t>.2 循环经济</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t>分析</w:t>
      </w:r>
      <w:bookmarkEnd w:id="709"/>
      <w:bookmarkEnd w:id="710"/>
      <w:bookmarkEnd w:id="711"/>
      <w:bookmarkEnd w:id="712"/>
      <w:bookmarkEnd w:id="713"/>
    </w:p>
    <w:p>
      <w:pPr>
        <w:pStyle w:val="5"/>
        <w:ind w:firstLine="482"/>
      </w:pPr>
      <w:r>
        <w:t>6.1</w:t>
      </w:r>
      <w:r>
        <w:rPr>
          <w:rFonts w:hint="eastAsia"/>
        </w:rPr>
        <w:t>5</w:t>
      </w:r>
      <w:r>
        <w:t>.2.1 循环经济概述</w:t>
      </w:r>
    </w:p>
    <w:p>
      <w:pPr>
        <w:spacing w:line="360" w:lineRule="auto"/>
        <w:ind w:firstLine="480" w:firstLineChars="200"/>
      </w:pPr>
      <w:r>
        <w:t>循环经济是对“大量生产、大量消费、大量废弃”的传统增长模式的根本变革，是最大限度节约资源和保护环境的经济发展模式，是解决我国资源环境瓶颈约束的根本性举措。</w:t>
      </w:r>
    </w:p>
    <w:p>
      <w:pPr>
        <w:spacing w:line="360" w:lineRule="auto"/>
        <w:ind w:firstLine="480" w:firstLineChars="200"/>
      </w:pPr>
      <w:r>
        <w:t>循环经济作为一种科学的发展观和一种全新的经济发展模式，具有自身的独立特征，主要体现为新的系统观、新的经济观、新的价值观、新的生产观和新的消费观。其中循环经济的生产观念，是要充分考虑自然生态系统的承载能力，尽可能地节约自然资源，不断提高自然资源的利用效率，循环使用资源；创造良性的社会财富。在生产过程中，循环经济观要求遵循“3R”原则：资源利用的减量化（Reduce）原则，即在生产的投入端尽可能地输入自然资源；产品的再使用（Reduce）原则，即在生产的投入端尽可能少地输入自然资源；产品的再使用（Reuse）原则，即尽可能延长产品的使用周期，并在多种场合使用；废弃物的再循环（Recycle）原则，即最大限度地减少废弃物排放，力争做到排放的无害化，实现资源再循环。同时，在生产中要求尽可能地利用可循环再生的资源替代不可再生资源，如利用太阳能、风能和农家肥等，使生产合理地依托在自然生态循环之上；尽可能地利用高科技，尽可能地以知识投入来替代物质投入，以达到经济、社会与生态的和谐统一，使人类在良好的环境中生产生活，真正全面提高人民生活质量。</w:t>
      </w:r>
    </w:p>
    <w:p>
      <w:pPr>
        <w:spacing w:line="360" w:lineRule="auto"/>
        <w:ind w:firstLine="480" w:firstLineChars="200"/>
      </w:pPr>
      <w:r>
        <w:t>循环经济具体体现在经济活动的三个重要层面上，分别通过运用3R原则实现三个层面的物质闭环流动：（1）企业层面上（小循环）。根据生态效率的理念，推行清洁生产，减少产品和服务中物料和能源的使用量，实现污染物排放的最小量化。要求企业做到：减少产品和服务的物料使用量，减少产品和服务的能源使用量；减少有毒物质的排放，加强物质的循环使用能力；最大限度可持续地利用可再生资源；提高产品的耐用性，提高产品与服务的强度。（2）区域层面上（中循环）。按照工业生态学的原理，通过企业间的物质集成、能量集成和信息集成，形成企业间的工业代谢和共生关系，建立生态工业园区。（3）社会层面上（大循环）。通过废旧物资的再生利用，实现消费过程中和消费过程后物质和能量的循环，以形成资源的最优化配置，提高整个社会的经济增长质量，建立循环型社会。</w:t>
      </w:r>
    </w:p>
    <w:p>
      <w:pPr>
        <w:pStyle w:val="5"/>
        <w:ind w:firstLine="482"/>
      </w:pPr>
      <w:bookmarkStart w:id="714" w:name="_Toc294036898"/>
      <w:bookmarkStart w:id="715" w:name="_Toc260685628"/>
      <w:bookmarkStart w:id="716" w:name="_Toc173397795"/>
      <w:bookmarkStart w:id="717" w:name="_Toc168755400"/>
      <w:bookmarkStart w:id="718" w:name="_Toc156035170"/>
      <w:bookmarkStart w:id="719" w:name="_Toc162930735"/>
      <w:bookmarkStart w:id="720" w:name="_Toc292709153"/>
      <w:r>
        <w:t>6.1</w:t>
      </w:r>
      <w:r>
        <w:rPr>
          <w:rFonts w:hint="eastAsia"/>
        </w:rPr>
        <w:t>5</w:t>
      </w:r>
      <w:r>
        <w:t>.2.2 循环</w:t>
      </w:r>
      <w:bookmarkEnd w:id="714"/>
      <w:bookmarkEnd w:id="715"/>
      <w:bookmarkEnd w:id="716"/>
      <w:bookmarkEnd w:id="717"/>
      <w:bookmarkEnd w:id="718"/>
      <w:bookmarkEnd w:id="719"/>
      <w:bookmarkEnd w:id="720"/>
      <w:r>
        <w:t>经济发展思路</w:t>
      </w:r>
    </w:p>
    <w:p>
      <w:pPr>
        <w:spacing w:line="360" w:lineRule="auto"/>
        <w:ind w:firstLine="480" w:firstLineChars="200"/>
      </w:pPr>
      <w:r>
        <w:t>发展循环经济应以废物减量化、再循环利用和废物资源化为指导原则，通过在企业内和企业间对物质、能量和公用工程进行系统集成，实现园区内的物质循环、能量集成利用和信息交换共享，构成生态工业链，下游企业利用上游企业的废弃物作原料进行生产，使得园区的污染排放量最小化，同时降低产品的成本，从而很好地体现出园区的环境效益。</w:t>
      </w:r>
      <w:bookmarkStart w:id="721" w:name="_Toc155244266"/>
      <w:bookmarkStart w:id="722" w:name="_Toc152924797"/>
      <w:bookmarkStart w:id="723" w:name="_Toc156035171"/>
      <w:bookmarkStart w:id="724" w:name="_Toc168755401"/>
      <w:bookmarkStart w:id="725" w:name="_Toc162930736"/>
    </w:p>
    <w:p>
      <w:pPr>
        <w:spacing w:line="360" w:lineRule="auto"/>
        <w:ind w:firstLine="480" w:firstLineChars="200"/>
      </w:pPr>
      <w:r>
        <w:t>（1）物质集成</w:t>
      </w:r>
      <w:bookmarkEnd w:id="721"/>
      <w:bookmarkEnd w:id="722"/>
      <w:bookmarkEnd w:id="723"/>
      <w:bookmarkEnd w:id="724"/>
      <w:bookmarkEnd w:id="725"/>
    </w:p>
    <w:p>
      <w:pPr>
        <w:spacing w:line="360" w:lineRule="auto"/>
        <w:ind w:firstLine="480" w:firstLineChars="200"/>
      </w:pPr>
      <w:r>
        <w:t>根据园区的目标，确定园区企业的上下游关系，同时还需要根据物质供需方的要求，对物质流动的方向、数量和质量进行调整，以完成生态工业链的构建。园区的物质集成可从两个层次体现生态工业的思想：</w:t>
      </w:r>
    </w:p>
    <w:p>
      <w:pPr>
        <w:spacing w:line="360" w:lineRule="auto"/>
        <w:ind w:firstLine="480" w:firstLineChars="200"/>
      </w:pPr>
      <w:r>
        <w:t>1）在企业内部，要始终地贯彻清洁生产</w:t>
      </w:r>
    </w:p>
    <w:p>
      <w:pPr>
        <w:spacing w:line="360" w:lineRule="auto"/>
        <w:ind w:firstLine="480" w:firstLineChars="200"/>
      </w:pPr>
      <w:r>
        <w:t>贯彻清洁生产是工业污染防治的基本原则和任务，通过对生产全过程的清洁生产审查，发现从原料投放、产品工艺、技术路线、现场管理等环节上的问题，并采取相应措施，从而起到降低原辅材料消耗，合理利用能源，减少废料和污染物排放量的作用，以获得明显的经济效益。</w:t>
      </w:r>
    </w:p>
    <w:p>
      <w:pPr>
        <w:spacing w:line="360" w:lineRule="auto"/>
        <w:ind w:firstLine="480" w:firstLineChars="200"/>
      </w:pPr>
      <w:r>
        <w:t>2）企业之间，通过彼此的副产物和能量需求，建立起工业共生链</w:t>
      </w:r>
    </w:p>
    <w:p>
      <w:pPr>
        <w:spacing w:line="360" w:lineRule="auto"/>
        <w:ind w:firstLine="480" w:firstLineChars="200"/>
      </w:pPr>
      <w:bookmarkStart w:id="726" w:name="_Toc152924798"/>
      <w:bookmarkStart w:id="727" w:name="_Toc162930737"/>
      <w:bookmarkStart w:id="728" w:name="_Toc155244267"/>
      <w:bookmarkStart w:id="729" w:name="_Toc168755402"/>
      <w:bookmarkStart w:id="730" w:name="_Toc156035172"/>
      <w:r>
        <w:t>这是发展循环经济的重点，也是园区能否建设成为生态工业园区的关键。因此，发挥园区协调补网作用业，而且为使该园区工业共生网络尽快演化成成熟的、复杂的、稳定的工业生态网络，可赋予一定的优惠政策，使其优先入区。</w:t>
      </w:r>
    </w:p>
    <w:p>
      <w:pPr>
        <w:spacing w:line="360" w:lineRule="auto"/>
        <w:ind w:firstLine="480" w:firstLineChars="200"/>
      </w:pPr>
      <w:r>
        <w:t>（2）水集成</w:t>
      </w:r>
      <w:bookmarkEnd w:id="726"/>
      <w:bookmarkEnd w:id="727"/>
      <w:bookmarkEnd w:id="728"/>
      <w:bookmarkEnd w:id="729"/>
      <w:bookmarkEnd w:id="730"/>
    </w:p>
    <w:p>
      <w:pPr>
        <w:spacing w:line="360" w:lineRule="auto"/>
        <w:ind w:firstLine="480" w:firstLineChars="200"/>
      </w:pPr>
      <w:r>
        <w:t>1）各企业内部提高水的循环利用率</w:t>
      </w:r>
    </w:p>
    <w:p>
      <w:pPr>
        <w:spacing w:line="360" w:lineRule="auto"/>
        <w:ind w:firstLine="480" w:firstLineChars="200"/>
      </w:pPr>
      <w:r>
        <w:t>园区应要求引进企业内部加强生产工艺改革，提高水循环利用率，无法回收使用的废水等汇集后再并入污水处理厂处理。</w:t>
      </w:r>
    </w:p>
    <w:p>
      <w:pPr>
        <w:spacing w:line="360" w:lineRule="auto"/>
        <w:ind w:firstLine="480" w:firstLineChars="200"/>
      </w:pPr>
      <w:r>
        <w:t>2）建设雨水利用系统</w:t>
      </w:r>
    </w:p>
    <w:p>
      <w:pPr>
        <w:spacing w:line="360" w:lineRule="auto"/>
        <w:ind w:firstLine="480" w:firstLineChars="200"/>
      </w:pPr>
      <w:r>
        <w:t>通过对大型公建以及各类建筑屋顶雨水和地面雨水进行收集利用，作为景观用水、道路清洒用水、消防、冲厕及园区中的加工间接冷却水等。这个系统的利用，可以达到节约淡水资源、降低供水成本、减少废水排放量的目的。</w:t>
      </w:r>
    </w:p>
    <w:p>
      <w:pPr>
        <w:spacing w:line="360" w:lineRule="auto"/>
        <w:ind w:firstLine="480" w:firstLineChars="200"/>
      </w:pPr>
      <w:r>
        <w:t>6.1</w:t>
      </w:r>
      <w:r>
        <w:rPr>
          <w:rFonts w:hint="eastAsia"/>
        </w:rPr>
        <w:t>3</w:t>
      </w:r>
      <w:r>
        <w:t>.2.3 园区循环经济发展模式</w:t>
      </w:r>
    </w:p>
    <w:p>
      <w:pPr>
        <w:spacing w:line="360" w:lineRule="auto"/>
        <w:ind w:firstLine="480" w:firstLineChars="200"/>
      </w:pPr>
      <w:r>
        <w:t>（1）企业内部的循环</w:t>
      </w:r>
    </w:p>
    <w:p>
      <w:pPr>
        <w:spacing w:line="360" w:lineRule="auto"/>
        <w:ind w:firstLine="480" w:firstLineChars="200"/>
      </w:pPr>
      <w:r>
        <w:t>园区内各企业以“减量”、“再用”、“循环”等3R原则，减少企业进入生产过程的物质和能量，延长产品和服务的时间强度，同时能够把废弃物再次变为资源，以减少最终污染物产生和处理量。</w:t>
      </w:r>
    </w:p>
    <w:p>
      <w:pPr>
        <w:spacing w:line="360" w:lineRule="auto"/>
        <w:ind w:firstLine="480" w:firstLineChars="200"/>
      </w:pPr>
      <w:r>
        <w:t>（2）企业之间的循环</w:t>
      </w:r>
    </w:p>
    <w:p>
      <w:pPr>
        <w:spacing w:line="360" w:lineRule="auto"/>
        <w:ind w:firstLine="480" w:firstLineChars="200"/>
      </w:pPr>
      <w:r>
        <w:t>园区内企业的引进应充分考虑循环经济发展的要求，通过企业的生产，灵活地把区内的企业、经济组织（包括物流业、服务业等）联结起来，形成共享资源和互换副产品的产业共生组织，使一个企业和经济组织的废物（能）能够作为另一个企业和经济组织的原料、辅料或能源。</w:t>
      </w:r>
    </w:p>
    <w:p>
      <w:pPr>
        <w:spacing w:line="360" w:lineRule="auto"/>
        <w:ind w:firstLine="480" w:firstLineChars="200"/>
      </w:pPr>
      <w:r>
        <w:t>（3）区域整体循环</w:t>
      </w:r>
    </w:p>
    <w:p>
      <w:pPr>
        <w:spacing w:line="360" w:lineRule="auto"/>
        <w:ind w:firstLine="480" w:firstLineChars="200"/>
      </w:pPr>
      <w:r>
        <w:t>园区层次建设内容主要有整个产业开发区的单位GDP能耗、物耗的控制，高新区污染物排放的削减，园区环境管理和生态文化建设。鼓励在更大的区域范围内完成“自然资源—产品和用品—再生资源”的闭合循环回路，循环模式需要环境无害化技术作为操作平台，这种技术包括：污染治理技术、废物利用技术和清洁生产技术。通过引进能耗、物耗低，污染物排放量少的项目，以降低整个高新区的能耗和物耗。积极引进补链企业以提高整个高新区副产品的利用率和减少整个高新区的污染物排放量。加强生态高新区的环境管理水平，建立由工业园管委会统一领导，生态环境部门统一监督，各部门各司其职、分工合作，广大群众积极参与的环境管理机制。</w:t>
      </w:r>
    </w:p>
    <w:p>
      <w:pPr>
        <w:spacing w:line="360" w:lineRule="auto"/>
        <w:ind w:firstLine="480" w:firstLineChars="200"/>
      </w:pPr>
      <w:r>
        <w:t>（4）建立园区循环经济指标体系</w:t>
      </w:r>
    </w:p>
    <w:p>
      <w:pPr>
        <w:spacing w:line="360" w:lineRule="auto"/>
        <w:ind w:firstLine="480" w:firstLineChars="200"/>
      </w:pPr>
      <w:r>
        <w:t>根据《中华人民共和国循环经济促进法》以及国家发展改革委、原国家环保总局和国家统计局联合公布的《关于印发循环经济指标体系的通知》（发改环资[2007]1815号）的要求，宏观上循环经济指标体系应包含资源产出指标、资源消耗指标、资源综合利用指标和废物排放指标四大类指标，园区设置资源产出指标、资源消耗指标、资源综合利用指标和废物排放指标。</w:t>
      </w:r>
    </w:p>
    <w:p>
      <w:pPr>
        <w:spacing w:line="360" w:lineRule="auto"/>
        <w:ind w:firstLine="480" w:firstLineChars="200"/>
      </w:pPr>
      <w:r>
        <w:t>园区建设制定循环经济指标中重点应对水的节约、循环利用、污水减排，产业节能、降耗、减排等，以体现当地循环经济特点的特色指标。对于有国家强制性规定的，指标体系中要达到或优于国家强制性指标。指标要可量化、可考核，易统计；指标体系应包含规划基准年数据、阶段性指标和规划终期指标。</w:t>
      </w:r>
    </w:p>
    <w:p>
      <w:pPr>
        <w:pStyle w:val="4"/>
      </w:pPr>
      <w:bookmarkStart w:id="731" w:name="_Toc146092008"/>
      <w:r>
        <w:t>6.1</w:t>
      </w:r>
      <w:r>
        <w:rPr>
          <w:rFonts w:hint="eastAsia"/>
        </w:rPr>
        <w:t>5</w:t>
      </w:r>
      <w:r>
        <w:t>.3 鼓励企业展开ISO1400认证</w:t>
      </w:r>
      <w:bookmarkEnd w:id="731"/>
    </w:p>
    <w:p>
      <w:pPr>
        <w:spacing w:line="360" w:lineRule="auto"/>
        <w:ind w:firstLine="480" w:firstLineChars="200"/>
      </w:pPr>
      <w:r>
        <w:t>1）在区内推行ISO1400环境管理体系认证，指导和规范区内企业建立先进的管理体系，引导企业建立自我约束机制和科学管理的行为标准。</w:t>
      </w:r>
    </w:p>
    <w:p>
      <w:pPr>
        <w:spacing w:line="360" w:lineRule="auto"/>
        <w:ind w:firstLine="480" w:firstLineChars="200"/>
      </w:pPr>
      <w:r>
        <w:t>2）以国家法律法规为依据，采用优良的管理，促进技术改进。将环境管理纳入到其它管理之中，提高职工的环境意识并明确自己的职责。</w:t>
      </w:r>
    </w:p>
    <w:p>
      <w:pPr>
        <w:spacing w:line="360" w:lineRule="auto"/>
        <w:ind w:firstLine="480" w:firstLineChars="200"/>
      </w:pPr>
      <w:r>
        <w:t>3）促进企业向清洁生产方式转变，提升企业环境理念和环境管理水平，政府和有关部门要推动企业积极开展ISO1400认证工作，包括制定政府导向和技术导向，编制不同行业清洁生产指南，提供先进技术与管理信息，加强培训、宣传、教育等。</w:t>
      </w:r>
    </w:p>
    <w:bookmarkEnd w:id="685"/>
    <w:p>
      <w:pPr>
        <w:pStyle w:val="3"/>
      </w:pPr>
      <w:bookmarkStart w:id="732" w:name="_Toc93071891"/>
      <w:bookmarkStart w:id="733" w:name="_Toc31887"/>
      <w:bookmarkStart w:id="734" w:name="_Toc146092009"/>
      <w:r>
        <w:t>6.1</w:t>
      </w:r>
      <w:r>
        <w:rPr>
          <w:rFonts w:hint="eastAsia"/>
        </w:rPr>
        <w:t>6</w:t>
      </w:r>
      <w:r>
        <w:t>资源与环境承载力评估</w:t>
      </w:r>
      <w:bookmarkEnd w:id="732"/>
      <w:bookmarkEnd w:id="733"/>
      <w:bookmarkEnd w:id="734"/>
    </w:p>
    <w:p>
      <w:pPr>
        <w:pStyle w:val="4"/>
      </w:pPr>
      <w:bookmarkStart w:id="735" w:name="_Toc146092010"/>
      <w:r>
        <w:t>6.1</w:t>
      </w:r>
      <w:r>
        <w:rPr>
          <w:rFonts w:hint="eastAsia"/>
        </w:rPr>
        <w:t>6</w:t>
      </w:r>
      <w:r>
        <w:t>.1 生态保护红线</w:t>
      </w:r>
      <w:bookmarkEnd w:id="735"/>
    </w:p>
    <w:p>
      <w:pPr>
        <w:spacing w:line="360" w:lineRule="auto"/>
        <w:ind w:firstLine="480" w:firstLineChars="200"/>
      </w:pPr>
      <w:r>
        <w:t>生态保护红线是生态空间范围内具有特殊重要生态功能必须实行强制性严格保护的区域。在生态保护红线范围内，严控各类开发建设活动，依法不予审批新建工业项目和矿产开发项目的环评文件。</w:t>
      </w:r>
    </w:p>
    <w:p>
      <w:pPr>
        <w:spacing w:line="360" w:lineRule="auto"/>
        <w:ind w:firstLine="480" w:firstLineChars="200"/>
      </w:pPr>
      <w:r>
        <w:t>根据《湖南省人民政府关于印发&lt;湖南省生态保护红线&gt;的通知》（湘政发〔2018〕20号），园区规划范围不</w:t>
      </w:r>
      <w:r>
        <w:rPr>
          <w:rFonts w:hint="eastAsia"/>
        </w:rPr>
        <w:t>在</w:t>
      </w:r>
      <w:r>
        <w:t>生态保护红线范围</w:t>
      </w:r>
      <w:r>
        <w:rPr>
          <w:rFonts w:hint="eastAsia"/>
        </w:rPr>
        <w:t>内</w:t>
      </w:r>
      <w:r>
        <w:t>。园区一些需要进行生态保护的目标采取了适当的生态防护措施，划分了较为清晰的生态保护带，同时保留部分自然山体、水塘进行就地保护。因此，评价认为园区开发建设过程中并未对生态保护红线区域造成明显影响。</w:t>
      </w:r>
    </w:p>
    <w:p>
      <w:pPr>
        <w:pStyle w:val="4"/>
      </w:pPr>
      <w:bookmarkStart w:id="736" w:name="_Toc50625429"/>
      <w:bookmarkStart w:id="737" w:name="_Toc146092011"/>
      <w:r>
        <w:t>6.1</w:t>
      </w:r>
      <w:r>
        <w:rPr>
          <w:rFonts w:hint="eastAsia"/>
        </w:rPr>
        <w:t>6.</w:t>
      </w:r>
      <w:r>
        <w:t>2 环境承载力分析与评估</w:t>
      </w:r>
      <w:bookmarkEnd w:id="736"/>
      <w:bookmarkEnd w:id="737"/>
    </w:p>
    <w:p>
      <w:pPr>
        <w:pStyle w:val="5"/>
        <w:ind w:firstLine="482"/>
      </w:pPr>
      <w:bookmarkStart w:id="738" w:name="_Toc50625430"/>
      <w:r>
        <w:t>6.1</w:t>
      </w:r>
      <w:r>
        <w:rPr>
          <w:rFonts w:hint="eastAsia"/>
        </w:rPr>
        <w:t>6</w:t>
      </w:r>
      <w:r>
        <w:t>.2.1 环境质量现状</w:t>
      </w:r>
      <w:bookmarkEnd w:id="738"/>
    </w:p>
    <w:p>
      <w:pPr>
        <w:spacing w:line="360" w:lineRule="auto"/>
        <w:ind w:firstLine="480" w:firstLineChars="200"/>
      </w:pPr>
      <w:r>
        <w:t>本次评价期间在园区规划范围内及周边区域进行环境质量现状监测，监测内容为环境空气、地表水、地下水、噪声、土壤。本评价第4.3章节对各现状监测因子进行了详细的现状评价，此处只引用相关结论说明各环境质量。</w:t>
      </w:r>
    </w:p>
    <w:p>
      <w:pPr>
        <w:pStyle w:val="6"/>
      </w:pPr>
      <w:r>
        <w:t>表6.1</w:t>
      </w:r>
      <w:r>
        <w:rPr>
          <w:rFonts w:hint="eastAsia"/>
        </w:rPr>
        <w:t>4</w:t>
      </w:r>
      <w:r>
        <w:t>-1  环境质量现状情况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7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2" w:type="pct"/>
            <w:vAlign w:val="center"/>
          </w:tcPr>
          <w:p>
            <w:pPr>
              <w:pStyle w:val="63"/>
            </w:pPr>
            <w:r>
              <w:t>要素</w:t>
            </w:r>
          </w:p>
        </w:tc>
        <w:tc>
          <w:tcPr>
            <w:tcW w:w="4188" w:type="pct"/>
            <w:vAlign w:val="center"/>
          </w:tcPr>
          <w:p>
            <w:pPr>
              <w:pStyle w:val="63"/>
            </w:pPr>
            <w:r>
              <w:t>环境质量现状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2" w:type="pct"/>
            <w:vAlign w:val="center"/>
          </w:tcPr>
          <w:p>
            <w:pPr>
              <w:pStyle w:val="63"/>
            </w:pPr>
            <w:r>
              <w:t>环境空气</w:t>
            </w:r>
          </w:p>
        </w:tc>
        <w:tc>
          <w:tcPr>
            <w:tcW w:w="4188" w:type="pct"/>
            <w:vAlign w:val="center"/>
          </w:tcPr>
          <w:p>
            <w:pPr>
              <w:pStyle w:val="63"/>
            </w:pPr>
            <w:r>
              <w:rPr>
                <w:rFonts w:hint="eastAsia"/>
              </w:rPr>
              <w:t>二氧化</w:t>
            </w:r>
            <w:r>
              <w:t>硫等常规因子符合《环境空气质量标准》（GB3095-2012）二级标准；苯、甲苯、二甲苯、硫酸雾、H2S、NH3等因子符合《环境影响评价技术导则 大气环境》（HJ2.2-2018）附录D浓度限值要求</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2" w:type="pct"/>
            <w:vAlign w:val="center"/>
          </w:tcPr>
          <w:p>
            <w:pPr>
              <w:pStyle w:val="63"/>
            </w:pPr>
            <w:r>
              <w:t>地表水环境</w:t>
            </w:r>
          </w:p>
        </w:tc>
        <w:tc>
          <w:tcPr>
            <w:tcW w:w="4188" w:type="pct"/>
            <w:vAlign w:val="center"/>
          </w:tcPr>
          <w:p>
            <w:pPr>
              <w:pStyle w:val="63"/>
            </w:pPr>
            <w:r>
              <w:t>满足《地表水环境质量标准》（GB3838-2002）</w:t>
            </w:r>
            <w:r>
              <w:rPr>
                <w:rFonts w:hint="eastAsia"/>
              </w:rPr>
              <w:t>Ⅲ</w:t>
            </w:r>
            <w:r>
              <w:t>类水质标准要求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2" w:type="pct"/>
            <w:vAlign w:val="center"/>
          </w:tcPr>
          <w:p>
            <w:pPr>
              <w:pStyle w:val="63"/>
            </w:pPr>
            <w:r>
              <w:t>地下水环境</w:t>
            </w:r>
          </w:p>
        </w:tc>
        <w:tc>
          <w:tcPr>
            <w:tcW w:w="4188" w:type="pct"/>
            <w:vAlign w:val="center"/>
          </w:tcPr>
          <w:p>
            <w:pPr>
              <w:pStyle w:val="63"/>
            </w:pPr>
            <w:r>
              <w:t>满足《地下水质量标准》（GB/T 14848-2017）中</w:t>
            </w:r>
            <w:r>
              <w:rPr>
                <w:rFonts w:hint="eastAsia"/>
              </w:rPr>
              <w:t>Ⅲ</w:t>
            </w:r>
            <w: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2" w:type="pct"/>
            <w:vAlign w:val="center"/>
          </w:tcPr>
          <w:p>
            <w:pPr>
              <w:pStyle w:val="63"/>
            </w:pPr>
            <w:r>
              <w:t>声环境</w:t>
            </w:r>
          </w:p>
        </w:tc>
        <w:tc>
          <w:tcPr>
            <w:tcW w:w="4188" w:type="pct"/>
            <w:vAlign w:val="center"/>
          </w:tcPr>
          <w:p>
            <w:pPr>
              <w:pStyle w:val="63"/>
            </w:pPr>
            <w:r>
              <w:t>各监测点位均能满足《声环境质量标准》（GB3096-2008）2类、3类、4类标准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2" w:type="pct"/>
            <w:vAlign w:val="center"/>
          </w:tcPr>
          <w:p>
            <w:pPr>
              <w:pStyle w:val="63"/>
            </w:pPr>
            <w:r>
              <w:t>土壤环境</w:t>
            </w:r>
          </w:p>
        </w:tc>
        <w:tc>
          <w:tcPr>
            <w:tcW w:w="4188" w:type="pct"/>
            <w:vAlign w:val="center"/>
          </w:tcPr>
          <w:p>
            <w:pPr>
              <w:pStyle w:val="63"/>
            </w:pPr>
            <w:r>
              <w:t>满足《土壤环境质量 建设用地土壤污染风险管控标准（试行）》（GB36600-2018）中的表1中标准限值</w:t>
            </w:r>
            <w:r>
              <w:rPr>
                <w:rFonts w:hint="eastAsia"/>
              </w:rPr>
              <w:t>、</w:t>
            </w:r>
            <w:r>
              <w:t>《土壤环境质量 农用地土壤污染风险管控标准（试行）》（GB15618-2018）中表1标准限值要求。</w:t>
            </w:r>
          </w:p>
        </w:tc>
      </w:tr>
    </w:tbl>
    <w:p>
      <w:pPr>
        <w:pStyle w:val="5"/>
        <w:ind w:firstLine="482"/>
      </w:pPr>
      <w:bookmarkStart w:id="739" w:name="_Toc50625431"/>
      <w:r>
        <w:t>6.1</w:t>
      </w:r>
      <w:r>
        <w:rPr>
          <w:rFonts w:hint="eastAsia"/>
        </w:rPr>
        <w:t>6</w:t>
      </w:r>
      <w:r>
        <w:t>.2.2 环境容量</w:t>
      </w:r>
      <w:bookmarkEnd w:id="739"/>
    </w:p>
    <w:p>
      <w:pPr>
        <w:spacing w:line="360" w:lineRule="auto"/>
        <w:ind w:firstLine="480" w:firstLineChars="200"/>
      </w:pPr>
      <w:r>
        <w:rPr>
          <w:rFonts w:hint="eastAsia"/>
        </w:rPr>
        <w:t>1</w:t>
      </w:r>
      <w:r>
        <w:t>、环境空气容量</w:t>
      </w:r>
    </w:p>
    <w:p>
      <w:pPr>
        <w:spacing w:line="360" w:lineRule="auto"/>
        <w:ind w:firstLine="480" w:firstLineChars="200"/>
      </w:pPr>
      <w:r>
        <w:t>根据大气污染扩散的特性，为充分利用大气的扩散条件，对一个城市大气扩散系统而言，目前，在环境管理上一般对整个系统给出污染物排放总量指标，而后将总量指标分配到某一小的子系统。园区作为区域内的一个经济高新产业园，其大气污染物排放总量指标根据大气环境容量确定。本评价计算园区的环境容量，为园区的环境空气可容纳的大气污染物的量，包括园区排放的量和外界的输入量。因此，只能为环境管理提供参考。</w:t>
      </w:r>
    </w:p>
    <w:p>
      <w:pPr>
        <w:spacing w:line="360" w:lineRule="auto"/>
        <w:ind w:firstLine="480" w:firstLineChars="200"/>
      </w:pPr>
      <w:r>
        <w:t>根据《工业园区域环境影响评价技术导则》，对区域大气环境容量进行计算：</w:t>
      </w:r>
    </w:p>
    <w:p>
      <w:pPr>
        <w:spacing w:line="360" w:lineRule="auto"/>
        <w:ind w:firstLine="480" w:firstLineChars="200"/>
      </w:pPr>
      <w:r>
        <w:t>（1）控制因子：PM10、SO2、NOx。</w:t>
      </w:r>
    </w:p>
    <w:p>
      <w:pPr>
        <w:spacing w:line="360" w:lineRule="auto"/>
        <w:ind w:firstLine="480" w:firstLineChars="200"/>
      </w:pPr>
      <w:r>
        <w:t>（2）计算模式为：Qk=ACk</w:t>
      </w:r>
      <w:r>
        <w:object>
          <v:shape id="_x0000_i1025" o:spt="75" type="#_x0000_t75" style="height:21.75pt;width:21.75pt;" o:ole="t" filled="f" coordsize="21600,21600">
            <v:path/>
            <v:fill on="f" focussize="0,0"/>
            <v:stroke/>
            <v:imagedata r:id="rId59" o:title=""/>
            <o:lock v:ext="edit" aspectratio="t"/>
            <w10:wrap type="none"/>
            <w10:anchorlock/>
          </v:shape>
          <o:OLEObject Type="Embed" ProgID="Equation.3" ShapeID="_x0000_i1025" DrawAspect="Content" ObjectID="_1468075725" r:id="rId58">
            <o:LockedField>false</o:LockedField>
          </o:OLEObject>
        </w:object>
      </w:r>
    </w:p>
    <w:p>
      <w:pPr>
        <w:spacing w:line="360" w:lineRule="auto"/>
        <w:ind w:firstLine="480" w:firstLineChars="200"/>
      </w:pPr>
      <w:r>
        <w:t>式中：</w:t>
      </w:r>
    </w:p>
    <w:p>
      <w:pPr>
        <w:spacing w:line="360" w:lineRule="auto"/>
        <w:ind w:firstLine="480" w:firstLineChars="200"/>
      </w:pPr>
      <w:r>
        <w:t>Qk——总量控制区k污染物年允许排放总量限值（吨）；</w:t>
      </w:r>
    </w:p>
    <w:p>
      <w:pPr>
        <w:spacing w:line="360" w:lineRule="auto"/>
        <w:ind w:firstLine="480" w:firstLineChars="200"/>
      </w:pPr>
      <w:r>
        <w:t>S ——园区面积（km2）；</w:t>
      </w:r>
    </w:p>
    <w:p>
      <w:pPr>
        <w:spacing w:line="360" w:lineRule="auto"/>
        <w:ind w:firstLine="480" w:firstLineChars="200"/>
      </w:pPr>
      <w:r>
        <w:t>Ck——GB3095等国家和地方有关大气环境质量所规定的k污染物的年平均浓度限度（CSO2为0.06mg/m3，CNOx为0.04mg/m3、CPM10为0.07 mg/m3）；</w:t>
      </w:r>
    </w:p>
    <w:p>
      <w:pPr>
        <w:spacing w:line="360" w:lineRule="auto"/>
        <w:ind w:firstLine="480" w:firstLineChars="200"/>
      </w:pPr>
      <w:r>
        <w:t>A——地理区域性总量控制系数；</w:t>
      </w:r>
    </w:p>
    <w:p>
      <w:pPr>
        <w:spacing w:line="360" w:lineRule="auto"/>
        <w:ind w:firstLine="480" w:firstLineChars="200"/>
      </w:pPr>
      <w:r>
        <w:t>根据《制定地方大气污染物排放标准的技术方法》（GB/T 3840-91）标准，湖南省区域性总量控制系数A范围为3.5-4.9[104t/（a·km-2）]，本项目取3.5[104t/（a·km-2）]。</w:t>
      </w:r>
    </w:p>
    <w:p>
      <w:pPr>
        <w:spacing w:line="360" w:lineRule="auto"/>
        <w:ind w:firstLine="480" w:firstLineChars="200"/>
      </w:pPr>
      <w:r>
        <w:t>考虑到污染物在环境中的背景浓度，则园区理想环境容量为：</w:t>
      </w:r>
    </w:p>
    <w:p>
      <w:pPr>
        <w:spacing w:line="360" w:lineRule="auto"/>
        <w:ind w:firstLine="480" w:firstLineChars="200"/>
      </w:pPr>
      <w:r>
        <w:object>
          <v:shape id="_x0000_i1026" o:spt="75" type="#_x0000_t75" style="height:21.75pt;width:107.15pt;" o:ole="t" filled="f" coordsize="21600,21600">
            <v:path/>
            <v:fill on="f" focussize="0,0"/>
            <v:stroke/>
            <v:imagedata r:id="rId61" o:title=""/>
            <o:lock v:ext="edit" aspectratio="t"/>
            <w10:wrap type="none"/>
            <w10:anchorlock/>
          </v:shape>
          <o:OLEObject Type="Embed" ProgID="Equation.3" ShapeID="_x0000_i1026" DrawAspect="Content" ObjectID="_1468075726" r:id="rId60">
            <o:LockedField>false</o:LockedField>
          </o:OLEObject>
        </w:object>
      </w:r>
    </w:p>
    <w:p>
      <w:pPr>
        <w:spacing w:line="360" w:lineRule="auto"/>
        <w:ind w:firstLine="480" w:firstLineChars="200"/>
      </w:pPr>
      <w:r>
        <w:t>式中：Ckb—k污染物背景浓度，mg/m3。式中：Ckb—k污染物背景浓度。采用2022年临湘市城区的环境空气数据PM10为0.052mg/m3、SO2为0.009mg/m3、NOx为0.024mg/m3；。经计算，各片区大气环境容量见表6.13-2。</w:t>
      </w:r>
    </w:p>
    <w:p>
      <w:pPr>
        <w:spacing w:line="360" w:lineRule="auto"/>
        <w:ind w:firstLine="480" w:firstLineChars="200"/>
      </w:pPr>
      <w:r>
        <w:t>2、水环境容量</w:t>
      </w:r>
    </w:p>
    <w:p>
      <w:pPr>
        <w:spacing w:line="360" w:lineRule="auto"/>
        <w:ind w:firstLine="480" w:firstLineChars="200"/>
      </w:pPr>
      <w:r>
        <w:rPr>
          <w:rFonts w:ascii="Times New Roman" w:hAnsi="Times New Roman" w:cs="Times New Roman"/>
        </w:rPr>
        <w:t>滨江片区</w:t>
      </w:r>
      <w:r>
        <w:rPr>
          <w:rFonts w:hint="eastAsia" w:ascii="Times New Roman" w:hAnsi="Times New Roman" w:cs="Times New Roman"/>
        </w:rPr>
        <w:t>废水进入</w:t>
      </w:r>
      <w:r>
        <w:rPr>
          <w:rFonts w:ascii="Times New Roman" w:hAnsi="Times New Roman" w:cs="Times New Roman"/>
        </w:rPr>
        <w:t>滨江污水处理厂</w:t>
      </w:r>
      <w:r>
        <w:t>处理后达《城镇污水处理厂污染物排放标准》（GB18918-2002）中一级A标准排放</w:t>
      </w:r>
      <w:r>
        <w:rPr>
          <w:rFonts w:hint="eastAsia" w:ascii="Times New Roman" w:hAnsi="Times New Roman" w:cs="Times New Roman"/>
        </w:rPr>
        <w:t>；</w:t>
      </w:r>
      <w:r>
        <w:rPr>
          <w:rFonts w:ascii="Times New Roman" w:hAnsi="Times New Roman" w:cs="Times New Roman"/>
        </w:rPr>
        <w:t>三湾片区</w:t>
      </w:r>
      <w:r>
        <w:rPr>
          <w:rFonts w:hint="eastAsia" w:ascii="Times New Roman" w:hAnsi="Times New Roman" w:cs="Times New Roman"/>
        </w:rPr>
        <w:t>废水进入</w:t>
      </w:r>
      <w:r>
        <w:rPr>
          <w:rFonts w:ascii="Times New Roman" w:hAnsi="Times New Roman" w:cs="Times New Roman"/>
        </w:rPr>
        <w:t>临湘污水处理厂</w:t>
      </w:r>
      <w:r>
        <w:t>处理后达《城镇污水处理厂污染物排放标准》（GB18918-2002）中一级A标准排放</w:t>
      </w:r>
      <w:r>
        <w:rPr>
          <w:rFonts w:hint="eastAsia" w:ascii="Times New Roman" w:hAnsi="Times New Roman" w:cs="Times New Roman"/>
        </w:rPr>
        <w:t>；</w:t>
      </w:r>
      <w:r>
        <w:rPr>
          <w:rFonts w:ascii="Times New Roman" w:hAnsi="Times New Roman" w:cs="Times New Roman"/>
        </w:rPr>
        <w:t>绿色建材产业园</w:t>
      </w:r>
      <w:r>
        <w:rPr>
          <w:rFonts w:hint="eastAsia" w:ascii="Times New Roman" w:hAnsi="Times New Roman" w:cs="Times New Roman"/>
        </w:rPr>
        <w:t>经厂区污水处理站处理后全部回用，不外</w:t>
      </w:r>
      <w:r>
        <w:rPr>
          <w:rFonts w:ascii="Times New Roman" w:hAnsi="Times New Roman" w:cs="Times New Roman"/>
        </w:rPr>
        <w:t>排。</w:t>
      </w:r>
    </w:p>
    <w:p>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控制单元功能区划</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根据《湖南主要水系地表水环境功能区划》,浙水源头至东江湖汇入口，均为渔业用水区，执行《地表水环境质量标准》（GB3838-2002）中</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p>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水环境容量计算模型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（1）总量控制因子：COD、NH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总磷。</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（2）容量控制指标</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根据纳污水体规模，环境功能与水质要求，规划区内污染物允许排放总量计算公式为：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Q=q*（C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式中：Q—第k种污染物、年允许排放总量限值，t/a；</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q—河流流量，m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 xml:space="preserve"> —水环境质量标准限值，t/m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—水环境质量背景值，t/m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不管是一维模型还是二维模型，计算出的容量值总是偏大。其原因是：在模型中是以控制断面规划的水质浓度控制目标计算，也即当污染物以容量的排放量排入河流时，控制断面水质浓度正好达标，意味着控制断面到排污口这一河段的水质均超标，与功能区水质管理不符。因此，应进行修正。</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修正方法：W修正=α×W；</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α为修正系数，0~1，</w:t>
      </w:r>
      <w:r>
        <w:rPr>
          <w:rFonts w:hint="eastAsia"/>
          <w:color w:val="000000" w:themeColor="text1"/>
          <w14:textFill>
            <w14:solidFill>
              <w14:schemeClr w14:val="tx1"/>
            </w14:solidFill>
          </w14:textFill>
        </w:rPr>
        <w:t>长江</w:t>
      </w:r>
      <w:r>
        <w:rPr>
          <w:color w:val="000000" w:themeColor="text1"/>
          <w14:textFill>
            <w14:solidFill>
              <w14:schemeClr w14:val="tx1"/>
            </w14:solidFill>
          </w14:textFill>
        </w:rPr>
        <w:t>取0.5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长安</w:t>
      </w:r>
      <w:r>
        <w:rPr>
          <w:rFonts w:hint="eastAsia"/>
          <w:color w:val="000000" w:themeColor="text1"/>
          <w14:textFill>
            <w14:solidFill>
              <w14:schemeClr w14:val="tx1"/>
            </w14:solidFill>
          </w14:textFill>
        </w:rPr>
        <w:t>河取0.7</w:t>
      </w:r>
      <w:r>
        <w:rPr>
          <w:color w:val="000000" w:themeColor="text1"/>
          <w14:textFill>
            <w14:solidFill>
              <w14:schemeClr w14:val="tx1"/>
            </w14:solidFill>
          </w14:textFill>
        </w:rPr>
        <w:t>，详见下表。</w:t>
      </w:r>
    </w:p>
    <w:p>
      <w:pPr>
        <w:pStyle w:val="6"/>
      </w:pPr>
      <w:r>
        <w:t>表6.14-4  地表水环境容量计算修正系数</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2"/>
        <w:gridCol w:w="1742"/>
        <w:gridCol w:w="1742"/>
        <w:gridCol w:w="1633"/>
        <w:gridCol w:w="1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1"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河段宽度（m） </w:t>
            </w:r>
          </w:p>
        </w:tc>
        <w:tc>
          <w:tcPr>
            <w:tcW w:w="1021"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200m以上</w:t>
            </w:r>
          </w:p>
        </w:tc>
        <w:tc>
          <w:tcPr>
            <w:tcW w:w="1021"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100m~200m </w:t>
            </w:r>
          </w:p>
        </w:tc>
        <w:tc>
          <w:tcPr>
            <w:tcW w:w="957"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50m~100 m </w:t>
            </w:r>
          </w:p>
        </w:tc>
        <w:tc>
          <w:tcPr>
            <w:tcW w:w="978"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小于50m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1"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修正系数α </w:t>
            </w:r>
          </w:p>
        </w:tc>
        <w:tc>
          <w:tcPr>
            <w:tcW w:w="1021"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0.5 </w:t>
            </w:r>
          </w:p>
        </w:tc>
        <w:tc>
          <w:tcPr>
            <w:tcW w:w="1021"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0.6 </w:t>
            </w:r>
          </w:p>
        </w:tc>
        <w:tc>
          <w:tcPr>
            <w:tcW w:w="957"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0.7 </w:t>
            </w:r>
          </w:p>
        </w:tc>
        <w:tc>
          <w:tcPr>
            <w:tcW w:w="978"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0.8 </w:t>
            </w:r>
          </w:p>
        </w:tc>
      </w:tr>
    </w:tbl>
    <w:p>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水文参数及模式计算</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水环境容量计算的水文条件按照不利的水文条件进行。因此，选用历年最小流量作为水环境容量的水文条件，</w:t>
      </w:r>
      <w:r>
        <w:rPr>
          <w:bCs/>
          <w:color w:val="000000" w:themeColor="text1"/>
          <w14:textFill>
            <w14:solidFill>
              <w14:schemeClr w14:val="tx1"/>
            </w14:solidFill>
          </w14:textFill>
        </w:rPr>
        <w:t>浙水</w:t>
      </w:r>
      <w:r>
        <w:rPr>
          <w:color w:val="000000" w:themeColor="text1"/>
          <w14:textFill>
            <w14:solidFill>
              <w14:schemeClr w14:val="tx1"/>
            </w14:solidFill>
          </w14:textFill>
        </w:rPr>
        <w:t>的COD和NH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-N本底浓度采用本次现状监测的污水处理处理厂排污口上游监测断面的监测数据。</w:t>
      </w:r>
    </w:p>
    <w:p>
      <w:pPr>
        <w:pStyle w:val="6"/>
      </w:pPr>
      <w:r>
        <w:t>表6.14-5  水环境容量计算水文参数表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1"/>
        <w:gridCol w:w="827"/>
        <w:gridCol w:w="1006"/>
        <w:gridCol w:w="1342"/>
        <w:gridCol w:w="701"/>
        <w:gridCol w:w="1047"/>
        <w:gridCol w:w="1463"/>
        <w:gridCol w:w="12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546" w:type="pct"/>
            <w:vMerge w:val="restart"/>
            <w:vAlign w:val="center"/>
          </w:tcPr>
          <w:p>
            <w:pPr>
              <w:pStyle w:val="63"/>
            </w:pPr>
            <w:r>
              <w:t>预测时段</w:t>
            </w:r>
          </w:p>
        </w:tc>
        <w:tc>
          <w:tcPr>
            <w:tcW w:w="1075" w:type="pct"/>
            <w:gridSpan w:val="2"/>
            <w:vAlign w:val="center"/>
          </w:tcPr>
          <w:p>
            <w:pPr>
              <w:pStyle w:val="63"/>
            </w:pPr>
            <w:r>
              <w:t>K1</w:t>
            </w:r>
          </w:p>
        </w:tc>
        <w:tc>
          <w:tcPr>
            <w:tcW w:w="787" w:type="pct"/>
            <w:vMerge w:val="restart"/>
            <w:vAlign w:val="center"/>
          </w:tcPr>
          <w:p>
            <w:pPr>
              <w:pStyle w:val="63"/>
            </w:pPr>
            <w:r>
              <w:t>枯水期流量（m3/s）</w:t>
            </w:r>
          </w:p>
        </w:tc>
        <w:tc>
          <w:tcPr>
            <w:tcW w:w="1025" w:type="pct"/>
            <w:gridSpan w:val="2"/>
            <w:vAlign w:val="center"/>
          </w:tcPr>
          <w:p>
            <w:pPr>
              <w:pStyle w:val="63"/>
            </w:pPr>
            <w:r>
              <w:t>背景断面污染物浓度（mg/L）</w:t>
            </w:r>
          </w:p>
        </w:tc>
        <w:tc>
          <w:tcPr>
            <w:tcW w:w="1567" w:type="pct"/>
            <w:gridSpan w:val="2"/>
            <w:vAlign w:val="center"/>
          </w:tcPr>
          <w:p>
            <w:pPr>
              <w:pStyle w:val="63"/>
            </w:pPr>
            <w:r>
              <w:t>目标水质（mg/L）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vMerge w:val="continue"/>
            <w:vAlign w:val="center"/>
          </w:tcPr>
          <w:p>
            <w:pPr>
              <w:pStyle w:val="63"/>
            </w:pPr>
          </w:p>
        </w:tc>
        <w:tc>
          <w:tcPr>
            <w:tcW w:w="485" w:type="pct"/>
            <w:vAlign w:val="center"/>
          </w:tcPr>
          <w:p>
            <w:pPr>
              <w:pStyle w:val="63"/>
            </w:pPr>
            <w:r>
              <w:t>COD</w:t>
            </w:r>
          </w:p>
        </w:tc>
        <w:tc>
          <w:tcPr>
            <w:tcW w:w="590" w:type="pct"/>
            <w:vAlign w:val="center"/>
          </w:tcPr>
          <w:p>
            <w:pPr>
              <w:pStyle w:val="63"/>
            </w:pPr>
            <w:r>
              <w:t>氨氮</w:t>
            </w:r>
          </w:p>
        </w:tc>
        <w:tc>
          <w:tcPr>
            <w:tcW w:w="0" w:type="auto"/>
            <w:vMerge w:val="continue"/>
            <w:vAlign w:val="center"/>
          </w:tcPr>
          <w:p>
            <w:pPr>
              <w:pStyle w:val="63"/>
            </w:pPr>
          </w:p>
        </w:tc>
        <w:tc>
          <w:tcPr>
            <w:tcW w:w="411" w:type="pct"/>
            <w:vAlign w:val="center"/>
          </w:tcPr>
          <w:p>
            <w:pPr>
              <w:pStyle w:val="63"/>
            </w:pPr>
            <w:r>
              <w:t>COD</w:t>
            </w:r>
          </w:p>
        </w:tc>
        <w:tc>
          <w:tcPr>
            <w:tcW w:w="614" w:type="pct"/>
            <w:vAlign w:val="center"/>
          </w:tcPr>
          <w:p>
            <w:pPr>
              <w:pStyle w:val="63"/>
            </w:pPr>
            <w:r>
              <w:t>氨氮</w:t>
            </w:r>
          </w:p>
        </w:tc>
        <w:tc>
          <w:tcPr>
            <w:tcW w:w="857" w:type="pct"/>
            <w:vAlign w:val="center"/>
          </w:tcPr>
          <w:p>
            <w:pPr>
              <w:pStyle w:val="63"/>
            </w:pPr>
            <w:r>
              <w:t>COD</w:t>
            </w:r>
          </w:p>
        </w:tc>
        <w:tc>
          <w:tcPr>
            <w:tcW w:w="710" w:type="pct"/>
            <w:vAlign w:val="center"/>
          </w:tcPr>
          <w:p>
            <w:pPr>
              <w:pStyle w:val="63"/>
            </w:pPr>
            <w:r>
              <w:t>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6" w:type="pct"/>
            <w:vAlign w:val="center"/>
          </w:tcPr>
          <w:p>
            <w:pPr>
              <w:pStyle w:val="63"/>
            </w:pPr>
            <w:r>
              <w:t>枯水期</w:t>
            </w:r>
          </w:p>
        </w:tc>
        <w:tc>
          <w:tcPr>
            <w:tcW w:w="485" w:type="pct"/>
            <w:vAlign w:val="center"/>
          </w:tcPr>
          <w:p>
            <w:pPr>
              <w:pStyle w:val="63"/>
            </w:pPr>
            <w:r>
              <w:t>0.2</w:t>
            </w:r>
          </w:p>
        </w:tc>
        <w:tc>
          <w:tcPr>
            <w:tcW w:w="590" w:type="pct"/>
            <w:vAlign w:val="center"/>
          </w:tcPr>
          <w:p>
            <w:pPr>
              <w:pStyle w:val="63"/>
            </w:pPr>
            <w:r>
              <w:t>0.15</w:t>
            </w:r>
          </w:p>
        </w:tc>
        <w:tc>
          <w:tcPr>
            <w:tcW w:w="787" w:type="pct"/>
            <w:vAlign w:val="center"/>
          </w:tcPr>
          <w:p>
            <w:pPr>
              <w:pStyle w:val="63"/>
            </w:pPr>
            <w:r>
              <w:t>5</w:t>
            </w:r>
          </w:p>
        </w:tc>
        <w:tc>
          <w:tcPr>
            <w:tcW w:w="411" w:type="pct"/>
            <w:vAlign w:val="center"/>
          </w:tcPr>
          <w:p>
            <w:pPr>
              <w:pStyle w:val="63"/>
            </w:pPr>
            <w:r>
              <w:t>12</w:t>
            </w:r>
          </w:p>
        </w:tc>
        <w:tc>
          <w:tcPr>
            <w:tcW w:w="614" w:type="pct"/>
            <w:vAlign w:val="center"/>
          </w:tcPr>
          <w:p>
            <w:pPr>
              <w:pStyle w:val="63"/>
            </w:pPr>
            <w:r>
              <w:t>0.089</w:t>
            </w:r>
          </w:p>
        </w:tc>
        <w:tc>
          <w:tcPr>
            <w:tcW w:w="857" w:type="pct"/>
            <w:vAlign w:val="center"/>
          </w:tcPr>
          <w:p>
            <w:pPr>
              <w:pStyle w:val="63"/>
            </w:pPr>
            <w:r>
              <w:rPr>
                <w:rFonts w:hint="eastAsia"/>
              </w:rPr>
              <w:t>Ⅲ</w:t>
            </w:r>
            <w:r>
              <w:t>类20</w:t>
            </w:r>
          </w:p>
        </w:tc>
        <w:tc>
          <w:tcPr>
            <w:tcW w:w="710" w:type="pct"/>
            <w:vAlign w:val="center"/>
          </w:tcPr>
          <w:p>
            <w:pPr>
              <w:pStyle w:val="63"/>
            </w:pPr>
            <w:r>
              <w:rPr>
                <w:rFonts w:hint="eastAsia"/>
              </w:rPr>
              <w:t>Ⅲ</w:t>
            </w:r>
            <w:r>
              <w:t>类1.0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546" w:type="pct"/>
            <w:vAlign w:val="center"/>
          </w:tcPr>
          <w:p>
            <w:pPr>
              <w:pStyle w:val="63"/>
            </w:pPr>
            <w:r>
              <w:t>流速m/s</w:t>
            </w:r>
          </w:p>
        </w:tc>
        <w:tc>
          <w:tcPr>
            <w:tcW w:w="1075" w:type="pct"/>
            <w:gridSpan w:val="2"/>
            <w:vAlign w:val="center"/>
          </w:tcPr>
          <w:p>
            <w:pPr>
              <w:pStyle w:val="63"/>
            </w:pPr>
            <w:r>
              <w:t>0.08</w:t>
            </w:r>
          </w:p>
        </w:tc>
        <w:tc>
          <w:tcPr>
            <w:tcW w:w="787" w:type="pct"/>
            <w:vAlign w:val="center"/>
          </w:tcPr>
          <w:p>
            <w:pPr>
              <w:pStyle w:val="63"/>
            </w:pPr>
            <w:r>
              <w:t>河宽m</w:t>
            </w:r>
          </w:p>
        </w:tc>
        <w:tc>
          <w:tcPr>
            <w:tcW w:w="1025" w:type="pct"/>
            <w:gridSpan w:val="2"/>
            <w:vAlign w:val="center"/>
          </w:tcPr>
          <w:p>
            <w:pPr>
              <w:pStyle w:val="63"/>
            </w:pPr>
            <w:r>
              <w:t>25</w:t>
            </w:r>
          </w:p>
        </w:tc>
        <w:tc>
          <w:tcPr>
            <w:tcW w:w="857" w:type="pct"/>
            <w:vAlign w:val="center"/>
          </w:tcPr>
          <w:p>
            <w:pPr>
              <w:pStyle w:val="63"/>
            </w:pPr>
            <w:r>
              <w:t>水深m</w:t>
            </w:r>
          </w:p>
        </w:tc>
        <w:tc>
          <w:tcPr>
            <w:tcW w:w="710" w:type="pct"/>
            <w:vAlign w:val="center"/>
          </w:tcPr>
          <w:p>
            <w:pPr>
              <w:pStyle w:val="63"/>
            </w:pPr>
            <w:r>
              <w:t>2.5</w:t>
            </w:r>
          </w:p>
        </w:tc>
      </w:tr>
    </w:tbl>
    <w:p>
      <w:pPr>
        <w:pStyle w:val="6"/>
      </w:pPr>
      <w:r>
        <w:t>表6.14-6  园区依托污水处理厂的排放量</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683"/>
        <w:gridCol w:w="1328"/>
        <w:gridCol w:w="659"/>
        <w:gridCol w:w="845"/>
        <w:gridCol w:w="635"/>
        <w:gridCol w:w="793"/>
        <w:gridCol w:w="845"/>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6" w:type="pct"/>
            <w:vMerge w:val="restart"/>
            <w:noWrap/>
            <w:vAlign w:val="center"/>
          </w:tcPr>
          <w:p>
            <w:pPr>
              <w:pStyle w:val="63"/>
            </w:pPr>
            <w:r>
              <w:rPr>
                <w:rFonts w:hint="eastAsia"/>
              </w:rPr>
              <w:t>纳污水体</w:t>
            </w:r>
          </w:p>
        </w:tc>
        <w:tc>
          <w:tcPr>
            <w:tcW w:w="936" w:type="pct"/>
            <w:vMerge w:val="restart"/>
            <w:noWrap/>
            <w:vAlign w:val="center"/>
          </w:tcPr>
          <w:p>
            <w:pPr>
              <w:pStyle w:val="63"/>
            </w:pPr>
            <w:r>
              <w:rPr>
                <w:rFonts w:hint="eastAsia"/>
              </w:rPr>
              <w:t>污水处理厂名称</w:t>
            </w:r>
          </w:p>
        </w:tc>
        <w:tc>
          <w:tcPr>
            <w:tcW w:w="720" w:type="pct"/>
            <w:noWrap/>
            <w:vAlign w:val="center"/>
          </w:tcPr>
          <w:p>
            <w:pPr>
              <w:pStyle w:val="63"/>
            </w:pPr>
            <w:r>
              <w:rPr>
                <w:rFonts w:hint="eastAsia"/>
              </w:rPr>
              <w:t>设计规模</w:t>
            </w:r>
          </w:p>
        </w:tc>
        <w:tc>
          <w:tcPr>
            <w:tcW w:w="1181" w:type="pct"/>
            <w:gridSpan w:val="3"/>
            <w:noWrap/>
            <w:vAlign w:val="center"/>
          </w:tcPr>
          <w:p>
            <w:pPr>
              <w:pStyle w:val="63"/>
            </w:pPr>
            <w:r>
              <w:rPr>
                <w:rFonts w:hint="eastAsia"/>
              </w:rPr>
              <w:t>排放浓度（</w:t>
            </w:r>
            <w:r>
              <w:t>mg/L</w:t>
            </w:r>
            <w:r>
              <w:rPr>
                <w:rFonts w:hint="eastAsia"/>
              </w:rPr>
              <w:t>）</w:t>
            </w:r>
          </w:p>
        </w:tc>
        <w:tc>
          <w:tcPr>
            <w:tcW w:w="1576" w:type="pct"/>
            <w:gridSpan w:val="3"/>
            <w:noWrap/>
            <w:vAlign w:val="center"/>
          </w:tcPr>
          <w:p>
            <w:pPr>
              <w:pStyle w:val="63"/>
            </w:pPr>
            <w:r>
              <w:rPr>
                <w:rFonts w:hint="eastAsia"/>
              </w:rPr>
              <w:t>污染物排放量（</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6" w:type="pct"/>
            <w:vMerge w:val="continue"/>
            <w:vAlign w:val="center"/>
          </w:tcPr>
          <w:p>
            <w:pPr>
              <w:pStyle w:val="63"/>
            </w:pPr>
          </w:p>
        </w:tc>
        <w:tc>
          <w:tcPr>
            <w:tcW w:w="936" w:type="pct"/>
            <w:vMerge w:val="continue"/>
            <w:vAlign w:val="center"/>
          </w:tcPr>
          <w:p>
            <w:pPr>
              <w:pStyle w:val="63"/>
            </w:pPr>
          </w:p>
        </w:tc>
        <w:tc>
          <w:tcPr>
            <w:tcW w:w="720" w:type="pct"/>
            <w:noWrap/>
            <w:vAlign w:val="center"/>
          </w:tcPr>
          <w:p>
            <w:pPr>
              <w:pStyle w:val="63"/>
            </w:pPr>
            <w:r>
              <w:rPr>
                <w:rFonts w:hint="eastAsia"/>
              </w:rPr>
              <w:t>（万</w:t>
            </w:r>
            <w:r>
              <w:t>m3/d</w:t>
            </w:r>
            <w:r>
              <w:rPr>
                <w:rFonts w:hint="eastAsia"/>
              </w:rPr>
              <w:t>）</w:t>
            </w:r>
          </w:p>
        </w:tc>
        <w:tc>
          <w:tcPr>
            <w:tcW w:w="367" w:type="pct"/>
            <w:noWrap/>
            <w:vAlign w:val="center"/>
          </w:tcPr>
          <w:p>
            <w:pPr>
              <w:pStyle w:val="63"/>
            </w:pPr>
            <w:r>
              <w:t>COD</w:t>
            </w:r>
          </w:p>
        </w:tc>
        <w:tc>
          <w:tcPr>
            <w:tcW w:w="450" w:type="pct"/>
            <w:noWrap/>
            <w:vAlign w:val="center"/>
          </w:tcPr>
          <w:p>
            <w:pPr>
              <w:pStyle w:val="63"/>
            </w:pPr>
            <w:r>
              <w:t>NH3-N</w:t>
            </w:r>
          </w:p>
        </w:tc>
        <w:tc>
          <w:tcPr>
            <w:tcW w:w="364" w:type="pct"/>
            <w:noWrap/>
            <w:vAlign w:val="center"/>
          </w:tcPr>
          <w:p>
            <w:pPr>
              <w:pStyle w:val="63"/>
            </w:pPr>
            <w:r>
              <w:rPr>
                <w:rFonts w:hint="eastAsia"/>
              </w:rPr>
              <w:t>总磷</w:t>
            </w:r>
          </w:p>
        </w:tc>
        <w:tc>
          <w:tcPr>
            <w:tcW w:w="469" w:type="pct"/>
            <w:vAlign w:val="center"/>
          </w:tcPr>
          <w:p>
            <w:pPr>
              <w:pStyle w:val="63"/>
            </w:pPr>
            <w:r>
              <w:t>COD</w:t>
            </w:r>
          </w:p>
        </w:tc>
        <w:tc>
          <w:tcPr>
            <w:tcW w:w="703" w:type="pct"/>
            <w:vAlign w:val="center"/>
          </w:tcPr>
          <w:p>
            <w:pPr>
              <w:pStyle w:val="63"/>
            </w:pPr>
            <w:r>
              <w:t>NH3-N</w:t>
            </w:r>
          </w:p>
        </w:tc>
        <w:tc>
          <w:tcPr>
            <w:tcW w:w="404" w:type="pct"/>
            <w:noWrap/>
            <w:vAlign w:val="center"/>
          </w:tcPr>
          <w:p>
            <w:pPr>
              <w:pStyle w:val="63"/>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86" w:type="pct"/>
            <w:noWrap/>
            <w:vAlign w:val="center"/>
          </w:tcPr>
          <w:p>
            <w:pPr>
              <w:pStyle w:val="63"/>
            </w:pPr>
            <w:r>
              <w:rPr>
                <w:rFonts w:hint="eastAsia"/>
              </w:rPr>
              <w:t>长江</w:t>
            </w:r>
          </w:p>
        </w:tc>
        <w:tc>
          <w:tcPr>
            <w:tcW w:w="936" w:type="pct"/>
            <w:vAlign w:val="center"/>
          </w:tcPr>
          <w:p>
            <w:pPr>
              <w:pStyle w:val="63"/>
            </w:pPr>
            <w:r>
              <w:rPr>
                <w:rFonts w:hint="eastAsia"/>
              </w:rPr>
              <w:t>临湘园区污水处理厂</w:t>
            </w:r>
          </w:p>
        </w:tc>
        <w:tc>
          <w:tcPr>
            <w:tcW w:w="720" w:type="pct"/>
            <w:vAlign w:val="center"/>
          </w:tcPr>
          <w:p>
            <w:pPr>
              <w:pStyle w:val="63"/>
            </w:pPr>
            <w:r>
              <w:t>2</w:t>
            </w:r>
          </w:p>
        </w:tc>
        <w:tc>
          <w:tcPr>
            <w:tcW w:w="367" w:type="pct"/>
            <w:noWrap/>
            <w:vAlign w:val="center"/>
          </w:tcPr>
          <w:p>
            <w:pPr>
              <w:pStyle w:val="63"/>
            </w:pPr>
            <w:r>
              <w:t>50</w:t>
            </w:r>
          </w:p>
        </w:tc>
        <w:tc>
          <w:tcPr>
            <w:tcW w:w="450" w:type="pct"/>
            <w:noWrap/>
            <w:vAlign w:val="center"/>
          </w:tcPr>
          <w:p>
            <w:pPr>
              <w:pStyle w:val="63"/>
            </w:pPr>
            <w:r>
              <w:t>5</w:t>
            </w:r>
          </w:p>
        </w:tc>
        <w:tc>
          <w:tcPr>
            <w:tcW w:w="364" w:type="pct"/>
            <w:noWrap/>
            <w:vAlign w:val="center"/>
          </w:tcPr>
          <w:p>
            <w:pPr>
              <w:pStyle w:val="63"/>
            </w:pPr>
            <w:r>
              <w:rPr>
                <w:rFonts w:hint="eastAsia"/>
              </w:rPr>
              <w:t>1</w:t>
            </w:r>
          </w:p>
        </w:tc>
        <w:tc>
          <w:tcPr>
            <w:tcW w:w="469" w:type="pct"/>
            <w:noWrap/>
            <w:vAlign w:val="center"/>
          </w:tcPr>
          <w:p>
            <w:pPr>
              <w:pStyle w:val="63"/>
            </w:pPr>
            <w:r>
              <w:rPr>
                <w:rFonts w:hint="eastAsia"/>
              </w:rPr>
              <w:t>365.00</w:t>
            </w:r>
          </w:p>
        </w:tc>
        <w:tc>
          <w:tcPr>
            <w:tcW w:w="703" w:type="pct"/>
            <w:noWrap/>
            <w:vAlign w:val="center"/>
          </w:tcPr>
          <w:p>
            <w:pPr>
              <w:pStyle w:val="63"/>
            </w:pPr>
            <w:r>
              <w:rPr>
                <w:rFonts w:hint="eastAsia"/>
              </w:rPr>
              <w:t>36.50</w:t>
            </w:r>
          </w:p>
        </w:tc>
        <w:tc>
          <w:tcPr>
            <w:tcW w:w="404" w:type="pct"/>
            <w:noWrap/>
            <w:vAlign w:val="center"/>
          </w:tcPr>
          <w:p>
            <w:pPr>
              <w:pStyle w:val="63"/>
            </w:pPr>
            <w:r>
              <w:rPr>
                <w:rFonts w:hint="eastAsia"/>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86" w:type="pct"/>
            <w:noWrap/>
            <w:vAlign w:val="center"/>
          </w:tcPr>
          <w:p>
            <w:pPr>
              <w:pStyle w:val="63"/>
            </w:pPr>
            <w:r>
              <w:rPr>
                <w:rFonts w:hint="eastAsia"/>
              </w:rPr>
              <w:t>长安河</w:t>
            </w:r>
          </w:p>
        </w:tc>
        <w:tc>
          <w:tcPr>
            <w:tcW w:w="936" w:type="pct"/>
            <w:vAlign w:val="center"/>
          </w:tcPr>
          <w:p>
            <w:pPr>
              <w:pStyle w:val="63"/>
            </w:pPr>
            <w:r>
              <w:rPr>
                <w:rFonts w:hint="eastAsia"/>
              </w:rPr>
              <w:t>临湘城市污水处理厂</w:t>
            </w:r>
          </w:p>
        </w:tc>
        <w:tc>
          <w:tcPr>
            <w:tcW w:w="720" w:type="pct"/>
            <w:noWrap/>
            <w:vAlign w:val="center"/>
          </w:tcPr>
          <w:p>
            <w:pPr>
              <w:pStyle w:val="63"/>
            </w:pPr>
            <w:r>
              <w:rPr>
                <w:rFonts w:hint="eastAsia"/>
              </w:rPr>
              <w:t>4.5</w:t>
            </w:r>
          </w:p>
        </w:tc>
        <w:tc>
          <w:tcPr>
            <w:tcW w:w="367" w:type="pct"/>
            <w:noWrap/>
            <w:vAlign w:val="center"/>
          </w:tcPr>
          <w:p>
            <w:pPr>
              <w:pStyle w:val="63"/>
            </w:pPr>
            <w:r>
              <w:t>50</w:t>
            </w:r>
          </w:p>
        </w:tc>
        <w:tc>
          <w:tcPr>
            <w:tcW w:w="450" w:type="pct"/>
            <w:noWrap/>
            <w:vAlign w:val="center"/>
          </w:tcPr>
          <w:p>
            <w:pPr>
              <w:pStyle w:val="63"/>
            </w:pPr>
            <w:r>
              <w:t>5</w:t>
            </w:r>
          </w:p>
        </w:tc>
        <w:tc>
          <w:tcPr>
            <w:tcW w:w="364" w:type="pct"/>
            <w:noWrap/>
            <w:vAlign w:val="center"/>
          </w:tcPr>
          <w:p>
            <w:pPr>
              <w:pStyle w:val="63"/>
            </w:pPr>
            <w:r>
              <w:rPr>
                <w:rFonts w:hint="eastAsia"/>
              </w:rPr>
              <w:t>1</w:t>
            </w:r>
          </w:p>
        </w:tc>
        <w:tc>
          <w:tcPr>
            <w:tcW w:w="469" w:type="pct"/>
            <w:noWrap/>
            <w:vAlign w:val="center"/>
          </w:tcPr>
          <w:p>
            <w:pPr>
              <w:pStyle w:val="63"/>
            </w:pPr>
            <w:r>
              <w:rPr>
                <w:rFonts w:hint="eastAsia"/>
              </w:rPr>
              <w:t>821.25</w:t>
            </w:r>
          </w:p>
        </w:tc>
        <w:tc>
          <w:tcPr>
            <w:tcW w:w="703" w:type="pct"/>
            <w:noWrap/>
            <w:vAlign w:val="center"/>
          </w:tcPr>
          <w:p>
            <w:pPr>
              <w:pStyle w:val="63"/>
            </w:pPr>
            <w:r>
              <w:rPr>
                <w:rFonts w:hint="eastAsia"/>
              </w:rPr>
              <w:t>82.13</w:t>
            </w:r>
          </w:p>
        </w:tc>
        <w:tc>
          <w:tcPr>
            <w:tcW w:w="404" w:type="pct"/>
            <w:noWrap/>
            <w:vAlign w:val="center"/>
          </w:tcPr>
          <w:p>
            <w:pPr>
              <w:pStyle w:val="63"/>
            </w:pPr>
            <w:r>
              <w:rPr>
                <w:rFonts w:hint="eastAsia"/>
              </w:rPr>
              <w:t>16.43</w:t>
            </w:r>
          </w:p>
        </w:tc>
      </w:tr>
    </w:tbl>
    <w:p>
      <w:pPr>
        <w:pStyle w:val="6"/>
      </w:pPr>
      <w:r>
        <w:t>表6.14-7  水环境容量估算表   单位：t/a</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1520"/>
        <w:gridCol w:w="1728"/>
        <w:gridCol w:w="195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6" w:type="pct"/>
            <w:noWrap/>
            <w:vAlign w:val="center"/>
          </w:tcPr>
          <w:p>
            <w:pPr>
              <w:pStyle w:val="63"/>
            </w:pPr>
            <w:r>
              <w:rPr>
                <w:rFonts w:hint="eastAsia"/>
              </w:rPr>
              <w:t>纳污水体</w:t>
            </w:r>
          </w:p>
        </w:tc>
        <w:tc>
          <w:tcPr>
            <w:tcW w:w="891" w:type="pct"/>
            <w:vAlign w:val="center"/>
          </w:tcPr>
          <w:p>
            <w:pPr>
              <w:pStyle w:val="63"/>
            </w:pPr>
            <w:r>
              <w:rPr>
                <w:rFonts w:hint="eastAsia"/>
              </w:rPr>
              <w:t>因子</w:t>
            </w:r>
          </w:p>
        </w:tc>
        <w:tc>
          <w:tcPr>
            <w:tcW w:w="1013" w:type="pct"/>
            <w:vAlign w:val="center"/>
          </w:tcPr>
          <w:p>
            <w:pPr>
              <w:pStyle w:val="63"/>
            </w:pPr>
            <w:r>
              <w:rPr>
                <w:rFonts w:hint="eastAsia"/>
              </w:rPr>
              <w:t>Ⅲ类水质计算环境容量</w:t>
            </w:r>
          </w:p>
        </w:tc>
        <w:tc>
          <w:tcPr>
            <w:tcW w:w="1143" w:type="pct"/>
            <w:vAlign w:val="center"/>
          </w:tcPr>
          <w:p>
            <w:pPr>
              <w:pStyle w:val="63"/>
            </w:pPr>
            <w:r>
              <w:rPr>
                <w:rFonts w:hint="eastAsia"/>
              </w:rPr>
              <w:t>污水处理厂排放量</w:t>
            </w:r>
          </w:p>
        </w:tc>
        <w:tc>
          <w:tcPr>
            <w:tcW w:w="697" w:type="pct"/>
            <w:vAlign w:val="center"/>
          </w:tcPr>
          <w:p>
            <w:pPr>
              <w:pStyle w:val="63"/>
            </w:pPr>
            <w:r>
              <w:rPr>
                <w:rFonts w:hint="eastAsia"/>
              </w:rPr>
              <w:t>剩余环境容量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6" w:type="pct"/>
            <w:vMerge w:val="restart"/>
            <w:noWrap/>
            <w:vAlign w:val="center"/>
          </w:tcPr>
          <w:p>
            <w:pPr>
              <w:pStyle w:val="63"/>
            </w:pPr>
            <w:r>
              <w:rPr>
                <w:rFonts w:hint="eastAsia"/>
              </w:rPr>
              <w:t>长江</w:t>
            </w:r>
          </w:p>
        </w:tc>
        <w:tc>
          <w:tcPr>
            <w:tcW w:w="891" w:type="pct"/>
            <w:vAlign w:val="center"/>
          </w:tcPr>
          <w:p>
            <w:pPr>
              <w:pStyle w:val="63"/>
            </w:pPr>
            <w:r>
              <w:t>CODcr</w:t>
            </w:r>
          </w:p>
        </w:tc>
        <w:tc>
          <w:tcPr>
            <w:tcW w:w="1013" w:type="pct"/>
            <w:vAlign w:val="center"/>
          </w:tcPr>
          <w:p>
            <w:pPr>
              <w:pStyle w:val="63"/>
            </w:pPr>
            <w:r>
              <w:t>481002.84</w:t>
            </w:r>
          </w:p>
        </w:tc>
        <w:tc>
          <w:tcPr>
            <w:tcW w:w="1143" w:type="pct"/>
            <w:vAlign w:val="center"/>
          </w:tcPr>
          <w:p>
            <w:pPr>
              <w:pStyle w:val="63"/>
            </w:pPr>
            <w:r>
              <w:t>365.00</w:t>
            </w:r>
          </w:p>
        </w:tc>
        <w:tc>
          <w:tcPr>
            <w:tcW w:w="697" w:type="pct"/>
            <w:vAlign w:val="center"/>
          </w:tcPr>
          <w:p>
            <w:pPr>
              <w:pStyle w:val="63"/>
            </w:pPr>
            <w:r>
              <w:t>480637.84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6" w:type="pct"/>
            <w:vMerge w:val="continue"/>
            <w:vAlign w:val="center"/>
          </w:tcPr>
          <w:p>
            <w:pPr>
              <w:pStyle w:val="63"/>
            </w:pPr>
          </w:p>
        </w:tc>
        <w:tc>
          <w:tcPr>
            <w:tcW w:w="891" w:type="pct"/>
            <w:vAlign w:val="center"/>
          </w:tcPr>
          <w:p>
            <w:pPr>
              <w:pStyle w:val="63"/>
            </w:pPr>
            <w:r>
              <w:rPr>
                <w:rFonts w:hint="eastAsia"/>
              </w:rPr>
              <w:t>氨氮</w:t>
            </w:r>
          </w:p>
        </w:tc>
        <w:tc>
          <w:tcPr>
            <w:tcW w:w="1013" w:type="pct"/>
            <w:vAlign w:val="center"/>
          </w:tcPr>
          <w:p>
            <w:pPr>
              <w:pStyle w:val="63"/>
            </w:pPr>
            <w:r>
              <w:t>87638.72</w:t>
            </w:r>
          </w:p>
        </w:tc>
        <w:tc>
          <w:tcPr>
            <w:tcW w:w="1143" w:type="pct"/>
            <w:vAlign w:val="center"/>
          </w:tcPr>
          <w:p>
            <w:pPr>
              <w:pStyle w:val="63"/>
            </w:pPr>
            <w:r>
              <w:t>36.50</w:t>
            </w:r>
          </w:p>
        </w:tc>
        <w:tc>
          <w:tcPr>
            <w:tcW w:w="697" w:type="pct"/>
            <w:vAlign w:val="center"/>
          </w:tcPr>
          <w:p>
            <w:pPr>
              <w:pStyle w:val="63"/>
            </w:pPr>
            <w:r>
              <w:t>87602.22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6" w:type="pct"/>
            <w:vMerge w:val="continue"/>
            <w:vAlign w:val="center"/>
          </w:tcPr>
          <w:p>
            <w:pPr>
              <w:pStyle w:val="63"/>
            </w:pPr>
          </w:p>
        </w:tc>
        <w:tc>
          <w:tcPr>
            <w:tcW w:w="891" w:type="pct"/>
            <w:noWrap/>
            <w:vAlign w:val="center"/>
          </w:tcPr>
          <w:p>
            <w:pPr>
              <w:pStyle w:val="63"/>
            </w:pPr>
            <w:r>
              <w:rPr>
                <w:rFonts w:hint="eastAsia"/>
              </w:rPr>
              <w:t>总磷</w:t>
            </w:r>
          </w:p>
        </w:tc>
        <w:tc>
          <w:tcPr>
            <w:tcW w:w="1013" w:type="pct"/>
            <w:vAlign w:val="center"/>
          </w:tcPr>
          <w:p>
            <w:pPr>
              <w:pStyle w:val="63"/>
            </w:pPr>
            <w:r>
              <w:t>10678.26</w:t>
            </w:r>
          </w:p>
        </w:tc>
        <w:tc>
          <w:tcPr>
            <w:tcW w:w="1143" w:type="pct"/>
            <w:noWrap/>
            <w:vAlign w:val="center"/>
          </w:tcPr>
          <w:p>
            <w:pPr>
              <w:pStyle w:val="63"/>
            </w:pPr>
            <w:r>
              <w:rPr>
                <w:rFonts w:hint="eastAsia"/>
              </w:rPr>
              <w:t>7.30</w:t>
            </w:r>
          </w:p>
        </w:tc>
        <w:tc>
          <w:tcPr>
            <w:tcW w:w="697" w:type="pct"/>
            <w:vAlign w:val="center"/>
          </w:tcPr>
          <w:p>
            <w:pPr>
              <w:pStyle w:val="63"/>
            </w:pPr>
            <w:r>
              <w:t>10670.96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6" w:type="pct"/>
            <w:vMerge w:val="restart"/>
            <w:noWrap/>
            <w:vAlign w:val="center"/>
          </w:tcPr>
          <w:p>
            <w:pPr>
              <w:pStyle w:val="63"/>
            </w:pPr>
            <w:r>
              <w:rPr>
                <w:rFonts w:hint="eastAsia"/>
              </w:rPr>
              <w:t>长安河</w:t>
            </w:r>
          </w:p>
        </w:tc>
        <w:tc>
          <w:tcPr>
            <w:tcW w:w="891" w:type="pct"/>
            <w:vAlign w:val="center"/>
          </w:tcPr>
          <w:p>
            <w:pPr>
              <w:pStyle w:val="63"/>
            </w:pPr>
            <w:r>
              <w:t>CODcr</w:t>
            </w:r>
          </w:p>
        </w:tc>
        <w:tc>
          <w:tcPr>
            <w:tcW w:w="1013" w:type="pct"/>
            <w:noWrap/>
            <w:vAlign w:val="center"/>
          </w:tcPr>
          <w:p>
            <w:pPr>
              <w:pStyle w:val="63"/>
            </w:pPr>
            <w:r>
              <w:rPr>
                <w:rFonts w:hint="eastAsia"/>
              </w:rPr>
              <w:t>6181.06</w:t>
            </w:r>
          </w:p>
        </w:tc>
        <w:tc>
          <w:tcPr>
            <w:tcW w:w="1143" w:type="pct"/>
            <w:noWrap/>
            <w:vAlign w:val="center"/>
          </w:tcPr>
          <w:p>
            <w:pPr>
              <w:pStyle w:val="63"/>
            </w:pPr>
            <w:r>
              <w:rPr>
                <w:rFonts w:hint="eastAsia"/>
              </w:rPr>
              <w:t>821.25</w:t>
            </w:r>
          </w:p>
        </w:tc>
        <w:tc>
          <w:tcPr>
            <w:tcW w:w="697" w:type="pct"/>
            <w:vAlign w:val="center"/>
          </w:tcPr>
          <w:p>
            <w:pPr>
              <w:pStyle w:val="63"/>
            </w:pPr>
            <w:r>
              <w:t>5359.81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6" w:type="pct"/>
            <w:vMerge w:val="continue"/>
            <w:vAlign w:val="center"/>
          </w:tcPr>
          <w:p>
            <w:pPr>
              <w:pStyle w:val="63"/>
            </w:pPr>
          </w:p>
        </w:tc>
        <w:tc>
          <w:tcPr>
            <w:tcW w:w="891" w:type="pct"/>
            <w:vAlign w:val="center"/>
          </w:tcPr>
          <w:p>
            <w:pPr>
              <w:pStyle w:val="63"/>
            </w:pPr>
            <w:r>
              <w:rPr>
                <w:rFonts w:hint="eastAsia"/>
              </w:rPr>
              <w:t>氨氮</w:t>
            </w:r>
          </w:p>
        </w:tc>
        <w:tc>
          <w:tcPr>
            <w:tcW w:w="1013" w:type="pct"/>
            <w:noWrap/>
            <w:vAlign w:val="center"/>
          </w:tcPr>
          <w:p>
            <w:pPr>
              <w:pStyle w:val="63"/>
            </w:pPr>
            <w:r>
              <w:rPr>
                <w:rFonts w:hint="eastAsia"/>
              </w:rPr>
              <w:t>1126.19</w:t>
            </w:r>
          </w:p>
        </w:tc>
        <w:tc>
          <w:tcPr>
            <w:tcW w:w="1143" w:type="pct"/>
            <w:noWrap/>
            <w:vAlign w:val="center"/>
          </w:tcPr>
          <w:p>
            <w:pPr>
              <w:pStyle w:val="63"/>
            </w:pPr>
            <w:r>
              <w:rPr>
                <w:rFonts w:hint="eastAsia"/>
              </w:rPr>
              <w:t>82.13</w:t>
            </w:r>
          </w:p>
        </w:tc>
        <w:tc>
          <w:tcPr>
            <w:tcW w:w="697" w:type="pct"/>
            <w:vAlign w:val="center"/>
          </w:tcPr>
          <w:p>
            <w:pPr>
              <w:pStyle w:val="63"/>
            </w:pPr>
            <w:r>
              <w:t>1044.06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256" w:type="pct"/>
            <w:vMerge w:val="continue"/>
            <w:vAlign w:val="center"/>
          </w:tcPr>
          <w:p>
            <w:pPr>
              <w:pStyle w:val="63"/>
            </w:pPr>
          </w:p>
        </w:tc>
        <w:tc>
          <w:tcPr>
            <w:tcW w:w="891" w:type="pct"/>
            <w:noWrap/>
            <w:vAlign w:val="center"/>
          </w:tcPr>
          <w:p>
            <w:pPr>
              <w:pStyle w:val="63"/>
            </w:pPr>
            <w:r>
              <w:rPr>
                <w:rFonts w:hint="eastAsia"/>
              </w:rPr>
              <w:t>总磷</w:t>
            </w:r>
          </w:p>
        </w:tc>
        <w:tc>
          <w:tcPr>
            <w:tcW w:w="1013" w:type="pct"/>
            <w:noWrap/>
            <w:vAlign w:val="center"/>
          </w:tcPr>
          <w:p>
            <w:pPr>
              <w:pStyle w:val="63"/>
            </w:pPr>
            <w:r>
              <w:rPr>
                <w:rFonts w:hint="eastAsia"/>
              </w:rPr>
              <w:t>137.22</w:t>
            </w:r>
          </w:p>
        </w:tc>
        <w:tc>
          <w:tcPr>
            <w:tcW w:w="1143" w:type="pct"/>
            <w:noWrap/>
            <w:vAlign w:val="center"/>
          </w:tcPr>
          <w:p>
            <w:pPr>
              <w:pStyle w:val="63"/>
            </w:pPr>
            <w:r>
              <w:rPr>
                <w:rFonts w:hint="eastAsia"/>
              </w:rPr>
              <w:t>16.43</w:t>
            </w:r>
          </w:p>
        </w:tc>
        <w:tc>
          <w:tcPr>
            <w:tcW w:w="697" w:type="pct"/>
            <w:vAlign w:val="center"/>
          </w:tcPr>
          <w:p>
            <w:pPr>
              <w:pStyle w:val="63"/>
            </w:pPr>
            <w:r>
              <w:t>120.79</w:t>
            </w:r>
          </w:p>
        </w:tc>
      </w:tr>
    </w:tbl>
    <w:p>
      <w:pPr>
        <w:spacing w:line="360" w:lineRule="auto"/>
        <w:ind w:firstLine="480" w:firstLineChars="200"/>
      </w:pPr>
      <w:r>
        <w:t>本次地表水环境容量计算以纳污水体的环境容量减</w:t>
      </w:r>
      <w:r>
        <w:rPr>
          <w:rFonts w:hint="eastAsia"/>
        </w:rPr>
        <w:t>去</w:t>
      </w:r>
      <w:r>
        <w:t>污水处理厂设计规模的排放量得出剩余</w:t>
      </w:r>
      <w:r>
        <w:rPr>
          <w:color w:val="000000" w:themeColor="text1"/>
          <w14:textFill>
            <w14:solidFill>
              <w14:schemeClr w14:val="tx1"/>
            </w14:solidFill>
          </w14:textFill>
        </w:rPr>
        <w:t>环境容量</w:t>
      </w:r>
      <w:r>
        <w:t>。</w:t>
      </w:r>
    </w:p>
    <w:p>
      <w:pPr>
        <w:spacing w:line="360" w:lineRule="auto"/>
        <w:ind w:firstLine="480" w:firstLineChars="200"/>
      </w:pPr>
      <w:r>
        <w:rPr>
          <w:rFonts w:hint="eastAsia"/>
        </w:rPr>
        <w:t>3</w:t>
      </w:r>
      <w:r>
        <w:t>、碳排放</w:t>
      </w:r>
      <w:r>
        <w:rPr>
          <w:color w:val="000000" w:themeColor="text1"/>
          <w14:textFill>
            <w14:solidFill>
              <w14:schemeClr w14:val="tx1"/>
            </w14:solidFill>
          </w14:textFill>
        </w:rPr>
        <w:t>环境容量</w:t>
      </w:r>
    </w:p>
    <w:p>
      <w:pPr>
        <w:spacing w:line="360" w:lineRule="auto"/>
        <w:ind w:firstLine="480" w:firstLineChars="200"/>
      </w:pPr>
      <w:r>
        <w:rPr>
          <w:rFonts w:hint="eastAsia"/>
        </w:rPr>
        <w:t>目前，湖南省和岳阳市虽然暂未公布碳达峰方案，待方案发布后，按照省、市碳排放总量控制要求执行。</w:t>
      </w:r>
    </w:p>
    <w:p>
      <w:pPr>
        <w:pStyle w:val="4"/>
      </w:pPr>
      <w:bookmarkStart w:id="740" w:name="_Toc50625434"/>
      <w:bookmarkStart w:id="741" w:name="_Toc146092012"/>
      <w:r>
        <w:t>6.1</w:t>
      </w:r>
      <w:r>
        <w:rPr>
          <w:rFonts w:hint="eastAsia"/>
        </w:rPr>
        <w:t>6</w:t>
      </w:r>
      <w:r>
        <w:t>.3 资源承载力分析与评估</w:t>
      </w:r>
      <w:bookmarkEnd w:id="740"/>
      <w:bookmarkEnd w:id="741"/>
    </w:p>
    <w:p>
      <w:pPr>
        <w:pStyle w:val="5"/>
        <w:ind w:firstLine="482"/>
      </w:pPr>
      <w:bookmarkStart w:id="742" w:name="_Toc50625435"/>
      <w:r>
        <w:t>6.1</w:t>
      </w:r>
      <w:r>
        <w:rPr>
          <w:rFonts w:hint="eastAsia"/>
        </w:rPr>
        <w:t>4</w:t>
      </w:r>
      <w:r>
        <w:t>.3.1 水资源利用上线</w:t>
      </w:r>
      <w:bookmarkEnd w:id="742"/>
    </w:p>
    <w:p>
      <w:pPr>
        <w:spacing w:line="360" w:lineRule="auto"/>
        <w:ind w:firstLine="480" w:firstLineChars="200"/>
      </w:pPr>
      <w:r>
        <w:t>（1）水资源特点</w:t>
      </w:r>
    </w:p>
    <w:p>
      <w:pPr>
        <w:spacing w:line="360" w:lineRule="auto"/>
        <w:ind w:firstLine="480" w:firstLineChars="200"/>
      </w:pPr>
      <w:r>
        <w:t>岳阳市水资源丰富，湖泊众多，河网密布，水系发达，洞庭湖纳湘、资、沅、澧四水汇入长江，素有洞庭水乡之称。河流主要属洞庭湖水系，其次是长江水系和鄱阳湖水系。洞庭湖水系流域面积占全市总面积的91.05%，长江水系占8.92%，鄱阳湖水系占0.02%。长5km以上河流273条，大于10km的146条，大于50km的11条。除洞庭湖外，境内有大小内湖165个，总湖泊面积335.5km2，总湖容10.9亿km3。</w:t>
      </w:r>
    </w:p>
    <w:p>
      <w:pPr>
        <w:spacing w:line="360" w:lineRule="auto"/>
        <w:ind w:firstLine="480" w:firstLineChars="200"/>
      </w:pPr>
      <w:r>
        <w:t>长江螺山段水文特征对其影响很大，根据长江螺山水文站水文数据，长江在该段主要水文参数如下：流量：多年平均流量20300m3/s；历年最大流量61200m3/s；历年最小流量4190m3/s；流速：多年平均流速1.45m/s；历年最大流速2.00m/s；历年最小流速0.98m/s；含砂量：多年平均含砂量0.683kg/m3；历年最大含砂量5.66kg/m3；历年最小含砂量0.11kg/m3；输沙量：多年平均输砂量13.7t/s；历年最大输沙量177t/s；历年最小输沙量0.59t/s；水位：多年平均水位23.19m（吴凇高程）；历年最高水位33.14m；历年最低水位15.99m。</w:t>
      </w:r>
    </w:p>
    <w:p>
      <w:pPr>
        <w:spacing w:line="360" w:lineRule="auto"/>
        <w:ind w:firstLine="480" w:firstLineChars="200"/>
      </w:pPr>
      <w:r>
        <w:t>（2）水资源开发利用评价</w:t>
      </w:r>
    </w:p>
    <w:p>
      <w:pPr>
        <w:spacing w:line="360" w:lineRule="auto"/>
        <w:ind w:firstLine="480" w:firstLineChars="200"/>
        <w:rPr>
          <w:rFonts w:ascii="Times New Roman" w:hAnsi="Times New Roman" w:cs="Times New Roman"/>
        </w:rPr>
      </w:pPr>
      <w:r>
        <w:rPr>
          <w:rFonts w:ascii="Times New Roman" w:hAnsi="Times New Roman" w:cs="Times New Roman"/>
        </w:rPr>
        <w:t>滨江片区：由滨江给水厂供水；三湾片区和绿色建材产业园：由临湘中心城区供水干管供水。规划区平均日用水量为5.54万吨/天，最高日用水量为7.20万吨/天</w:t>
      </w:r>
      <w:r>
        <w:rPr>
          <w:rFonts w:hint="eastAsia" w:ascii="Times New Roman" w:hAnsi="Times New Roman" w:cs="Times New Roman"/>
        </w:rPr>
        <w:t>，</w:t>
      </w:r>
      <w:r>
        <w:t>能够满足规划范围内供水量的需求。</w:t>
      </w:r>
    </w:p>
    <w:p>
      <w:pPr>
        <w:spacing w:line="360" w:lineRule="auto"/>
        <w:ind w:firstLine="480" w:firstLineChars="200"/>
      </w:pPr>
      <w:r>
        <w:t>（3）水资源利用上限分析</w:t>
      </w:r>
    </w:p>
    <w:p>
      <w:pPr>
        <w:spacing w:line="360" w:lineRule="auto"/>
        <w:ind w:firstLine="480" w:firstLineChars="200"/>
      </w:pPr>
      <w:r>
        <w:t>采用城陵矶、螺山水文站近20年的长系列水文资料，计算确定枯水期90%保证率最小月均流量6101m3/s，对应的水位为7.11m（吴淞高程）。具体见下表。</w:t>
      </w:r>
    </w:p>
    <w:p>
      <w:pPr>
        <w:spacing w:line="360" w:lineRule="auto"/>
        <w:ind w:firstLine="480" w:firstLineChars="200"/>
      </w:pPr>
      <w:r>
        <w:t>根据上表，长江枯水期间其流量可达52712.64万m3/d，规划末园区水厂取水仅占长江枯水期95%来水频率条件下径流量50331.456万m3/d的0.077%，园区取水量占河道来水量比重很小，取水对长江径流量影响较小，且根据现状监测，其水质可达地表水环境质量标准</w:t>
      </w:r>
      <w:r>
        <w:rPr>
          <w:rFonts w:hint="eastAsia"/>
        </w:rPr>
        <w:t>Ⅲ</w:t>
      </w:r>
      <w:r>
        <w:t>类，则综上所述，园区水厂取水点在水质和水量上均可以保证对规划区的长期供水，取水点河段作为规划区的主要水源地应予以重点保护，避免在其周边进行大规模的开发建设活动，避免水质恶化。</w:t>
      </w:r>
    </w:p>
    <w:p>
      <w:pPr>
        <w:spacing w:line="360" w:lineRule="auto"/>
        <w:ind w:firstLine="480" w:firstLineChars="200"/>
      </w:pPr>
      <w:r>
        <w:t>园区开发应坚持水资源可持续利用的原则，统筹考虑水资源的开发、利用、治理、配置、节约与保护，在重视水资源开发利用的同时要加强对水资源的节约与保护，在重视工程建设的同时要强化管理。</w:t>
      </w:r>
    </w:p>
    <w:p>
      <w:pPr>
        <w:pStyle w:val="5"/>
        <w:ind w:firstLine="482"/>
      </w:pPr>
      <w:bookmarkStart w:id="743" w:name="_Toc50625436"/>
      <w:r>
        <w:t>6.1</w:t>
      </w:r>
      <w:r>
        <w:rPr>
          <w:rFonts w:hint="eastAsia"/>
        </w:rPr>
        <w:t>4</w:t>
      </w:r>
      <w:r>
        <w:t>.3.2 土地资源利用上线评价</w:t>
      </w:r>
      <w:bookmarkEnd w:id="743"/>
    </w:p>
    <w:p>
      <w:pPr>
        <w:spacing w:line="360" w:lineRule="auto"/>
        <w:ind w:firstLine="480" w:firstLineChars="200"/>
      </w:pPr>
      <w:bookmarkStart w:id="744" w:name="_Toc50625437"/>
      <w:r>
        <w:t>（1）规划区用地需求分析</w:t>
      </w:r>
    </w:p>
    <w:p>
      <w:pPr>
        <w:spacing w:line="360" w:lineRule="auto"/>
        <w:ind w:firstLine="480" w:firstLineChars="200"/>
      </w:pPr>
      <w:r>
        <w:t>根据《临湘市土地利用总体规划（2006-2020年）2016年修订》规划期末江南镇城镇工矿用地建设规模为851.36公顷，耕地保有量5275.85公顷，建设用地总规模达到2150.65公顷。园区用地规划满湘市城市土地资源可供给量，满足规划区用地需求。</w:t>
      </w:r>
    </w:p>
    <w:p>
      <w:pPr>
        <w:spacing w:line="360" w:lineRule="auto"/>
        <w:ind w:firstLine="480" w:firstLineChars="200"/>
      </w:pPr>
      <w:r>
        <w:rPr>
          <w:rFonts w:hint="eastAsia"/>
        </w:rPr>
        <w:t>因现行土规实施年限为2020年，目前处于土规与国土空间规划的过渡期，本轮、临湘市国土空间规划编制中应加强与园区规划之间衔接与协调，临湘市自然资源局、同意将扩区范围纳入国土空间规划城镇开发边界，对于园区现状内的基本农田、林业用地、水域等未调整成建设用地前禁止开发。</w:t>
      </w:r>
    </w:p>
    <w:p>
      <w:pPr>
        <w:spacing w:line="360" w:lineRule="auto"/>
        <w:ind w:firstLine="480" w:firstLineChars="200"/>
      </w:pPr>
      <w:r>
        <w:rPr>
          <w:rFonts w:hint="eastAsia"/>
        </w:rPr>
        <w:t>综上所述，规划根据本评价提出优化建议调整后，符合即将出台实施的临湘市国土空间规划的相关要求。</w:t>
      </w:r>
    </w:p>
    <w:bookmarkEnd w:id="744"/>
    <w:p>
      <w:pPr>
        <w:pStyle w:val="5"/>
        <w:ind w:firstLine="482"/>
      </w:pPr>
      <w:bookmarkStart w:id="745" w:name="_Toc50625438"/>
      <w:r>
        <w:t>6.1</w:t>
      </w:r>
      <w:r>
        <w:rPr>
          <w:rFonts w:hint="eastAsia"/>
        </w:rPr>
        <w:t>4</w:t>
      </w:r>
      <w:r>
        <w:t>.3.4 能源利用上线评价</w:t>
      </w:r>
      <w:bookmarkEnd w:id="745"/>
    </w:p>
    <w:p>
      <w:pPr>
        <w:spacing w:line="360" w:lineRule="auto"/>
        <w:ind w:firstLine="480" w:firstLineChars="200"/>
      </w:pPr>
      <w:r>
        <w:t>（1）电力利用上线评价</w:t>
      </w:r>
    </w:p>
    <w:p>
      <w:pPr>
        <w:spacing w:line="360" w:lineRule="auto"/>
        <w:ind w:firstLine="480" w:firstLineChars="200"/>
        <w:rPr>
          <w:rFonts w:ascii="Times New Roman" w:hAnsi="Times New Roman" w:cs="Times New Roman"/>
        </w:rPr>
      </w:pPr>
      <w:r>
        <w:rPr>
          <w:rFonts w:ascii="Times New Roman" w:hAnsi="Times New Roman" w:cs="Times New Roman"/>
        </w:rPr>
        <w:t>滨江片区：在化工片区北规划一座座 110kV 杨桥变电站，近远期建设 2-4 台 50MVA 主变压器，与现状 110KV 儒溪变（3X63MVA）形成双电源供电。110kV 变电站双回路进线电压等级为 110kV，出线电压等级为10KV。110kV 杨桥变电站位于富强路与杨帆路交叉口。三湾片区：片区由110KV兆邦变供电。 绿色建材产业园：片区接城区电源。</w:t>
      </w:r>
    </w:p>
    <w:p>
      <w:pPr>
        <w:spacing w:line="360" w:lineRule="auto"/>
        <w:ind w:firstLine="480" w:firstLineChars="200"/>
      </w:pPr>
      <w:r>
        <w:t>（2）燃气利用上线评价</w:t>
      </w:r>
    </w:p>
    <w:p>
      <w:pPr>
        <w:spacing w:line="360" w:lineRule="auto"/>
        <w:ind w:firstLine="480" w:firstLineChars="200"/>
      </w:pPr>
      <w:r>
        <w:rPr>
          <w:rFonts w:ascii="Times New Roman" w:hAnsi="Times New Roman" w:cs="Times New Roman"/>
        </w:rPr>
        <w:t>规划区的燃气气源以天然气为主，液化石油气为辅。天然气气源来自长安城区配气网通过调压站后，向园区供气，三湾片区和绿色建材产业园接城区供气管。</w:t>
      </w:r>
      <w:r>
        <w:t>采用管道输送方式，管线综合规划须符合国家有关技术规定。各类地下管线的建设应与道路建设同步进行，不能同步建设的管线应预留位置，其他管线不得占用。目前部分地块暂未有天然气，园区应加快天然气管网的连通工程。</w:t>
      </w:r>
    </w:p>
    <w:p>
      <w:pPr>
        <w:spacing w:line="360" w:lineRule="auto"/>
        <w:ind w:firstLine="480" w:firstLineChars="200"/>
      </w:pPr>
      <w:r>
        <w:t>根据《岳阳市城市总体规划（2008—2030）》，岳阳市远期采用管道天然气为主，液化气为辅的供气方式；中心城区远期（2021-2030年）年需天然气总量为16.1×107立方米，年需石油液化气总量为2.56×107立方米，园区用气量为800万m3/年，仅占岳阳市燃气总量的31%，尚未超出岳阳市城市供给量，可以保证园区燃气供应。</w:t>
      </w:r>
    </w:p>
    <w:p>
      <w:pPr>
        <w:spacing w:line="360" w:lineRule="auto"/>
        <w:ind w:firstLine="480" w:firstLineChars="200"/>
      </w:pPr>
      <w:r>
        <w:t>（3）供热利用上线评价</w:t>
      </w:r>
    </w:p>
    <w:p>
      <w:pPr>
        <w:spacing w:line="360" w:lineRule="auto"/>
        <w:ind w:firstLine="480" w:firstLineChars="200"/>
      </w:pPr>
      <w:r>
        <w:t>临湘片区：规划实施园区热电联产，建设2台150t/h超高温超高压循环流化床锅炉和4台260th超高温超高压循环流化床锅炉，配套建设2台20MW和4台36MW背压式汽轮发电机组。</w:t>
      </w:r>
      <w:r>
        <w:rPr>
          <w:rFonts w:hint="eastAsia"/>
        </w:rPr>
        <w:t>该热电联产项目已通过了省发改委核准。</w:t>
      </w:r>
    </w:p>
    <w:p>
      <w:pPr>
        <w:sectPr>
          <w:pgSz w:w="11907" w:h="16839"/>
          <w:pgMar w:top="1440" w:right="1797" w:bottom="1440" w:left="1797" w:header="851" w:footer="680" w:gutter="0"/>
          <w:cols w:space="425" w:num="1"/>
          <w:docGrid w:linePitch="326" w:charSpace="0"/>
        </w:sectPr>
      </w:pPr>
    </w:p>
    <w:p>
      <w:pPr>
        <w:pStyle w:val="2"/>
        <w:spacing w:before="120" w:after="120"/>
      </w:pPr>
      <w:bookmarkStart w:id="746" w:name="_Toc146092013"/>
      <w:r>
        <w:rPr>
          <w:rFonts w:hint="eastAsia"/>
        </w:rPr>
        <w:t>第7章 规划方案综合论证及优化调整建议</w:t>
      </w:r>
      <w:bookmarkEnd w:id="746"/>
    </w:p>
    <w:p>
      <w:pPr>
        <w:pStyle w:val="3"/>
      </w:pPr>
      <w:bookmarkStart w:id="747" w:name="_Toc146092014"/>
      <w:r>
        <w:rPr>
          <w:rFonts w:hint="eastAsia"/>
        </w:rPr>
        <w:t>7.1规划方案的环境合理性论证</w:t>
      </w:r>
      <w:bookmarkEnd w:id="747"/>
    </w:p>
    <w:p>
      <w:pPr>
        <w:pStyle w:val="4"/>
      </w:pPr>
      <w:bookmarkStart w:id="748" w:name="_Toc146092015"/>
      <w:r>
        <w:rPr>
          <w:rFonts w:hint="eastAsia"/>
        </w:rPr>
        <w:t>7.1.1 规划目标与发展</w:t>
      </w:r>
      <w:r>
        <w:rPr>
          <w:rStyle w:val="50"/>
          <w:rFonts w:hint="eastAsia"/>
          <w:b/>
          <w:bCs/>
        </w:rPr>
        <w:t>定</w:t>
      </w:r>
      <w:r>
        <w:rPr>
          <w:rFonts w:hint="eastAsia"/>
        </w:rPr>
        <w:t>位的环境合理性分析</w:t>
      </w:r>
      <w:bookmarkEnd w:id="748"/>
    </w:p>
    <w:p>
      <w:pPr>
        <w:pStyle w:val="5"/>
        <w:ind w:firstLine="482"/>
      </w:pPr>
      <w:r>
        <w:rPr>
          <w:rFonts w:hint="eastAsia"/>
        </w:rPr>
        <w:t>7.1.1.1 总体发展目标合理性分析</w:t>
      </w:r>
    </w:p>
    <w:p>
      <w:pPr>
        <w:spacing w:line="360" w:lineRule="auto"/>
        <w:ind w:firstLine="480" w:firstLineChars="200"/>
        <w:jc w:val="left"/>
        <w:rPr>
          <w:rFonts w:ascii="Times New Roman" w:hAnsi="Times New Roman" w:eastAsia="宋体" w:cs="Times New Roman"/>
          <w:szCs w:val="24"/>
        </w:rPr>
      </w:pPr>
      <w:r>
        <w:rPr>
          <w:rFonts w:ascii="Times New Roman" w:hAnsi="Times New Roman" w:eastAsia="宋体" w:cs="Times New Roman"/>
          <w:szCs w:val="24"/>
        </w:rPr>
        <w:t>根据前述规划协调性章节可知，园区规划目标与《湖南省国民经济和社会发展第十四个五年规划和二〇三五年远景目标纲要》、《岳阳市国民经济和社会发展第十四个五年规划和二〇三五年远景目标纲要》等文件要求是一致的</w:t>
      </w:r>
      <w:r>
        <w:rPr>
          <w:rFonts w:hint="eastAsia" w:ascii="Times New Roman" w:hAnsi="Times New Roman" w:eastAsia="宋体" w:cs="Times New Roman"/>
          <w:szCs w:val="24"/>
        </w:rPr>
        <w:t>，</w:t>
      </w:r>
      <w:r>
        <w:rPr>
          <w:rFonts w:ascii="Times New Roman" w:hAnsi="Times New Roman" w:eastAsia="宋体" w:cs="Times New Roman"/>
          <w:szCs w:val="24"/>
        </w:rPr>
        <w:t>与</w:t>
      </w:r>
      <w:r>
        <w:rPr>
          <w:rFonts w:ascii="Times New Roman" w:hAnsi="Times New Roman" w:eastAsia="宋体" w:cs="Times New Roman"/>
          <w:kern w:val="0"/>
          <w:szCs w:val="20"/>
        </w:rPr>
        <w:t>《湖南省主体功能区规划》</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《湖南省生态保护红线》</w:t>
      </w:r>
      <w:r>
        <w:rPr>
          <w:rFonts w:hint="eastAsia" w:ascii="Times New Roman" w:hAnsi="Times New Roman" w:eastAsia="宋体" w:cs="Times New Roman"/>
          <w:kern w:val="0"/>
          <w:szCs w:val="20"/>
        </w:rPr>
        <w:t>、</w:t>
      </w:r>
      <w:r>
        <w:rPr>
          <w:rFonts w:ascii="Times New Roman" w:hAnsi="Times New Roman" w:eastAsia="宋体" w:cs="Times New Roman"/>
          <w:kern w:val="0"/>
          <w:szCs w:val="21"/>
        </w:rPr>
        <w:t>《湖南省“十四五”生态环境保护规划》</w:t>
      </w:r>
      <w:r>
        <w:rPr>
          <w:rFonts w:hint="eastAsia" w:ascii="Times New Roman" w:hAnsi="Times New Roman" w:eastAsia="宋体" w:cs="Times New Roman"/>
          <w:kern w:val="0"/>
          <w:szCs w:val="21"/>
        </w:rPr>
        <w:t>等</w:t>
      </w:r>
      <w:r>
        <w:rPr>
          <w:rFonts w:ascii="Times New Roman" w:hAnsi="Times New Roman" w:eastAsia="宋体" w:cs="Times New Roman"/>
          <w:kern w:val="0"/>
          <w:szCs w:val="21"/>
        </w:rPr>
        <w:t>生态环境规划不冲突，</w:t>
      </w:r>
      <w:r>
        <w:rPr>
          <w:rFonts w:hint="eastAsia" w:ascii="Times New Roman" w:hAnsi="Times New Roman" w:eastAsia="宋体" w:cs="Times New Roman"/>
          <w:szCs w:val="24"/>
        </w:rPr>
        <w:t>在</w:t>
      </w:r>
      <w:r>
        <w:rPr>
          <w:rFonts w:ascii="Times New Roman" w:hAnsi="Times New Roman" w:eastAsia="宋体" w:cs="Times New Roman"/>
          <w:szCs w:val="24"/>
        </w:rPr>
        <w:t>新一轮国土空间规划</w:t>
      </w:r>
      <w:r>
        <w:rPr>
          <w:rFonts w:hint="eastAsia" w:ascii="Times New Roman" w:hAnsi="Times New Roman" w:eastAsia="宋体" w:cs="Times New Roman"/>
          <w:szCs w:val="24"/>
        </w:rPr>
        <w:t>中</w:t>
      </w:r>
      <w:r>
        <w:rPr>
          <w:rFonts w:ascii="Times New Roman" w:hAnsi="Times New Roman" w:eastAsia="宋体" w:cs="Times New Roman"/>
          <w:szCs w:val="24"/>
        </w:rPr>
        <w:t>，</w:t>
      </w:r>
      <w:r>
        <w:rPr>
          <w:rFonts w:hint="eastAsia" w:ascii="Times New Roman" w:hAnsi="Times New Roman" w:eastAsia="宋体" w:cs="Times New Roman"/>
          <w:szCs w:val="24"/>
        </w:rPr>
        <w:t>根据</w:t>
      </w:r>
      <w:r>
        <w:rPr>
          <w:rFonts w:ascii="Times New Roman" w:hAnsi="Times New Roman" w:eastAsia="宋体" w:cs="Times New Roman"/>
          <w:szCs w:val="24"/>
        </w:rPr>
        <w:t>省自然资源厅</w:t>
      </w:r>
      <w:r>
        <w:rPr>
          <w:rFonts w:hint="eastAsia" w:ascii="Times New Roman" w:hAnsi="Times New Roman" w:eastAsia="宋体" w:cs="Times New Roman"/>
          <w:szCs w:val="24"/>
        </w:rPr>
        <w:t>同意</w:t>
      </w:r>
      <w:r>
        <w:rPr>
          <w:rFonts w:ascii="Times New Roman" w:hAnsi="Times New Roman" w:eastAsia="宋体" w:cs="Times New Roman"/>
          <w:szCs w:val="24"/>
        </w:rPr>
        <w:t>将本次扩区范围纳入</w:t>
      </w:r>
      <w:r>
        <w:rPr>
          <w:rFonts w:hint="eastAsia" w:ascii="Times New Roman" w:hAnsi="Times New Roman" w:eastAsia="宋体" w:cs="Times New Roman"/>
          <w:szCs w:val="24"/>
        </w:rPr>
        <w:t>城镇</w:t>
      </w:r>
      <w:r>
        <w:rPr>
          <w:rFonts w:ascii="Times New Roman" w:hAnsi="Times New Roman" w:eastAsia="宋体" w:cs="Times New Roman"/>
          <w:szCs w:val="24"/>
        </w:rPr>
        <w:t>开发边界</w:t>
      </w:r>
      <w:r>
        <w:rPr>
          <w:rFonts w:hint="eastAsia" w:ascii="Times New Roman" w:hAnsi="Times New Roman" w:eastAsia="宋体" w:cs="Times New Roman"/>
          <w:szCs w:val="24"/>
        </w:rPr>
        <w:t>，土地资源</w:t>
      </w:r>
      <w:r>
        <w:rPr>
          <w:rFonts w:ascii="Times New Roman" w:hAnsi="Times New Roman" w:eastAsia="宋体" w:cs="Times New Roman"/>
          <w:szCs w:val="24"/>
        </w:rPr>
        <w:t>能</w:t>
      </w:r>
      <w:r>
        <w:rPr>
          <w:rFonts w:hint="eastAsia" w:ascii="Times New Roman" w:hAnsi="Times New Roman" w:eastAsia="宋体" w:cs="Times New Roman"/>
          <w:szCs w:val="24"/>
        </w:rPr>
        <w:t>支撑本次</w:t>
      </w:r>
      <w:r>
        <w:rPr>
          <w:rFonts w:ascii="Times New Roman" w:hAnsi="Times New Roman" w:eastAsia="宋体" w:cs="Times New Roman"/>
          <w:szCs w:val="24"/>
        </w:rPr>
        <w:t>扩区。</w:t>
      </w:r>
    </w:p>
    <w:p>
      <w:pPr>
        <w:spacing w:line="360" w:lineRule="auto"/>
        <w:ind w:firstLine="480" w:firstLineChars="200"/>
        <w:jc w:val="left"/>
        <w:rPr>
          <w:rFonts w:ascii="Times New Roman" w:hAnsi="Times New Roman" w:eastAsia="宋体" w:cs="Times New Roman"/>
          <w:szCs w:val="24"/>
        </w:rPr>
      </w:pPr>
      <w:r>
        <w:rPr>
          <w:rFonts w:ascii="Times New Roman" w:hAnsi="Times New Roman" w:eastAsia="宋体" w:cs="Times New Roman"/>
          <w:szCs w:val="24"/>
        </w:rPr>
        <w:t>《岳阳市国民经济和社会发展第十四个五年规划和二〇三五年远景目标纲要》中岳阳市十四五生态环境主要指标见下表。本次规划的单位GDP能耗指标与园区三线一单指标一致，2025年较2020年下降约14%，单位GDP二氧化碳排放待上层规划出台后按相关政策执行，2025年环境空气质量达标，地表水除松杨湖外，其余水体均达到地表水</w:t>
      </w:r>
      <w:r>
        <w:rPr>
          <w:rFonts w:hint="eastAsia" w:ascii="宋体" w:hAnsi="宋体" w:eastAsia="宋体" w:cs="宋体"/>
          <w:szCs w:val="24"/>
        </w:rPr>
        <w:t>Ⅲ</w:t>
      </w:r>
      <w:r>
        <w:rPr>
          <w:rFonts w:ascii="Times New Roman" w:hAnsi="Times New Roman" w:eastAsia="宋体" w:cs="Times New Roman"/>
          <w:szCs w:val="24"/>
        </w:rPr>
        <w:t>类水体。</w:t>
      </w:r>
    </w:p>
    <w:p>
      <w:pPr>
        <w:pStyle w:val="6"/>
      </w:pPr>
      <w:r>
        <w:t>表</w:t>
      </w:r>
      <w:r>
        <w:rPr>
          <w:rFonts w:hint="eastAsia"/>
        </w:rPr>
        <w:t>7</w:t>
      </w:r>
      <w:r>
        <w:t>.1-1  岳阳市十四五生态环境保护指标一览表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57" w:type="dxa"/>
          <w:bottom w:w="57" w:type="dxa"/>
          <w:right w:w="57" w:type="dxa"/>
        </w:tblCellMar>
      </w:tblPr>
      <w:tblGrid>
        <w:gridCol w:w="637"/>
        <w:gridCol w:w="489"/>
        <w:gridCol w:w="3853"/>
        <w:gridCol w:w="1213"/>
        <w:gridCol w:w="1197"/>
        <w:gridCol w:w="10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96" w:hRule="atLeast"/>
          <w:jc w:val="center"/>
        </w:trPr>
        <w:tc>
          <w:tcPr>
            <w:tcW w:w="378" w:type="pct"/>
            <w:tcMar>
              <w:top w:w="57" w:type="dxa"/>
              <w:left w:w="57" w:type="dxa"/>
              <w:bottom w:w="57" w:type="dxa"/>
              <w:right w:w="57" w:type="dxa"/>
            </w:tcMar>
            <w:vAlign w:val="center"/>
          </w:tcPr>
          <w:p>
            <w:pPr>
              <w:pStyle w:val="63"/>
            </w:pPr>
            <w:r>
              <w:t>类别</w:t>
            </w:r>
          </w:p>
        </w:tc>
        <w:tc>
          <w:tcPr>
            <w:tcW w:w="290" w:type="pct"/>
            <w:tcMar>
              <w:top w:w="57" w:type="dxa"/>
              <w:left w:w="57" w:type="dxa"/>
              <w:bottom w:w="57" w:type="dxa"/>
              <w:right w:w="57" w:type="dxa"/>
            </w:tcMar>
            <w:vAlign w:val="center"/>
          </w:tcPr>
          <w:p>
            <w:pPr>
              <w:pStyle w:val="63"/>
            </w:pPr>
            <w:r>
              <w:t>序号</w:t>
            </w:r>
          </w:p>
        </w:tc>
        <w:tc>
          <w:tcPr>
            <w:tcW w:w="2286" w:type="pct"/>
            <w:tcMar>
              <w:top w:w="57" w:type="dxa"/>
              <w:left w:w="57" w:type="dxa"/>
              <w:bottom w:w="57" w:type="dxa"/>
              <w:right w:w="57" w:type="dxa"/>
            </w:tcMar>
            <w:vAlign w:val="center"/>
          </w:tcPr>
          <w:p>
            <w:pPr>
              <w:pStyle w:val="63"/>
            </w:pPr>
            <w:r>
              <w:t>指标名称</w:t>
            </w:r>
          </w:p>
        </w:tc>
        <w:tc>
          <w:tcPr>
            <w:tcW w:w="720" w:type="pct"/>
            <w:tcMar>
              <w:top w:w="57" w:type="dxa"/>
              <w:left w:w="57" w:type="dxa"/>
              <w:bottom w:w="57" w:type="dxa"/>
              <w:right w:w="57" w:type="dxa"/>
            </w:tcMar>
            <w:vAlign w:val="center"/>
          </w:tcPr>
          <w:p>
            <w:pPr>
              <w:pStyle w:val="63"/>
            </w:pPr>
            <w:r>
              <w:t>2025年</w:t>
            </w:r>
          </w:p>
        </w:tc>
        <w:tc>
          <w:tcPr>
            <w:tcW w:w="710" w:type="pct"/>
            <w:tcMar>
              <w:top w:w="57" w:type="dxa"/>
              <w:left w:w="57" w:type="dxa"/>
              <w:bottom w:w="57" w:type="dxa"/>
              <w:right w:w="57" w:type="dxa"/>
            </w:tcMar>
            <w:vAlign w:val="center"/>
          </w:tcPr>
          <w:p>
            <w:pPr>
              <w:pStyle w:val="63"/>
            </w:pPr>
            <w:r>
              <w:t>年均增速</w:t>
            </w:r>
          </w:p>
        </w:tc>
        <w:tc>
          <w:tcPr>
            <w:tcW w:w="616" w:type="pct"/>
            <w:tcMar>
              <w:top w:w="57" w:type="dxa"/>
              <w:left w:w="57" w:type="dxa"/>
              <w:bottom w:w="57" w:type="dxa"/>
              <w:right w:w="57" w:type="dxa"/>
            </w:tcMar>
            <w:vAlign w:val="center"/>
          </w:tcPr>
          <w:p>
            <w:pPr>
              <w:pStyle w:val="63"/>
            </w:pPr>
            <w:r>
              <w:t>属  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21" w:hRule="atLeast"/>
          <w:jc w:val="center"/>
        </w:trPr>
        <w:tc>
          <w:tcPr>
            <w:tcW w:w="378" w:type="pct"/>
            <w:vMerge w:val="restart"/>
            <w:tcMar>
              <w:top w:w="57" w:type="dxa"/>
              <w:left w:w="57" w:type="dxa"/>
              <w:bottom w:w="57" w:type="dxa"/>
              <w:right w:w="57" w:type="dxa"/>
            </w:tcMar>
            <w:vAlign w:val="center"/>
          </w:tcPr>
          <w:p>
            <w:pPr>
              <w:pStyle w:val="63"/>
            </w:pPr>
            <w:r>
              <w:t>绿色生态</w:t>
            </w:r>
          </w:p>
        </w:tc>
        <w:tc>
          <w:tcPr>
            <w:tcW w:w="290" w:type="pct"/>
            <w:tcMar>
              <w:top w:w="57" w:type="dxa"/>
              <w:left w:w="57" w:type="dxa"/>
              <w:bottom w:w="57" w:type="dxa"/>
              <w:right w:w="57" w:type="dxa"/>
            </w:tcMar>
            <w:vAlign w:val="center"/>
          </w:tcPr>
          <w:p>
            <w:pPr>
              <w:pStyle w:val="63"/>
            </w:pPr>
            <w:r>
              <w:t>1</w:t>
            </w:r>
          </w:p>
        </w:tc>
        <w:tc>
          <w:tcPr>
            <w:tcW w:w="2286" w:type="pct"/>
            <w:tcMar>
              <w:top w:w="57" w:type="dxa"/>
              <w:left w:w="57" w:type="dxa"/>
              <w:bottom w:w="57" w:type="dxa"/>
              <w:right w:w="57" w:type="dxa"/>
            </w:tcMar>
            <w:vAlign w:val="center"/>
          </w:tcPr>
          <w:p>
            <w:pPr>
              <w:pStyle w:val="63"/>
            </w:pPr>
            <w:r>
              <w:t>单位GDP能源消耗降低（%）</w:t>
            </w:r>
          </w:p>
        </w:tc>
        <w:tc>
          <w:tcPr>
            <w:tcW w:w="1430" w:type="pct"/>
            <w:gridSpan w:val="2"/>
            <w:tcMar>
              <w:top w:w="57" w:type="dxa"/>
              <w:left w:w="57" w:type="dxa"/>
              <w:bottom w:w="57" w:type="dxa"/>
              <w:right w:w="57" w:type="dxa"/>
            </w:tcMar>
            <w:vAlign w:val="center"/>
          </w:tcPr>
          <w:p>
            <w:pPr>
              <w:pStyle w:val="63"/>
            </w:pPr>
            <w:r>
              <w:t>完成省下达任务</w:t>
            </w:r>
          </w:p>
        </w:tc>
        <w:tc>
          <w:tcPr>
            <w:tcW w:w="616" w:type="pct"/>
            <w:tcMar>
              <w:top w:w="57" w:type="dxa"/>
              <w:left w:w="57" w:type="dxa"/>
              <w:bottom w:w="57" w:type="dxa"/>
              <w:right w:w="57" w:type="dxa"/>
            </w:tcMar>
            <w:vAlign w:val="center"/>
          </w:tcPr>
          <w:p>
            <w:pPr>
              <w:pStyle w:val="63"/>
            </w:pPr>
            <w: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21" w:hRule="atLeast"/>
          <w:jc w:val="center"/>
        </w:trPr>
        <w:tc>
          <w:tcPr>
            <w:tcW w:w="378" w:type="pct"/>
            <w:vMerge w:val="continue"/>
            <w:tcMar>
              <w:top w:w="57" w:type="dxa"/>
              <w:left w:w="57" w:type="dxa"/>
              <w:bottom w:w="57" w:type="dxa"/>
              <w:right w:w="57" w:type="dxa"/>
            </w:tcMar>
            <w:vAlign w:val="center"/>
          </w:tcPr>
          <w:p>
            <w:pPr>
              <w:pStyle w:val="63"/>
            </w:pPr>
          </w:p>
        </w:tc>
        <w:tc>
          <w:tcPr>
            <w:tcW w:w="290" w:type="pct"/>
            <w:tcMar>
              <w:top w:w="57" w:type="dxa"/>
              <w:left w:w="57" w:type="dxa"/>
              <w:bottom w:w="57" w:type="dxa"/>
              <w:right w:w="57" w:type="dxa"/>
            </w:tcMar>
            <w:vAlign w:val="center"/>
          </w:tcPr>
          <w:p>
            <w:pPr>
              <w:pStyle w:val="63"/>
            </w:pPr>
            <w:r>
              <w:t>2</w:t>
            </w:r>
          </w:p>
        </w:tc>
        <w:tc>
          <w:tcPr>
            <w:tcW w:w="2286" w:type="pct"/>
            <w:tcMar>
              <w:top w:w="57" w:type="dxa"/>
              <w:left w:w="57" w:type="dxa"/>
              <w:bottom w:w="57" w:type="dxa"/>
              <w:right w:w="57" w:type="dxa"/>
            </w:tcMar>
            <w:vAlign w:val="center"/>
          </w:tcPr>
          <w:p>
            <w:pPr>
              <w:pStyle w:val="63"/>
            </w:pPr>
            <w:r>
              <w:t>单位GDP二氧化碳排放降低（%）</w:t>
            </w:r>
          </w:p>
        </w:tc>
        <w:tc>
          <w:tcPr>
            <w:tcW w:w="1430" w:type="pct"/>
            <w:gridSpan w:val="2"/>
            <w:tcMar>
              <w:top w:w="57" w:type="dxa"/>
              <w:left w:w="57" w:type="dxa"/>
              <w:bottom w:w="57" w:type="dxa"/>
              <w:right w:w="57" w:type="dxa"/>
            </w:tcMar>
            <w:vAlign w:val="center"/>
          </w:tcPr>
          <w:p>
            <w:pPr>
              <w:pStyle w:val="63"/>
            </w:pPr>
            <w:r>
              <w:t>完成省下达任务</w:t>
            </w:r>
          </w:p>
        </w:tc>
        <w:tc>
          <w:tcPr>
            <w:tcW w:w="616" w:type="pct"/>
            <w:tcMar>
              <w:top w:w="57" w:type="dxa"/>
              <w:left w:w="57" w:type="dxa"/>
              <w:bottom w:w="57" w:type="dxa"/>
              <w:right w:w="57" w:type="dxa"/>
            </w:tcMar>
            <w:vAlign w:val="center"/>
          </w:tcPr>
          <w:p>
            <w:pPr>
              <w:pStyle w:val="63"/>
            </w:pPr>
            <w: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21" w:hRule="atLeast"/>
          <w:jc w:val="center"/>
        </w:trPr>
        <w:tc>
          <w:tcPr>
            <w:tcW w:w="378" w:type="pct"/>
            <w:vMerge w:val="continue"/>
            <w:tcMar>
              <w:top w:w="57" w:type="dxa"/>
              <w:left w:w="57" w:type="dxa"/>
              <w:bottom w:w="57" w:type="dxa"/>
              <w:right w:w="57" w:type="dxa"/>
            </w:tcMar>
            <w:vAlign w:val="center"/>
          </w:tcPr>
          <w:p>
            <w:pPr>
              <w:pStyle w:val="63"/>
            </w:pPr>
          </w:p>
        </w:tc>
        <w:tc>
          <w:tcPr>
            <w:tcW w:w="290" w:type="pct"/>
            <w:tcMar>
              <w:top w:w="57" w:type="dxa"/>
              <w:left w:w="57" w:type="dxa"/>
              <w:bottom w:w="57" w:type="dxa"/>
              <w:right w:w="57" w:type="dxa"/>
            </w:tcMar>
            <w:vAlign w:val="center"/>
          </w:tcPr>
          <w:p>
            <w:pPr>
              <w:pStyle w:val="63"/>
            </w:pPr>
            <w:r>
              <w:t>3</w:t>
            </w:r>
          </w:p>
        </w:tc>
        <w:tc>
          <w:tcPr>
            <w:tcW w:w="2286" w:type="pct"/>
            <w:tcMar>
              <w:top w:w="57" w:type="dxa"/>
              <w:left w:w="57" w:type="dxa"/>
              <w:bottom w:w="57" w:type="dxa"/>
              <w:right w:w="57" w:type="dxa"/>
            </w:tcMar>
            <w:vAlign w:val="center"/>
          </w:tcPr>
          <w:p>
            <w:pPr>
              <w:pStyle w:val="63"/>
            </w:pPr>
            <w:r>
              <w:t>城市空气质量优良天数比例（%）</w:t>
            </w:r>
          </w:p>
        </w:tc>
        <w:tc>
          <w:tcPr>
            <w:tcW w:w="720" w:type="pct"/>
            <w:tcMar>
              <w:top w:w="57" w:type="dxa"/>
              <w:left w:w="57" w:type="dxa"/>
              <w:bottom w:w="57" w:type="dxa"/>
              <w:right w:w="57" w:type="dxa"/>
            </w:tcMar>
            <w:vAlign w:val="center"/>
          </w:tcPr>
          <w:p>
            <w:pPr>
              <w:pStyle w:val="63"/>
            </w:pPr>
            <w:r>
              <w:t>86</w:t>
            </w:r>
          </w:p>
        </w:tc>
        <w:tc>
          <w:tcPr>
            <w:tcW w:w="710" w:type="pct"/>
            <w:tcMar>
              <w:top w:w="57" w:type="dxa"/>
              <w:left w:w="57" w:type="dxa"/>
              <w:bottom w:w="57" w:type="dxa"/>
              <w:right w:w="57" w:type="dxa"/>
            </w:tcMar>
            <w:vAlign w:val="center"/>
          </w:tcPr>
          <w:p>
            <w:pPr>
              <w:pStyle w:val="63"/>
            </w:pPr>
            <w:r>
              <w:t>—</w:t>
            </w:r>
          </w:p>
        </w:tc>
        <w:tc>
          <w:tcPr>
            <w:tcW w:w="616" w:type="pct"/>
            <w:tcMar>
              <w:top w:w="57" w:type="dxa"/>
              <w:left w:w="57" w:type="dxa"/>
              <w:bottom w:w="57" w:type="dxa"/>
              <w:right w:w="57" w:type="dxa"/>
            </w:tcMar>
            <w:vAlign w:val="center"/>
          </w:tcPr>
          <w:p>
            <w:pPr>
              <w:pStyle w:val="63"/>
            </w:pPr>
            <w: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21" w:hRule="atLeast"/>
          <w:jc w:val="center"/>
        </w:trPr>
        <w:tc>
          <w:tcPr>
            <w:tcW w:w="378" w:type="pct"/>
            <w:vMerge w:val="continue"/>
            <w:tcMar>
              <w:top w:w="57" w:type="dxa"/>
              <w:left w:w="57" w:type="dxa"/>
              <w:bottom w:w="57" w:type="dxa"/>
              <w:right w:w="57" w:type="dxa"/>
            </w:tcMar>
            <w:vAlign w:val="center"/>
          </w:tcPr>
          <w:p>
            <w:pPr>
              <w:pStyle w:val="63"/>
            </w:pPr>
          </w:p>
        </w:tc>
        <w:tc>
          <w:tcPr>
            <w:tcW w:w="290" w:type="pct"/>
            <w:tcMar>
              <w:top w:w="57" w:type="dxa"/>
              <w:left w:w="57" w:type="dxa"/>
              <w:bottom w:w="57" w:type="dxa"/>
              <w:right w:w="57" w:type="dxa"/>
            </w:tcMar>
            <w:vAlign w:val="center"/>
          </w:tcPr>
          <w:p>
            <w:pPr>
              <w:pStyle w:val="63"/>
            </w:pPr>
            <w:r>
              <w:t>4</w:t>
            </w:r>
          </w:p>
        </w:tc>
        <w:tc>
          <w:tcPr>
            <w:tcW w:w="2286" w:type="pct"/>
            <w:tcMar>
              <w:top w:w="57" w:type="dxa"/>
              <w:left w:w="57" w:type="dxa"/>
              <w:bottom w:w="57" w:type="dxa"/>
              <w:right w:w="57" w:type="dxa"/>
            </w:tcMar>
            <w:vAlign w:val="center"/>
          </w:tcPr>
          <w:p>
            <w:pPr>
              <w:pStyle w:val="63"/>
            </w:pPr>
            <w:r>
              <w:t>地表水达到或优于</w:t>
            </w:r>
            <w:r>
              <w:rPr>
                <w:rFonts w:hint="eastAsia" w:ascii="宋体" w:hAnsi="宋体" w:cs="宋体"/>
              </w:rPr>
              <w:t>Ⅲ</w:t>
            </w:r>
            <w:r>
              <w:t>类水体比例（%）</w:t>
            </w:r>
          </w:p>
        </w:tc>
        <w:tc>
          <w:tcPr>
            <w:tcW w:w="720" w:type="pct"/>
            <w:tcMar>
              <w:top w:w="57" w:type="dxa"/>
              <w:left w:w="57" w:type="dxa"/>
              <w:bottom w:w="57" w:type="dxa"/>
              <w:right w:w="57" w:type="dxa"/>
            </w:tcMar>
            <w:vAlign w:val="center"/>
          </w:tcPr>
          <w:p>
            <w:pPr>
              <w:pStyle w:val="63"/>
            </w:pPr>
            <w:r>
              <w:t>94.1以上</w:t>
            </w:r>
          </w:p>
        </w:tc>
        <w:tc>
          <w:tcPr>
            <w:tcW w:w="710" w:type="pct"/>
            <w:tcMar>
              <w:top w:w="57" w:type="dxa"/>
              <w:left w:w="57" w:type="dxa"/>
              <w:bottom w:w="57" w:type="dxa"/>
              <w:right w:w="57" w:type="dxa"/>
            </w:tcMar>
            <w:vAlign w:val="center"/>
          </w:tcPr>
          <w:p>
            <w:pPr>
              <w:pStyle w:val="63"/>
            </w:pPr>
            <w:r>
              <w:t>—</w:t>
            </w:r>
          </w:p>
        </w:tc>
        <w:tc>
          <w:tcPr>
            <w:tcW w:w="616" w:type="pct"/>
            <w:tcMar>
              <w:top w:w="57" w:type="dxa"/>
              <w:left w:w="57" w:type="dxa"/>
              <w:bottom w:w="57" w:type="dxa"/>
              <w:right w:w="57" w:type="dxa"/>
            </w:tcMar>
            <w:vAlign w:val="center"/>
          </w:tcPr>
          <w:p>
            <w:pPr>
              <w:pStyle w:val="63"/>
            </w:pPr>
            <w:r>
              <w:t>约束性</w:t>
            </w:r>
          </w:p>
        </w:tc>
      </w:tr>
    </w:tbl>
    <w:p>
      <w:pPr>
        <w:spacing w:line="360" w:lineRule="auto"/>
        <w:ind w:firstLine="480" w:firstLineChars="200"/>
        <w:jc w:val="left"/>
        <w:rPr>
          <w:rFonts w:ascii="Times New Roman" w:hAnsi="Times New Roman" w:eastAsia="宋体" w:cs="Times New Roman"/>
          <w:szCs w:val="24"/>
        </w:rPr>
      </w:pPr>
      <w:r>
        <w:rPr>
          <w:rFonts w:ascii="Times New Roman" w:hAnsi="Times New Roman" w:eastAsia="宋体" w:cs="Times New Roman"/>
          <w:szCs w:val="24"/>
        </w:rPr>
        <w:t>从上述分析来看，</w:t>
      </w:r>
      <w:r>
        <w:rPr>
          <w:rFonts w:hint="eastAsia" w:ascii="Times New Roman" w:hAnsi="Times New Roman" w:eastAsia="宋体" w:cs="Times New Roman"/>
          <w:szCs w:val="20"/>
        </w:rPr>
        <w:t>从</w:t>
      </w:r>
      <w:r>
        <w:rPr>
          <w:rFonts w:ascii="Times New Roman" w:hAnsi="Times New Roman" w:eastAsia="宋体" w:cs="Times New Roman"/>
          <w:szCs w:val="20"/>
        </w:rPr>
        <w:t>环境保护角度分析，</w:t>
      </w:r>
      <w:r>
        <w:rPr>
          <w:rFonts w:ascii="Times New Roman" w:hAnsi="Times New Roman" w:eastAsia="宋体" w:cs="Times New Roman"/>
          <w:szCs w:val="24"/>
        </w:rPr>
        <w:t>本轮规划目标基本合理。</w:t>
      </w:r>
    </w:p>
    <w:p>
      <w:pPr>
        <w:pStyle w:val="5"/>
        <w:ind w:firstLine="482"/>
      </w:pPr>
      <w:r>
        <w:rPr>
          <w:rFonts w:hint="eastAsia"/>
        </w:rPr>
        <w:t>7.1.1.2 产业定位合理性分析</w:t>
      </w:r>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w:t>
      </w:r>
      <w:r>
        <w:rPr>
          <w:rFonts w:hint="eastAsia" w:ascii="Times New Roman" w:hAnsi="Times New Roman" w:cs="Times New Roman"/>
        </w:rPr>
        <w:t>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p>
      <w:pPr>
        <w:spacing w:line="360" w:lineRule="auto"/>
        <w:ind w:firstLine="480" w:firstLineChars="200"/>
        <w:rPr>
          <w:rFonts w:ascii="Times New Roman" w:hAnsi="Times New Roman" w:cs="Times New Roman"/>
        </w:rPr>
      </w:pPr>
      <w:r>
        <w:rPr>
          <w:rFonts w:ascii="Times New Roman" w:hAnsi="Times New Roman" w:cs="Times New Roman"/>
        </w:rPr>
        <w:t>中非工贸产业园规划建设保税仓储物流中心、林木产品加工基地、食用油生产加工基地、牛羊肉（海鲜）加工基地、中非现货易货交易交割中心</w:t>
      </w:r>
      <w:r>
        <w:rPr>
          <w:rFonts w:hint="eastAsia" w:ascii="Times New Roman" w:hAnsi="Times New Roman" w:cs="Times New Roman"/>
        </w:rPr>
        <w:t>；</w:t>
      </w:r>
      <w:r>
        <w:rPr>
          <w:rFonts w:ascii="Times New Roman" w:hAnsi="Times New Roman" w:cs="Times New Roman"/>
        </w:rPr>
        <w:t>绿色化工产业园围绕绿色精细化工、先进化工新材料、生物医药等重点领域</w:t>
      </w:r>
      <w:r>
        <w:rPr>
          <w:rFonts w:hint="eastAsia" w:ascii="Times New Roman" w:hAnsi="Times New Roman" w:cs="Times New Roman"/>
        </w:rPr>
        <w:t>；</w:t>
      </w:r>
      <w:r>
        <w:rPr>
          <w:rFonts w:ascii="Times New Roman" w:hAnsi="Times New Roman" w:cs="Times New Roman"/>
        </w:rPr>
        <w:t>加工制造产业园以生活配套用地及已建成电子信息化厂房为主</w:t>
      </w:r>
      <w:r>
        <w:rPr>
          <w:rFonts w:hint="eastAsia" w:ascii="Times New Roman" w:hAnsi="Times New Roman" w:cs="Times New Roman"/>
        </w:rPr>
        <w:t>；</w:t>
      </w:r>
      <w:r>
        <w:rPr>
          <w:rFonts w:ascii="Times New Roman" w:hAnsi="Times New Roman" w:cs="Times New Roman"/>
        </w:rPr>
        <w:t>三湾产业园重点建设浮标特色产业园、绿色建材产业园项目</w:t>
      </w:r>
      <w:r>
        <w:rPr>
          <w:rFonts w:hint="eastAsia" w:ascii="Times New Roman" w:hAnsi="Times New Roman" w:cs="Times New Roman"/>
        </w:rPr>
        <w:t>；</w:t>
      </w:r>
      <w:r>
        <w:rPr>
          <w:rFonts w:ascii="Times New Roman" w:hAnsi="Times New Roman" w:cs="Times New Roman"/>
        </w:rPr>
        <w:t>绿色建材产业园</w:t>
      </w:r>
      <w:r>
        <w:rPr>
          <w:rFonts w:hint="eastAsia" w:ascii="Times New Roman" w:hAnsi="Times New Roman" w:cs="Times New Roman"/>
        </w:rPr>
        <w:t>依托现有海螺水泥</w:t>
      </w:r>
      <w:r>
        <w:rPr>
          <w:rFonts w:ascii="Times New Roman" w:hAnsi="Times New Roman" w:cs="Times New Roman"/>
        </w:rPr>
        <w:t>布局水泥窑综合利用一般固废技术改造项目</w:t>
      </w:r>
      <w:r>
        <w:rPr>
          <w:rFonts w:hint="eastAsia" w:ascii="Times New Roman" w:hAnsi="Times New Roman" w:cs="Times New Roman"/>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根据前述规划协调性章节可知，园区产业定位规划与《湖南省国民经济和社会发展第十四个五年规划和二〇三五年远景目标纲要》、《岳阳市国民经济和社会发展第十四个五年规划和二〇三五年远景目标纲要》等文件要求是一致的。</w:t>
      </w:r>
    </w:p>
    <w:p>
      <w:pPr>
        <w:spacing w:line="360" w:lineRule="auto"/>
        <w:ind w:firstLine="480" w:firstLineChars="200"/>
        <w:rPr>
          <w:rFonts w:ascii="Times New Roman" w:hAnsi="Times New Roman" w:cs="Times New Roman"/>
        </w:rPr>
      </w:pPr>
      <w:r>
        <w:rPr>
          <w:rFonts w:hint="eastAsia" w:ascii="Times New Roman" w:hAnsi="Times New Roman" w:cs="Times New Roman"/>
        </w:rPr>
        <w:t>根据前述环境影响预测与评价及资源与环境承载力评估、环境风险评价等分析结论，在采取相应的环境影响减缓措施、风险防范措施及落实区域减排方案前提下，规划产业实施后，区域环境影响在可控范围，产生的环境风险可接受，区域资源环境能承载本轮规划产业规模的实施。</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园区的产业定位是现有产业发展延续，依托现有产业基础及资源优势，可持续提升园区优势产业竞争力，且与相关规划和文件相衔接符合，在落实本次优化调整建议和产业环境准入管控要求及国家、省市下达的碳排放控制要求前提下，从环境保护角度分析，本轮规划产业定位基本合理。</w:t>
      </w:r>
    </w:p>
    <w:p>
      <w:pPr>
        <w:pStyle w:val="4"/>
      </w:pPr>
      <w:bookmarkStart w:id="749" w:name="_Toc146092016"/>
      <w:r>
        <w:rPr>
          <w:rFonts w:hint="eastAsia"/>
        </w:rPr>
        <w:t>7.1.2 规划规模的环境合理性分析</w:t>
      </w:r>
      <w:bookmarkEnd w:id="749"/>
    </w:p>
    <w:p>
      <w:pPr>
        <w:spacing w:line="360" w:lineRule="auto"/>
        <w:ind w:firstLine="480" w:firstLineChars="200"/>
        <w:rPr>
          <w:rFonts w:ascii="Times New Roman" w:hAnsi="Times New Roman" w:cs="Times New Roman"/>
        </w:rPr>
      </w:pPr>
      <w:r>
        <w:rPr>
          <w:rFonts w:hint="eastAsia" w:ascii="Times New Roman" w:hAnsi="Times New Roman" w:cs="Times New Roman"/>
        </w:rPr>
        <w:t>（1）土地资源承载力分析</w:t>
      </w:r>
    </w:p>
    <w:p>
      <w:pPr>
        <w:spacing w:line="360" w:lineRule="auto"/>
        <w:ind w:firstLine="480" w:firstLineChars="200"/>
        <w:rPr>
          <w:rFonts w:ascii="Times New Roman" w:hAnsi="Times New Roman" w:cs="Times New Roman"/>
        </w:rPr>
      </w:pPr>
      <w:r>
        <w:rPr>
          <w:rFonts w:hint="eastAsia" w:ascii="Times New Roman" w:hAnsi="Times New Roman" w:cs="Times New Roman"/>
        </w:rPr>
        <w:t>在新一轮国土空间规划中，规划范围已纳入城镇开发边界，在有效衔接正在编制的临湘市国土空间规划的基础上，规划新增建设用地可以得到保障，区域土地资源可承载规划实施。在实施过程中应重视土地集约化管理，通过提高单位土地产出、提升土地利用效率、盘活存量土地等方式，实现工业低效土地比例逐年下降，工业用地平均容积率逐年提高，全面提升土地利用质量效益。</w:t>
      </w:r>
    </w:p>
    <w:p>
      <w:pPr>
        <w:spacing w:line="360" w:lineRule="auto"/>
        <w:ind w:firstLine="480" w:firstLineChars="200"/>
        <w:rPr>
          <w:rFonts w:ascii="Times New Roman" w:hAnsi="Times New Roman" w:cs="Times New Roman"/>
        </w:rPr>
      </w:pPr>
      <w:r>
        <w:rPr>
          <w:rFonts w:hint="eastAsia" w:ascii="Times New Roman" w:hAnsi="Times New Roman" w:cs="Times New Roman"/>
        </w:rPr>
        <w:t>本评价建议：园区应成片区集中开发，开发前先行对邻近居民进行拆迁安置。</w:t>
      </w:r>
    </w:p>
    <w:p>
      <w:pPr>
        <w:spacing w:line="360" w:lineRule="auto"/>
        <w:ind w:firstLine="480" w:firstLineChars="200"/>
        <w:rPr>
          <w:rFonts w:ascii="Times New Roman" w:hAnsi="Times New Roman" w:cs="Times New Roman"/>
        </w:rPr>
      </w:pPr>
      <w:r>
        <w:rPr>
          <w:rFonts w:hint="eastAsia" w:ascii="Times New Roman" w:hAnsi="Times New Roman" w:cs="Times New Roman"/>
        </w:rPr>
        <w:t>（2）水资源承载力分析结论</w:t>
      </w:r>
    </w:p>
    <w:p>
      <w:pPr>
        <w:spacing w:line="360" w:lineRule="auto"/>
        <w:ind w:firstLine="480" w:firstLineChars="200"/>
        <w:rPr>
          <w:rFonts w:ascii="Times New Roman" w:hAnsi="Times New Roman" w:cs="Times New Roman"/>
        </w:rPr>
      </w:pPr>
      <w:r>
        <w:rPr>
          <w:rFonts w:hint="eastAsia" w:ascii="Times New Roman" w:hAnsi="Times New Roman" w:cs="Times New Roman"/>
        </w:rPr>
        <w:t>根据本报告“水资源承载力分析”可知，本次调扩区完成后，园区依托现有的供水水源可保证园区发展的要求。尽管区域可供水量满足园区规划需求，但仍需控制工业用水总量，促进企业节水、开发区循环利用水资源，进一步提高水资源的承载能力。</w:t>
      </w:r>
    </w:p>
    <w:p>
      <w:pPr>
        <w:spacing w:line="360" w:lineRule="auto"/>
        <w:ind w:firstLine="480" w:firstLineChars="200"/>
        <w:rPr>
          <w:rFonts w:ascii="Times New Roman" w:hAnsi="Times New Roman" w:cs="Times New Roman"/>
        </w:rPr>
      </w:pPr>
      <w:r>
        <w:rPr>
          <w:rFonts w:hint="eastAsia" w:ascii="Times New Roman" w:hAnsi="Times New Roman" w:cs="Times New Roman"/>
        </w:rPr>
        <w:t>（3）能源供应</w:t>
      </w:r>
    </w:p>
    <w:p>
      <w:pPr>
        <w:spacing w:line="360" w:lineRule="auto"/>
        <w:ind w:firstLine="480" w:firstLineChars="200"/>
        <w:rPr>
          <w:rFonts w:ascii="Times New Roman" w:hAnsi="Times New Roman" w:eastAsia="宋体" w:cs="Times New Roman"/>
          <w:szCs w:val="24"/>
        </w:rPr>
      </w:pPr>
      <w:r>
        <w:rPr>
          <w:rFonts w:hint="eastAsia" w:ascii="Times New Roman" w:hAnsi="Times New Roman" w:eastAsia="宋体" w:cs="Times New Roman"/>
          <w:szCs w:val="24"/>
        </w:rPr>
        <w:t>规划</w:t>
      </w:r>
      <w:r>
        <w:rPr>
          <w:rFonts w:ascii="Times New Roman" w:hAnsi="Times New Roman" w:eastAsia="宋体" w:cs="Times New Roman"/>
          <w:szCs w:val="24"/>
        </w:rPr>
        <w:t>采用</w:t>
      </w:r>
      <w:r>
        <w:rPr>
          <w:rFonts w:hint="eastAsia" w:ascii="Times New Roman" w:hAnsi="Times New Roman" w:eastAsia="宋体" w:cs="Times New Roman"/>
          <w:szCs w:val="24"/>
        </w:rPr>
        <w:t>天然气</w:t>
      </w:r>
      <w:r>
        <w:rPr>
          <w:rFonts w:ascii="Times New Roman" w:hAnsi="Times New Roman" w:eastAsia="宋体" w:cs="Times New Roman"/>
          <w:szCs w:val="24"/>
        </w:rPr>
        <w:t>，实施</w:t>
      </w:r>
      <w:r>
        <w:rPr>
          <w:rFonts w:hint="eastAsia" w:ascii="Times New Roman" w:hAnsi="Times New Roman" w:eastAsia="宋体" w:cs="Times New Roman"/>
          <w:szCs w:val="24"/>
        </w:rPr>
        <w:t>集中</w:t>
      </w:r>
      <w:r>
        <w:rPr>
          <w:rFonts w:ascii="Times New Roman" w:hAnsi="Times New Roman" w:eastAsia="宋体" w:cs="Times New Roman"/>
          <w:szCs w:val="24"/>
        </w:rPr>
        <w:t>供热，根据本报告“能源承载力分析”可知，本次调扩区完成后，随着区域供电、燃气的进一步完善</w:t>
      </w:r>
      <w:r>
        <w:rPr>
          <w:rFonts w:hint="eastAsia" w:ascii="Times New Roman" w:hAnsi="Times New Roman" w:eastAsia="宋体" w:cs="Times New Roman"/>
          <w:szCs w:val="24"/>
        </w:rPr>
        <w:t>，</w:t>
      </w:r>
      <w:r>
        <w:rPr>
          <w:rFonts w:ascii="Times New Roman" w:hAnsi="Times New Roman" w:eastAsia="宋体" w:cs="Times New Roman"/>
          <w:szCs w:val="24"/>
        </w:rPr>
        <w:t>能够承载园区的发展。</w:t>
      </w:r>
    </w:p>
    <w:p>
      <w:pPr>
        <w:spacing w:line="360" w:lineRule="auto"/>
        <w:ind w:firstLine="480" w:firstLineChars="200"/>
        <w:rPr>
          <w:rFonts w:ascii="Times New Roman" w:hAnsi="Times New Roman" w:cs="Times New Roman"/>
        </w:rPr>
      </w:pPr>
      <w:r>
        <w:rPr>
          <w:rFonts w:hint="eastAsia" w:ascii="Times New Roman" w:hAnsi="Times New Roman" w:cs="Times New Roman"/>
        </w:rPr>
        <w:t>（4）大气环境承载力分析</w:t>
      </w:r>
    </w:p>
    <w:p>
      <w:pPr>
        <w:spacing w:line="360" w:lineRule="auto"/>
        <w:ind w:firstLine="480" w:firstLineChars="200"/>
        <w:rPr>
          <w:rFonts w:ascii="Times New Roman" w:hAnsi="Times New Roman" w:cs="Times New Roman"/>
        </w:rPr>
      </w:pPr>
      <w:r>
        <w:rPr>
          <w:rFonts w:hint="eastAsia" w:ascii="Times New Roman" w:hAnsi="Times New Roman" w:cs="Times New Roman"/>
          <w:highlight w:val="yellow"/>
        </w:rPr>
        <w:t>根据本报告“大气环境承载力分析”可知，本次扩区完成后，园区PM</w:t>
      </w:r>
      <w:r>
        <w:rPr>
          <w:rFonts w:hint="eastAsia" w:ascii="Times New Roman" w:hAnsi="Times New Roman" w:cs="Times New Roman"/>
          <w:highlight w:val="yellow"/>
          <w:vertAlign w:val="subscript"/>
        </w:rPr>
        <w:t>2.5</w:t>
      </w:r>
      <w:r>
        <w:rPr>
          <w:rFonts w:hint="eastAsia" w:ascii="Times New Roman" w:hAnsi="Times New Roman" w:cs="Times New Roman"/>
          <w:highlight w:val="yellow"/>
        </w:rPr>
        <w:t>、PM</w:t>
      </w:r>
      <w:r>
        <w:rPr>
          <w:rFonts w:hint="eastAsia" w:ascii="Times New Roman" w:hAnsi="Times New Roman" w:cs="Times New Roman"/>
          <w:highlight w:val="yellow"/>
          <w:vertAlign w:val="subscript"/>
        </w:rPr>
        <w:t>10</w:t>
      </w:r>
      <w:r>
        <w:rPr>
          <w:rFonts w:hint="eastAsia" w:ascii="Times New Roman" w:hAnsi="Times New Roman" w:cs="Times New Roman"/>
          <w:highlight w:val="yellow"/>
        </w:rPr>
        <w:t>、SO</w:t>
      </w:r>
      <w:r>
        <w:rPr>
          <w:rFonts w:hint="eastAsia" w:ascii="Times New Roman" w:hAnsi="Times New Roman" w:cs="Times New Roman"/>
          <w:highlight w:val="yellow"/>
          <w:vertAlign w:val="subscript"/>
        </w:rPr>
        <w:t>2</w:t>
      </w:r>
      <w:r>
        <w:rPr>
          <w:rFonts w:hint="eastAsia" w:ascii="Times New Roman" w:hAnsi="Times New Roman" w:cs="Times New Roman"/>
          <w:highlight w:val="yellow"/>
        </w:rPr>
        <w:t>、NO</w:t>
      </w:r>
      <w:r>
        <w:rPr>
          <w:rFonts w:hint="eastAsia" w:ascii="Times New Roman" w:hAnsi="Times New Roman" w:cs="Times New Roman"/>
          <w:highlight w:val="yellow"/>
          <w:vertAlign w:val="subscript"/>
        </w:rPr>
        <w:t>2</w:t>
      </w:r>
      <w:r>
        <w:rPr>
          <w:rFonts w:hint="eastAsia" w:ascii="Times New Roman" w:hAnsi="Times New Roman" w:cs="Times New Roman"/>
          <w:highlight w:val="yellow"/>
        </w:rPr>
        <w:t>的环境容量充足，</w:t>
      </w:r>
      <w:r>
        <w:rPr>
          <w:rFonts w:hint="eastAsia" w:ascii="Times New Roman" w:hAnsi="Times New Roman" w:cs="Times New Roman"/>
        </w:rPr>
        <w:t>各片区总量指标因子均有一定的环境容量，能够承载园区的发展。按照《关于加强重点行业建设项目区域削减措施监督管理的通知》（环办环评〔2020〕36号）要求，在区域环境空气质量不达标前，新上重点行业项目需进行污染物排放量倍量削减，区域环境空气质量达标后，新上重点行业项目需进行污染物排放量等量削减，确保区域环境逐步改善。采取上述减缓措施后，区域大气环境承载力可支撑规划实施。</w:t>
      </w:r>
    </w:p>
    <w:p>
      <w:pPr>
        <w:spacing w:line="360" w:lineRule="auto"/>
        <w:ind w:firstLine="480" w:firstLineChars="200"/>
        <w:rPr>
          <w:rFonts w:ascii="Times New Roman" w:hAnsi="Times New Roman" w:cs="Times New Roman"/>
        </w:rPr>
      </w:pPr>
      <w:r>
        <w:rPr>
          <w:rFonts w:hint="eastAsia" w:ascii="Times New Roman" w:hAnsi="Times New Roman" w:cs="Times New Roman"/>
        </w:rPr>
        <w:t>（5）水环境承载力分析</w:t>
      </w:r>
    </w:p>
    <w:p>
      <w:pPr>
        <w:spacing w:line="360" w:lineRule="auto"/>
        <w:ind w:firstLine="480" w:firstLineChars="200"/>
        <w:rPr>
          <w:rFonts w:ascii="Times New Roman" w:hAnsi="Times New Roman" w:cs="Times New Roman"/>
        </w:rPr>
      </w:pPr>
      <w:r>
        <w:rPr>
          <w:rFonts w:hint="eastAsia" w:ascii="Times New Roman" w:hAnsi="Times New Roman" w:cs="Times New Roman"/>
        </w:rPr>
        <w:t>根据现状调查，长江、源潭河水质满足功能区划要求。根据“地表水环境承载力分析”可知，长江水环境容量能够支撑园区规划核定的排污。一方面园区化工企业“一企一管”的实施以及企业清洁生产水平的提高，进一步采取污染物削减和控制措施降低废水排放量；另一方面随着园区开发，区域分散农村生活污水逐步转移为城镇生活污水经集中处理后达标排放，区域环保基础设施的完善，长江水环境容量能够承载高新区的发展。</w:t>
      </w:r>
    </w:p>
    <w:p>
      <w:pPr>
        <w:spacing w:line="360" w:lineRule="auto"/>
        <w:ind w:firstLine="480" w:firstLineChars="200"/>
        <w:rPr>
          <w:rFonts w:ascii="Times New Roman" w:hAnsi="Times New Roman" w:cs="Times New Roman"/>
        </w:rPr>
      </w:pPr>
      <w:r>
        <w:rPr>
          <w:rFonts w:hint="eastAsia" w:ascii="Times New Roman" w:hAnsi="Times New Roman" w:cs="Times New Roman"/>
        </w:rPr>
        <w:t>（6）环境影响预测评价结果</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①大气环境影响预测：根据预测，各敏感点叠加背景值后SO2、NOx、PM10、TVOC预测浓度均满足《环境空气质量标准》（GB3095-2012）中二级标准及相应标准要求。</w:t>
      </w:r>
    </w:p>
    <w:p>
      <w:pPr>
        <w:spacing w:line="360" w:lineRule="auto"/>
        <w:ind w:firstLine="480" w:firstLineChars="200"/>
        <w:rPr>
          <w:rFonts w:ascii="Times New Roman" w:hAnsi="Times New Roman" w:cs="Times New Roman"/>
        </w:rPr>
      </w:pPr>
      <w:r>
        <w:rPr>
          <w:rFonts w:hint="eastAsia" w:ascii="Times New Roman" w:hAnsi="Times New Roman" w:cs="Times New Roman"/>
          <w:highlight w:val="yellow"/>
        </w:rPr>
        <w:t>②地表水环境影响预测：园区规划实施后，各片区污水处理厂，正常情形污水达标处理排放时，长江预测断面COD、NH3-N预测浓度能满足《地表水环境质量标准》（GB3838-2002）III类水质标准，污水排放对受纳水体长江的水质影响较小；非正常工况下，COD、NH3-N亦未超标，污水排放对受纳水体长江水质影响较小，地表水环境影响可接受。因此，园区应加强园区污水处理厂、污水治理设施建设及事故风险防范，杜绝废水非正常排放对受纳水体长江水质造成污染。</w:t>
      </w:r>
    </w:p>
    <w:p>
      <w:pPr>
        <w:spacing w:line="360" w:lineRule="auto"/>
        <w:ind w:firstLine="480" w:firstLineChars="200"/>
        <w:rPr>
          <w:rFonts w:ascii="Times New Roman" w:hAnsi="Times New Roman" w:cs="Times New Roman"/>
        </w:rPr>
      </w:pPr>
      <w:r>
        <w:rPr>
          <w:rFonts w:hint="eastAsia" w:ascii="Times New Roman" w:hAnsi="Times New Roman" w:cs="Times New Roman"/>
        </w:rPr>
        <w:t>（7）环境风险影响评价</w:t>
      </w:r>
    </w:p>
    <w:p>
      <w:pPr>
        <w:spacing w:line="360" w:lineRule="auto"/>
        <w:ind w:firstLine="480" w:firstLineChars="200"/>
        <w:rPr>
          <w:rFonts w:ascii="Times New Roman" w:hAnsi="Times New Roman" w:cs="Times New Roman"/>
        </w:rPr>
      </w:pPr>
      <w:r>
        <w:rPr>
          <w:rFonts w:hint="eastAsia" w:ascii="Times New Roman" w:hAnsi="Times New Roman" w:cs="Times New Roman"/>
        </w:rPr>
        <w:t>在园区及企业的物料及污水输送管线严格落实各项环境风险防范措施及事故应急预案的前提下，从环境风险角度分析，环境风险影响是可接受的。但园区需进一步完善环保、安全监测监控体系，临湘片区已设置的应急事故池，按照环境应急物资调查报告要求，配齐相应的应急物资，同时在雨水排口附近设置专用应急物资储存点，定期组织开展环境风险应急演练。</w:t>
      </w:r>
    </w:p>
    <w:p>
      <w:pPr>
        <w:spacing w:line="360" w:lineRule="auto"/>
        <w:ind w:firstLine="480" w:firstLineChars="200"/>
        <w:rPr>
          <w:rFonts w:ascii="Times New Roman" w:hAnsi="Times New Roman" w:cs="Times New Roman"/>
        </w:rPr>
      </w:pPr>
      <w:r>
        <w:rPr>
          <w:rFonts w:hint="eastAsia" w:ascii="Times New Roman" w:hAnsi="Times New Roman" w:cs="Times New Roman"/>
        </w:rPr>
        <w:t>（8）碳排放</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目前，湖南省和岳阳市虽然暂未公布碳达峰方案，但在湖南省和岳阳市国民经济和社会发展规划中均规划打造依托长岭炼化、巴陵石化等龙头企业的千亿石油化工产业，本规划的碳排放控制将会纳入省市的碳达峰方案。通过采用天然气、电等清洁能源，园区实施集中供热，按照国家给巴陵和长炼下达的炼油规模进行控制，落实规划指标体系和三线一单能耗准入标准，有效控制碳排放总量。</w:t>
      </w:r>
    </w:p>
    <w:p>
      <w:pPr>
        <w:spacing w:line="360" w:lineRule="auto"/>
        <w:ind w:firstLine="480" w:firstLineChars="200"/>
        <w:rPr>
          <w:rFonts w:ascii="Times New Roman" w:hAnsi="Times New Roman" w:cs="Times New Roman"/>
        </w:rPr>
      </w:pPr>
      <w:r>
        <w:rPr>
          <w:rFonts w:hint="eastAsia" w:ascii="Times New Roman" w:hAnsi="Times New Roman" w:cs="Times New Roman"/>
          <w:highlight w:val="yellow"/>
        </w:rPr>
        <w:t>综上分析，严格按照国家规划的炼油及乙烯规模对相关产业规模进行限制，在落实优化开发时序、区域污染物等量或倍量削减、补充完善风险应急设施、物资及风险防范体系后，从环境保护角度分析，规划规模基本合理。</w:t>
      </w:r>
    </w:p>
    <w:p>
      <w:pPr>
        <w:pStyle w:val="4"/>
      </w:pPr>
      <w:bookmarkStart w:id="750" w:name="_Toc146092017"/>
      <w:r>
        <w:rPr>
          <w:rFonts w:hint="eastAsia"/>
        </w:rPr>
        <w:t>7.1.3 规划总体布局及用地结构的环境合理性分析</w:t>
      </w:r>
      <w:bookmarkEnd w:id="750"/>
    </w:p>
    <w:p>
      <w:pPr>
        <w:spacing w:line="360" w:lineRule="auto"/>
        <w:ind w:firstLine="480" w:firstLineChars="200"/>
        <w:rPr>
          <w:rFonts w:ascii="Times New Roman" w:hAnsi="Times New Roman" w:cs="Times New Roman"/>
        </w:rPr>
      </w:pPr>
      <w:r>
        <w:rPr>
          <w:rFonts w:hint="eastAsia" w:ascii="Times New Roman" w:hAnsi="Times New Roman" w:cs="Times New Roman"/>
        </w:rPr>
        <w:t>根据规划，三湾产业园、</w:t>
      </w:r>
      <w:r>
        <w:rPr>
          <w:rFonts w:ascii="Times New Roman" w:hAnsi="Times New Roman" w:cs="Times New Roman"/>
        </w:rPr>
        <w:t>绿色建材产业园</w:t>
      </w:r>
      <w:r>
        <w:rPr>
          <w:rFonts w:hint="eastAsia" w:ascii="Times New Roman" w:hAnsi="Times New Roman" w:cs="Times New Roman"/>
        </w:rPr>
        <w:t>均为已开发完成，规划用地性质与现状用地性质基本一致，故本次评价重点论述滨江片区相关产业布局及用地结构的环境合理性。</w:t>
      </w:r>
    </w:p>
    <w:p>
      <w:pPr>
        <w:spacing w:line="360" w:lineRule="auto"/>
        <w:ind w:firstLine="480" w:firstLineChars="200"/>
        <w:rPr>
          <w:rFonts w:ascii="Times New Roman" w:hAnsi="Times New Roman" w:cs="Times New Roman"/>
        </w:rPr>
      </w:pPr>
      <w:r>
        <w:rPr>
          <w:szCs w:val="24"/>
        </w:rPr>
        <w:t>滨江片区</w:t>
      </w:r>
      <w:r>
        <w:rPr>
          <w:rFonts w:ascii="Times New Roman" w:hAnsi="Times New Roman" w:cs="Times New Roman"/>
        </w:rPr>
        <w:t>中非工贸产业园</w:t>
      </w:r>
      <w:r>
        <w:rPr>
          <w:rFonts w:hint="eastAsia" w:ascii="Times New Roman" w:hAnsi="Times New Roman" w:cs="Times New Roman"/>
        </w:rPr>
        <w:t>，主要以</w:t>
      </w:r>
      <w:r>
        <w:rPr>
          <w:rFonts w:ascii="Times New Roman" w:hAnsi="Times New Roman" w:cs="Times New Roman"/>
        </w:rPr>
        <w:t>保税仓储物流中心、林木产品加工基地、食用油生产加工基地、牛羊肉（海鲜）加工基地、中非现货易货交易交割中心</w:t>
      </w:r>
      <w:r>
        <w:rPr>
          <w:rFonts w:hint="eastAsia" w:ascii="Times New Roman" w:hAnsi="Times New Roman" w:cs="Times New Roman"/>
        </w:rPr>
        <w:t>为主，现有化工企业均有关停、搬迁，园区周边环境敏感目标较少，对环境影响小，后续规划用地主要以一类工业用地为主，符合《临湘市城市总体规划（2016-2030）》要求，且符合长江大保护的要求，根据环境影响预测结果，采取相应减缓措施后，规划实施对区域环境影响可接受，总体布局较为合理。</w:t>
      </w:r>
    </w:p>
    <w:p>
      <w:pPr>
        <w:spacing w:line="360" w:lineRule="auto"/>
        <w:ind w:firstLine="480" w:firstLineChars="200"/>
        <w:rPr>
          <w:rFonts w:ascii="Times New Roman" w:hAnsi="Times New Roman" w:cs="Times New Roman"/>
        </w:rPr>
      </w:pPr>
      <w:r>
        <w:rPr>
          <w:szCs w:val="24"/>
        </w:rPr>
        <w:t>滨江片区加工制造产业园</w:t>
      </w:r>
      <w:r>
        <w:rPr>
          <w:rFonts w:hint="eastAsia" w:ascii="Times New Roman" w:hAnsi="Times New Roman" w:cs="Times New Roman"/>
        </w:rPr>
        <w:t>，主要</w:t>
      </w:r>
      <w:r>
        <w:rPr>
          <w:rFonts w:ascii="Times New Roman" w:hAnsi="Times New Roman" w:cs="Times New Roman"/>
        </w:rPr>
        <w:t>以生活配套用地及已建成电子信息化厂房为主</w:t>
      </w:r>
      <w:r>
        <w:rPr>
          <w:rFonts w:hint="eastAsia" w:ascii="Times New Roman" w:hAnsi="Times New Roman" w:cs="Times New Roman"/>
        </w:rPr>
        <w:t>，用地符合符合《临湘市城市总体规划（2016-2030）》、《临湘市土地利用总体规划（2006-2020）》（2016修订版），其东北侧为现状居民安置区以及居住用地，距离居民区较近，由于产业区秋冬季主导风向为NNE风，夏季主导风向为S风，全年主导为NNE风，电子信息片区位于居民区主导风向下风向，但是夏季相反，建议该片区限制发展气型污染较大的企业，同时电子信息产业片区临近居民一侧建设绿化带降低环境影响，禁止集中电镀等高污染产业。</w:t>
      </w:r>
    </w:p>
    <w:p>
      <w:pPr>
        <w:spacing w:line="360" w:lineRule="auto"/>
        <w:ind w:firstLine="480" w:firstLineChars="200"/>
        <w:rPr>
          <w:rFonts w:ascii="Times New Roman" w:hAnsi="Times New Roman" w:cs="Times New Roman"/>
        </w:rPr>
      </w:pPr>
      <w:r>
        <w:rPr>
          <w:rFonts w:hint="eastAsia" w:ascii="Times New Roman" w:hAnsi="Times New Roman" w:cs="Times New Roman"/>
        </w:rPr>
        <w:t>滨江片区绿色化工产业园整体扩区周边仅有零星分散式居民分布，主要环境敏感为北边界外的洋溪村和儒溪镇中学，但本次扩区范围位于其主导风向下风向，北部地块主要规划为二类工业用地，且中间有南干渠分隔，根据环境影响预测结果，采取相应减缓措施后，规划实施对区域环境影响可接受，总体布局较为合理。</w:t>
      </w:r>
    </w:p>
    <w:p>
      <w:pPr>
        <w:pStyle w:val="4"/>
      </w:pPr>
      <w:bookmarkStart w:id="751" w:name="_Toc146092018"/>
      <w:r>
        <w:rPr>
          <w:rFonts w:hint="eastAsia"/>
        </w:rPr>
        <w:t>7.1.4 规划配套基础设施建设合理性</w:t>
      </w:r>
      <w:bookmarkEnd w:id="751"/>
    </w:p>
    <w:p>
      <w:pPr>
        <w:pStyle w:val="5"/>
        <w:ind w:firstLine="482"/>
      </w:pPr>
      <w:r>
        <w:rPr>
          <w:rFonts w:hint="eastAsia"/>
        </w:rPr>
        <w:t>7.1.4.1 排水规划合理性分析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三湾片区现状污水汇集到石塘路上污水干管，由石塘路上污水管输送至片区外污水转输泵站，由泵站转输至城区临湘污水处理厂，现状处理能力为4.5万t/d，可以满足园区生产污水、生活污水的处理需求，后续三湾片区不在进一步开发建设，因此三湾片区排水规划合理。</w:t>
      </w:r>
    </w:p>
    <w:p>
      <w:pPr>
        <w:spacing w:line="360" w:lineRule="auto"/>
        <w:ind w:firstLine="480" w:firstLineChars="200"/>
        <w:rPr>
          <w:rFonts w:ascii="Times New Roman" w:hAnsi="Times New Roman" w:cs="Times New Roman"/>
        </w:rPr>
      </w:pPr>
      <w:r>
        <w:rPr>
          <w:rFonts w:hint="eastAsia" w:ascii="Times New Roman" w:hAnsi="Times New Roman" w:cs="Times New Roman"/>
        </w:rPr>
        <w:t>滨江片区依托现有工业污水处理厂进行处置，</w:t>
      </w:r>
      <w:r>
        <w:rPr>
          <w:rFonts w:ascii="Times New Roman" w:hAnsi="Times New Roman" w:eastAsia="宋体" w:cs="Times New Roman"/>
          <w:color w:val="000000"/>
          <w:szCs w:val="24"/>
        </w:rPr>
        <w:t>污水处理厂位于工业大道与纬四路交叉口西北角</w:t>
      </w:r>
      <w:r>
        <w:rPr>
          <w:rFonts w:hint="eastAsia" w:ascii="Times New Roman" w:hAnsi="Times New Roman" w:eastAsia="宋体" w:cs="Times New Roman"/>
          <w:color w:val="000000"/>
          <w:szCs w:val="24"/>
        </w:rPr>
        <w:t>，</w:t>
      </w:r>
      <w:r>
        <w:rPr>
          <w:rFonts w:ascii="Times New Roman" w:hAnsi="Times New Roman" w:eastAsia="宋体" w:cs="Times New Roman"/>
          <w:color w:val="000000"/>
          <w:szCs w:val="24"/>
        </w:rPr>
        <w:t>现处理能力为2</w:t>
      </w:r>
      <w:r>
        <w:rPr>
          <w:rFonts w:hint="eastAsia" w:ascii="Times New Roman" w:hAnsi="Times New Roman" w:eastAsia="宋体" w:cs="Times New Roman"/>
          <w:color w:val="000000"/>
          <w:szCs w:val="24"/>
        </w:rPr>
        <w:t>0000</w:t>
      </w:r>
      <w:r>
        <w:rPr>
          <w:rFonts w:ascii="Times New Roman" w:hAnsi="Times New Roman" w:eastAsia="宋体" w:cs="Times New Roman"/>
          <w:color w:val="000000"/>
          <w:szCs w:val="24"/>
        </w:rPr>
        <w:t>m</w:t>
      </w:r>
      <w:r>
        <w:rPr>
          <w:rFonts w:ascii="Times New Roman" w:hAnsi="Times New Roman" w:eastAsia="宋体" w:cs="Times New Roman"/>
          <w:color w:val="000000"/>
          <w:szCs w:val="24"/>
          <w:vertAlign w:val="superscript"/>
        </w:rPr>
        <w:t>3</w:t>
      </w:r>
      <w:r>
        <w:rPr>
          <w:rFonts w:ascii="Times New Roman" w:hAnsi="Times New Roman" w:eastAsia="宋体" w:cs="Times New Roman"/>
          <w:color w:val="000000"/>
          <w:szCs w:val="24"/>
        </w:rPr>
        <w:t>/d</w:t>
      </w:r>
      <w:r>
        <w:rPr>
          <w:rFonts w:hint="eastAsia" w:ascii="Times New Roman" w:hAnsi="Times New Roman" w:eastAsia="宋体" w:cs="Times New Roman"/>
          <w:color w:val="000000"/>
          <w:szCs w:val="24"/>
        </w:rPr>
        <w:t>，其中</w:t>
      </w:r>
      <w:r>
        <w:rPr>
          <w:szCs w:val="24"/>
        </w:rPr>
        <w:t>滨江片区中非工贸产业园</w:t>
      </w:r>
      <w:r>
        <w:rPr>
          <w:rFonts w:hint="eastAsia"/>
          <w:szCs w:val="24"/>
        </w:rPr>
        <w:t>、</w:t>
      </w:r>
      <w:r>
        <w:rPr>
          <w:szCs w:val="24"/>
        </w:rPr>
        <w:t>加工制造产业园</w:t>
      </w:r>
      <w:r>
        <w:rPr>
          <w:rFonts w:hint="eastAsia"/>
          <w:szCs w:val="24"/>
        </w:rPr>
        <w:t>通过现有市政管网纳入污水处理厂，</w:t>
      </w:r>
      <w:r>
        <w:rPr>
          <w:szCs w:val="24"/>
        </w:rPr>
        <w:t>绿色化工产业园</w:t>
      </w:r>
      <w:r>
        <w:rPr>
          <w:rFonts w:ascii="Times New Roman" w:hAnsi="Times New Roman" w:cs="Times New Roman"/>
        </w:rPr>
        <w:t>规划在临鸭公路与富强路交叉口西南角，新建污水加压泵站，加压后转输到滨江污水处理厂处理。</w:t>
      </w:r>
    </w:p>
    <w:p>
      <w:pPr>
        <w:spacing w:line="360" w:lineRule="auto"/>
        <w:ind w:firstLine="480" w:firstLineChars="200"/>
        <w:rPr>
          <w:rFonts w:ascii="Times New Roman" w:hAnsi="Times New Roman" w:cs="Times New Roman"/>
        </w:rPr>
      </w:pPr>
      <w:r>
        <w:rPr>
          <w:rFonts w:hint="eastAsia" w:ascii="Times New Roman" w:hAnsi="Times New Roman" w:cs="Times New Roman"/>
        </w:rPr>
        <w:t>根据本次核算，滨江片区后续规划新增生活污水量约为8078t/d，新增工业污水量为8078t/d，不超出园区工业污水处理厂处理规模，通过本次地表水预测及环境容量核算，均满足排水要求，因此滨江片区排水规划合理。</w:t>
      </w:r>
    </w:p>
    <w:p>
      <w:pPr>
        <w:pStyle w:val="5"/>
        <w:ind w:firstLine="482"/>
      </w:pPr>
      <w:r>
        <w:rPr>
          <w:rFonts w:hint="eastAsia"/>
        </w:rPr>
        <w:t>7.1.4.2 供水规划合理性分析</w:t>
      </w:r>
    </w:p>
    <w:p>
      <w:pPr>
        <w:spacing w:line="360" w:lineRule="auto"/>
        <w:ind w:firstLine="480" w:firstLineChars="200"/>
        <w:rPr>
          <w:rFonts w:ascii="Times New Roman" w:hAnsi="Times New Roman" w:cs="Times New Roman"/>
        </w:rPr>
      </w:pPr>
      <w:r>
        <w:rPr>
          <w:rFonts w:ascii="Times New Roman" w:hAnsi="Times New Roman" w:cs="Times New Roman"/>
        </w:rPr>
        <w:t>三湾片区取水来源为城西水厂，城西水厂作为城市规划区供水水厂，城西水厂现供水能力3万m</w:t>
      </w:r>
      <w:r>
        <w:rPr>
          <w:rFonts w:ascii="Times New Roman" w:hAnsi="Times New Roman" w:cs="Times New Roman"/>
          <w:vertAlign w:val="superscript"/>
        </w:rPr>
        <w:t>3</w:t>
      </w:r>
      <w:r>
        <w:rPr>
          <w:rFonts w:ascii="Times New Roman" w:hAnsi="Times New Roman" w:cs="Times New Roman"/>
        </w:rPr>
        <w:t>/d，远期规划供水能力达到6万m</w:t>
      </w:r>
      <w:r>
        <w:rPr>
          <w:rFonts w:ascii="Times New Roman" w:hAnsi="Times New Roman" w:cs="Times New Roman"/>
          <w:vertAlign w:val="superscript"/>
        </w:rPr>
        <w:t>3</w:t>
      </w:r>
      <w:r>
        <w:rPr>
          <w:rFonts w:ascii="Times New Roman" w:hAnsi="Times New Roman" w:cs="Times New Roman"/>
        </w:rPr>
        <w:t>/d。</w:t>
      </w:r>
    </w:p>
    <w:p>
      <w:pPr>
        <w:spacing w:line="360" w:lineRule="auto"/>
        <w:ind w:firstLine="480" w:firstLineChars="200"/>
        <w:rPr>
          <w:rFonts w:ascii="Times New Roman" w:hAnsi="Times New Roman" w:cs="Times New Roman"/>
        </w:rPr>
      </w:pPr>
      <w:r>
        <w:rPr>
          <w:rFonts w:ascii="Times New Roman" w:hAnsi="Times New Roman" w:cs="Times New Roman"/>
        </w:rPr>
        <w:t>三湾产业区目前水资源用量为3688m</w:t>
      </w:r>
      <w:r>
        <w:rPr>
          <w:rFonts w:ascii="Times New Roman" w:hAnsi="Times New Roman" w:cs="Times New Roman"/>
          <w:vertAlign w:val="superscript"/>
        </w:rPr>
        <w:t>3</w:t>
      </w:r>
      <w:r>
        <w:rPr>
          <w:rFonts w:ascii="Times New Roman" w:hAnsi="Times New Roman" w:cs="Times New Roman"/>
        </w:rPr>
        <w:t>/d，占城西水厂规划供水能力的6.15%，区域水厂的供水规模可保证园区用水需求，水厂的水源产水规模远大于水厂取水量，供水水源有保障。</w:t>
      </w:r>
    </w:p>
    <w:p>
      <w:pPr>
        <w:spacing w:line="360" w:lineRule="auto"/>
        <w:ind w:firstLine="480" w:firstLineChars="200"/>
        <w:rPr>
          <w:rFonts w:ascii="Times New Roman" w:hAnsi="Times New Roman" w:cs="Times New Roman"/>
        </w:rPr>
      </w:pPr>
      <w:r>
        <w:rPr>
          <w:rFonts w:hint="eastAsia" w:ascii="Times New Roman" w:hAnsi="Times New Roman" w:cs="Times New Roman"/>
        </w:rPr>
        <w:t>滨江片区内有一座自来水厂，总设计供水规模为11万m</w:t>
      </w:r>
      <w:r>
        <w:rPr>
          <w:rFonts w:hint="eastAsia" w:ascii="Times New Roman" w:hAnsi="Times New Roman" w:cs="Times New Roman"/>
          <w:vertAlign w:val="superscript"/>
        </w:rPr>
        <w:t>3</w:t>
      </w:r>
      <w:r>
        <w:rPr>
          <w:rFonts w:hint="eastAsia" w:ascii="Times New Roman" w:hAnsi="Times New Roman" w:cs="Times New Roman"/>
        </w:rPr>
        <w:t>/d，一期供水规模为5万m</w:t>
      </w:r>
      <w:r>
        <w:rPr>
          <w:rFonts w:hint="eastAsia" w:ascii="Times New Roman" w:hAnsi="Times New Roman" w:cs="Times New Roman"/>
          <w:vertAlign w:val="superscript"/>
        </w:rPr>
        <w:t>3</w:t>
      </w:r>
      <w:r>
        <w:rPr>
          <w:rFonts w:hint="eastAsia" w:ascii="Times New Roman" w:hAnsi="Times New Roman" w:cs="Times New Roman"/>
        </w:rPr>
        <w:t>/d，其中生活用水的供水规模为1万m</w:t>
      </w:r>
      <w:r>
        <w:rPr>
          <w:rFonts w:hint="eastAsia" w:ascii="Times New Roman" w:hAnsi="Times New Roman" w:cs="Times New Roman"/>
          <w:vertAlign w:val="superscript"/>
        </w:rPr>
        <w:t>3</w:t>
      </w:r>
      <w:r>
        <w:rPr>
          <w:rFonts w:hint="eastAsia" w:ascii="Times New Roman" w:hAnsi="Times New Roman" w:cs="Times New Roman"/>
        </w:rPr>
        <w:t>/d，工业用水的供水规模为4万m</w:t>
      </w:r>
      <w:r>
        <w:rPr>
          <w:rFonts w:hint="eastAsia" w:ascii="Times New Roman" w:hAnsi="Times New Roman" w:cs="Times New Roman"/>
          <w:vertAlign w:val="superscript"/>
        </w:rPr>
        <w:t>3</w:t>
      </w:r>
      <w:r>
        <w:rPr>
          <w:rFonts w:hint="eastAsia" w:ascii="Times New Roman" w:hAnsi="Times New Roman" w:cs="Times New Roman"/>
        </w:rPr>
        <w:t>/d，滨江片区</w:t>
      </w:r>
      <w:r>
        <w:rPr>
          <w:rFonts w:ascii="Times New Roman" w:hAnsi="Times New Roman" w:cs="Times New Roman"/>
        </w:rPr>
        <w:t>规划平均日用水量为5.54万吨/天，最高日用水量为7.20万吨/天</w:t>
      </w:r>
      <w:r>
        <w:rPr>
          <w:rFonts w:hint="eastAsia" w:ascii="Times New Roman" w:hAnsi="Times New Roman" w:cs="Times New Roman"/>
        </w:rPr>
        <w:t>，</w:t>
      </w:r>
      <w:r>
        <w:rPr>
          <w:rFonts w:ascii="Times New Roman" w:hAnsi="Times New Roman" w:cs="Times New Roman"/>
        </w:rPr>
        <w:t>水厂的</w:t>
      </w:r>
      <w:r>
        <w:rPr>
          <w:rFonts w:hint="eastAsia" w:ascii="Times New Roman" w:hAnsi="Times New Roman" w:cs="Times New Roman"/>
        </w:rPr>
        <w:t>远期</w:t>
      </w:r>
      <w:r>
        <w:rPr>
          <w:rFonts w:ascii="Times New Roman" w:hAnsi="Times New Roman" w:cs="Times New Roman"/>
        </w:rPr>
        <w:t>供水规模可保证园区用水需求，供水水源有保障。</w:t>
      </w:r>
    </w:p>
    <w:p>
      <w:pPr>
        <w:pStyle w:val="5"/>
        <w:ind w:firstLine="482"/>
      </w:pPr>
      <w:r>
        <w:rPr>
          <w:rFonts w:hint="eastAsia"/>
        </w:rPr>
        <w:t>7.1.4.3 能源规划合理性</w:t>
      </w:r>
    </w:p>
    <w:p>
      <w:pPr>
        <w:spacing w:line="360" w:lineRule="auto"/>
        <w:ind w:firstLine="480" w:firstLineChars="200"/>
        <w:rPr>
          <w:rFonts w:ascii="Times New Roman" w:hAnsi="Times New Roman" w:cs="Times New Roman"/>
        </w:rPr>
      </w:pPr>
      <w:r>
        <w:rPr>
          <w:rFonts w:hint="eastAsia" w:ascii="Times New Roman" w:hAnsi="Times New Roman" w:cs="Times New Roman"/>
        </w:rPr>
        <w:t>规划区目前主要能源为电能，尚未开通天然气。</w:t>
      </w:r>
    </w:p>
    <w:p>
      <w:pPr>
        <w:spacing w:line="360" w:lineRule="auto"/>
        <w:ind w:firstLine="480" w:firstLineChars="200"/>
        <w:rPr>
          <w:rFonts w:ascii="Times New Roman" w:hAnsi="Times New Roman" w:cs="Times New Roman"/>
        </w:rPr>
      </w:pPr>
      <w:r>
        <w:rPr>
          <w:rFonts w:hint="eastAsia" w:ascii="Times New Roman" w:hAnsi="Times New Roman" w:cs="Times New Roman"/>
        </w:rPr>
        <w:t>规划远期使用天然气为主要能源，</w:t>
      </w:r>
      <w:r>
        <w:rPr>
          <w:rFonts w:ascii="Times New Roman" w:hAnsi="Times New Roman" w:cs="Times New Roman"/>
        </w:rPr>
        <w:t>液化石油气为辅。天然气气源来自长安城区配气网通过调压站后，向园区供气，三湾片区和绿色建材产业园接城区供气管。</w:t>
      </w:r>
      <w:r>
        <w:rPr>
          <w:rFonts w:hint="eastAsia" w:ascii="Times New Roman" w:hAnsi="Times New Roman" w:cs="Times New Roman"/>
        </w:rPr>
        <w:t>供电由区域电网供应，能够满足园区后续发展需求。</w:t>
      </w:r>
    </w:p>
    <w:p>
      <w:pPr>
        <w:spacing w:line="360" w:lineRule="auto"/>
        <w:ind w:firstLine="480" w:firstLineChars="200"/>
        <w:rPr>
          <w:rFonts w:ascii="Times New Roman" w:hAnsi="Times New Roman" w:cs="Times New Roman"/>
        </w:rPr>
      </w:pPr>
      <w:r>
        <w:rPr>
          <w:rFonts w:hint="eastAsia" w:ascii="Times New Roman" w:hAnsi="Times New Roman" w:cs="Times New Roman"/>
        </w:rPr>
        <w:t>综合分析，从环境保护角度分析，通过采取本评价提出的优化建议后，本规划的给排水、能源基础设施规划较合理。</w:t>
      </w:r>
    </w:p>
    <w:p>
      <w:pPr>
        <w:pStyle w:val="4"/>
      </w:pPr>
      <w:bookmarkStart w:id="752" w:name="_Toc146092019"/>
      <w:r>
        <w:rPr>
          <w:rFonts w:hint="eastAsia"/>
        </w:rPr>
        <w:t>7.1.5 规划环境保护目标与评价指标可达性分析</w:t>
      </w:r>
      <w:bookmarkEnd w:id="752"/>
    </w:p>
    <w:p>
      <w:pPr>
        <w:spacing w:line="360" w:lineRule="auto"/>
        <w:ind w:firstLine="480" w:firstLineChars="200"/>
        <w:rPr>
          <w:rFonts w:ascii="Times New Roman" w:hAnsi="Times New Roman" w:cs="Times New Roman"/>
        </w:rPr>
      </w:pPr>
      <w:r>
        <w:rPr>
          <w:rFonts w:hint="eastAsia" w:ascii="Times New Roman" w:hAnsi="Times New Roman" w:cs="Times New Roman"/>
        </w:rPr>
        <w:t>根据高新区的环境保护目标以及依据国家生态工业示范园区标准的指标要求，对规划的环保目标及评价指标可达性分析如下。</w:t>
      </w:r>
    </w:p>
    <w:p>
      <w:pPr>
        <w:pStyle w:val="5"/>
        <w:ind w:firstLine="482"/>
      </w:pPr>
      <w:r>
        <w:rPr>
          <w:rFonts w:hint="eastAsia"/>
        </w:rPr>
        <w:t>7.1.5.1 环境空气保护目标的可达性分析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本次环评对规划区附近的敏感点进行了现状监测，现状监测结果表明规划区环境空气各项指标浓度值均未出现超标情况。</w:t>
      </w:r>
      <w:r>
        <w:rPr>
          <w:rFonts w:hint="eastAsia" w:ascii="Times New Roman" w:hAnsi="Times New Roman" w:cs="Times New Roman"/>
          <w:highlight w:val="yellow"/>
        </w:rPr>
        <w:t>2022年临湘市的六项基本污染物年均值满足《环境空气质量标准》（GB3095-2012）二级标准，所在区域为环境空气质量达标区。</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根据大气环境容量章节结论，区域大气环境容量能支撑本规划实施。</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根据环境空气质量预测结果，在严格控制斗笠山片区焦化产能规模控制不超过180万t/a，同步淘汰区块五现有汇源煤气60万t/a焦化项目，颗粒物执行《关于推进实施钢铁行业超低排放的意见》（环大气〔2019〕35号），方可确保园区规划实施后废气污染源对周围环境和敏感点PM2.5、SO2、NO2、PM10、VOCs、硫酸雾等因子浓度叠加现状本底值后，满足环境空气质量相应标准要求。</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同时，在园区开发建设过程中，园区严格按照环境准入要求引进企业，按照《关于加强重点行业建设项目区域削减措施监督管理的通知》（环办环评〔2020〕36号）要求，在区域环境空气质量不达标前，新上重点行业项目需进行污染物排放量倍量削减，区域环境空气质量达标后，新上重点行业项目需进行污染物排放量等量削减，可确保本规划实施后，满足区域环境质量改善目标要求。</w:t>
      </w:r>
    </w:p>
    <w:p>
      <w:pPr>
        <w:spacing w:line="360" w:lineRule="auto"/>
        <w:ind w:firstLine="480" w:firstLineChars="200"/>
        <w:rPr>
          <w:rFonts w:ascii="Times New Roman" w:hAnsi="Times New Roman" w:cs="Times New Roman"/>
        </w:rPr>
      </w:pPr>
      <w:r>
        <w:rPr>
          <w:rFonts w:hint="eastAsia" w:ascii="Times New Roman" w:hAnsi="Times New Roman" w:cs="Times New Roman"/>
          <w:highlight w:val="yellow"/>
        </w:rPr>
        <w:t>日常对入园企业加强监管，落实好园区企业的废气环保措施，监督企业生产废气达到相应的排放标准，规划的环境空气保护目标的评价指标能够可达。</w:t>
      </w:r>
    </w:p>
    <w:p>
      <w:pPr>
        <w:pStyle w:val="5"/>
        <w:ind w:firstLine="482"/>
      </w:pPr>
      <w:r>
        <w:rPr>
          <w:rFonts w:hint="eastAsia"/>
        </w:rPr>
        <w:t>7.1.5.2 水环境保护目标的可达性分析</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本次环评对园区纳污水体环境质量进行了现状监测和收集常规监测数据，现状监测和常规监测数据结果表明涟水各监测断面各项监测指标均符合《地表水环境质量标准》（GB3838-2002）相应水功能标准要求。</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根据地表水环境预测，园区工业废水经园区配套污水处理厂处理达标排放，不会造成涟水水域功能的改变。根据水环境容量章节结论，涟源水环境容量能支撑本规划实施，因此规划目标水质具有可达性。</w:t>
      </w:r>
    </w:p>
    <w:p>
      <w:pPr>
        <w:spacing w:line="360" w:lineRule="auto"/>
        <w:ind w:firstLine="480" w:firstLineChars="200"/>
        <w:rPr>
          <w:rFonts w:ascii="Times New Roman" w:hAnsi="Times New Roman" w:cs="Times New Roman"/>
          <w:highlight w:val="yellow"/>
        </w:rPr>
      </w:pPr>
      <w:r>
        <w:rPr>
          <w:rFonts w:hint="eastAsia" w:ascii="Times New Roman" w:hAnsi="Times New Roman" w:cs="Times New Roman"/>
          <w:highlight w:val="yellow"/>
        </w:rPr>
        <w:t>在园区开发建设过程中，园区内的企业做好雨污分流，做好工业用水的循环利用，确保企业水资源重复利用率在75%以上，落实好废水的预处理，逐步推行化工企业“一企一管”，确保废水均能100%处理，以满足节约水资源、提高单位水资源工业产值等高品质园区指标的建设。</w:t>
      </w:r>
    </w:p>
    <w:p>
      <w:pPr>
        <w:spacing w:line="360" w:lineRule="auto"/>
        <w:ind w:firstLine="480" w:firstLineChars="200"/>
        <w:rPr>
          <w:rFonts w:ascii="Times New Roman" w:hAnsi="Times New Roman" w:cs="Times New Roman"/>
        </w:rPr>
      </w:pPr>
      <w:r>
        <w:rPr>
          <w:rFonts w:hint="eastAsia" w:ascii="Times New Roman" w:hAnsi="Times New Roman" w:cs="Times New Roman"/>
          <w:highlight w:val="yellow"/>
        </w:rPr>
        <w:t>总体来说，在严格落实相应的环保措施的前提下，高新区废水排放对水环境的影响是可以接受的。</w:t>
      </w:r>
    </w:p>
    <w:p>
      <w:pPr>
        <w:pStyle w:val="5"/>
        <w:ind w:firstLine="482"/>
      </w:pPr>
      <w:r>
        <w:rPr>
          <w:rFonts w:hint="eastAsia"/>
        </w:rPr>
        <w:t>7.1.5.3 声环境保护目标的可达性分析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根据声环境现状监测的结果，各监测点噪声监测值均可以满足《声环境质量标准》（GB3096-2008）的相应标准。</w:t>
      </w:r>
    </w:p>
    <w:p>
      <w:pPr>
        <w:spacing w:line="360" w:lineRule="auto"/>
        <w:ind w:firstLine="480" w:firstLineChars="200"/>
        <w:rPr>
          <w:rFonts w:ascii="Times New Roman" w:hAnsi="Times New Roman" w:cs="Times New Roman"/>
        </w:rPr>
      </w:pPr>
      <w:r>
        <w:rPr>
          <w:rFonts w:hint="eastAsia" w:ascii="Times New Roman" w:hAnsi="Times New Roman" w:cs="Times New Roman"/>
        </w:rPr>
        <w:t>根据噪声影响分析及评价结果，园区规划实施后，其主要噪声源产生的声环境质量影响将局限在较小范围内，将不会对整个园区及周边的声环境质量带来明显的不良影响，在保证各入园企业各自的厂界噪声达标，该区域的噪声可以满足其功能区的要求。</w:t>
      </w:r>
    </w:p>
    <w:p>
      <w:pPr>
        <w:spacing w:line="360" w:lineRule="auto"/>
        <w:ind w:firstLine="480" w:firstLineChars="200"/>
        <w:rPr>
          <w:rFonts w:ascii="Times New Roman" w:hAnsi="Times New Roman" w:cs="Times New Roman"/>
        </w:rPr>
      </w:pPr>
      <w:r>
        <w:rPr>
          <w:rFonts w:hint="eastAsia" w:ascii="Times New Roman" w:hAnsi="Times New Roman" w:cs="Times New Roman"/>
        </w:rPr>
        <w:t>评价建议园区建成后，加强车流组织与交通管理，规定过境车辆、重型运输车辆的形式线路，避免交通噪声的影响扩散到整个区域；加强固定源噪声控制，企业严格执行“三同时”。在企业、公建设施建设前期环评阶段就应对固定噪声源的位置布局、控制措施提出要求，并在建设中落实“三同时”的要求，确保其达标排放，规划对声环境指标具有可达性。</w:t>
      </w:r>
    </w:p>
    <w:p>
      <w:pPr>
        <w:pStyle w:val="5"/>
        <w:ind w:firstLine="482"/>
      </w:pPr>
      <w:r>
        <w:rPr>
          <w:rFonts w:hint="eastAsia"/>
        </w:rPr>
        <w:t>7.1.5.4 固体废物控制目标的可达性分析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规划区对生活垃圾、一般工业固废、危险废物的处理处置符合“资源化、减量化和无害化”的原则。对生活垃圾分类收集、优先综合回收利用，不能利用的生活垃圾送生活垃圾处理厂处理，生活垃圾处置率达到100%。对一般固废优先综合回收利用，逐步完善园区一般固废综合利用途径，开展区内循环经济规划。危险废物通过企业自身的贮存，定期交由有资质单位进行处置，园区建立危废产生、利用、处置量台账，确保危险废物不遗漏至外环境，因此，规划固体废物控制目标是可行的。</w:t>
      </w:r>
    </w:p>
    <w:p>
      <w:pPr>
        <w:pStyle w:val="5"/>
        <w:ind w:firstLine="482"/>
      </w:pPr>
      <w:r>
        <w:rPr>
          <w:rFonts w:hint="eastAsia"/>
        </w:rPr>
        <w:t>7.1.5.5 生态环境保护目标的可达性分析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在建设过程中通过实施优化布局、完善环保基础设施、生态绿化和加强环境管理等措施，可以有效降低或减缓区域开发活动对生态环境的负面影响，通过实施生态补偿措施，可尽量减少规划区的生态环境影响。</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综上所述，本项目具有规划合理性和环境可行性。</w:t>
      </w:r>
    </w:p>
    <w:p>
      <w:pPr>
        <w:pStyle w:val="5"/>
        <w:ind w:firstLine="482"/>
      </w:pPr>
      <w:r>
        <w:rPr>
          <w:rFonts w:hint="eastAsia"/>
        </w:rPr>
        <w:t>7.1.5.6 资源能耗指标可达性分析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高新区现状企业主要使用电，部分企业使用煤，园区规划使用天然气、电能等清洁能源，部分企业因工艺需要消耗部分煤，需严格按照《完善能源消费强度和总量双控制度方案》落实双控要求。后续加强企业的能源评估和清洁生产水平，促进园区能耗水平逐步降低，同时加快区域天然气管网的基础设施建设，因此资源消耗可满足规划目标。</w:t>
      </w:r>
    </w:p>
    <w:p>
      <w:pPr>
        <w:pStyle w:val="5"/>
        <w:ind w:firstLine="482"/>
      </w:pPr>
      <w:r>
        <w:rPr>
          <w:rFonts w:hint="eastAsia"/>
        </w:rPr>
        <w:t>7.1.5.7 环境管理目标的可达性分析</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环境管理组织机构由岳阳市生态环境局临湘分局和园区管理委员会组成。岳阳市生态环境局临湘分局作为上级生态环境主管部门，对园区的环境管理负责监督与管理，园区由一名主要领导主管环保工作负责处理园区环保方面的日常事务。</w:t>
      </w:r>
    </w:p>
    <w:p>
      <w:pPr>
        <w:spacing w:line="360" w:lineRule="auto"/>
        <w:ind w:firstLine="480" w:firstLineChars="200"/>
        <w:rPr>
          <w:rFonts w:ascii="Times New Roman" w:hAnsi="Times New Roman" w:cs="Times New Roman"/>
        </w:rPr>
      </w:pPr>
      <w:r>
        <w:rPr>
          <w:rFonts w:hint="eastAsia" w:ascii="Times New Roman" w:hAnsi="Times New Roman" w:cs="Times New Roman"/>
        </w:rPr>
        <w:t>督促园区内企业依法办理环评手续，区内重点污染源达标排放，并加强对重点清洁生产的企业进行审核和验收，并加强园区内的企业的环境管理。落实一企一档、一园一档的管理要求，故环境管理的目标可达。</w:t>
      </w:r>
    </w:p>
    <w:p>
      <w:pPr>
        <w:pStyle w:val="4"/>
      </w:pPr>
      <w:bookmarkStart w:id="753" w:name="_Toc146092020"/>
      <w:r>
        <w:rPr>
          <w:rFonts w:hint="eastAsia"/>
        </w:rPr>
        <w:t>7.1.6 规划方案环境效益论证</w:t>
      </w:r>
      <w:bookmarkEnd w:id="753"/>
    </w:p>
    <w:p>
      <w:pPr>
        <w:spacing w:line="360" w:lineRule="auto"/>
        <w:ind w:firstLine="480" w:firstLineChars="200"/>
        <w:rPr>
          <w:rFonts w:ascii="Times New Roman" w:hAnsi="Times New Roman" w:cs="Times New Roman"/>
        </w:rPr>
      </w:pPr>
      <w:r>
        <w:rPr>
          <w:rFonts w:ascii="Times New Roman" w:hAnsi="Times New Roman" w:cs="Times New Roman"/>
        </w:rPr>
        <w:t>临湘高新技术产业开发区</w:t>
      </w:r>
      <w:r>
        <w:rPr>
          <w:rFonts w:hint="eastAsia" w:ascii="Times New Roman" w:hAnsi="Times New Roman" w:cs="Times New Roman"/>
        </w:rPr>
        <w:t>规划范围不涉及生态红线，不占用自然保护区、风景名胜区、饮用水源保护区。高新区主区规划产业发展定位以建设“长江经济带转型升级引领区、中非经贸产业合作先行区、国家级高新技术产业创建区、湘北承接产业转移示范区”为依托，形成以绿色化工为主导产业、以浮标（钓具）及加工制造为特色产业的“一主一特”的产业生态圈。规划实施对区域产业结构的调整升级起到积极推进作用，符合省、市中有关的产业定位要求，符合相关十四五规划要求。规划实施是推动工业化、城镇化快速发展和对外开放的重要平台，在聚集优势产业和增长新动力、引领经济结构优化调整和发展方式转变方面有着重要的作用。</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园区的能源结构主要以电能、天然气等清洁能源为主，企业废气均做到达标排放；生产、生活废水收集后送至集中污水处理厂处理达标后外排，同时要求化工企业实施“一企一管”。</w:t>
      </w:r>
    </w:p>
    <w:p>
      <w:pPr>
        <w:spacing w:line="360" w:lineRule="auto"/>
        <w:ind w:firstLine="480" w:firstLineChars="200"/>
        <w:rPr>
          <w:rFonts w:ascii="Times New Roman" w:hAnsi="Times New Roman" w:cs="Times New Roman"/>
        </w:rPr>
      </w:pPr>
      <w:r>
        <w:rPr>
          <w:rFonts w:hint="eastAsia" w:ascii="Times New Roman" w:hAnsi="Times New Roman" w:cs="Times New Roman"/>
        </w:rPr>
        <w:t>园区规划的产业中涉及到危险化学品较多，经采取各项措施后，园区总体上环境风险可接受。</w:t>
      </w:r>
    </w:p>
    <w:p>
      <w:pPr>
        <w:spacing w:line="360" w:lineRule="auto"/>
        <w:ind w:firstLine="480" w:firstLineChars="200"/>
        <w:rPr>
          <w:rFonts w:ascii="Times New Roman" w:hAnsi="Times New Roman" w:cs="Times New Roman"/>
        </w:rPr>
      </w:pPr>
      <w:r>
        <w:rPr>
          <w:rFonts w:hint="eastAsia" w:ascii="Times New Roman" w:hAnsi="Times New Roman" w:cs="Times New Roman"/>
        </w:rPr>
        <w:t>规划方案总体符合区域可持续发展战略，规划的实施符合省委省政府、岳阳市、临湘市发展的战略部署，将带动临湘市的经济发展，创建良好的经济效益，对区域经济发展有着重要作用。在规划实施过程中应进一步加强对生态环境保护，在维持生态系统稳定的基础上，逐步提高生态系统的服务功能。</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综上所述，本规划的实施对于临湘市优化空间布局、产业升级、区域可持续发展等方面都起到较好的环境效益。</w:t>
      </w:r>
    </w:p>
    <w:p>
      <w:pPr>
        <w:pStyle w:val="3"/>
      </w:pPr>
      <w:bookmarkStart w:id="754" w:name="_Toc146092021"/>
      <w:r>
        <w:rPr>
          <w:rFonts w:hint="eastAsia"/>
        </w:rPr>
        <w:t>7.2本次扩区主要环境制约因素及解决对策</w:t>
      </w:r>
      <w:bookmarkEnd w:id="754"/>
    </w:p>
    <w:p>
      <w:pPr>
        <w:pStyle w:val="6"/>
      </w:pPr>
      <w:r>
        <w:rPr>
          <w:rFonts w:hint="eastAsia"/>
        </w:rPr>
        <w:t>表7.2-1  扩区主要环境制约因素及解决对策</w:t>
      </w: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pStyle w:val="3"/>
      </w:pPr>
      <w:bookmarkStart w:id="755" w:name="_Toc146092022"/>
      <w:r>
        <w:rPr>
          <w:rFonts w:hint="eastAsia"/>
        </w:rPr>
        <w:t>7.3规划优化调整建议及规划互动</w:t>
      </w:r>
      <w:bookmarkEnd w:id="755"/>
    </w:p>
    <w:p>
      <w:pPr>
        <w:pStyle w:val="4"/>
      </w:pPr>
      <w:bookmarkStart w:id="756" w:name="_Toc146092023"/>
      <w:r>
        <w:rPr>
          <w:rFonts w:hint="eastAsia"/>
        </w:rPr>
        <w:t>7.3.1 规划优化调整建议</w:t>
      </w:r>
      <w:bookmarkEnd w:id="756"/>
    </w:p>
    <w:p>
      <w:pPr>
        <w:spacing w:line="360" w:lineRule="auto"/>
        <w:ind w:firstLine="480" w:firstLineChars="200"/>
        <w:rPr>
          <w:rFonts w:ascii="Times New Roman" w:hAnsi="Times New Roman" w:cs="Times New Roman"/>
        </w:rPr>
      </w:pPr>
      <w:r>
        <w:rPr>
          <w:rFonts w:hint="eastAsia" w:ascii="Times New Roman" w:hAnsi="Times New Roman" w:cs="Times New Roman"/>
        </w:rPr>
        <w:t>根据前述章节对规划方案的分析及规划实施的环境影响预测分析，本次环评针对规划方案的分析结果及建议如下。</w:t>
      </w:r>
    </w:p>
    <w:p>
      <w:pPr>
        <w:pStyle w:val="6"/>
      </w:pPr>
      <w:r>
        <w:rPr>
          <w:rFonts w:hint="eastAsia"/>
        </w:rPr>
        <w:t>表7.3-1  规划优化调整建议一览表</w:t>
      </w: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pStyle w:val="4"/>
      </w:pPr>
      <w:bookmarkStart w:id="757" w:name="_Toc146092024"/>
      <w:r>
        <w:rPr>
          <w:rFonts w:hint="eastAsia"/>
        </w:rPr>
        <w:t>7.3.2 规划环评与规划编制互动情况</w:t>
      </w:r>
      <w:bookmarkEnd w:id="757"/>
    </w:p>
    <w:p>
      <w:pPr>
        <w:spacing w:line="360" w:lineRule="auto"/>
        <w:ind w:firstLine="480" w:firstLineChars="200"/>
        <w:rPr>
          <w:rFonts w:ascii="Times New Roman" w:hAnsi="Times New Roman" w:cs="Times New Roman"/>
        </w:rPr>
      </w:pPr>
      <w:r>
        <w:rPr>
          <w:rFonts w:hint="eastAsia" w:ascii="Times New Roman" w:hAnsi="Times New Roman" w:cs="Times New Roman"/>
        </w:rPr>
        <w:t>自接受该规划环评委托后，随着环境影响评价工作的进行，环评单位与规划实施单位、规划编制单位进行了多次互动，规划内容进行了多次调整。特别是对用地布局和用地结构等情况，减少了规划的不确定性，以降低规划实施产生的不良影响。规划互动情况汇总如下：</w:t>
      </w:r>
    </w:p>
    <w:p>
      <w:pPr>
        <w:pStyle w:val="6"/>
      </w:pPr>
      <w:r>
        <w:rPr>
          <w:rFonts w:hint="eastAsia"/>
        </w:rPr>
        <w:t>表7.3-2   规划互动情况汇总</w:t>
      </w: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sectPr>
          <w:pgSz w:w="11907" w:h="16839"/>
          <w:pgMar w:top="1440" w:right="1797" w:bottom="1440" w:left="1797" w:header="851" w:footer="680" w:gutter="0"/>
          <w:cols w:space="425" w:num="1"/>
          <w:docGrid w:linePitch="326" w:charSpace="0"/>
        </w:sectPr>
      </w:pPr>
    </w:p>
    <w:p>
      <w:pPr>
        <w:pStyle w:val="2"/>
        <w:spacing w:before="120" w:after="120"/>
      </w:pPr>
      <w:bookmarkStart w:id="758" w:name="_Toc146092025"/>
      <w:r>
        <w:rPr>
          <w:rFonts w:hint="eastAsia"/>
        </w:rPr>
        <w:t>第8章 不良环境影响减缓对策措施与协同降碳建议</w:t>
      </w:r>
      <w:bookmarkEnd w:id="758"/>
    </w:p>
    <w:p>
      <w:pPr>
        <w:spacing w:line="360" w:lineRule="auto"/>
        <w:ind w:firstLine="480" w:firstLineChars="200"/>
        <w:rPr>
          <w:rFonts w:ascii="Times New Roman" w:hAnsi="Times New Roman" w:cs="Times New Roman"/>
        </w:rPr>
      </w:pPr>
      <w:r>
        <w:rPr>
          <w:rFonts w:hint="eastAsia" w:ascii="Times New Roman" w:hAnsi="Times New Roman" w:cs="Times New Roman"/>
        </w:rPr>
        <w:t>本次评价提出对规划实施过程中各项不良环境影响的减缓措施。减缓措施包含各个方面，总结了上面各专项环境影响评价的结果，包括产业结构、管理措施、生态保护措施、施工期和运营期的污染防治对策等。具体内容如下：</w:t>
      </w:r>
    </w:p>
    <w:p>
      <w:pPr>
        <w:pStyle w:val="3"/>
      </w:pPr>
      <w:bookmarkStart w:id="759" w:name="_Toc146092026"/>
      <w:r>
        <w:rPr>
          <w:rFonts w:hint="eastAsia"/>
        </w:rPr>
        <w:t>8.1 资源节约与碳减排</w:t>
      </w:r>
      <w:bookmarkEnd w:id="759"/>
    </w:p>
    <w:p>
      <w:pPr>
        <w:pStyle w:val="4"/>
      </w:pPr>
      <w:bookmarkStart w:id="760" w:name="_Toc146092027"/>
      <w:r>
        <w:rPr>
          <w:rFonts w:hint="eastAsia"/>
        </w:rPr>
        <w:t>8.1.1 资源节约利用</w:t>
      </w:r>
      <w:bookmarkEnd w:id="760"/>
    </w:p>
    <w:p>
      <w:pPr>
        <w:pStyle w:val="5"/>
        <w:ind w:firstLine="482"/>
      </w:pPr>
      <w:r>
        <w:rPr>
          <w:rFonts w:hint="eastAsia"/>
        </w:rPr>
        <w:t>8.1.1.1坚持绿色、高质量发展，推动工业转型升级</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加强源头管控，把调整结构、转型升级作为治本之策，转变产业发展方向，培育壮大新型化工和高附加值、污染程度低的的精细化工、基础化工、化工新材料产业，推动传统产业智能化、清洁化改造，全面节约能源资源，加快构建绿色生产和产业升级改造的政策体系，树立行业标杆，协同推进区域环境综合整治和企业升级改造。以较少的资源能源消耗、较低的污染排放、较小的生态影响协同推动经济高质量发展和生态环境高水平保护，最终实现区域环境质量改善目标。</w:t>
      </w:r>
    </w:p>
    <w:p>
      <w:pPr>
        <w:pStyle w:val="5"/>
        <w:ind w:firstLine="482"/>
      </w:pPr>
      <w:r>
        <w:rPr>
          <w:rFonts w:hint="eastAsia"/>
        </w:rPr>
        <w:t>8.1.1.2 优化产业结构与布局</w:t>
      </w:r>
    </w:p>
    <w:p>
      <w:pPr>
        <w:spacing w:line="360" w:lineRule="auto"/>
        <w:ind w:firstLine="480" w:firstLineChars="200"/>
        <w:rPr>
          <w:rFonts w:ascii="Times New Roman" w:hAnsi="Times New Roman" w:cs="Times New Roman"/>
        </w:rPr>
      </w:pPr>
      <w:r>
        <w:rPr>
          <w:rFonts w:hint="eastAsia" w:ascii="Times New Roman" w:hAnsi="Times New Roman" w:cs="Times New Roman"/>
        </w:rPr>
        <w:t>需要挖掘传统化工与新型化工产业发展的契合点，推动传统产业向高附加值、绿色环保方向转型，由传统化工向化工新材料方向发展，实现传统产业升级改造。</w:t>
      </w:r>
    </w:p>
    <w:p>
      <w:pPr>
        <w:spacing w:line="360" w:lineRule="auto"/>
        <w:ind w:firstLine="480" w:firstLineChars="200"/>
        <w:rPr>
          <w:rFonts w:ascii="Times New Roman" w:hAnsi="Times New Roman" w:cs="Times New Roman"/>
        </w:rPr>
      </w:pPr>
      <w:r>
        <w:rPr>
          <w:rFonts w:hint="eastAsia" w:ascii="Times New Roman" w:hAnsi="Times New Roman" w:cs="Times New Roman"/>
        </w:rPr>
        <w:t>（一）调整能源结构，实现节能提效</w:t>
      </w:r>
    </w:p>
    <w:p>
      <w:pPr>
        <w:spacing w:line="360" w:lineRule="auto"/>
        <w:ind w:firstLine="480" w:firstLineChars="200"/>
        <w:rPr>
          <w:rFonts w:ascii="Times New Roman" w:hAnsi="Times New Roman" w:cs="Times New Roman"/>
        </w:rPr>
      </w:pPr>
      <w:r>
        <w:rPr>
          <w:rFonts w:hint="eastAsia" w:ascii="Times New Roman" w:hAnsi="Times New Roman" w:cs="Times New Roman"/>
        </w:rPr>
        <w:t>（1）规划区能源结构以电、天然气为主</w:t>
      </w:r>
    </w:p>
    <w:p>
      <w:pPr>
        <w:spacing w:line="360" w:lineRule="auto"/>
        <w:ind w:firstLine="480" w:firstLineChars="200"/>
        <w:rPr>
          <w:rFonts w:ascii="Times New Roman" w:hAnsi="Times New Roman" w:cs="Times New Roman"/>
        </w:rPr>
      </w:pPr>
      <w:r>
        <w:rPr>
          <w:rFonts w:hint="eastAsia" w:ascii="Times New Roman" w:hAnsi="Times New Roman" w:cs="Times New Roman"/>
        </w:rPr>
        <w:t>规划区加强清洁能源供应保障，扩大园区电力、天然气等清洁能源供应能力。</w:t>
      </w:r>
    </w:p>
    <w:p>
      <w:pPr>
        <w:spacing w:line="360" w:lineRule="auto"/>
        <w:ind w:firstLine="480" w:firstLineChars="200"/>
        <w:rPr>
          <w:rFonts w:ascii="Times New Roman" w:hAnsi="Times New Roman" w:cs="Times New Roman"/>
        </w:rPr>
      </w:pPr>
      <w:r>
        <w:rPr>
          <w:rFonts w:hint="eastAsia" w:ascii="Times New Roman" w:hAnsi="Times New Roman" w:cs="Times New Roman"/>
        </w:rPr>
        <w:t>（2）促进节能减排和资源循环利用</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以高效节能、资源循环为主攻方向，大力推进重点领域、重点行业节能减排工作，并在生产、流通、消费各环节发展循环经济，具体举措如下：1）要发展循环经济，按照减量化、再利用、资源化的原则，加快建立循环型工业体系，完善再生资源回收体系，实现园区内部的延链、补链及综合利用的循环链；2）要推进节能减排，发挥节能与减排的协同促进作用，全面推动重点领域节能减排；3）鼓励园区企业积极推行重点行业清洁生产审核工作，鼓励节能降耗；4）加大节能环保关键共性技术攻关，加快突破能源高效和分质梯级利用、污染物防治和安全处置、资源回收和循环利用等关键技术和装备，促进节能环保产业发展，最终实现园区绿色低碳循环发展。</w:t>
      </w:r>
    </w:p>
    <w:p>
      <w:pPr>
        <w:pStyle w:val="5"/>
        <w:ind w:firstLine="482"/>
      </w:pPr>
      <w:r>
        <w:rPr>
          <w:rFonts w:hint="eastAsia"/>
        </w:rPr>
        <w:t>8.1.1.3 落实“三线一单”，实现精细化管控</w:t>
      </w:r>
    </w:p>
    <w:p>
      <w:pPr>
        <w:spacing w:line="360" w:lineRule="auto"/>
        <w:ind w:firstLine="480" w:firstLineChars="200"/>
        <w:rPr>
          <w:rFonts w:ascii="Times New Roman" w:hAnsi="Times New Roman" w:cs="Times New Roman"/>
        </w:rPr>
      </w:pPr>
      <w:r>
        <w:rPr>
          <w:rFonts w:hint="eastAsia" w:ascii="Times New Roman" w:hAnsi="Times New Roman" w:cs="Times New Roman"/>
        </w:rPr>
        <w:t>（1）参与综合决策、服务高质量发展</w:t>
      </w:r>
    </w:p>
    <w:p>
      <w:pPr>
        <w:spacing w:line="360" w:lineRule="auto"/>
        <w:ind w:firstLine="480" w:firstLineChars="200"/>
        <w:rPr>
          <w:rFonts w:ascii="Times New Roman" w:hAnsi="Times New Roman" w:cs="Times New Roman"/>
        </w:rPr>
      </w:pPr>
      <w:r>
        <w:rPr>
          <w:rFonts w:hint="eastAsia" w:ascii="Times New Roman" w:hAnsi="Times New Roman" w:cs="Times New Roman"/>
        </w:rPr>
        <w:t>本次评价充分衔接《湖南省“三线一单”生态环境总体管控要求暨省级以上产业园区生态环境准入清单》、《岳阳市“三线一单”生态环境管控基本要求暨环境管控单元（省级以上产业园区除外）生态环境准入清单》，结合园区空间布局、资源保护与利用、生态环境保护特点及突出环境问题，进一步细化相关生态功能保护、环境质量改善、污染防治、资源开发利用等方面的具体目标、环境管控要求及对策措施，提出了园区规划实施清单式环境管理对策建议。园区管委会应加强本次规划环评成果在各部门间的共享与应用，加强生态保护红线、环境质量底线和资源利用上线管控，在环境管理政策制定、规划所包含项目的布局和生态环境准入、日常企业执法监管、与岳阳市国土空间规划衔接等过程中不得变通、突破、降低标准。通过落实“三线一单”和清单式环境管理对策建议，为园区现有产业转型发展、规划项目有序实施、资源高效利用、空间合理规划和产业严格准入提供依据，为管委会制定出台有利于生态环境保护的招商手册、环境管理要点、现有企业提升方案等细化配套政策提供支撑，加快形成生态环境推动引领高质量发展的良性格局。</w:t>
      </w:r>
    </w:p>
    <w:p>
      <w:pPr>
        <w:spacing w:line="360" w:lineRule="auto"/>
        <w:ind w:firstLine="480" w:firstLineChars="200"/>
        <w:rPr>
          <w:rFonts w:ascii="Times New Roman" w:hAnsi="Times New Roman" w:cs="Times New Roman"/>
        </w:rPr>
      </w:pPr>
      <w:r>
        <w:rPr>
          <w:rFonts w:hint="eastAsia" w:ascii="Times New Roman" w:hAnsi="Times New Roman" w:cs="Times New Roman"/>
        </w:rPr>
        <w:t>（2）以改善环境质量为核心，实现精细化管控</w:t>
      </w:r>
    </w:p>
    <w:p>
      <w:pPr>
        <w:spacing w:line="360" w:lineRule="auto"/>
        <w:ind w:firstLine="480" w:firstLineChars="200"/>
        <w:rPr>
          <w:rFonts w:ascii="Times New Roman" w:hAnsi="Times New Roman" w:cs="Times New Roman"/>
        </w:rPr>
      </w:pPr>
      <w:r>
        <w:rPr>
          <w:rFonts w:hint="eastAsia" w:ascii="Times New Roman" w:hAnsi="Times New Roman" w:cs="Times New Roman"/>
        </w:rPr>
        <w:t>本次评价提出的环境影响减缓对策措施、清单式环境管理对策建议均以改善环境质量为核心，规范园区规划实施的开发行为和准入要求，园区应重点做好以下工作：1）加强规划项目环评与本次规划环评工作的衔接，将成果要求作为规划方案、建设项目环境合理性论证的基础依据，形成“三线一单”~规划环评~项目环评的联动管理体系；2）以精细化管控为导向，系统分解本次规划环评提出的要求，并逐项加以落实，针对区域、行业特点，聚焦问题、分类施策，精准治污、强力推进，推动污染源管理、污染物排放和环境质量目标的联动管理，最终实现治理体系和治理能力现代化。</w:t>
      </w:r>
    </w:p>
    <w:p>
      <w:pPr>
        <w:pStyle w:val="5"/>
        <w:ind w:firstLine="482"/>
      </w:pPr>
      <w:r>
        <w:rPr>
          <w:rFonts w:hint="eastAsia"/>
        </w:rPr>
        <w:t>8.1.1.4 严格落实“环环评〔2021〕45号”文件要求</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园区后续开发建设过程中应严格落实《关于加强高能耗、高排放建设项目生态环境源头防控的指导意见》（环环评〔2021〕45号）的要求。</w:t>
      </w:r>
    </w:p>
    <w:p>
      <w:pPr>
        <w:spacing w:line="360" w:lineRule="auto"/>
        <w:ind w:firstLine="480" w:firstLineChars="200"/>
        <w:rPr>
          <w:rFonts w:ascii="Times New Roman" w:hAnsi="Times New Roman" w:cs="Times New Roman"/>
        </w:rPr>
      </w:pPr>
      <w:r>
        <w:rPr>
          <w:rFonts w:hint="eastAsia" w:ascii="Times New Roman" w:hAnsi="Times New Roman" w:cs="Times New Roman"/>
        </w:rPr>
        <w:t>（1）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p>
      <w:pPr>
        <w:spacing w:line="360" w:lineRule="auto"/>
        <w:ind w:firstLine="480" w:firstLineChars="200"/>
        <w:rPr>
          <w:rFonts w:ascii="Times New Roman" w:hAnsi="Times New Roman" w:cs="Times New Roman"/>
        </w:rPr>
      </w:pPr>
      <w:r>
        <w:rPr>
          <w:rFonts w:hint="eastAsia" w:ascii="Times New Roman" w:hAnsi="Times New Roman" w:cs="Times New Roman"/>
        </w:rPr>
        <w:t>（2）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p>
    <w:p>
      <w:pPr>
        <w:spacing w:line="360" w:lineRule="auto"/>
        <w:ind w:firstLine="480" w:firstLineChars="200"/>
        <w:rPr>
          <w:rFonts w:ascii="Times New Roman" w:hAnsi="Times New Roman" w:cs="Times New Roman"/>
        </w:rPr>
      </w:pPr>
      <w:r>
        <w:rPr>
          <w:rFonts w:hint="eastAsia" w:ascii="Times New Roman" w:hAnsi="Times New Roman" w:cs="Times New Roman"/>
        </w:rPr>
        <w:t>（3）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p>
      <w:pPr>
        <w:spacing w:line="360" w:lineRule="auto"/>
        <w:ind w:firstLine="480" w:firstLineChars="200"/>
        <w:rPr>
          <w:rFonts w:ascii="Times New Roman" w:hAnsi="Times New Roman" w:cs="Times New Roman"/>
        </w:rPr>
      </w:pPr>
      <w:r>
        <w:rPr>
          <w:rFonts w:hint="eastAsia" w:ascii="Times New Roman" w:hAnsi="Times New Roman" w:cs="Times New Roman"/>
        </w:rPr>
        <w:t>（4）将碳排放影响评价纳入环境影响评价体系。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p>
      <w:pPr>
        <w:pStyle w:val="4"/>
      </w:pPr>
      <w:bookmarkStart w:id="761" w:name="_Toc146092028"/>
      <w:r>
        <w:rPr>
          <w:rFonts w:hint="eastAsia"/>
        </w:rPr>
        <w:t>8.1.2 碳排放</w:t>
      </w:r>
      <w:bookmarkEnd w:id="761"/>
    </w:p>
    <w:p>
      <w:pPr>
        <w:pStyle w:val="5"/>
        <w:ind w:firstLine="482"/>
      </w:pPr>
      <w:r>
        <w:rPr>
          <w:rFonts w:hint="eastAsia"/>
        </w:rPr>
        <w:t>8.1.2.1 园区碳中和、碳达峰行动方案</w:t>
      </w:r>
    </w:p>
    <w:p>
      <w:pPr>
        <w:spacing w:line="360" w:lineRule="auto"/>
        <w:ind w:firstLine="480" w:firstLineChars="200"/>
        <w:rPr>
          <w:rFonts w:ascii="Times New Roman" w:hAnsi="Times New Roman" w:cs="Times New Roman"/>
        </w:rPr>
      </w:pPr>
      <w:r>
        <w:rPr>
          <w:rFonts w:hint="eastAsia" w:ascii="Times New Roman" w:hAnsi="Times New Roman" w:cs="Times New Roman"/>
        </w:rPr>
        <w:t>（1）基本原则</w:t>
      </w:r>
    </w:p>
    <w:p>
      <w:pPr>
        <w:spacing w:line="360" w:lineRule="auto"/>
        <w:ind w:firstLine="480" w:firstLineChars="200"/>
        <w:rPr>
          <w:rFonts w:ascii="Times New Roman" w:hAnsi="Times New Roman" w:cs="Times New Roman"/>
        </w:rPr>
      </w:pPr>
      <w:r>
        <w:rPr>
          <w:rFonts w:hint="eastAsia" w:ascii="Times New Roman" w:hAnsi="Times New Roman" w:cs="Times New Roman"/>
        </w:rPr>
        <w:t>根据《关于统筹和加强应对气候变化与生态环境保护相关工作的指导意见》（环综合〔2021〕4号）和《环境影响评价与排污许可领域协同推进碳减排工作方案》等相关文件要求可知基本原则如下：</w:t>
      </w:r>
    </w:p>
    <w:p>
      <w:pPr>
        <w:spacing w:line="360" w:lineRule="auto"/>
        <w:ind w:firstLine="480" w:firstLineChars="200"/>
        <w:rPr>
          <w:rFonts w:ascii="Times New Roman" w:hAnsi="Times New Roman" w:cs="Times New Roman"/>
        </w:rPr>
      </w:pPr>
      <w:r>
        <w:rPr>
          <w:rFonts w:hint="eastAsia" w:ascii="Times New Roman" w:hAnsi="Times New Roman" w:cs="Times New Roman"/>
        </w:rPr>
        <w:t>坚持目标导向。围绕落实碳达峰目标与碳中和愿景，统筹推进应对气候变化与生态环境保护相关工作，加强顶层设计，着力解决与新形势新任务新要求不相适应的问题，协同推动经济高质量发展和生态环境高水平保护。</w:t>
      </w:r>
    </w:p>
    <w:p>
      <w:pPr>
        <w:spacing w:line="360" w:lineRule="auto"/>
        <w:ind w:firstLine="480" w:firstLineChars="200"/>
        <w:rPr>
          <w:rFonts w:ascii="Times New Roman" w:hAnsi="Times New Roman" w:cs="Times New Roman"/>
        </w:rPr>
      </w:pPr>
      <w:r>
        <w:rPr>
          <w:rFonts w:hint="eastAsia" w:ascii="Times New Roman" w:hAnsi="Times New Roman" w:cs="Times New Roman"/>
        </w:rPr>
        <w:t>强化统筹协调。应对气候变化与生态环境保护相关工作统一谋划、统一布置、统一实施、统一检查，建立健全统筹融合的战略、规划、政策和行动体系。</w:t>
      </w:r>
    </w:p>
    <w:p>
      <w:pPr>
        <w:spacing w:line="360" w:lineRule="auto"/>
        <w:ind w:firstLine="480" w:firstLineChars="200"/>
        <w:rPr>
          <w:rFonts w:ascii="Times New Roman" w:hAnsi="Times New Roman" w:cs="Times New Roman"/>
        </w:rPr>
      </w:pPr>
      <w:r>
        <w:rPr>
          <w:rFonts w:hint="eastAsia" w:ascii="Times New Roman" w:hAnsi="Times New Roman" w:cs="Times New Roman"/>
        </w:rPr>
        <w:t>突出协同增效。把降碳作为源头治理的“牛鼻子”，协同控制温室气体与污染物排放，协同推进适应气候变化与生态保护修复等工作，支撑深入打好污染防治攻坚战和二氧化碳排放达峰行动。</w:t>
      </w:r>
    </w:p>
    <w:p>
      <w:pPr>
        <w:spacing w:line="360" w:lineRule="auto"/>
        <w:ind w:firstLine="480" w:firstLineChars="200"/>
        <w:rPr>
          <w:rFonts w:ascii="Times New Roman" w:hAnsi="Times New Roman" w:cs="Times New Roman"/>
        </w:rPr>
      </w:pPr>
      <w:r>
        <w:rPr>
          <w:rFonts w:hint="eastAsia" w:ascii="Times New Roman" w:hAnsi="Times New Roman" w:cs="Times New Roman"/>
        </w:rPr>
        <w:t>（2）主要目标</w:t>
      </w:r>
    </w:p>
    <w:p>
      <w:pPr>
        <w:spacing w:line="360" w:lineRule="auto"/>
        <w:ind w:firstLine="480" w:firstLineChars="200"/>
        <w:rPr>
          <w:rFonts w:ascii="Times New Roman" w:hAnsi="Times New Roman" w:cs="Times New Roman"/>
        </w:rPr>
      </w:pPr>
      <w:r>
        <w:rPr>
          <w:rFonts w:hint="eastAsia" w:ascii="Times New Roman" w:hAnsi="Times New Roman" w:cs="Times New Roman"/>
        </w:rPr>
        <w:t>到2022年，搭建与碳达峰目标相适应的环境影响评价技术体系，开展重点区域、重点行业污染与碳排放协同环境影响评价、排污许可试点，充分利用规划环评、项目环评和排污许可数据，对地方碳达峰工作开展评估，推动碳排放控制目标落实。到2025年，基本形成与碳达峰、碳中和目标相适应的环境影响评价制度，建立污染物与温室气体协同管理的排污许可制度，以增强协同效应、提升管理效能为原则建立系统化管理机制，推动形成覆盖环境准入、排放许可、监测统计、核算核查、监督执法等建设项目全生命周期的污染防治与应对气候变化综合管理体系。</w:t>
      </w:r>
    </w:p>
    <w:p>
      <w:pPr>
        <w:spacing w:line="360" w:lineRule="auto"/>
        <w:ind w:firstLine="480" w:firstLineChars="200"/>
        <w:rPr>
          <w:rFonts w:ascii="Times New Roman" w:hAnsi="Times New Roman" w:cs="Times New Roman"/>
        </w:rPr>
      </w:pPr>
      <w:r>
        <w:rPr>
          <w:rFonts w:hint="eastAsia" w:ascii="Times New Roman" w:hAnsi="Times New Roman" w:cs="Times New Roman"/>
        </w:rPr>
        <w:t>在十四五”期间，应对气候变化与生态环境保护相关工作统筹融合的格局总体形成，协同优化高效的工作体系基本建立，在统一政策规划标准制定、统一监测评估、统一监督执法、统一督察问责等方面取得关键进展，气候治理能力明显提升。到2030年前，应对气候变化与生态环境保护相关工作整体合力充分发挥，生态环境治理体系和治理能力稳步提升，为实现二氧化碳排放达峰目标与碳中和愿景提供支撑。</w:t>
      </w:r>
    </w:p>
    <w:p>
      <w:pPr>
        <w:spacing w:line="360" w:lineRule="auto"/>
        <w:ind w:firstLine="480" w:firstLineChars="200"/>
        <w:rPr>
          <w:rFonts w:ascii="Times New Roman" w:hAnsi="Times New Roman" w:cs="Times New Roman"/>
        </w:rPr>
      </w:pPr>
      <w:r>
        <w:rPr>
          <w:rFonts w:hint="eastAsia" w:ascii="Times New Roman" w:hAnsi="Times New Roman" w:cs="Times New Roman"/>
        </w:rPr>
        <w:t>（3）园区碳达峰路线和目标</w:t>
      </w:r>
    </w:p>
    <w:p>
      <w:pPr>
        <w:spacing w:line="360" w:lineRule="auto"/>
        <w:ind w:firstLine="480" w:firstLineChars="200"/>
        <w:rPr>
          <w:rFonts w:ascii="Times New Roman" w:hAnsi="Times New Roman" w:cs="Times New Roman"/>
        </w:rPr>
      </w:pPr>
      <w:r>
        <w:rPr>
          <w:rFonts w:hint="eastAsia" w:ascii="Times New Roman" w:hAnsi="Times New Roman" w:cs="Times New Roman"/>
        </w:rPr>
        <w:t>目前，湖南省和岳阳市虽然暂未公布碳达峰方案，但在湖南省和岳阳市国民经济和社会发展规划中均规划打造依托长岭炼化、巴陵石化等龙头企业的千亿石油化工产业，本规划的碳排放控制将会纳入省市的碳达峰方案。通过采用天然气、电等清洁能源，园区实施集中供热，按照国家给巴陵和长炼下达的炼油规模进行控制，落实规划指标体系和三线一单能耗准入标准，有效控制碳排放总量。</w:t>
      </w:r>
    </w:p>
    <w:p>
      <w:pPr>
        <w:pStyle w:val="5"/>
        <w:ind w:firstLine="482"/>
      </w:pPr>
      <w:r>
        <w:rPr>
          <w:rFonts w:hint="eastAsia"/>
        </w:rPr>
        <w:t>8.1.2.2园区重点企业碳排放减排措施</w:t>
      </w:r>
    </w:p>
    <w:p>
      <w:pPr>
        <w:spacing w:line="360" w:lineRule="auto"/>
        <w:ind w:firstLine="480" w:firstLineChars="200"/>
        <w:rPr>
          <w:rFonts w:ascii="Times New Roman" w:hAnsi="Times New Roman" w:cs="Times New Roman"/>
        </w:rPr>
      </w:pPr>
      <w:r>
        <w:rPr>
          <w:rFonts w:hint="eastAsia" w:ascii="Times New Roman" w:hAnsi="Times New Roman" w:cs="Times New Roman"/>
        </w:rPr>
        <w:t>（1）推进传统业务低碳化转型升级。</w:t>
      </w:r>
    </w:p>
    <w:p>
      <w:pPr>
        <w:spacing w:line="360" w:lineRule="auto"/>
        <w:ind w:firstLine="480" w:firstLineChars="200"/>
        <w:rPr>
          <w:rFonts w:ascii="Times New Roman" w:hAnsi="Times New Roman" w:cs="Times New Roman"/>
        </w:rPr>
      </w:pPr>
      <w:r>
        <w:rPr>
          <w:rFonts w:hint="eastAsia" w:ascii="Times New Roman" w:hAnsi="Times New Roman" w:cs="Times New Roman"/>
        </w:rPr>
        <w:t>①加快提升炼化业务集约化绿色化发展。炼油板块有序实施油转化、推动装置大型化和集约化改造；化工板块重点推广绿色高效工艺，对现有工艺进行升级改造。</w:t>
      </w:r>
    </w:p>
    <w:p>
      <w:pPr>
        <w:spacing w:line="360" w:lineRule="auto"/>
        <w:ind w:firstLine="480" w:firstLineChars="200"/>
        <w:rPr>
          <w:rFonts w:ascii="Times New Roman" w:hAnsi="Times New Roman" w:cs="Times New Roman"/>
        </w:rPr>
      </w:pPr>
      <w:r>
        <w:rPr>
          <w:rFonts w:hint="eastAsia" w:ascii="Times New Roman" w:hAnsi="Times New Roman" w:cs="Times New Roman"/>
        </w:rPr>
        <w:t>②有序淘汰落后产能。逐步推进高排放、高耗能的落后产能淘汰工作，实现产业结构调整。</w:t>
      </w:r>
    </w:p>
    <w:p>
      <w:pPr>
        <w:spacing w:line="360" w:lineRule="auto"/>
        <w:ind w:firstLine="480" w:firstLineChars="200"/>
        <w:rPr>
          <w:rFonts w:ascii="Times New Roman" w:hAnsi="Times New Roman" w:cs="Times New Roman"/>
        </w:rPr>
      </w:pPr>
      <w:r>
        <w:rPr>
          <w:rFonts w:hint="eastAsia" w:ascii="Times New Roman" w:hAnsi="Times New Roman" w:cs="Times New Roman"/>
        </w:rPr>
        <w:t>（2）加大绿色能源供给能力。</w:t>
      </w:r>
    </w:p>
    <w:p>
      <w:pPr>
        <w:spacing w:line="360" w:lineRule="auto"/>
        <w:ind w:firstLine="480" w:firstLineChars="200"/>
        <w:rPr>
          <w:rFonts w:ascii="Times New Roman" w:hAnsi="Times New Roman" w:cs="Times New Roman"/>
        </w:rPr>
      </w:pPr>
      <w:r>
        <w:rPr>
          <w:rFonts w:hint="eastAsia" w:ascii="Times New Roman" w:hAnsi="Times New Roman" w:cs="Times New Roman"/>
        </w:rPr>
        <w:t>①积极推进氢能产业发展布局。</w:t>
      </w:r>
    </w:p>
    <w:p>
      <w:pPr>
        <w:spacing w:line="360" w:lineRule="auto"/>
        <w:ind w:firstLine="480" w:firstLineChars="200"/>
        <w:rPr>
          <w:rFonts w:ascii="Times New Roman" w:hAnsi="Times New Roman" w:cs="Times New Roman"/>
        </w:rPr>
      </w:pPr>
      <w:r>
        <w:rPr>
          <w:rFonts w:hint="eastAsia" w:ascii="Times New Roman" w:hAnsi="Times New Roman" w:cs="Times New Roman"/>
        </w:rPr>
        <w:t>②强力推进清洁供电业务规模化发展。在公司范围内利用办公楼房顶、闲置土地推广光伏发电工程项目。</w:t>
      </w:r>
    </w:p>
    <w:p>
      <w:pPr>
        <w:spacing w:line="360" w:lineRule="auto"/>
        <w:ind w:firstLine="480" w:firstLineChars="200"/>
        <w:rPr>
          <w:rFonts w:ascii="Times New Roman" w:hAnsi="Times New Roman" w:cs="Times New Roman"/>
        </w:rPr>
      </w:pPr>
      <w:r>
        <w:rPr>
          <w:rFonts w:hint="eastAsia" w:ascii="Times New Roman" w:hAnsi="Times New Roman" w:cs="Times New Roman"/>
        </w:rPr>
        <w:t>③稳妥发展生物燃料。利用备用气化炉开展生物质能（秸秆、木屑、竹粉、稻壳、芦苇等）利用技术的实验，探索生物质替代部分煤炭用于煤化工生产。（</w:t>
      </w:r>
    </w:p>
    <w:p>
      <w:pPr>
        <w:spacing w:line="360" w:lineRule="auto"/>
        <w:ind w:firstLine="480" w:firstLineChars="200"/>
        <w:rPr>
          <w:rFonts w:ascii="Times New Roman" w:hAnsi="Times New Roman" w:cs="Times New Roman"/>
        </w:rPr>
      </w:pPr>
      <w:r>
        <w:rPr>
          <w:rFonts w:hint="eastAsia" w:ascii="Times New Roman" w:hAnsi="Times New Roman" w:cs="Times New Roman"/>
        </w:rPr>
        <w:t>（3）提高能源消费清洁化水平。</w:t>
      </w:r>
    </w:p>
    <w:p>
      <w:pPr>
        <w:spacing w:line="360" w:lineRule="auto"/>
        <w:ind w:firstLine="480" w:firstLineChars="200"/>
        <w:rPr>
          <w:rFonts w:ascii="Times New Roman" w:hAnsi="Times New Roman" w:cs="Times New Roman"/>
        </w:rPr>
      </w:pPr>
      <w:r>
        <w:rPr>
          <w:rFonts w:hint="eastAsia" w:ascii="Times New Roman" w:hAnsi="Times New Roman" w:cs="Times New Roman"/>
        </w:rPr>
        <w:t>①稳步压减动力煤炭消费总量。按照“以热定电”，多从电网吸电减少碳排。加强工艺调整，减少锅炉燃烧过程各项损失，降低产汽煤耗率。</w:t>
      </w:r>
    </w:p>
    <w:p>
      <w:pPr>
        <w:spacing w:line="360" w:lineRule="auto"/>
        <w:ind w:firstLine="480" w:firstLineChars="200"/>
        <w:rPr>
          <w:rFonts w:ascii="Times New Roman" w:hAnsi="Times New Roman" w:cs="Times New Roman"/>
        </w:rPr>
      </w:pPr>
      <w:r>
        <w:rPr>
          <w:rFonts w:hint="eastAsia" w:ascii="Times New Roman" w:hAnsi="Times New Roman" w:cs="Times New Roman"/>
        </w:rPr>
        <w:t>②加快提升电力消纳水平。根据周边“绿电”布局情况，适时购买绿电，推进用能洁净化。研究推广凝汽透平改电机驱动，减少蒸汽消耗。</w:t>
      </w:r>
    </w:p>
    <w:p>
      <w:pPr>
        <w:spacing w:line="360" w:lineRule="auto"/>
        <w:ind w:firstLine="480" w:firstLineChars="200"/>
        <w:rPr>
          <w:rFonts w:ascii="Times New Roman" w:hAnsi="Times New Roman" w:cs="Times New Roman"/>
        </w:rPr>
      </w:pPr>
      <w:r>
        <w:rPr>
          <w:rFonts w:hint="eastAsia" w:ascii="Times New Roman" w:hAnsi="Times New Roman" w:cs="Times New Roman"/>
        </w:rPr>
        <w:t>（4）提升能源利用效率。</w:t>
      </w:r>
    </w:p>
    <w:p>
      <w:pPr>
        <w:spacing w:line="360" w:lineRule="auto"/>
        <w:ind w:firstLine="480" w:firstLineChars="200"/>
        <w:rPr>
          <w:rFonts w:ascii="Times New Roman" w:hAnsi="Times New Roman" w:cs="Times New Roman"/>
        </w:rPr>
      </w:pPr>
      <w:r>
        <w:rPr>
          <w:rFonts w:hint="eastAsia" w:ascii="Times New Roman" w:hAnsi="Times New Roman" w:cs="Times New Roman"/>
        </w:rPr>
        <w:t>①加强能源消费总量和强度“双控”管理。强化新建项目源头管控，按照《相关规定制定公司固定资产项目碳排放评价管理办法，严格执行新建项目开展碳排放评价有关规定，将碳排放强度和能源消费总量作为项目批复的前置条件。严格执行湖南省煤炭指标，通过加大能效提升项目实施力度，持续压减装置燃动能耗和加工损失。</w:t>
      </w:r>
    </w:p>
    <w:p>
      <w:pPr>
        <w:spacing w:line="360" w:lineRule="auto"/>
        <w:ind w:firstLine="480" w:firstLineChars="200"/>
        <w:rPr>
          <w:rFonts w:ascii="Times New Roman" w:hAnsi="Times New Roman" w:cs="Times New Roman"/>
        </w:rPr>
      </w:pPr>
      <w:r>
        <w:rPr>
          <w:rFonts w:hint="eastAsia" w:ascii="Times New Roman" w:hAnsi="Times New Roman" w:cs="Times New Roman"/>
        </w:rPr>
        <w:t>②严格控制新建项目碳排放。结合全国碳市场行情、未来价格走势以及碳排放抵消政策，对新建项目碳排放成本进行测算，纳入项目总体经济性分析评价。严格项目碳排放审查，加强项目前期管理，按照项目类别，落实各级管理主体责任，对标对表，严控新建项目碳排放增量。加强项目过程管理，确保先进成熟节能降碳技术推广应用到位、节能降碳措施落实到位，碳排放水平达到行业领先。</w:t>
      </w:r>
    </w:p>
    <w:p>
      <w:pPr>
        <w:spacing w:line="360" w:lineRule="auto"/>
        <w:ind w:firstLine="480" w:firstLineChars="200"/>
        <w:rPr>
          <w:rFonts w:ascii="Times New Roman" w:hAnsi="Times New Roman" w:cs="Times New Roman"/>
        </w:rPr>
      </w:pPr>
      <w:r>
        <w:rPr>
          <w:rFonts w:hint="eastAsia" w:ascii="Times New Roman" w:hAnsi="Times New Roman" w:cs="Times New Roman"/>
        </w:rPr>
        <w:t>③深入推进“能效提升”计划。从管理节能、结构节能、技术节能、重点工程、循环经济和合同能源管理项目六个方面，充分挖掘“能效提升”计划项目。加强设备节能管理，推广水性保温涂料在加热炉外壁使用。深化能效对标工作，对标历史最好水平、行业最优水平，挖掘装置优化潜力，提升装置能效水平。</w:t>
      </w:r>
    </w:p>
    <w:p>
      <w:pPr>
        <w:spacing w:line="360" w:lineRule="auto"/>
        <w:ind w:firstLine="480" w:firstLineChars="200"/>
        <w:rPr>
          <w:rFonts w:ascii="Times New Roman" w:hAnsi="Times New Roman" w:cs="Times New Roman"/>
        </w:rPr>
      </w:pPr>
      <w:r>
        <w:rPr>
          <w:rFonts w:hint="eastAsia" w:ascii="Times New Roman" w:hAnsi="Times New Roman" w:cs="Times New Roman"/>
        </w:rPr>
        <w:t>（5）推进二氧化碳减排。</w:t>
      </w:r>
    </w:p>
    <w:p>
      <w:pPr>
        <w:spacing w:line="360" w:lineRule="auto"/>
        <w:ind w:firstLine="480" w:firstLineChars="200"/>
        <w:rPr>
          <w:rFonts w:ascii="Times New Roman" w:hAnsi="Times New Roman" w:cs="Times New Roman"/>
        </w:rPr>
      </w:pPr>
      <w:r>
        <w:rPr>
          <w:rFonts w:hint="eastAsia" w:ascii="Times New Roman" w:hAnsi="Times New Roman" w:cs="Times New Roman"/>
        </w:rPr>
        <w:t>①积极开展温室气体捕集。充分利用煤制氢高纯二氧化碳优势，持续采用低温甲醇洗技术实现二氧化碳捕集并应用于食品级二氧化碳。充分调研锅炉烟气碳捕集技术应用情况，做好自备电厂锅炉燃烧烟气捕集、储存、利用技术储备，推进实施纳入全国碳市场自备电厂烟道气二氧化碳捕集利用。</w:t>
      </w:r>
    </w:p>
    <w:p>
      <w:pPr>
        <w:spacing w:line="360" w:lineRule="auto"/>
        <w:ind w:firstLine="480" w:firstLineChars="200"/>
        <w:rPr>
          <w:rFonts w:ascii="Times New Roman" w:hAnsi="Times New Roman" w:cs="Times New Roman"/>
        </w:rPr>
      </w:pPr>
      <w:r>
        <w:rPr>
          <w:rFonts w:hint="eastAsia" w:ascii="Times New Roman" w:hAnsi="Times New Roman" w:cs="Times New Roman"/>
        </w:rPr>
        <w:t>②持续增强林业碳汇能力，积极参与国土绿化行动。</w:t>
      </w:r>
    </w:p>
    <w:p>
      <w:pPr>
        <w:spacing w:line="360" w:lineRule="auto"/>
        <w:ind w:firstLine="480" w:firstLineChars="200"/>
        <w:rPr>
          <w:rFonts w:ascii="Times New Roman" w:hAnsi="Times New Roman" w:cs="Times New Roman"/>
        </w:rPr>
      </w:pPr>
      <w:r>
        <w:rPr>
          <w:rFonts w:hint="eastAsia" w:ascii="Times New Roman" w:hAnsi="Times New Roman" w:cs="Times New Roman"/>
        </w:rPr>
        <w:t>（6）实施温室气体与大气污染物协同控制。</w:t>
      </w:r>
    </w:p>
    <w:p>
      <w:pPr>
        <w:spacing w:line="360" w:lineRule="auto"/>
        <w:ind w:firstLine="480" w:firstLineChars="200"/>
        <w:rPr>
          <w:rFonts w:ascii="Times New Roman" w:hAnsi="Times New Roman" w:cs="Times New Roman"/>
        </w:rPr>
      </w:pPr>
      <w:r>
        <w:rPr>
          <w:rFonts w:hint="eastAsia" w:ascii="Times New Roman" w:hAnsi="Times New Roman" w:cs="Times New Roman"/>
        </w:rPr>
        <w:t>①深入推进清洁生产。采用转化率高的清洁工艺，优化控制运行参数，提升原料转化率。加速环保型终止剂、阻聚剂和抗氧剂等三剂辅料的推广应用；末端治理选用高效、短流程、低能耗、智能化、装置化、密闭化的污染治理工艺技术。</w:t>
      </w:r>
    </w:p>
    <w:p>
      <w:pPr>
        <w:spacing w:line="360" w:lineRule="auto"/>
        <w:ind w:firstLine="480" w:firstLineChars="200"/>
        <w:rPr>
          <w:rFonts w:ascii="Times New Roman" w:hAnsi="Times New Roman" w:cs="Times New Roman"/>
        </w:rPr>
      </w:pPr>
      <w:r>
        <w:rPr>
          <w:rFonts w:hint="eastAsia" w:ascii="Times New Roman" w:hAnsi="Times New Roman" w:cs="Times New Roman"/>
        </w:rPr>
        <w:t>②实现末端治理过程协同减排。污水生化处理段应合理投加碳源，控制甲烷、二氧化碳转化。扎实开展LDAR工作，健全VOCs排放预警机制。持续加强设备完整性管理，创建无泄漏装置。优先选用回收或进入燃料系统的再利用技术治理VOCs，减少破坏法技术带来的碳排放；实现开停工过程中最大限度回收物料，全面实施密闭吹扫和蒸煮，并对吹扫、蒸煮气和开工置换气进行有效收集与处理，减少污染物和温室气体排放。</w:t>
      </w:r>
    </w:p>
    <w:p>
      <w:pPr>
        <w:pStyle w:val="5"/>
        <w:ind w:firstLine="482"/>
      </w:pPr>
      <w:r>
        <w:rPr>
          <w:rFonts w:hint="eastAsia"/>
        </w:rPr>
        <w:t>8.1.2.3 其他碳排放减排措施</w:t>
      </w:r>
    </w:p>
    <w:p>
      <w:pPr>
        <w:spacing w:line="360" w:lineRule="auto"/>
        <w:ind w:firstLine="480" w:firstLineChars="200"/>
        <w:rPr>
          <w:rFonts w:ascii="Times New Roman" w:hAnsi="Times New Roman" w:cs="Times New Roman"/>
        </w:rPr>
      </w:pPr>
      <w:r>
        <w:rPr>
          <w:rFonts w:hint="eastAsia" w:ascii="Times New Roman" w:hAnsi="Times New Roman" w:cs="Times New Roman"/>
        </w:rPr>
        <w:t>（1）规划区要求企业采用先进的生产技术和设备。针对重点耗能工艺、重点耗能设备的企业，采取有效节能措施；优先选用高效节能灯具、节水器具等节能新产品。所采用的节能新技术、新工艺、新产品符合国家、行业及地方明文规定的要求，节能效益显著。</w:t>
      </w:r>
    </w:p>
    <w:p>
      <w:pPr>
        <w:spacing w:line="360" w:lineRule="auto"/>
        <w:ind w:firstLine="480" w:firstLineChars="200"/>
        <w:rPr>
          <w:rFonts w:ascii="Times New Roman" w:hAnsi="Times New Roman" w:cs="Times New Roman"/>
        </w:rPr>
      </w:pPr>
      <w:r>
        <w:rPr>
          <w:rFonts w:hint="eastAsia" w:ascii="Times New Roman" w:hAnsi="Times New Roman" w:cs="Times New Roman"/>
        </w:rPr>
        <w:t>（2）实施园区节能降碳工程，推动能源系统优化和梯级利用，积极成为节能低碳园区。实施重点行业节能降碳工程，推动化工行业开展节能降碳改造，提升能源资源利用效率。推进重点用能设备节能增效。以电机、风机、泵、压缩机、变压器、换热器、工业锅炉等设备为重点，全面提升能效标准。优化新型基础设施用能结构，采用直流供电、分布式储能、“光伏储能”等模式，探索多样化能源供应，提高非化石能源消费比重。推动既有设施绿色升级改造，积极推广使用高效制冷、先进通风、余热利用、智能化用能控制等技术，提高设施能效水平。提高建筑终端电气化水平，建设集光伏发电、储能、直流配电、柔性用电于一体的“光储直柔”建筑。</w:t>
      </w:r>
    </w:p>
    <w:p>
      <w:pPr>
        <w:spacing w:line="360" w:lineRule="auto"/>
        <w:ind w:firstLine="480" w:firstLineChars="200"/>
        <w:rPr>
          <w:rFonts w:ascii="Times New Roman" w:hAnsi="Times New Roman" w:cs="Times New Roman"/>
        </w:rPr>
      </w:pPr>
      <w:r>
        <w:rPr>
          <w:rFonts w:hint="eastAsia" w:ascii="Times New Roman" w:hAnsi="Times New Roman" w:cs="Times New Roman"/>
        </w:rPr>
        <w:t>（3）优化产业结构，加快退出落后产能，大力发展战略性新兴产业，加快传统产业绿色低碳改造。促进工业能源消费低碳化，推动化石能源清洁高效利用，提高可再生能源应用比重，加强电力需求侧管理，提升工业电气化水平。深入实施绿色制造工程，大力推行绿色设计，完善绿色制造体系，建设绿色工厂和绿色工业园区。推进工业领域数字化智能化绿色化融合发展，加强重点行业和领域技术改造。</w:t>
      </w:r>
    </w:p>
    <w:p>
      <w:pPr>
        <w:spacing w:line="360" w:lineRule="auto"/>
        <w:ind w:firstLine="480" w:firstLineChars="200"/>
        <w:rPr>
          <w:rFonts w:ascii="Times New Roman" w:hAnsi="Times New Roman" w:cs="Times New Roman"/>
        </w:rPr>
      </w:pPr>
      <w:r>
        <w:rPr>
          <w:rFonts w:hint="eastAsia" w:ascii="Times New Roman" w:hAnsi="Times New Roman" w:cs="Times New Roman"/>
        </w:rPr>
        <w:t>（4）规划区要求企业通过采用各种先进技术，大量降低物料消耗、减少生产中各种污染物的产生和排放；企业工艺流程紧凑、合理、顺畅，最大限度的缩短中间环节物流运距，节约投资和运行成本，并在工艺设计、设备选型、建筑材料、电气系统、节能管理等各方面均采用了一系列节能措施。项目符合产业政策要求，能较好地节约能源及改善产业发展。产品达到相关质量标准。</w:t>
      </w:r>
    </w:p>
    <w:p>
      <w:pPr>
        <w:pStyle w:val="5"/>
        <w:ind w:firstLine="482"/>
      </w:pPr>
      <w:r>
        <w:rPr>
          <w:rFonts w:hint="eastAsia"/>
        </w:rPr>
        <w:t>8.1.2.4 排放控制管理</w:t>
      </w:r>
    </w:p>
    <w:p>
      <w:pPr>
        <w:spacing w:line="360" w:lineRule="auto"/>
        <w:ind w:firstLine="480" w:firstLineChars="200"/>
        <w:rPr>
          <w:rFonts w:ascii="Times New Roman" w:hAnsi="Times New Roman" w:cs="Times New Roman"/>
        </w:rPr>
      </w:pPr>
      <w:r>
        <w:rPr>
          <w:rFonts w:hint="eastAsia" w:ascii="Times New Roman" w:hAnsi="Times New Roman" w:cs="Times New Roman"/>
        </w:rPr>
        <w:t>（一）组织管理</w:t>
      </w:r>
    </w:p>
    <w:p>
      <w:pPr>
        <w:spacing w:line="360" w:lineRule="auto"/>
        <w:ind w:firstLine="480" w:firstLineChars="200"/>
        <w:rPr>
          <w:rFonts w:ascii="Times New Roman" w:hAnsi="Times New Roman" w:cs="Times New Roman"/>
        </w:rPr>
      </w:pPr>
      <w:r>
        <w:rPr>
          <w:rFonts w:hint="eastAsia" w:ascii="Times New Roman" w:hAnsi="Times New Roman" w:cs="Times New Roman"/>
        </w:rPr>
        <w:t>（1）建立制度</w:t>
      </w:r>
    </w:p>
    <w:p>
      <w:pPr>
        <w:spacing w:line="360" w:lineRule="auto"/>
        <w:ind w:firstLine="480" w:firstLineChars="200"/>
        <w:rPr>
          <w:rFonts w:ascii="Times New Roman" w:hAnsi="Times New Roman" w:cs="Times New Roman"/>
        </w:rPr>
      </w:pPr>
      <w:r>
        <w:rPr>
          <w:rFonts w:hint="eastAsia" w:ascii="Times New Roman" w:hAnsi="Times New Roman" w:cs="Times New Roman"/>
        </w:rPr>
        <w:t>为规范企业碳管理工作，结合自身生产管理实际情况，建立碳管理制度，包括但不限于建立企业碳管理工作组织体系；明确各岗位职责及权限范围；明确战略管理、碳排放管理、碳资产管理、信息公开等具体内容；明确各事项审批流程及时限；明确管理制度的时效性。</w:t>
      </w:r>
    </w:p>
    <w:p>
      <w:pPr>
        <w:spacing w:line="360" w:lineRule="auto"/>
        <w:ind w:firstLine="480" w:firstLineChars="200"/>
        <w:rPr>
          <w:rFonts w:ascii="Times New Roman" w:hAnsi="Times New Roman" w:cs="Times New Roman"/>
        </w:rPr>
      </w:pPr>
      <w:r>
        <w:rPr>
          <w:rFonts w:hint="eastAsia" w:ascii="Times New Roman" w:hAnsi="Times New Roman" w:cs="Times New Roman"/>
        </w:rPr>
        <w:t>（2）能力培养</w:t>
      </w:r>
    </w:p>
    <w:p>
      <w:pPr>
        <w:spacing w:line="360" w:lineRule="auto"/>
        <w:ind w:firstLine="480" w:firstLineChars="200"/>
        <w:rPr>
          <w:rFonts w:ascii="Times New Roman" w:hAnsi="Times New Roman" w:cs="Times New Roman"/>
        </w:rPr>
      </w:pPr>
      <w:r>
        <w:rPr>
          <w:rFonts w:hint="eastAsia" w:ascii="Times New Roman" w:hAnsi="Times New Roman" w:cs="Times New Roman"/>
        </w:rPr>
        <w:t>为确保企业碳管理工作人员具备相应能力，企业应开展以下工作：通过教育、培训、技能和经验交流，确保从事碳管理有关工作人员具备相应的能力，并保存相关记录；对与碳管理工作有重大影响的人员进行岗位专业技能培训，并保存培训记录；企业可选择外派培训、内部培训和横向交流等方式开展培训工作。</w:t>
      </w:r>
    </w:p>
    <w:p>
      <w:pPr>
        <w:spacing w:line="360" w:lineRule="auto"/>
        <w:ind w:firstLine="480" w:firstLineChars="200"/>
        <w:rPr>
          <w:rFonts w:ascii="Times New Roman" w:hAnsi="Times New Roman" w:cs="Times New Roman"/>
        </w:rPr>
      </w:pPr>
      <w:r>
        <w:rPr>
          <w:rFonts w:hint="eastAsia" w:ascii="Times New Roman" w:hAnsi="Times New Roman" w:cs="Times New Roman"/>
        </w:rPr>
        <w:t>（3）意识培养</w:t>
      </w:r>
    </w:p>
    <w:p>
      <w:pPr>
        <w:spacing w:line="360" w:lineRule="auto"/>
        <w:ind w:firstLine="480" w:firstLineChars="200"/>
        <w:rPr>
          <w:rFonts w:ascii="Times New Roman" w:hAnsi="Times New Roman" w:cs="Times New Roman"/>
        </w:rPr>
      </w:pPr>
      <w:r>
        <w:rPr>
          <w:rFonts w:hint="eastAsia" w:ascii="Times New Roman" w:hAnsi="Times New Roman" w:cs="Times New Roman"/>
        </w:rPr>
        <w:t>企业应采取措施，使全体人员都意识到：实施企业碳管理工作的重要性；降低碳排放、提高碳排放绩效给企业带来的效益，以及个人工作改进能带来的碳排放绩效；偏离碳管理制度规定运行程序的潜在后果。</w:t>
      </w:r>
    </w:p>
    <w:p>
      <w:pPr>
        <w:spacing w:line="360" w:lineRule="auto"/>
        <w:ind w:firstLine="480" w:firstLineChars="200"/>
        <w:rPr>
          <w:rFonts w:ascii="Times New Roman" w:hAnsi="Times New Roman" w:cs="Times New Roman"/>
        </w:rPr>
      </w:pPr>
      <w:r>
        <w:rPr>
          <w:rFonts w:hint="eastAsia" w:ascii="Times New Roman" w:hAnsi="Times New Roman" w:cs="Times New Roman"/>
        </w:rPr>
        <w:t>（二）排放管理</w:t>
      </w:r>
    </w:p>
    <w:p>
      <w:pPr>
        <w:spacing w:line="360" w:lineRule="auto"/>
        <w:ind w:firstLine="480" w:firstLineChars="200"/>
        <w:rPr>
          <w:rFonts w:ascii="Times New Roman" w:hAnsi="Times New Roman" w:cs="Times New Roman"/>
        </w:rPr>
      </w:pPr>
      <w:r>
        <w:rPr>
          <w:rFonts w:hint="eastAsia" w:ascii="Times New Roman" w:hAnsi="Times New Roman" w:cs="Times New Roman"/>
        </w:rPr>
        <w:t>（1）监测管理</w:t>
      </w:r>
    </w:p>
    <w:p>
      <w:pPr>
        <w:spacing w:line="360" w:lineRule="auto"/>
        <w:ind w:firstLine="480" w:firstLineChars="200"/>
        <w:rPr>
          <w:rFonts w:ascii="Times New Roman" w:hAnsi="Times New Roman" w:cs="Times New Roman"/>
        </w:rPr>
      </w:pPr>
      <w:r>
        <w:rPr>
          <w:rFonts w:hint="eastAsia" w:ascii="Times New Roman" w:hAnsi="Times New Roman" w:cs="Times New Roman"/>
        </w:rPr>
        <w:t>企业应根据自身的生产工艺以及《温室气体排放核算与报告要求第10部分：化工生产企业》（GB/T32151.10-2015）、《中国石油化工企业温室气体排放核算方法与报告指南（试行）》及其他行业指南中核算标准和国家相关部门发布的技术指南的有关要求，确保对其运行中的决定碳排放绩效的关键特性进行定期监视、测量和分析，关键特性至少应包括但不限于：排放源设施、各碳源流数据、具备实测条件的与排放因子相关的数据、碳排放相关数据和生产相关数据获取方式、数据的准确性。</w:t>
      </w:r>
    </w:p>
    <w:p>
      <w:pPr>
        <w:spacing w:line="360" w:lineRule="auto"/>
        <w:ind w:firstLine="480" w:firstLineChars="200"/>
        <w:rPr>
          <w:rFonts w:ascii="Times New Roman" w:hAnsi="Times New Roman" w:cs="Times New Roman"/>
        </w:rPr>
      </w:pPr>
      <w:r>
        <w:rPr>
          <w:rFonts w:hint="eastAsia" w:ascii="Times New Roman" w:hAnsi="Times New Roman" w:cs="Times New Roman"/>
        </w:rPr>
        <w:t>企业应对监视和测量获取的相关数据进行分析，应开展以下工作：a)规范碳排放数据的整理和分析；b)对数据来源进行分类整理；c)对排放因子及相关参数的监测数据进行分类整理；d)对数据进行处理并进行统计分析；e)形成数据分析报告并存档。</w:t>
      </w:r>
    </w:p>
    <w:p>
      <w:pPr>
        <w:spacing w:line="360" w:lineRule="auto"/>
        <w:ind w:firstLine="480" w:firstLineChars="200"/>
        <w:rPr>
          <w:rFonts w:ascii="Times New Roman" w:hAnsi="Times New Roman" w:cs="Times New Roman"/>
        </w:rPr>
      </w:pPr>
      <w:r>
        <w:rPr>
          <w:rFonts w:hint="eastAsia" w:ascii="Times New Roman" w:hAnsi="Times New Roman" w:cs="Times New Roman"/>
        </w:rPr>
        <w:t>（2）报告管理</w:t>
      </w:r>
    </w:p>
    <w:p>
      <w:pPr>
        <w:spacing w:line="360" w:lineRule="auto"/>
        <w:ind w:firstLine="480" w:firstLineChars="200"/>
        <w:rPr>
          <w:rFonts w:ascii="Times New Roman" w:hAnsi="Times New Roman" w:cs="Times New Roman"/>
        </w:rPr>
      </w:pPr>
      <w:r>
        <w:rPr>
          <w:rFonts w:hint="eastAsia" w:ascii="Times New Roman" w:hAnsi="Times New Roman" w:cs="Times New Roman"/>
        </w:rPr>
        <w:t>属于重点行业企业应基于碳排放核算的结果编写碳排放报告，并对其进行校核。</w:t>
      </w:r>
    </w:p>
    <w:p>
      <w:pPr>
        <w:spacing w:line="360" w:lineRule="auto"/>
        <w:ind w:firstLine="480" w:firstLineChars="200"/>
        <w:rPr>
          <w:rFonts w:ascii="Times New Roman" w:hAnsi="Times New Roman" w:cs="Times New Roman"/>
        </w:rPr>
      </w:pPr>
      <w:r>
        <w:rPr>
          <w:rFonts w:hint="eastAsia" w:ascii="Times New Roman" w:hAnsi="Times New Roman" w:cs="Times New Roman"/>
        </w:rPr>
        <w:t>核算报告编写应符合主管部门所规定的格式要求，对经过内部质量控制的核算结果进行确认形成最终企业盖章的碳排放报告，并按要求提交给主管部门1份，本企业存档1份。</w:t>
      </w:r>
    </w:p>
    <w:p>
      <w:pPr>
        <w:spacing w:line="360" w:lineRule="auto"/>
        <w:ind w:firstLine="480" w:firstLineChars="200"/>
        <w:rPr>
          <w:rFonts w:ascii="Times New Roman" w:hAnsi="Times New Roman" w:cs="Times New Roman"/>
        </w:rPr>
      </w:pPr>
      <w:r>
        <w:rPr>
          <w:rFonts w:hint="eastAsia" w:ascii="Times New Roman" w:hAnsi="Times New Roman" w:cs="Times New Roman"/>
        </w:rPr>
        <w:t>企业碳排放报告存档时间宜不低于5年。</w:t>
      </w:r>
    </w:p>
    <w:p>
      <w:pPr>
        <w:spacing w:line="360" w:lineRule="auto"/>
        <w:ind w:firstLine="480" w:firstLineChars="200"/>
        <w:rPr>
          <w:rFonts w:ascii="Times New Roman" w:hAnsi="Times New Roman" w:cs="Times New Roman"/>
        </w:rPr>
      </w:pPr>
      <w:r>
        <w:rPr>
          <w:rFonts w:hint="eastAsia" w:ascii="Times New Roman" w:hAnsi="Times New Roman" w:cs="Times New Roman"/>
        </w:rPr>
        <w:t>（3）信息公开</w:t>
      </w:r>
    </w:p>
    <w:p>
      <w:pPr>
        <w:spacing w:line="360" w:lineRule="auto"/>
        <w:ind w:firstLine="480" w:firstLineChars="200"/>
        <w:rPr>
          <w:rFonts w:ascii="Times New Roman" w:hAnsi="Times New Roman" w:cs="Times New Roman"/>
        </w:rPr>
      </w:pPr>
      <w:r>
        <w:rPr>
          <w:rFonts w:hint="eastAsia" w:ascii="Times New Roman" w:hAnsi="Times New Roman" w:cs="Times New Roman"/>
        </w:rPr>
        <w:t>企业应按照主管部门相关要求和规定，核算并上报企业碳排放情况。鼓励企业选择合适的自发性披露渠道和方式，面向社会发布企业碳排放情况。</w:t>
      </w:r>
    </w:p>
    <w:p>
      <w:pPr>
        <w:spacing w:line="360" w:lineRule="auto"/>
        <w:ind w:firstLine="480" w:firstLineChars="200"/>
        <w:rPr>
          <w:rFonts w:ascii="Times New Roman" w:hAnsi="Times New Roman" w:cs="Times New Roman"/>
        </w:rPr>
      </w:pPr>
      <w:r>
        <w:rPr>
          <w:rFonts w:hint="eastAsia" w:ascii="Times New Roman" w:hAnsi="Times New Roman" w:cs="Times New Roman"/>
        </w:rPr>
        <w:t>（4）节能减排措施</w:t>
      </w:r>
    </w:p>
    <w:p>
      <w:pPr>
        <w:spacing w:line="360" w:lineRule="auto"/>
        <w:ind w:firstLine="480" w:firstLineChars="200"/>
        <w:rPr>
          <w:rFonts w:ascii="Times New Roman" w:hAnsi="Times New Roman" w:cs="Times New Roman"/>
        </w:rPr>
      </w:pPr>
      <w:r>
        <w:rPr>
          <w:rFonts w:hint="eastAsia" w:ascii="Times New Roman" w:hAnsi="Times New Roman" w:cs="Times New Roman"/>
        </w:rPr>
        <w:t>鼓励企业在工艺设计、设备选型、资源综合利用、电气系统、节能管理等各方面采用一系列节能措施，重视生产中各个环节的节能降耗，以达到明显的节能效果。</w:t>
      </w:r>
    </w:p>
    <w:p>
      <w:pPr>
        <w:spacing w:line="360" w:lineRule="auto"/>
        <w:ind w:firstLine="480" w:firstLineChars="200"/>
        <w:rPr>
          <w:rFonts w:ascii="Times New Roman" w:hAnsi="Times New Roman" w:cs="Times New Roman"/>
        </w:rPr>
      </w:pPr>
      <w:r>
        <w:rPr>
          <w:rFonts w:hint="eastAsia" w:ascii="Times New Roman" w:hAnsi="Times New Roman" w:cs="Times New Roman"/>
        </w:rPr>
        <w:t>①规划区禁止单个企业设置燃煤锅炉，使用清洁能源电和天然气，有效减少碳排放量；</w:t>
      </w:r>
    </w:p>
    <w:p>
      <w:pPr>
        <w:spacing w:line="360" w:lineRule="auto"/>
        <w:ind w:firstLine="480" w:firstLineChars="200"/>
        <w:rPr>
          <w:rFonts w:ascii="Times New Roman" w:hAnsi="Times New Roman" w:cs="Times New Roman"/>
        </w:rPr>
      </w:pPr>
      <w:r>
        <w:rPr>
          <w:rFonts w:hint="eastAsia" w:ascii="Times New Roman" w:hAnsi="Times New Roman" w:cs="Times New Roman"/>
        </w:rPr>
        <w:t>②各企业通过采用各种先进技术，大量降低物料消耗、减少生产中各种污染物的产生和排放。工艺流程紧凑、合理、顺畅，最大限度的缩短中间环节物流运距，节约投资和运行成本。</w:t>
      </w:r>
    </w:p>
    <w:p>
      <w:pPr>
        <w:spacing w:line="360" w:lineRule="auto"/>
        <w:ind w:firstLine="480" w:firstLineChars="200"/>
        <w:rPr>
          <w:rFonts w:ascii="Times New Roman" w:hAnsi="Times New Roman" w:cs="Times New Roman"/>
        </w:rPr>
      </w:pPr>
      <w:r>
        <w:rPr>
          <w:rFonts w:hint="eastAsia" w:ascii="Times New Roman" w:hAnsi="Times New Roman" w:cs="Times New Roman"/>
        </w:rPr>
        <w:t>③各企业工艺生产设备选型在保证技术先进、性能可靠的前提下，尽量采用节能型设备。主要用能设备选择具备技术先进性、高效性和可靠性、在国内外广泛使用的产品，采用先进的自动控制系统，使各生产系统在优化条件下操作，提高用能水平。从节能、环保角度出发，设计优先选用效率高、能耗低、噪声低的设备。</w:t>
      </w:r>
    </w:p>
    <w:p>
      <w:pPr>
        <w:spacing w:line="360" w:lineRule="auto"/>
        <w:ind w:firstLine="480" w:firstLineChars="200"/>
        <w:rPr>
          <w:rFonts w:ascii="Times New Roman" w:hAnsi="Times New Roman" w:cs="Times New Roman"/>
        </w:rPr>
      </w:pPr>
      <w:r>
        <w:rPr>
          <w:rFonts w:hint="eastAsia" w:ascii="Times New Roman" w:hAnsi="Times New Roman" w:cs="Times New Roman"/>
        </w:rPr>
        <w:t>④按照《建筑照明设计标准》及使用要求，合适地设计及考虑各个场所的照度值及照明功率密度值。厂区道路照明电源在保证合理电压降情况下实行多点供电，并统一控制开闭，光源为高压钠灯。尽量采用天然采光，减少人工照明。</w:t>
      </w:r>
    </w:p>
    <w:p>
      <w:pPr>
        <w:spacing w:line="360" w:lineRule="auto"/>
        <w:ind w:firstLine="480" w:firstLineChars="200"/>
        <w:rPr>
          <w:rFonts w:ascii="Times New Roman" w:hAnsi="Times New Roman" w:cs="Times New Roman"/>
        </w:rPr>
      </w:pPr>
      <w:r>
        <w:rPr>
          <w:rFonts w:hint="eastAsia" w:ascii="Times New Roman" w:hAnsi="Times New Roman" w:cs="Times New Roman"/>
        </w:rPr>
        <w:t>⑤各企业通风系统在设计中，具备自然通风条件场合均采用自然通风，以节约电能。一般的机械通风系统均采用自然进风，机械排风形式或自然排风，从而节约风机用电能。机械通风系统风机选用低能耗高效率的轴流式风机，使得通风系统耗能大大降低。系统风机采用高效节能新型风机，正确选用风机的高效区。大型风机均采用直联或联轴器式联接，以提高传动效率，达到节约能源目的。</w:t>
      </w:r>
    </w:p>
    <w:p>
      <w:pPr>
        <w:spacing w:line="360" w:lineRule="auto"/>
        <w:ind w:firstLine="480" w:firstLineChars="200"/>
        <w:rPr>
          <w:rFonts w:ascii="Times New Roman" w:hAnsi="Times New Roman" w:cs="Times New Roman"/>
        </w:rPr>
      </w:pPr>
      <w:r>
        <w:rPr>
          <w:rFonts w:hint="eastAsia" w:ascii="Times New Roman" w:hAnsi="Times New Roman" w:cs="Times New Roman"/>
        </w:rPr>
        <w:t>⑥企业除尘系统设计中，合理布置风管道，减少管道压力损失，与工艺专业密切配合，对产尘量大设备实行大密闭处理，减小除尘排风量，采用高效布袋除尘器对含尘气体进行净化处理。</w:t>
      </w:r>
    </w:p>
    <w:p>
      <w:pPr>
        <w:pStyle w:val="3"/>
      </w:pPr>
      <w:bookmarkStart w:id="762" w:name="_Toc146092029"/>
      <w:r>
        <w:rPr>
          <w:rFonts w:hint="eastAsia"/>
        </w:rPr>
        <w:t>8.2 园区环境风险防范对策</w:t>
      </w:r>
      <w:bookmarkEnd w:id="762"/>
    </w:p>
    <w:p>
      <w:pPr>
        <w:pStyle w:val="4"/>
      </w:pPr>
      <w:bookmarkStart w:id="763" w:name="_Toc146092030"/>
      <w:r>
        <w:rPr>
          <w:rFonts w:hint="eastAsia"/>
        </w:rPr>
        <w:t>8.2.1 环境风险防范措施</w:t>
      </w:r>
      <w:bookmarkEnd w:id="763"/>
    </w:p>
    <w:p>
      <w:pPr>
        <w:spacing w:line="360" w:lineRule="auto"/>
        <w:ind w:firstLine="480" w:firstLineChars="200"/>
        <w:rPr>
          <w:rFonts w:ascii="Times New Roman" w:hAnsi="Times New Roman" w:cs="Times New Roman"/>
        </w:rPr>
      </w:pPr>
      <w:r>
        <w:rPr>
          <w:rFonts w:hint="eastAsia" w:ascii="Times New Roman" w:hAnsi="Times New Roman" w:cs="Times New Roman"/>
        </w:rPr>
        <w:t>园区存在因使用和贮存有毒害性物质而引起火灾、爆炸和毒害性物质扩散污染大气环境的事故隐患，具有一定的环境风险。从管理和安全出发，园区管委会应采取一系列的风险管理措施，进行科学规划、合理布局，并从技术、工艺、管理方法等方面加强对园区内企业风险防范措施建设的管理，检查、监督。区内各企业采取严格的防火、防爆、防泄漏措施，以及建立安全生产制度，大力提高操作人员的素质和水平；另一方面还应建立起有针对性的风险防范体系，配备一定的硬件设施，以加强对潜在事故的监控，及时发现事故隐患，及时消除，将事故控制在萌芽状态。</w:t>
      </w:r>
    </w:p>
    <w:p>
      <w:pPr>
        <w:pStyle w:val="5"/>
        <w:ind w:firstLine="482"/>
      </w:pPr>
      <w:r>
        <w:rPr>
          <w:rFonts w:hint="eastAsia"/>
        </w:rPr>
        <w:t>8.2.1.1 风险防控体系与应急防范措施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1、园区层面</w:t>
      </w:r>
    </w:p>
    <w:p>
      <w:pPr>
        <w:spacing w:line="360" w:lineRule="auto"/>
        <w:ind w:firstLine="480" w:firstLineChars="200"/>
        <w:rPr>
          <w:rFonts w:ascii="Times New Roman" w:hAnsi="Times New Roman" w:cs="Times New Roman"/>
        </w:rPr>
      </w:pPr>
      <w:r>
        <w:rPr>
          <w:rFonts w:hint="eastAsia" w:ascii="Times New Roman" w:hAnsi="Times New Roman" w:cs="Times New Roman"/>
        </w:rPr>
        <w:t>（1）建立健全园区尤其是斗笠山片区突发环境污染事故的应急机制，提高园区应急管理水平，有效预防、及时控制和消除重大环境污染事件造成的危害，建立健全突发环境事件应急机制，提高对涉及公共场所危机的突发环境污染事件的处置能力，保障公众的生命健康和财产安全，保护环境，促进社会全面、协调、可持续发展。以确保园区各企业或在园区公共区域内突发环境事件发生后，能及时有效地调配各种应急资源，实施应急救援，最大限度地阻止和控制污染向周围环境进一步扩散，最大可能避免对公共环境造成的污染。</w:t>
      </w:r>
    </w:p>
    <w:p>
      <w:pPr>
        <w:spacing w:line="360" w:lineRule="auto"/>
        <w:ind w:firstLine="480" w:firstLineChars="200"/>
        <w:rPr>
          <w:rFonts w:ascii="Times New Roman" w:hAnsi="Times New Roman" w:cs="Times New Roman"/>
        </w:rPr>
      </w:pPr>
      <w:r>
        <w:rPr>
          <w:rFonts w:hint="eastAsia" w:ascii="Times New Roman" w:hAnsi="Times New Roman" w:cs="Times New Roman"/>
        </w:rPr>
        <w:t>在园区现有环境风险控制应急响应体系基础上进一步加强园区风险管理与事故应急防范工作，应编制园区突发环境事件应急预案，其次应进一步加强应急救援队、风险监控体系建设、定期开展应急演练、储备必要的应急物资等工作的建设，全面提升园区风险防控和事故应急处置能力，建立污染源头、过程处理和最终排放的“三级防控”机制。</w:t>
      </w:r>
    </w:p>
    <w:p>
      <w:pPr>
        <w:spacing w:line="360" w:lineRule="auto"/>
        <w:ind w:firstLine="480" w:firstLineChars="200"/>
        <w:rPr>
          <w:rFonts w:ascii="Times New Roman" w:hAnsi="Times New Roman" w:cs="Times New Roman"/>
        </w:rPr>
      </w:pPr>
      <w:r>
        <w:rPr>
          <w:rFonts w:hint="eastAsia" w:ascii="Times New Roman" w:hAnsi="Times New Roman" w:cs="Times New Roman"/>
        </w:rPr>
        <w:t>（2）严格筛选进区项目，禁止生产工艺及设备落后、风险防范措施疏漏、抗风险性能差的项目入区。项目入区后，合理规划平面布置，危险品仓储用地应与交通干道、人员稠密的车间、食堂等保持一定距离；配备足够的消防设施，落实防火安全责任制。</w:t>
      </w:r>
    </w:p>
    <w:p>
      <w:pPr>
        <w:spacing w:line="360" w:lineRule="auto"/>
        <w:ind w:firstLine="480" w:firstLineChars="200"/>
        <w:rPr>
          <w:rFonts w:ascii="Times New Roman" w:hAnsi="Times New Roman" w:cs="Times New Roman"/>
        </w:rPr>
      </w:pPr>
      <w:r>
        <w:rPr>
          <w:rFonts w:hint="eastAsia" w:ascii="Times New Roman" w:hAnsi="Times New Roman" w:cs="Times New Roman"/>
        </w:rPr>
        <w:t>（3）加强企业管理，建立可靠的监测和预警系统，有针对性地排查环境安全隐患，对排查出的问题及时预警，对入区企业提出建立突发环境事件应急预案和事故防范、减缓措施的要求，特别是使用或生产危险性较大的物料的企业，必须提出行之有效的杜绝环境污染事故发生的防范与抢险措施。</w:t>
      </w:r>
    </w:p>
    <w:p>
      <w:pPr>
        <w:spacing w:line="360" w:lineRule="auto"/>
        <w:ind w:firstLine="480" w:firstLineChars="200"/>
        <w:rPr>
          <w:rFonts w:ascii="Times New Roman" w:hAnsi="Times New Roman" w:cs="Times New Roman"/>
        </w:rPr>
      </w:pPr>
      <w:r>
        <w:rPr>
          <w:rFonts w:hint="eastAsia" w:ascii="Times New Roman" w:hAnsi="Times New Roman" w:cs="Times New Roman"/>
        </w:rPr>
        <w:t>（4）规划实施过程中，应限期举办区内专职应急人员培训、企业内部环境风险防范、应急教育活动，并组织相关应急人员到周边居民居住区进行环境风险防范知识宣传活动等。</w:t>
      </w:r>
    </w:p>
    <w:p>
      <w:pPr>
        <w:spacing w:line="360" w:lineRule="auto"/>
        <w:ind w:firstLine="480" w:firstLineChars="200"/>
        <w:rPr>
          <w:rFonts w:ascii="Times New Roman" w:hAnsi="Times New Roman" w:cs="Times New Roman"/>
        </w:rPr>
      </w:pPr>
      <w:r>
        <w:rPr>
          <w:rFonts w:hint="eastAsia" w:ascii="Times New Roman" w:hAnsi="Times New Roman" w:cs="Times New Roman"/>
        </w:rPr>
        <w:t>2、企业层面</w:t>
      </w:r>
    </w:p>
    <w:p>
      <w:pPr>
        <w:spacing w:line="360" w:lineRule="auto"/>
        <w:ind w:firstLine="480" w:firstLineChars="200"/>
        <w:rPr>
          <w:rFonts w:ascii="Times New Roman" w:hAnsi="Times New Roman" w:cs="Times New Roman"/>
        </w:rPr>
      </w:pPr>
      <w:r>
        <w:rPr>
          <w:rFonts w:hint="eastAsia" w:ascii="Times New Roman" w:hAnsi="Times New Roman" w:cs="Times New Roman"/>
        </w:rPr>
        <w:t>入园企业建立各自的风险防范措施，完善事故风险防范体系。</w:t>
      </w:r>
    </w:p>
    <w:p>
      <w:pPr>
        <w:spacing w:line="360" w:lineRule="auto"/>
        <w:ind w:firstLine="480" w:firstLineChars="200"/>
        <w:rPr>
          <w:rFonts w:ascii="Times New Roman" w:hAnsi="Times New Roman" w:cs="Times New Roman"/>
        </w:rPr>
      </w:pPr>
      <w:r>
        <w:rPr>
          <w:rFonts w:hint="eastAsia" w:ascii="Times New Roman" w:hAnsi="Times New Roman" w:cs="Times New Roman"/>
        </w:rPr>
        <w:t>（1）应急预案编制与演练</w:t>
      </w:r>
    </w:p>
    <w:p>
      <w:pPr>
        <w:spacing w:line="360" w:lineRule="auto"/>
        <w:ind w:firstLine="480" w:firstLineChars="200"/>
        <w:rPr>
          <w:rFonts w:ascii="Times New Roman" w:hAnsi="Times New Roman" w:cs="Times New Roman"/>
        </w:rPr>
      </w:pPr>
      <w:r>
        <w:rPr>
          <w:rFonts w:hint="eastAsia" w:ascii="Times New Roman" w:hAnsi="Times New Roman" w:cs="Times New Roman"/>
        </w:rPr>
        <w:t>入驻企业应严格按《突发事件应急预案管理办法》、《企业突发环境事件风险评估指南（试行）》、《关于进一步加强突发环境事件应急预案管理工作的通知》（湘环函[2017]107号）》等文件规定开展应急预案的编制、评估、发布、备案、演练工作，配备相应的应急设施与物资。</w:t>
      </w:r>
    </w:p>
    <w:p>
      <w:pPr>
        <w:spacing w:line="360" w:lineRule="auto"/>
        <w:ind w:firstLine="480" w:firstLineChars="200"/>
        <w:rPr>
          <w:rFonts w:ascii="Times New Roman" w:hAnsi="Times New Roman" w:cs="Times New Roman"/>
        </w:rPr>
      </w:pPr>
      <w:r>
        <w:rPr>
          <w:rFonts w:hint="eastAsia" w:ascii="Times New Roman" w:hAnsi="Times New Roman" w:cs="Times New Roman"/>
        </w:rPr>
        <w:t>（2）企业风险风险防范措施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的煤焦化、钢铁冶炼资源回收、新能源新材料、生物医药等企业应按相关要求设置围堰、应急事故池、专用排污沟/管、清洁下水排放切换阀门、雨水总排口关闭闸阀、生产废水总排口关闭闸阀、采取相应地面防渗处理等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①为防止企业泄漏物料和消防液通过清下水系统，污染外界水体，企业设置雨水和清净下水缓冲池，并配制自动在线监测仪，经检测合格后，企业雨水和清下水方能汇入园区雨水管网。</w:t>
      </w:r>
    </w:p>
    <w:p>
      <w:pPr>
        <w:spacing w:line="360" w:lineRule="auto"/>
        <w:ind w:firstLine="480" w:firstLineChars="200"/>
        <w:rPr>
          <w:rFonts w:ascii="Times New Roman" w:hAnsi="Times New Roman" w:cs="Times New Roman"/>
        </w:rPr>
      </w:pPr>
      <w:r>
        <w:rPr>
          <w:rFonts w:hint="eastAsia" w:ascii="Times New Roman" w:hAnsi="Times New Roman" w:cs="Times New Roman"/>
        </w:rPr>
        <w:t>②企业严格按照设计规范进行生产装置和罐区围堰及雨污分流管道的建设。</w:t>
      </w:r>
    </w:p>
    <w:p>
      <w:pPr>
        <w:spacing w:line="360" w:lineRule="auto"/>
        <w:ind w:firstLine="480" w:firstLineChars="200"/>
        <w:rPr>
          <w:rFonts w:ascii="Times New Roman" w:hAnsi="Times New Roman" w:cs="Times New Roman"/>
        </w:rPr>
      </w:pPr>
      <w:r>
        <w:rPr>
          <w:rFonts w:hint="eastAsia" w:ascii="Times New Roman" w:hAnsi="Times New Roman" w:cs="Times New Roman"/>
        </w:rPr>
        <w:t>③当泄漏事故发生后，立即关闭设备上下游的主物料管道阀门，并对设备进行卸压，在条件允许时，将破损设备内的物料尽快转移至应急卸料槽或导入其它容器。</w:t>
      </w:r>
    </w:p>
    <w:p>
      <w:pPr>
        <w:spacing w:line="360" w:lineRule="auto"/>
        <w:ind w:firstLine="480" w:firstLineChars="200"/>
        <w:rPr>
          <w:rFonts w:ascii="Times New Roman" w:hAnsi="Times New Roman" w:cs="Times New Roman"/>
        </w:rPr>
      </w:pPr>
      <w:r>
        <w:rPr>
          <w:rFonts w:hint="eastAsia" w:ascii="Times New Roman" w:hAnsi="Times New Roman" w:cs="Times New Roman"/>
        </w:rPr>
        <w:t>④关闭厂区雨水排口和污水排口，用封堵袋封堵可能被污染的厂区雨水收集口，确认关闭装置区的雨水排放阀，而后打开各装置或罐区的污染水排放阀；将由于物料泄漏而导致的高浓度废水，引入厂区污水收集池（或厂区事故应急池）。</w:t>
      </w:r>
    </w:p>
    <w:p>
      <w:pPr>
        <w:spacing w:line="360" w:lineRule="auto"/>
        <w:ind w:firstLine="480" w:firstLineChars="200"/>
        <w:rPr>
          <w:rFonts w:ascii="Times New Roman" w:hAnsi="Times New Roman" w:cs="Times New Roman"/>
        </w:rPr>
      </w:pPr>
      <w:r>
        <w:rPr>
          <w:rFonts w:hint="eastAsia" w:ascii="Times New Roman" w:hAnsi="Times New Roman" w:cs="Times New Roman"/>
        </w:rPr>
        <w:t>⑤在发生火灾或爆炸时，同样首先将封堵袋封在可能被污染的雨水收集口，确认关闭装置区的雨水排放阀，而后打开各装置或罐区的污染水排放阀，将事故消防废水引入厂区污水收集池（或厂区事故应急池）。</w:t>
      </w:r>
    </w:p>
    <w:p>
      <w:pPr>
        <w:spacing w:line="360" w:lineRule="auto"/>
        <w:ind w:firstLine="480" w:firstLineChars="200"/>
        <w:rPr>
          <w:rFonts w:ascii="Times New Roman" w:hAnsi="Times New Roman" w:cs="Times New Roman"/>
        </w:rPr>
      </w:pPr>
      <w:r>
        <w:rPr>
          <w:rFonts w:hint="eastAsia" w:ascii="Times New Roman" w:hAnsi="Times New Roman" w:cs="Times New Roman"/>
        </w:rPr>
        <w:t>⑥在仓储、罐区等易发生安全事故的区域必须安装可燃气体（或有毒气体）检测装置和自动报警系统。</w:t>
      </w:r>
    </w:p>
    <w:p>
      <w:pPr>
        <w:pStyle w:val="5"/>
        <w:ind w:firstLine="482"/>
      </w:pPr>
      <w:r>
        <w:rPr>
          <w:rFonts w:hint="eastAsia"/>
        </w:rPr>
        <w:t>8.2.1.2 危险源的监控和限制</w:t>
      </w:r>
    </w:p>
    <w:p>
      <w:pPr>
        <w:spacing w:line="360" w:lineRule="auto"/>
        <w:ind w:firstLine="480" w:firstLineChars="200"/>
        <w:rPr>
          <w:rFonts w:ascii="Times New Roman" w:hAnsi="Times New Roman" w:cs="Times New Roman"/>
        </w:rPr>
      </w:pPr>
      <w:r>
        <w:rPr>
          <w:rFonts w:hint="eastAsia" w:ascii="Times New Roman" w:hAnsi="Times New Roman" w:cs="Times New Roman"/>
        </w:rPr>
        <w:t>（1）控制新增风险源</w:t>
      </w:r>
    </w:p>
    <w:p>
      <w:pPr>
        <w:spacing w:line="360" w:lineRule="auto"/>
        <w:ind w:firstLine="480" w:firstLineChars="200"/>
        <w:rPr>
          <w:rFonts w:ascii="Times New Roman" w:hAnsi="Times New Roman" w:cs="Times New Roman"/>
        </w:rPr>
      </w:pPr>
      <w:r>
        <w:rPr>
          <w:rFonts w:hint="eastAsia" w:ascii="Times New Roman" w:hAnsi="Times New Roman" w:cs="Times New Roman"/>
        </w:rPr>
        <w:t>规划实施应严格控制入驻企业危险物质使用和储存量。园区应严格项目环境准入门槛，严格控制涉危企业。项目入区后，要合理规划平面布置，危化品储存用地应与周边交通干道、水体、人员稠密的车间等保持防护距离；凡禁火区均应设置明显标志牌；配备足够的消防设施，落实防火安全责任制。</w:t>
      </w:r>
    </w:p>
    <w:p>
      <w:pPr>
        <w:spacing w:line="360" w:lineRule="auto"/>
        <w:ind w:firstLine="480" w:firstLineChars="200"/>
        <w:rPr>
          <w:rFonts w:ascii="Times New Roman" w:hAnsi="Times New Roman" w:cs="Times New Roman"/>
        </w:rPr>
      </w:pPr>
      <w:r>
        <w:rPr>
          <w:rFonts w:hint="eastAsia" w:ascii="Times New Roman" w:hAnsi="Times New Roman" w:cs="Times New Roman"/>
        </w:rPr>
        <w:t>（2）限制现有风险源</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管委会应对区内易燃易爆、有毒有害等重点危险物质的分布、流向、数量加以监控和必要的限制，督促园内企业开展危险化学品环境管理登记、新化学物质申报和有毒化学品进出口环境管理登记，建立动态管理信息库，对其数量和状态进行动态监控在线管理，区域内联成网络，并限期对危险源进行隐患排查治理工作并记录备案。重点危险物质可包括：①《职业性接触毒物危害程度分级》（GBZ230-2010）规定的极度危害物质和高度危害物质；②强反应物和爆炸物质；③高度易燃物质等。</w:t>
      </w:r>
    </w:p>
    <w:p>
      <w:pPr>
        <w:spacing w:line="360" w:lineRule="auto"/>
        <w:ind w:firstLine="480" w:firstLineChars="200"/>
        <w:rPr>
          <w:rFonts w:ascii="Times New Roman" w:hAnsi="Times New Roman" w:cs="Times New Roman"/>
        </w:rPr>
      </w:pPr>
      <w:r>
        <w:rPr>
          <w:rFonts w:hint="eastAsia" w:ascii="Times New Roman" w:hAnsi="Times New Roman" w:cs="Times New Roman"/>
        </w:rPr>
        <w:t>（3）监控危险装置</w:t>
      </w:r>
    </w:p>
    <w:p>
      <w:pPr>
        <w:spacing w:line="360" w:lineRule="auto"/>
        <w:ind w:firstLine="480" w:firstLineChars="200"/>
        <w:rPr>
          <w:rFonts w:ascii="Times New Roman" w:hAnsi="Times New Roman" w:cs="Times New Roman"/>
        </w:rPr>
      </w:pPr>
      <w:r>
        <w:rPr>
          <w:rFonts w:hint="eastAsia" w:ascii="Times New Roman" w:hAnsi="Times New Roman" w:cs="Times New Roman"/>
        </w:rPr>
        <w:t>企业应在有毒有害、易燃易爆等物品贮存区、使用点等处，设置气体泄漏探测器，及时探测有毒有害、可燃气体泄漏情况，实现气体监视系统声光报警功能；设置罐区、围堰等部位的液体泄漏侦测器，及时侦测液体泄漏情况，并与企业的中央监控室及区在线监控中心联网。</w:t>
      </w:r>
    </w:p>
    <w:p>
      <w:pPr>
        <w:spacing w:line="360" w:lineRule="auto"/>
        <w:ind w:firstLine="480" w:firstLineChars="200"/>
        <w:rPr>
          <w:rFonts w:ascii="Times New Roman" w:hAnsi="Times New Roman" w:cs="Times New Roman"/>
        </w:rPr>
      </w:pPr>
      <w:r>
        <w:rPr>
          <w:rFonts w:hint="eastAsia" w:ascii="Times New Roman" w:hAnsi="Times New Roman" w:cs="Times New Roman"/>
        </w:rPr>
        <w:t>（4）完善防范措施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在危化品使用装置、管道、储罐等装置设置具有针对性的防范措施。如在易燃危化品应严禁火源并配置防静电装置以及足够的消防器材，在储罐等区域设置水喷淋装置，并与气体泄露检测装置联合。</w:t>
      </w:r>
    </w:p>
    <w:p>
      <w:pPr>
        <w:spacing w:line="360" w:lineRule="auto"/>
        <w:ind w:firstLine="480" w:firstLineChars="200"/>
        <w:rPr>
          <w:rFonts w:ascii="Times New Roman" w:hAnsi="Times New Roman" w:cs="Times New Roman"/>
        </w:rPr>
      </w:pPr>
      <w:r>
        <w:rPr>
          <w:rFonts w:hint="eastAsia" w:ascii="Times New Roman" w:hAnsi="Times New Roman" w:cs="Times New Roman"/>
        </w:rPr>
        <w:t>易燃易爆等危险物质的使用和贮存企业，应设置消防水池，以及厂区生产废水、雨水（初期、后期）、清下水和事故消防废水的切换收集系统。一旦火灾爆炸事故发生，消防废水应收集引入废水事故池，确保妥善安置，不对区域水体质量造成损害。</w:t>
      </w:r>
    </w:p>
    <w:p>
      <w:pPr>
        <w:spacing w:line="360" w:lineRule="auto"/>
        <w:ind w:firstLine="480" w:firstLineChars="200"/>
        <w:rPr>
          <w:rFonts w:ascii="Times New Roman" w:hAnsi="Times New Roman" w:cs="Times New Roman"/>
        </w:rPr>
      </w:pPr>
      <w:r>
        <w:rPr>
          <w:rFonts w:hint="eastAsia" w:ascii="Times New Roman" w:hAnsi="Times New Roman" w:cs="Times New Roman"/>
        </w:rPr>
        <w:t>各涉危企业的生产区、贮存区、固废存放处及污水事故池应做好地面防渗，并加强对污水管线跑冒滴漏的限期巡视，避免污水、消防废水、固体废物渗滤液等污染地下水体。</w:t>
      </w:r>
    </w:p>
    <w:p>
      <w:pPr>
        <w:spacing w:line="360" w:lineRule="auto"/>
        <w:ind w:firstLine="480" w:firstLineChars="200"/>
        <w:rPr>
          <w:rFonts w:ascii="Times New Roman" w:hAnsi="Times New Roman" w:cs="Times New Roman"/>
        </w:rPr>
      </w:pPr>
      <w:r>
        <w:rPr>
          <w:rFonts w:hint="eastAsia" w:ascii="Times New Roman" w:hAnsi="Times New Roman" w:cs="Times New Roman"/>
        </w:rPr>
        <w:t>（5）危化品运输风险防范措施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1）合理规划运输路线及运输时间，应避开居民集中区，运输时间避开高峰时段。</w:t>
      </w:r>
    </w:p>
    <w:p>
      <w:pPr>
        <w:spacing w:line="360" w:lineRule="auto"/>
        <w:ind w:firstLine="480" w:firstLineChars="200"/>
        <w:rPr>
          <w:rFonts w:ascii="Times New Roman" w:hAnsi="Times New Roman" w:cs="Times New Roman"/>
        </w:rPr>
      </w:pPr>
      <w:r>
        <w:rPr>
          <w:rFonts w:hint="eastAsia" w:ascii="Times New Roman" w:hAnsi="Times New Roman" w:cs="Times New Roman"/>
        </w:rPr>
        <w:t>2）危险化学品装运应采用专用车，并由专业人员进行，确保运输安全。</w:t>
      </w:r>
    </w:p>
    <w:p>
      <w:pPr>
        <w:spacing w:line="360" w:lineRule="auto"/>
        <w:ind w:firstLine="480" w:firstLineChars="200"/>
        <w:rPr>
          <w:rFonts w:ascii="Times New Roman" w:hAnsi="Times New Roman" w:cs="Times New Roman"/>
        </w:rPr>
      </w:pPr>
      <w:r>
        <w:rPr>
          <w:rFonts w:hint="eastAsia" w:ascii="Times New Roman" w:hAnsi="Times New Roman" w:cs="Times New Roman"/>
        </w:rPr>
        <w:t>3）被装运的危险化学品应在其外包装明显部位粘贴危险物品标志。</w:t>
      </w:r>
    </w:p>
    <w:p>
      <w:pPr>
        <w:spacing w:line="360" w:lineRule="auto"/>
        <w:ind w:firstLine="480" w:firstLineChars="200"/>
        <w:rPr>
          <w:rFonts w:ascii="Times New Roman" w:hAnsi="Times New Roman" w:cs="Times New Roman"/>
        </w:rPr>
      </w:pPr>
      <w:r>
        <w:rPr>
          <w:rFonts w:hint="eastAsia" w:ascii="Times New Roman" w:hAnsi="Times New Roman" w:cs="Times New Roman"/>
        </w:rPr>
        <w:t>4）运输过程中一旦发生意外，应采取措施立即切断事故源，应迅速报告当地政府、公安和环保等有关部门，疏散周围群众，防止事态扩大，并积极协助前来救助的应急救援人员抢救伤者和物资，将损失降到最低范围。</w:t>
      </w:r>
    </w:p>
    <w:p>
      <w:pPr>
        <w:spacing w:line="360" w:lineRule="auto"/>
        <w:ind w:firstLine="480" w:firstLineChars="200"/>
        <w:rPr>
          <w:rFonts w:ascii="Times New Roman" w:hAnsi="Times New Roman" w:cs="Times New Roman"/>
        </w:rPr>
      </w:pPr>
      <w:r>
        <w:rPr>
          <w:rFonts w:hint="eastAsia" w:ascii="Times New Roman" w:hAnsi="Times New Roman" w:cs="Times New Roman"/>
        </w:rPr>
        <w:t>5）运输危险化学品的驾驶员和押运人员，应了解运输物料的性质、应急处置方法，出车前必须检查防护设备是否携带齐全。</w:t>
      </w:r>
    </w:p>
    <w:p>
      <w:pPr>
        <w:pStyle w:val="5"/>
        <w:ind w:firstLine="482"/>
      </w:pPr>
      <w:r>
        <w:rPr>
          <w:rFonts w:hint="eastAsia"/>
        </w:rPr>
        <w:t>8.2.1.3 大气风险防范措施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总体布置上将污染较小的项目布置在园区的上风向，而将污染相对较大的项目布置在建成区内的下风向；园区内各企业、各生产单体，其相邻建筑物的防火间距、安全卫生间距以及安全疏散通道等符合《建筑设计防火规范》、《石油化工企业设计防火标准》及相关设计规定要求，满足产品生产、物料储存的安全技术规定，并有利于园区内各企业之间，厂内各车间之间的协作和联系。</w:t>
      </w:r>
    </w:p>
    <w:p>
      <w:pPr>
        <w:spacing w:line="360" w:lineRule="auto"/>
        <w:ind w:firstLine="480" w:firstLineChars="200"/>
        <w:rPr>
          <w:rFonts w:ascii="Times New Roman" w:hAnsi="Times New Roman" w:cs="Times New Roman"/>
        </w:rPr>
      </w:pPr>
      <w:r>
        <w:rPr>
          <w:rFonts w:hint="eastAsia" w:ascii="Times New Roman" w:hAnsi="Times New Roman" w:cs="Times New Roman"/>
        </w:rPr>
        <w:t>各企业内设有足够的消防环形通道，并保持消防、气防、急救车辆等到达该区域畅通无阻。生产、存储装置，建构筑物的平、立面布置抗震设计严格按《建筑物抗震设计规范》的要求执行。土建设计根据企业特点，全面考虑防火、防爆、防毒、防噪等规范，满足安全生产要求：主厂房尽可能采用敞开式的框架结构，以利于通风；有爆炸危险的厂房，采用钢筋混凝土框架或桁架结构，装置区内对有燃爆危险的区域采用混凝土防爆墙及防爆门与其它区域分开，地面采用防腐处理。</w:t>
      </w:r>
    </w:p>
    <w:p>
      <w:pPr>
        <w:pStyle w:val="5"/>
        <w:ind w:firstLine="482"/>
      </w:pPr>
      <w:r>
        <w:rPr>
          <w:rFonts w:hint="eastAsia"/>
        </w:rPr>
        <w:t>8.2.1.4 地表水风险防范措施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（1）建立三级防控系统</w:t>
      </w:r>
    </w:p>
    <w:p>
      <w:pPr>
        <w:spacing w:line="360" w:lineRule="auto"/>
        <w:ind w:firstLine="480" w:firstLineChars="200"/>
        <w:rPr>
          <w:rFonts w:ascii="Times New Roman" w:hAnsi="Times New Roman" w:cs="Times New Roman"/>
        </w:rPr>
      </w:pPr>
      <w:r>
        <w:rPr>
          <w:rFonts w:hint="eastAsia" w:ascii="Times New Roman" w:hAnsi="Times New Roman" w:cs="Times New Roman"/>
        </w:rPr>
        <w:t>制定事故防范管理方案，将园区内企业和园区管委会组织起来，形成环境事故防范网络，共同做好园区的环境风险事故防范设施的建设和管理，以实现达标排放和满足应急处置为原则，建立污染源头、过程处理和最终排放的“三级防控”机制。</w:t>
      </w:r>
    </w:p>
    <w:p>
      <w:pPr>
        <w:spacing w:line="360" w:lineRule="auto"/>
        <w:ind w:firstLine="480" w:firstLineChars="200"/>
        <w:rPr>
          <w:rFonts w:ascii="Times New Roman" w:hAnsi="Times New Roman" w:cs="Times New Roman"/>
        </w:rPr>
      </w:pPr>
      <w:r>
        <w:rPr>
          <w:rFonts w:hint="eastAsia" w:ascii="Times New Roman" w:hAnsi="Times New Roman" w:cs="Times New Roman"/>
        </w:rPr>
        <w:t>园区企业生产装置、污水处理装置、火灾事故产生的消防事故水等可能发生故障造成水体污染的潜在风险，针对园区内的煤焦化、钢铁冶炼资源回收、新能源新材料、生物医药等企业的生产装置、储罐设置围堰和罐区防火堤，构筑生产过程中环境安全的第一层防控网，使泄漏物料切换到处理系统，防止污染雨水和轻微事故泄漏造成的环境污染；厂区设置事故应急池，切断污染物与外部的通道、导入污水处理系统，将污染控制在厂内，防止较大生产事故泄漏物料和污染消防水造成的环境污染；园区污水处理厂可设置事故应急池，作为事故状态下的储存与调控手段，将污染物控制在区内，防止重大事故泄漏物料和污染消防水造成的环境污染。</w:t>
      </w:r>
    </w:p>
    <w:p>
      <w:pPr>
        <w:spacing w:line="360" w:lineRule="auto"/>
        <w:ind w:firstLine="480" w:firstLineChars="200"/>
        <w:rPr>
          <w:rFonts w:ascii="Times New Roman" w:hAnsi="Times New Roman" w:cs="Times New Roman"/>
        </w:rPr>
      </w:pPr>
      <w:r>
        <w:rPr>
          <w:rFonts w:hint="eastAsia" w:ascii="Times New Roman" w:hAnsi="Times New Roman" w:cs="Times New Roman"/>
        </w:rPr>
        <w:t>（2）污水处理厂环境风险事故防范措施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主区配套污水处理厂已编制了突发环境事件应急预案并已备案，配备了环境应急物资和应急队伍，能及时有效地调配各种应急资源。污水处理厂废水排放口安装了在线监测仪器，并与生态环境部门联网，最大可能的避免对区域地表水的污染。斗笠山片区规划新建一座工业污水处理厂，建议建设时结合园区污水处理厂设置园区应急事故池。</w:t>
      </w:r>
    </w:p>
    <w:p>
      <w:pPr>
        <w:spacing w:line="360" w:lineRule="auto"/>
        <w:ind w:firstLine="480" w:firstLineChars="200"/>
        <w:rPr>
          <w:rFonts w:ascii="Times New Roman" w:hAnsi="Times New Roman" w:cs="Times New Roman"/>
        </w:rPr>
      </w:pPr>
      <w:r>
        <w:rPr>
          <w:rFonts w:hint="eastAsia" w:ascii="Times New Roman" w:hAnsi="Times New Roman" w:cs="Times New Roman"/>
        </w:rPr>
        <w:t>此外，为防止区内企业污水排放对污水处理厂的冲击负荷，在区内重点污水排污企业，厂区排放安装自动监测设备，对企业排放指标的监控，并将监测数据送至园区管委会、娄底市生态环境局涟源分局，以及时了解企业排污情况。一旦监控的污染因子超标，应及时关闭企业污水排放管，直接将污染物质排入厂区事故池，必要时，责令事故发生企业限产或停产，以减小环境风险。园区排污企业设置雨水排水系统，雨排水系统排水口设置集中控制阀，可防止事故水通过雨排水系统进入外环境。</w:t>
      </w:r>
    </w:p>
    <w:p>
      <w:pPr>
        <w:pStyle w:val="5"/>
        <w:ind w:firstLine="482"/>
      </w:pPr>
      <w:r>
        <w:rPr>
          <w:rFonts w:hint="eastAsia"/>
        </w:rPr>
        <w:t>8.2.1.5 地下水环境风险防范措施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为了保护地下水环境，采取措施从源头上控制对地下水的污染；园区入园企业在环境管理中防止和减少污染物料的跑、冒、滴、漏而采取的各种措施，主要措施包括工艺，管道，设备，土建，给排水，总图布置等防止污染物泄漏的措施；园区现状企业应严格管理，加强巡检，及时发现污染物泄漏；一旦出现泄漏及时处理，检查检修设备，将污染物泄漏的环境风险事故降到最低。</w:t>
      </w:r>
    </w:p>
    <w:p>
      <w:pPr>
        <w:spacing w:line="360" w:lineRule="auto"/>
        <w:ind w:firstLine="480" w:firstLineChars="200"/>
        <w:rPr>
          <w:rFonts w:ascii="Times New Roman" w:hAnsi="Times New Roman" w:cs="Times New Roman"/>
        </w:rPr>
      </w:pPr>
      <w:r>
        <w:rPr>
          <w:rFonts w:hint="eastAsia" w:ascii="Times New Roman" w:hAnsi="Times New Roman" w:cs="Times New Roman"/>
        </w:rPr>
        <w:t>针对土层防污性能极差，厂址地面无良好的隔水层，各企业地面冲洗水和固体废弃物淋滤水易渗透污染地下水，产生环境灾害的潜在风险，加强对各企业厂区地面防渗处理的监控，要求区内各企业生产区和贮存区地面均用水泥硬化，且四周设有防渗处理的地沟，地面冲洗废水和初期雨水均能通过地沟及时收集起来，送企业或污水处理设施进行处理。对于固体废弃物可能造成的危害，建议加强对区内各企业固体废弃物存放的管理，各种固体废弃物均按有关标准进行存放。</w:t>
      </w:r>
    </w:p>
    <w:p>
      <w:pPr>
        <w:spacing w:line="360" w:lineRule="auto"/>
        <w:ind w:firstLine="480" w:firstLineChars="200"/>
        <w:rPr>
          <w:rFonts w:ascii="Times New Roman" w:hAnsi="Times New Roman" w:cs="Times New Roman"/>
        </w:rPr>
      </w:pPr>
      <w:r>
        <w:rPr>
          <w:rFonts w:hint="eastAsia" w:ascii="Times New Roman" w:hAnsi="Times New Roman" w:cs="Times New Roman"/>
        </w:rPr>
        <w:t>对于列入土壤重点排污企业，应建立地下水环境监控体系，包括：建立地下水监控制度和环境管理体系、制定监测计划、配备必要的检测仪器和设备，以便及时发现问题，及时采取措施。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当发生异常情况时，按照装置制定的环境事故应急预案，启动应急预案。在第一时间内尽快上报主管领导，密切关注地下水水质变化情况。组织专业队伍负责查找环境事故发生地点，分析事故原因，尽量将紧急时间局部化，如可能应予以消除，尽量缩小环境事故对人和财产的影响。减低事故后果的手段，包括切断生产装置或设施。对事故现场进行调查，监测，处理。对事故后果进行评估，采取紧急措施制止事故的扩散，扩大，并制定防止类似事件发生的措施。</w:t>
      </w:r>
    </w:p>
    <w:p>
      <w:pPr>
        <w:pStyle w:val="5"/>
        <w:ind w:firstLine="482"/>
      </w:pPr>
      <w:r>
        <w:rPr>
          <w:rFonts w:hint="eastAsia"/>
        </w:rPr>
        <w:t>8.2.1.6 土壤环境风险防范措施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污水管线应采取良好的防渗措施，防止跑、冒、滴、漏；各工矿企业和仓储企业采取硬化厂区地面、对可能的渗漏线路采取必要的防渗措施。对施工企业严加管理，将沟渠开挖的土方尽快归位，严禁雨季，特别是大雨天施工，以杜绝施工机械的石油类和悬浮物进入土壤；企业生产所需原料、半成品及成品尽可能室内储存，防止由于跑、冒、滴、漏的化学品随雨水进入土壤；企业的危险废物存放在符合《危险废物贮存污染控制标准》（GBl8597-2001）（2013年修订）要求的暂存间内，严格按照《危险废物收集、贮存、运输技术规范》（HJ2025-2012）和《危险废物转移联单管理办法》（总局5号令）进行操作，避免固体废物对区域土壤环境造成污染；对于厂区原料储存罐区应设置围堰，并设置初期雨水收集池，将收集的初期雨水送厂区废水处理站进行处理，处理后排放。</w:t>
      </w:r>
    </w:p>
    <w:p>
      <w:pPr>
        <w:spacing w:line="360" w:lineRule="auto"/>
        <w:ind w:firstLine="480" w:firstLineChars="200"/>
        <w:rPr>
          <w:rFonts w:ascii="Times New Roman" w:hAnsi="Times New Roman" w:cs="Times New Roman"/>
        </w:rPr>
      </w:pPr>
      <w:r>
        <w:rPr>
          <w:rFonts w:hint="eastAsia" w:ascii="Times New Roman" w:hAnsi="Times New Roman" w:cs="Times New Roman"/>
        </w:rPr>
        <w:t>对于列入土壤重点排污企业严格执行相关标准规范的要求，尽可能减轻对环境的影响；建立土壤定期监测制度，加强土壤环境执法。对园区内土壤污染重点防控企业，应开展土壤污染隐患排查，建立土壤污染预警机制，制定土壤污染隐患整改方案。</w:t>
      </w:r>
    </w:p>
    <w:p>
      <w:pPr>
        <w:pStyle w:val="4"/>
      </w:pPr>
      <w:bookmarkStart w:id="764" w:name="_Toc146092031"/>
      <w:r>
        <w:rPr>
          <w:rFonts w:hint="eastAsia"/>
        </w:rPr>
        <w:t>8.2.2 环境风险应急体系</w:t>
      </w:r>
      <w:bookmarkEnd w:id="764"/>
    </w:p>
    <w:p>
      <w:pPr>
        <w:pStyle w:val="5"/>
        <w:ind w:firstLine="482"/>
      </w:pPr>
      <w:r>
        <w:rPr>
          <w:rFonts w:hint="eastAsia"/>
        </w:rPr>
        <w:t>8.2.2.1 建立四级环境风险应急体系</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园区应建立“政府-流域-园区-企业”的四级环境风险应急体系，包括企业环境风险应急体系、园区环境风险应急体系、涟水/孙水流域环境风险应急体系、涟源市环境风险应急体系。</w:t>
      </w:r>
    </w:p>
    <w:p>
      <w:pPr>
        <w:spacing w:line="360" w:lineRule="auto"/>
        <w:ind w:firstLine="480" w:firstLineChars="200"/>
        <w:rPr>
          <w:rFonts w:ascii="Times New Roman" w:hAnsi="Times New Roman" w:cs="Times New Roman"/>
        </w:rPr>
      </w:pPr>
      <w:r>
        <w:rPr>
          <w:rFonts w:hint="eastAsia" w:ascii="Times New Roman" w:hAnsi="Times New Roman" w:cs="Times New Roman"/>
        </w:rPr>
        <w:t>园区预案为综合应急预案，主要用于指导超出园区企业处置范围或超出企业处置能力需要园区管委会层面协调处置工作，以及园区内移动风险源突发环境事件的响应和处置工作，应急组织机构涉及园区各职能部门和各生产企业，应急程序和处置的重点为协调各生产企业应急力量和资源实施应急处置，调集周边企业、地方政府的应急力量进行支援，响应范围超出事故企业及园区规划范围。</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急预案体系包括：《湖南娄底高新区突发环境事件应急预案》、《湖南娄底高新区所属企业突发环境事件应急预案》以及企业专项应急预案组成。园区内企业制定的危险化学品事故应急预案要与园区应急预案相协调，要综合考虑周边企业的危险有害因素，实现企业之间应急响应联动互动。</w:t>
      </w:r>
    </w:p>
    <w:p>
      <w:pPr>
        <w:spacing w:line="360" w:lineRule="auto"/>
        <w:ind w:firstLine="480" w:firstLineChars="200"/>
        <w:rPr>
          <w:rFonts w:ascii="Times New Roman" w:hAnsi="Times New Roman" w:cs="Times New Roman"/>
        </w:rPr>
      </w:pPr>
      <w:r>
        <w:rPr>
          <w:rFonts w:hint="eastAsia" w:ascii="Times New Roman" w:hAnsi="Times New Roman" w:cs="Times New Roman"/>
        </w:rPr>
        <w:t>园区企业编制的突发环境事件应急预案作为园区应急预案体系中的一部分，用于指导各企业突发环境事件的预警和响应，企业突发环境事件事态较严重（对应企业应急预案中的一级预警及响应、超出厂界的二级预警及响应）与园区应急预案相对应。园区管委会需协调合理利用园区内各企业应急力量和应急资源对园区突发环境事件进行处置工作。</w:t>
      </w:r>
    </w:p>
    <w:p>
      <w:pPr>
        <w:pStyle w:val="5"/>
        <w:ind w:firstLine="482"/>
      </w:pPr>
      <w:r>
        <w:rPr>
          <w:rFonts w:hint="eastAsia"/>
        </w:rPr>
        <w:t>8.2.2.2 突发环境应急预案原则内容和要求</w:t>
      </w:r>
    </w:p>
    <w:p>
      <w:pPr>
        <w:spacing w:line="360" w:lineRule="auto"/>
        <w:ind w:firstLine="480" w:firstLineChars="200"/>
        <w:rPr>
          <w:rFonts w:ascii="Times New Roman" w:hAnsi="Times New Roman" w:cs="Times New Roman"/>
        </w:rPr>
      </w:pPr>
      <w:r>
        <w:rPr>
          <w:rFonts w:hint="eastAsia" w:ascii="Times New Roman" w:hAnsi="Times New Roman" w:cs="Times New Roman"/>
        </w:rPr>
        <w:t>为减少突发事故危害，对园区需建立应急预案，根据《建设项目环境风险评价技术导则》，应急预案包括：预案适用范围、环境事件分类与分级、组织机构与职责、监控和预警、应急响应、应急保障、善后处置、预案管理与演练等内容。明确企业、园区/区域、地方政府环境风险应急体系。企业突发环境事件应急预案应体现分级响应、区域联动的原则，与地方政府突发环境事件应急预案相衔接，明确分级响应程序，具体见下表。</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管委会定期开展园区突发环境事件应急预案修编、应急演练，建立三级联动应急响应体系，落实环境风险防范措施，储备环境应急物资及装备，全面提升园区环境风险防控和应急处置能力，严防环境风险事故发生。</w:t>
      </w:r>
    </w:p>
    <w:p>
      <w:pPr>
        <w:pStyle w:val="6"/>
      </w:pPr>
      <w:r>
        <w:rPr>
          <w:rFonts w:hint="eastAsia"/>
        </w:rPr>
        <w:t>表8.2-1  突发环境应急预案概要</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6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项目</w:t>
            </w:r>
          </w:p>
        </w:tc>
        <w:tc>
          <w:tcPr>
            <w:tcW w:w="3700" w:type="pct"/>
            <w:vAlign w:val="center"/>
          </w:tcPr>
          <w:p>
            <w:pPr>
              <w:pStyle w:val="63"/>
            </w:pPr>
            <w:r>
              <w:t>主要内容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应急计划区</w:t>
            </w:r>
          </w:p>
        </w:tc>
        <w:tc>
          <w:tcPr>
            <w:tcW w:w="3700" w:type="pct"/>
            <w:vAlign w:val="center"/>
          </w:tcPr>
          <w:p>
            <w:pPr>
              <w:pStyle w:val="63"/>
            </w:pPr>
            <w:r>
              <w:t>相关环保设施、环境保护目标涉及的居民点等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应急组织机构</w:t>
            </w:r>
          </w:p>
        </w:tc>
        <w:tc>
          <w:tcPr>
            <w:tcW w:w="3700" w:type="pct"/>
            <w:vAlign w:val="center"/>
          </w:tcPr>
          <w:p>
            <w:pPr>
              <w:pStyle w:val="63"/>
            </w:pPr>
            <w:r>
              <w:t>风险区应急组织机构分级，各级别主要负责人为应急计划、协调第一人，应急人员必须为培训上岗人员；区域应急组织机构由涟源市人民政府、湖南娄底高新区管委会、相关行业专家、卫生安全相关单位组成，并由政府进行统一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预案附近分级响应条件</w:t>
            </w:r>
          </w:p>
        </w:tc>
        <w:tc>
          <w:tcPr>
            <w:tcW w:w="3700" w:type="pct"/>
            <w:vAlign w:val="center"/>
          </w:tcPr>
          <w:p>
            <w:pPr>
              <w:pStyle w:val="63"/>
            </w:pPr>
            <w:r>
              <w:t>根据事故的严重程度制定相应级别的应急预案以及相应情况的处理措施。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报警、通讯联络方式</w:t>
            </w:r>
          </w:p>
        </w:tc>
        <w:tc>
          <w:tcPr>
            <w:tcW w:w="3700" w:type="pct"/>
            <w:vAlign w:val="center"/>
          </w:tcPr>
          <w:p>
            <w:pPr>
              <w:pStyle w:val="63"/>
            </w:pPr>
            <w:r>
              <w:t>细化应急状态下各主要负责单位的报警通讯方式、地点、联系电话、及相关配套的交通保障、管制、消防联络方法，涉及跨区域的还应与相关区域的生态环境部门和上级生态环境部门保持联系，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应急环境监测</w:t>
            </w:r>
          </w:p>
        </w:tc>
        <w:tc>
          <w:tcPr>
            <w:tcW w:w="3700" w:type="pct"/>
            <w:vAlign w:val="center"/>
          </w:tcPr>
          <w:p>
            <w:pPr>
              <w:pStyle w:val="63"/>
            </w:pPr>
            <w:r>
              <w:t>组织专业队伍负责对事故现场进行观察监测，对事故性质、参数、与后果进行评估，为指挥部门提供决策依据。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抢险、救援控制措施</w:t>
            </w:r>
          </w:p>
        </w:tc>
        <w:tc>
          <w:tcPr>
            <w:tcW w:w="3700" w:type="pct"/>
            <w:vAlign w:val="center"/>
          </w:tcPr>
          <w:p>
            <w:pPr>
              <w:pStyle w:val="63"/>
            </w:pPr>
            <w: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人员紧急撤离、疏散</w:t>
            </w:r>
          </w:p>
        </w:tc>
        <w:tc>
          <w:tcPr>
            <w:tcW w:w="3700" w:type="pct"/>
            <w:vAlign w:val="center"/>
          </w:tcPr>
          <w:p>
            <w:pPr>
              <w:pStyle w:val="63"/>
            </w:pPr>
            <w:r>
              <w:t>事故现场、邻近区、受事故影响的区域人员及公众对有毒有害物质应急剂量控制规定，制定紧急撤离组织计划和救护，医疗救护与公众健康。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事故应急救援关停程序</w:t>
            </w:r>
          </w:p>
        </w:tc>
        <w:tc>
          <w:tcPr>
            <w:tcW w:w="3700" w:type="pct"/>
            <w:vAlign w:val="center"/>
          </w:tcPr>
          <w:p>
            <w:pPr>
              <w:pStyle w:val="63"/>
            </w:pPr>
            <w:r>
              <w:t>制定相关应急状态终止程序，事故现场、受影响范围内的善后处理、恢复措施，邻近区域解除事故警戒及善后恢复措施。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事故恢复措施</w:t>
            </w:r>
          </w:p>
        </w:tc>
        <w:tc>
          <w:tcPr>
            <w:tcW w:w="3700" w:type="pct"/>
            <w:vAlign w:val="center"/>
          </w:tcPr>
          <w:p>
            <w:pPr>
              <w:pStyle w:val="63"/>
            </w:pPr>
            <w:r>
              <w:t>制定有关的环境恢复措施（包括水体、生态环境等），组织专业人员对事故后的环境变化进行监测，对事故应急措施的环境可行性进行后影响评价。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应急培训计划</w:t>
            </w:r>
          </w:p>
        </w:tc>
        <w:tc>
          <w:tcPr>
            <w:tcW w:w="3700" w:type="pct"/>
            <w:vAlign w:val="center"/>
          </w:tcPr>
          <w:p>
            <w:pPr>
              <w:pStyle w:val="63"/>
            </w:pPr>
            <w:r>
              <w:t>定期安排有关人员进行培训和演练。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0" w:type="pct"/>
            <w:vAlign w:val="center"/>
          </w:tcPr>
          <w:p>
            <w:pPr>
              <w:pStyle w:val="63"/>
            </w:pPr>
            <w:r>
              <w:t>公众教育和信息</w:t>
            </w:r>
          </w:p>
        </w:tc>
        <w:tc>
          <w:tcPr>
            <w:tcW w:w="3700" w:type="pct"/>
            <w:vAlign w:val="center"/>
          </w:tcPr>
          <w:p>
            <w:pPr>
              <w:pStyle w:val="63"/>
            </w:pPr>
            <w:r>
              <w:t>对邻近地区开展公众教育、培训和发布有关信息。</w:t>
            </w:r>
          </w:p>
        </w:tc>
      </w:tr>
    </w:tbl>
    <w:p>
      <w:pPr>
        <w:spacing w:line="360" w:lineRule="auto"/>
        <w:ind w:firstLine="480" w:firstLineChars="200"/>
        <w:rPr>
          <w:rFonts w:ascii="Times New Roman" w:hAnsi="Times New Roman" w:cs="Times New Roman"/>
        </w:rPr>
      </w:pPr>
      <w:r>
        <w:rPr>
          <w:rFonts w:hint="eastAsia" w:ascii="Times New Roman" w:hAnsi="Times New Roman" w:cs="Times New Roman"/>
        </w:rPr>
        <w:t>预案在预防为主的前提下，贯彻“统一指挥、分级负责、区域为主、单位自救与社会救援相结合”的原则。坚持以人为本，树立全面、协调、可持续的科学发展观，遵循预防为主、常备不懈的方针，建立健全统一领导、分级管理、职责明确、反应灵敏、运转高效的环境污染事故预警机制，提高园区的环境管理水平和应对环境突发事故的能力。</w:t>
      </w:r>
    </w:p>
    <w:p>
      <w:pPr>
        <w:pStyle w:val="5"/>
        <w:ind w:firstLine="482"/>
      </w:pPr>
      <w:r>
        <w:rPr>
          <w:rFonts w:hint="eastAsia"/>
        </w:rPr>
        <w:t>8.2.2.3 园区应急预案组织机构及职责</w:t>
      </w:r>
    </w:p>
    <w:p>
      <w:pPr>
        <w:spacing w:line="360" w:lineRule="auto"/>
        <w:ind w:firstLine="480" w:firstLineChars="200"/>
        <w:rPr>
          <w:rFonts w:ascii="Times New Roman" w:hAnsi="Times New Roman" w:cs="Times New Roman"/>
        </w:rPr>
      </w:pPr>
      <w:r>
        <w:rPr>
          <w:rFonts w:hint="eastAsia" w:ascii="Times New Roman" w:hAnsi="Times New Roman" w:cs="Times New Roman"/>
        </w:rPr>
        <w:t>（1）应急救援组织体系</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突发环境事件应急救援体系建设的基本思路为：以园区突发环境事件应急救援中心为核心，与地方政府（上级）和企业（或事业）单位（下级）应急救援中心形成联动机制的三级应急救援管理体系；救援队伍的组建整合生态环境、公安、消防、医疗卫生、应急、新闻通讯等救援力量，在应急响应时，根据事件实际情况，成立相应的应急救援队伍。</w:t>
      </w:r>
    </w:p>
    <w:p>
      <w:pPr>
        <w:spacing w:line="360" w:lineRule="auto"/>
        <w:ind w:firstLine="480" w:firstLineChars="200"/>
        <w:rPr>
          <w:rFonts w:ascii="Times New Roman" w:hAnsi="Times New Roman" w:cs="Times New Roman"/>
        </w:rPr>
      </w:pPr>
      <w:r>
        <w:rPr>
          <w:rFonts w:hint="eastAsia" w:ascii="Times New Roman" w:hAnsi="Times New Roman" w:cs="Times New Roman"/>
        </w:rPr>
        <w:t>由于园区日常管理工作由园区管委会负责，园区设置安全生产和环境保护监督管理机构。同时园区应与区内各企业应急力量相互联动，必要时可请求向涟源市、娄底市、湖南省政府的援助。</w:t>
      </w:r>
    </w:p>
    <w:p>
      <w:pPr>
        <w:spacing w:line="360" w:lineRule="auto"/>
        <w:ind w:firstLine="480" w:firstLineChars="200"/>
        <w:rPr>
          <w:rFonts w:ascii="Times New Roman" w:hAnsi="Times New Roman" w:cs="Times New Roman"/>
        </w:rPr>
      </w:pPr>
      <w:r>
        <w:rPr>
          <w:rFonts w:hint="eastAsia" w:ascii="Times New Roman" w:hAnsi="Times New Roman" w:cs="Times New Roman"/>
        </w:rPr>
        <w:t>指挥机构由园区管委会及园区内企业相关负责人组成。</w:t>
      </w:r>
    </w:p>
    <w:p>
      <w:pPr>
        <w:spacing w:line="360" w:lineRule="auto"/>
        <w:ind w:firstLine="480" w:firstLineChars="200"/>
        <w:rPr>
          <w:rFonts w:ascii="Times New Roman" w:hAnsi="Times New Roman" w:cs="Times New Roman"/>
        </w:rPr>
      </w:pPr>
      <w:r>
        <w:rPr>
          <w:rFonts w:hint="eastAsia" w:ascii="Times New Roman" w:hAnsi="Times New Roman" w:cs="Times New Roman"/>
        </w:rPr>
        <w:t>应急指挥办公室在接到事件报警后，决定启动园区环境应急预案，通知应急救援的相关部门（环保、消防、急救、公安、应急、社会事务等）做好应急准备，并负责应急救援的统一指挥。根据事件发生、发展的情况决定是否请求上级应急指挥机构给予支援。</w:t>
      </w:r>
    </w:p>
    <w:p>
      <w:pPr>
        <w:spacing w:line="360" w:lineRule="auto"/>
        <w:ind w:firstLine="480" w:firstLineChars="200"/>
        <w:rPr>
          <w:rFonts w:ascii="Times New Roman" w:hAnsi="Times New Roman" w:cs="Times New Roman"/>
        </w:rPr>
      </w:pPr>
      <w:r>
        <w:rPr>
          <w:rFonts w:hint="eastAsia" w:ascii="Times New Roman" w:hAnsi="Times New Roman" w:cs="Times New Roman"/>
        </w:rPr>
        <w:t>由于园区无完整的环境监测能力，在应急指挥机构中不设置应急监测职能部门，应急监测事宜可以委托涟源市环境监测站或者专业资质单位进行，园区管委会应辅助其进行应急监测分析，与监测站的联络事宜由信息联络组负责。</w:t>
      </w:r>
    </w:p>
    <w:p>
      <w:pPr>
        <w:spacing w:line="360" w:lineRule="auto"/>
        <w:ind w:firstLine="480" w:firstLineChars="200"/>
        <w:rPr>
          <w:rFonts w:ascii="Times New Roman" w:hAnsi="Times New Roman" w:cs="Times New Roman"/>
        </w:rPr>
      </w:pPr>
      <w:r>
        <w:rPr>
          <w:rFonts w:hint="eastAsia" w:ascii="Times New Roman" w:hAnsi="Times New Roman" w:cs="Times New Roman"/>
        </w:rPr>
        <w:t>指挥机构其主要职责有：</w:t>
      </w:r>
    </w:p>
    <w:p>
      <w:pPr>
        <w:spacing w:line="360" w:lineRule="auto"/>
        <w:ind w:firstLine="480" w:firstLineChars="200"/>
        <w:rPr>
          <w:rFonts w:ascii="Times New Roman" w:hAnsi="Times New Roman" w:cs="Times New Roman"/>
        </w:rPr>
      </w:pPr>
      <w:r>
        <w:rPr>
          <w:rFonts w:hint="eastAsia" w:ascii="Times New Roman" w:hAnsi="Times New Roman" w:cs="Times New Roman"/>
        </w:rPr>
        <w:t>1）贯彻执行国家、当地政府、上级主管部门有关环境安全的方针、政策及规定；</w:t>
      </w:r>
    </w:p>
    <w:p>
      <w:pPr>
        <w:spacing w:line="360" w:lineRule="auto"/>
        <w:ind w:firstLine="480" w:firstLineChars="200"/>
        <w:rPr>
          <w:rFonts w:ascii="Times New Roman" w:hAnsi="Times New Roman" w:cs="Times New Roman"/>
        </w:rPr>
      </w:pPr>
      <w:r>
        <w:rPr>
          <w:rFonts w:hint="eastAsia" w:ascii="Times New Roman" w:hAnsi="Times New Roman" w:cs="Times New Roman"/>
        </w:rPr>
        <w:t>2）调查、统计园区内危险物质和重点环境风险源，负责建设并维护园区危险物质和环境风险源等信息管理库；</w:t>
      </w:r>
    </w:p>
    <w:p>
      <w:pPr>
        <w:spacing w:line="360" w:lineRule="auto"/>
        <w:ind w:firstLine="480" w:firstLineChars="200"/>
        <w:rPr>
          <w:rFonts w:ascii="Times New Roman" w:hAnsi="Times New Roman" w:cs="Times New Roman"/>
        </w:rPr>
      </w:pPr>
      <w:r>
        <w:rPr>
          <w:rFonts w:hint="eastAsia" w:ascii="Times New Roman" w:hAnsi="Times New Roman" w:cs="Times New Roman"/>
        </w:rPr>
        <w:t>3）监督制定园区及园区内各企业（或事业）单位应急预案，要求企业（或事业）单位针对重大环境风险源制定完善相应的环境应急预案，并与相关部门共同评估企业（或事业）单位是否有足够的资源来实施应急预案，以确保环境应急预案所需的各种资源（人、财、物）能够及时、迅速到达和供应；</w:t>
      </w:r>
    </w:p>
    <w:p>
      <w:pPr>
        <w:spacing w:line="360" w:lineRule="auto"/>
        <w:ind w:firstLine="480" w:firstLineChars="200"/>
        <w:rPr>
          <w:rFonts w:ascii="Times New Roman" w:hAnsi="Times New Roman" w:cs="Times New Roman"/>
        </w:rPr>
      </w:pPr>
      <w:r>
        <w:rPr>
          <w:rFonts w:hint="eastAsia" w:ascii="Times New Roman" w:hAnsi="Times New Roman" w:cs="Times New Roman"/>
        </w:rPr>
        <w:t>4）检查、监督园区及园区内各企业（或事业）单位应急救援指挥机构和突发环境事件应急救援队伍的组建，依据园区条件和可能发生的突发环境事件类型，建立（或依托）专业救援队伍；明确环境应急时各级人员和各专业救援队伍的具体职责和任务，以便发生突发环境事件时，快速、有序、高效地开展应急救援行动；</w:t>
      </w:r>
    </w:p>
    <w:p>
      <w:pPr>
        <w:spacing w:line="360" w:lineRule="auto"/>
        <w:ind w:firstLine="480" w:firstLineChars="200"/>
        <w:rPr>
          <w:rFonts w:ascii="Times New Roman" w:hAnsi="Times New Roman" w:cs="Times New Roman"/>
        </w:rPr>
      </w:pPr>
      <w:r>
        <w:rPr>
          <w:rFonts w:hint="eastAsia" w:ascii="Times New Roman" w:hAnsi="Times New Roman" w:cs="Times New Roman"/>
        </w:rPr>
        <w:t>5）负责园区应急设施（备）（如堵漏器材、围堰、应急监测仪器、防护器材、救援器材和应急交通工具等）的建设，以及应急救援物资，特别是处理泄漏物、消解和吸收污染物的化学品物资（如活性炭、木屑和石灰等）的储备；检查、监督园区内各企业（或事业）单位应急救援设施（备）的日常维护和应急物资的储备；</w:t>
      </w:r>
    </w:p>
    <w:p>
      <w:pPr>
        <w:spacing w:line="360" w:lineRule="auto"/>
        <w:ind w:firstLine="480" w:firstLineChars="200"/>
        <w:rPr>
          <w:rFonts w:ascii="Times New Roman" w:hAnsi="Times New Roman" w:cs="Times New Roman"/>
        </w:rPr>
      </w:pPr>
      <w:r>
        <w:rPr>
          <w:rFonts w:hint="eastAsia" w:ascii="Times New Roman" w:hAnsi="Times New Roman" w:cs="Times New Roman"/>
        </w:rPr>
        <w:t>6）负责组织园区突发环境应急预案的外部评审、审批与更新；</w:t>
      </w:r>
    </w:p>
    <w:p>
      <w:pPr>
        <w:spacing w:line="360" w:lineRule="auto"/>
        <w:ind w:firstLine="480" w:firstLineChars="200"/>
        <w:rPr>
          <w:rFonts w:ascii="Times New Roman" w:hAnsi="Times New Roman" w:cs="Times New Roman"/>
        </w:rPr>
      </w:pPr>
      <w:r>
        <w:rPr>
          <w:rFonts w:hint="eastAsia" w:ascii="Times New Roman" w:hAnsi="Times New Roman" w:cs="Times New Roman"/>
        </w:rPr>
        <w:t>7）定期组织园区及园区内各企业（或事业）单位根据突发环境事件应急预案开展模拟演练，在演练中检验和完善应急预案；有计划地组织突发环境事件应急救援培训，向周边企业、社区提供园区有关危险物质特性、救援知识等的宣传材料；</w:t>
      </w:r>
    </w:p>
    <w:p>
      <w:pPr>
        <w:spacing w:line="360" w:lineRule="auto"/>
        <w:ind w:firstLine="480" w:firstLineChars="200"/>
        <w:rPr>
          <w:rFonts w:ascii="Times New Roman" w:hAnsi="Times New Roman" w:cs="Times New Roman"/>
        </w:rPr>
      </w:pPr>
      <w:r>
        <w:rPr>
          <w:rFonts w:hint="eastAsia" w:ascii="Times New Roman" w:hAnsi="Times New Roman" w:cs="Times New Roman"/>
        </w:rPr>
        <w:t>8）发动组织环境应急志愿救援组织，并制定与周围具有一定环境应急能力的大型企业、区域联防方案。汇总社会各种志愿援助组织以及区域联防组织的名称、电话、规模等；</w:t>
      </w:r>
    </w:p>
    <w:p>
      <w:pPr>
        <w:spacing w:line="360" w:lineRule="auto"/>
        <w:ind w:firstLine="480" w:firstLineChars="200"/>
        <w:rPr>
          <w:rFonts w:ascii="Times New Roman" w:hAnsi="Times New Roman" w:cs="Times New Roman"/>
        </w:rPr>
      </w:pPr>
      <w:r>
        <w:rPr>
          <w:rFonts w:hint="eastAsia" w:ascii="Times New Roman" w:hAnsi="Times New Roman" w:cs="Times New Roman"/>
        </w:rPr>
        <w:t>9）密切关注当地的气候条件、天气预报等情况，为生态环境做出正确的预测以及指挥中心科学安排救援行动提供依据；</w:t>
      </w:r>
    </w:p>
    <w:p>
      <w:pPr>
        <w:spacing w:line="360" w:lineRule="auto"/>
        <w:ind w:firstLine="480" w:firstLineChars="200"/>
        <w:rPr>
          <w:rFonts w:ascii="Times New Roman" w:hAnsi="Times New Roman" w:cs="Times New Roman"/>
        </w:rPr>
      </w:pPr>
      <w:r>
        <w:rPr>
          <w:rFonts w:hint="eastAsia" w:ascii="Times New Roman" w:hAnsi="Times New Roman" w:cs="Times New Roman"/>
        </w:rPr>
        <w:t>10）在事件发生时，根据指挥中心指令，批准本预案的启动与终止，确定现场指挥人员，协调事件现场有关工作；</w:t>
      </w:r>
    </w:p>
    <w:p>
      <w:pPr>
        <w:spacing w:line="360" w:lineRule="auto"/>
        <w:ind w:firstLine="480" w:firstLineChars="200"/>
        <w:rPr>
          <w:rFonts w:ascii="Times New Roman" w:hAnsi="Times New Roman" w:cs="Times New Roman"/>
        </w:rPr>
      </w:pPr>
      <w:r>
        <w:rPr>
          <w:rFonts w:hint="eastAsia" w:ascii="Times New Roman" w:hAnsi="Times New Roman" w:cs="Times New Roman"/>
        </w:rPr>
        <w:t xml:space="preserve">11）负责事件信息的收集整理，全面准确地掌握事件状况，提供动态信息，经总指挥同意后及时向上级应急指挥机构和园区领导报告事件和应急救援进展情况，并负责可能受影响区域的通报工作； </w:t>
      </w:r>
    </w:p>
    <w:p>
      <w:pPr>
        <w:spacing w:line="360" w:lineRule="auto"/>
        <w:ind w:firstLine="480" w:firstLineChars="200"/>
        <w:rPr>
          <w:rFonts w:ascii="Times New Roman" w:hAnsi="Times New Roman" w:cs="Times New Roman"/>
        </w:rPr>
      </w:pPr>
      <w:r>
        <w:rPr>
          <w:rFonts w:hint="eastAsia" w:ascii="Times New Roman" w:hAnsi="Times New Roman" w:cs="Times New Roman"/>
        </w:rPr>
        <w:t>12）负责传达落实园区应急救援小组、上级应急指挥机构关于应急救援的指示和批示；</w:t>
      </w:r>
    </w:p>
    <w:p>
      <w:pPr>
        <w:spacing w:line="360" w:lineRule="auto"/>
        <w:ind w:firstLine="480" w:firstLineChars="200"/>
        <w:rPr>
          <w:rFonts w:ascii="Times New Roman" w:hAnsi="Times New Roman" w:cs="Times New Roman"/>
        </w:rPr>
      </w:pPr>
      <w:r>
        <w:rPr>
          <w:rFonts w:hint="eastAsia" w:ascii="Times New Roman" w:hAnsi="Times New Roman" w:cs="Times New Roman"/>
        </w:rPr>
        <w:t>13）负责应急队伍的调动和资源配置；</w:t>
      </w:r>
    </w:p>
    <w:p>
      <w:pPr>
        <w:spacing w:line="360" w:lineRule="auto"/>
        <w:ind w:firstLine="480" w:firstLineChars="200"/>
        <w:rPr>
          <w:rFonts w:ascii="Times New Roman" w:hAnsi="Times New Roman" w:cs="Times New Roman"/>
        </w:rPr>
      </w:pPr>
      <w:r>
        <w:rPr>
          <w:rFonts w:hint="eastAsia" w:ascii="Times New Roman" w:hAnsi="Times New Roman" w:cs="Times New Roman"/>
        </w:rPr>
        <w:t>14）负责应急状态下请求外部救援力量的决策；</w:t>
      </w:r>
    </w:p>
    <w:p>
      <w:pPr>
        <w:spacing w:line="360" w:lineRule="auto"/>
        <w:ind w:firstLine="480" w:firstLineChars="200"/>
        <w:rPr>
          <w:rFonts w:ascii="Times New Roman" w:hAnsi="Times New Roman" w:cs="Times New Roman"/>
        </w:rPr>
      </w:pPr>
      <w:r>
        <w:rPr>
          <w:rFonts w:hint="eastAsia" w:ascii="Times New Roman" w:hAnsi="Times New Roman" w:cs="Times New Roman"/>
        </w:rPr>
        <w:t>15）负责保护事件现场及相关数据；</w:t>
      </w:r>
    </w:p>
    <w:p>
      <w:pPr>
        <w:spacing w:line="360" w:lineRule="auto"/>
        <w:ind w:firstLine="480" w:firstLineChars="200"/>
        <w:rPr>
          <w:rFonts w:ascii="Times New Roman" w:hAnsi="Times New Roman" w:cs="Times New Roman"/>
        </w:rPr>
      </w:pPr>
      <w:r>
        <w:rPr>
          <w:rFonts w:hint="eastAsia" w:ascii="Times New Roman" w:hAnsi="Times New Roman" w:cs="Times New Roman"/>
        </w:rPr>
        <w:t>16）接受上级应急指挥机构的指令和调动，协助事件的处理；配合相关部门对环境进行修复、事件调查及总结。</w:t>
      </w:r>
    </w:p>
    <w:p>
      <w:pPr>
        <w:pStyle w:val="5"/>
        <w:ind w:firstLine="482"/>
      </w:pPr>
      <w:r>
        <w:rPr>
          <w:rFonts w:hint="eastAsia"/>
        </w:rPr>
        <w:t>8.2.2.4 应急处置措施</w:t>
      </w:r>
    </w:p>
    <w:p>
      <w:pPr>
        <w:spacing w:line="360" w:lineRule="auto"/>
        <w:ind w:firstLine="480" w:firstLineChars="200"/>
        <w:rPr>
          <w:rFonts w:ascii="Times New Roman" w:hAnsi="Times New Roman" w:cs="Times New Roman"/>
        </w:rPr>
      </w:pPr>
      <w:r>
        <w:rPr>
          <w:rFonts w:hint="eastAsia" w:ascii="Times New Roman" w:hAnsi="Times New Roman" w:cs="Times New Roman"/>
        </w:rPr>
        <w:t>本次评价提出企业和园区应急措施方案如下：</w:t>
      </w:r>
    </w:p>
    <w:p>
      <w:pPr>
        <w:spacing w:line="360" w:lineRule="auto"/>
        <w:ind w:firstLine="480" w:firstLineChars="200"/>
        <w:rPr>
          <w:rFonts w:ascii="Times New Roman" w:hAnsi="Times New Roman" w:cs="Times New Roman"/>
        </w:rPr>
      </w:pPr>
      <w:r>
        <w:rPr>
          <w:rFonts w:hint="eastAsia" w:ascii="Times New Roman" w:hAnsi="Times New Roman" w:cs="Times New Roman"/>
        </w:rPr>
        <w:t>（1）危险品装卸、仓储环境（车间）应急措施</w:t>
      </w:r>
    </w:p>
    <w:p>
      <w:pPr>
        <w:spacing w:line="360" w:lineRule="auto"/>
        <w:ind w:firstLine="480" w:firstLineChars="200"/>
        <w:rPr>
          <w:rFonts w:ascii="Times New Roman" w:hAnsi="Times New Roman" w:cs="Times New Roman"/>
        </w:rPr>
      </w:pPr>
      <w:r>
        <w:rPr>
          <w:rFonts w:hint="eastAsia" w:ascii="Times New Roman" w:hAnsi="Times New Roman" w:cs="Times New Roman"/>
        </w:rPr>
        <w:t>1）应急设备、器材</w:t>
      </w:r>
    </w:p>
    <w:p>
      <w:pPr>
        <w:spacing w:line="360" w:lineRule="auto"/>
        <w:ind w:firstLine="480" w:firstLineChars="200"/>
        <w:rPr>
          <w:rFonts w:ascii="Times New Roman" w:hAnsi="Times New Roman" w:cs="Times New Roman"/>
        </w:rPr>
      </w:pPr>
      <w:r>
        <w:rPr>
          <w:rFonts w:hint="eastAsia" w:ascii="Times New Roman" w:hAnsi="Times New Roman" w:cs="Times New Roman"/>
        </w:rPr>
        <w:t>应急设备、器材的配备应包括消防和工业卫生等方面。项目内部的消防按国家消防法规要求，属义务消防组织，义务消防队既是生产者又是消防员。车间及工段内部必须组织好这一队伍。</w:t>
      </w:r>
    </w:p>
    <w:p>
      <w:pPr>
        <w:spacing w:line="360" w:lineRule="auto"/>
        <w:ind w:firstLine="480" w:firstLineChars="200"/>
        <w:rPr>
          <w:rFonts w:ascii="Times New Roman" w:hAnsi="Times New Roman" w:cs="Times New Roman"/>
        </w:rPr>
      </w:pPr>
      <w:r>
        <w:rPr>
          <w:rFonts w:hint="eastAsia" w:ascii="Times New Roman" w:hAnsi="Times New Roman" w:cs="Times New Roman"/>
        </w:rPr>
        <w:t>另一重要方面，需配备生产性卫生设施和个人防护用品。前者包括工业照明、工业通风、防振、消音、防爆、防毒等。后者则根据不同工种配备相应的防护帽、防护鞋、防护眼镜、面罩、耳塞、耳罩、帽盔、呼吸防护器等。</w:t>
      </w:r>
    </w:p>
    <w:p>
      <w:pPr>
        <w:spacing w:line="360" w:lineRule="auto"/>
        <w:ind w:firstLine="480" w:firstLineChars="200"/>
        <w:rPr>
          <w:rFonts w:ascii="Times New Roman" w:hAnsi="Times New Roman" w:cs="Times New Roman"/>
        </w:rPr>
      </w:pPr>
      <w:r>
        <w:rPr>
          <w:rFonts w:hint="eastAsia" w:ascii="Times New Roman" w:hAnsi="Times New Roman" w:cs="Times New Roman"/>
        </w:rPr>
        <w:t>2）现场管理应急措施</w:t>
      </w:r>
    </w:p>
    <w:p>
      <w:pPr>
        <w:spacing w:line="360" w:lineRule="auto"/>
        <w:ind w:firstLine="480" w:firstLineChars="200"/>
        <w:rPr>
          <w:rFonts w:ascii="Times New Roman" w:hAnsi="Times New Roman" w:cs="Times New Roman"/>
        </w:rPr>
      </w:pPr>
      <w:r>
        <w:rPr>
          <w:rFonts w:hint="eastAsia" w:ascii="Times New Roman" w:hAnsi="Times New Roman" w:cs="Times New Roman"/>
        </w:rPr>
        <w:t>现场管理应急措施包括事故的组织、制定、分工、自救等方案制定和训练。组织制定项目预防灾难事故的管理制度和技术措施，并加以落实，明确应急处理要求。</w:t>
      </w:r>
    </w:p>
    <w:p>
      <w:pPr>
        <w:spacing w:line="360" w:lineRule="auto"/>
        <w:ind w:firstLine="480" w:firstLineChars="200"/>
        <w:rPr>
          <w:rFonts w:ascii="Times New Roman" w:hAnsi="Times New Roman" w:cs="Times New Roman"/>
        </w:rPr>
      </w:pPr>
      <w:r>
        <w:rPr>
          <w:rFonts w:hint="eastAsia" w:ascii="Times New Roman" w:hAnsi="Times New Roman" w:cs="Times New Roman"/>
        </w:rPr>
        <w:t>制定项目危险品的安全管理制度事故应急救援预案。组织训练单位的灾害事故应急救援队伍，配备必要的防护、救援器材和设备，指定专人管理，并定期进行检查和维护保养，确保完好。</w:t>
      </w:r>
    </w:p>
    <w:p>
      <w:pPr>
        <w:spacing w:line="360" w:lineRule="auto"/>
        <w:ind w:firstLine="480" w:firstLineChars="200"/>
        <w:rPr>
          <w:rFonts w:ascii="Times New Roman" w:hAnsi="Times New Roman" w:cs="Times New Roman"/>
        </w:rPr>
      </w:pPr>
      <w:r>
        <w:rPr>
          <w:rFonts w:hint="eastAsia" w:ascii="Times New Roman" w:hAnsi="Times New Roman" w:cs="Times New Roman"/>
        </w:rPr>
        <w:t>明确项目应急处理的现场指挥机构及相关系统，明确责任，并确保指挥到位和畅通。保证通讯，及时上报和联系。物资部门确保自救需要。</w:t>
      </w:r>
    </w:p>
    <w:p>
      <w:pPr>
        <w:spacing w:line="360" w:lineRule="auto"/>
        <w:ind w:firstLine="480" w:firstLineChars="200"/>
        <w:rPr>
          <w:rFonts w:ascii="Times New Roman" w:hAnsi="Times New Roman" w:cs="Times New Roman"/>
        </w:rPr>
      </w:pPr>
      <w:r>
        <w:rPr>
          <w:rFonts w:hint="eastAsia" w:ascii="Times New Roman" w:hAnsi="Times New Roman" w:cs="Times New Roman"/>
        </w:rPr>
        <w:t>3）现场监测措施</w:t>
      </w:r>
    </w:p>
    <w:p>
      <w:pPr>
        <w:spacing w:line="360" w:lineRule="auto"/>
        <w:ind w:firstLine="480" w:firstLineChars="200"/>
        <w:rPr>
          <w:rFonts w:ascii="Times New Roman" w:hAnsi="Times New Roman" w:cs="Times New Roman"/>
        </w:rPr>
      </w:pPr>
      <w:r>
        <w:rPr>
          <w:rFonts w:hint="eastAsia" w:ascii="Times New Roman" w:hAnsi="Times New Roman" w:cs="Times New Roman"/>
        </w:rPr>
        <w:t>为确保有效遏制灾害，有效救灾，需配备现场事故监测系统和设施，及时准确发现灾情，了解灾难，并预测发展趋势。</w:t>
      </w:r>
    </w:p>
    <w:p>
      <w:pPr>
        <w:spacing w:line="360" w:lineRule="auto"/>
        <w:ind w:firstLine="480" w:firstLineChars="200"/>
        <w:rPr>
          <w:rFonts w:ascii="Times New Roman" w:hAnsi="Times New Roman" w:cs="Times New Roman"/>
        </w:rPr>
      </w:pPr>
      <w:r>
        <w:rPr>
          <w:rFonts w:hint="eastAsia" w:ascii="Times New Roman" w:hAnsi="Times New Roman" w:cs="Times New Roman"/>
        </w:rPr>
        <w:t>监测措施包括配备正常运行的事故监测报警系统、事故现场移动式或便携式监测装置及分析室分析检测装置。</w:t>
      </w:r>
    </w:p>
    <w:p>
      <w:pPr>
        <w:spacing w:line="360" w:lineRule="auto"/>
        <w:ind w:firstLine="480" w:firstLineChars="200"/>
        <w:rPr>
          <w:rFonts w:ascii="Times New Roman" w:hAnsi="Times New Roman" w:cs="Times New Roman"/>
        </w:rPr>
      </w:pPr>
      <w:r>
        <w:rPr>
          <w:rFonts w:hint="eastAsia" w:ascii="Times New Roman" w:hAnsi="Times New Roman" w:cs="Times New Roman"/>
        </w:rPr>
        <w:t>监测人员的培训、管理，业务素质的提高。</w:t>
      </w:r>
    </w:p>
    <w:p>
      <w:pPr>
        <w:spacing w:line="360" w:lineRule="auto"/>
        <w:ind w:firstLine="480" w:firstLineChars="200"/>
        <w:rPr>
          <w:rFonts w:ascii="Times New Roman" w:hAnsi="Times New Roman" w:cs="Times New Roman"/>
        </w:rPr>
      </w:pPr>
      <w:r>
        <w:rPr>
          <w:rFonts w:hint="eastAsia" w:ascii="Times New Roman" w:hAnsi="Times New Roman" w:cs="Times New Roman"/>
        </w:rPr>
        <w:t>（2）现场善后计划措施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对事故现场善后处理，需制定计划，这是应急计划的重要部分。善后计划关系到防止污染的扩大和防止事故的进一步引发，应予重视。</w:t>
      </w:r>
    </w:p>
    <w:p>
      <w:pPr>
        <w:spacing w:line="360" w:lineRule="auto"/>
        <w:ind w:firstLine="480" w:firstLineChars="200"/>
        <w:rPr>
          <w:rFonts w:ascii="Times New Roman" w:hAnsi="Times New Roman" w:cs="Times New Roman"/>
        </w:rPr>
      </w:pPr>
      <w:r>
        <w:rPr>
          <w:rFonts w:hint="eastAsia" w:ascii="Times New Roman" w:hAnsi="Times New Roman" w:cs="Times New Roman"/>
        </w:rPr>
        <w:t>善后计划包括对事故处理后的现场进行清理、去污、恢复生产；对处理事故人员的污染检查、医学处理和受伤人员的及时治疗等。</w:t>
      </w:r>
    </w:p>
    <w:p>
      <w:pPr>
        <w:spacing w:line="360" w:lineRule="auto"/>
        <w:ind w:firstLine="480" w:firstLineChars="200"/>
        <w:rPr>
          <w:rFonts w:ascii="Times New Roman" w:hAnsi="Times New Roman" w:cs="Times New Roman"/>
        </w:rPr>
      </w:pPr>
      <w:r>
        <w:rPr>
          <w:rFonts w:hint="eastAsia" w:ascii="Times New Roman" w:hAnsi="Times New Roman" w:cs="Times New Roman"/>
        </w:rPr>
        <w:t>善后计划同时包括对事故现场作进一步安全检查，尤其是由于事故或抢救过程中留下的隐患，是否可能进一步引起新的事故。</w:t>
      </w:r>
    </w:p>
    <w:p>
      <w:pPr>
        <w:spacing w:line="360" w:lineRule="auto"/>
        <w:ind w:firstLine="480" w:firstLineChars="200"/>
        <w:rPr>
          <w:rFonts w:ascii="Times New Roman" w:hAnsi="Times New Roman" w:cs="Times New Roman"/>
        </w:rPr>
      </w:pPr>
      <w:r>
        <w:rPr>
          <w:rFonts w:hint="eastAsia" w:ascii="Times New Roman" w:hAnsi="Times New Roman" w:cs="Times New Roman"/>
        </w:rPr>
        <w:t>善后计划包括对事故原因分析、教训的吸取，改进措施及总结，写出事故报告，报有关部门等。</w:t>
      </w:r>
    </w:p>
    <w:p>
      <w:pPr>
        <w:spacing w:line="360" w:lineRule="auto"/>
        <w:ind w:firstLine="480" w:firstLineChars="200"/>
        <w:rPr>
          <w:rFonts w:ascii="Times New Roman" w:hAnsi="Times New Roman" w:cs="Times New Roman"/>
        </w:rPr>
      </w:pPr>
      <w:r>
        <w:rPr>
          <w:rFonts w:hint="eastAsia" w:ascii="Times New Roman" w:hAnsi="Times New Roman" w:cs="Times New Roman"/>
        </w:rPr>
        <w:t>（3）园区应急措施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园区减少危害的防范措施是在其所属各企业、车间、工段采取现场防范措施的基础上，实施企业整体的防范措施，以便在各装置事故自救不能完成时进行救护。</w:t>
      </w:r>
    </w:p>
    <w:p>
      <w:pPr>
        <w:spacing w:line="360" w:lineRule="auto"/>
        <w:ind w:firstLine="480" w:firstLineChars="200"/>
        <w:rPr>
          <w:rFonts w:ascii="Times New Roman" w:hAnsi="Times New Roman" w:cs="Times New Roman"/>
        </w:rPr>
      </w:pPr>
      <w:r>
        <w:rPr>
          <w:rFonts w:hint="eastAsia" w:ascii="Times New Roman" w:hAnsi="Times New Roman" w:cs="Times New Roman"/>
        </w:rPr>
        <w:t>1）建立消防组织。根据国家消防法规要求，企业结合实际要建立消防组织，制定防火防灾规划，明确责任区，针对本企业重点生产装置、重点部位、重要设备等易燃易爆区，制定灭火作战方案，进行实地演练，不断提高业务素质和灭火防灾能力。</w:t>
      </w:r>
    </w:p>
    <w:p>
      <w:pPr>
        <w:spacing w:line="360" w:lineRule="auto"/>
        <w:ind w:firstLine="480" w:firstLineChars="200"/>
        <w:rPr>
          <w:rFonts w:ascii="Times New Roman" w:hAnsi="Times New Roman" w:cs="Times New Roman"/>
        </w:rPr>
      </w:pPr>
      <w:r>
        <w:rPr>
          <w:rFonts w:hint="eastAsia" w:ascii="Times New Roman" w:hAnsi="Times New Roman" w:cs="Times New Roman"/>
        </w:rPr>
        <w:t>2）配备消防装置。消防装置主要包括探测报警系统、酸碱中和液、防毒剂等。</w:t>
      </w:r>
    </w:p>
    <w:p>
      <w:pPr>
        <w:spacing w:line="360" w:lineRule="auto"/>
        <w:ind w:firstLine="480" w:firstLineChars="200"/>
        <w:rPr>
          <w:rFonts w:ascii="Times New Roman" w:hAnsi="Times New Roman" w:cs="Times New Roman"/>
        </w:rPr>
      </w:pPr>
      <w:r>
        <w:rPr>
          <w:rFonts w:hint="eastAsia" w:ascii="Times New Roman" w:hAnsi="Times New Roman" w:cs="Times New Roman"/>
        </w:rPr>
        <w:t>（4）园区应急救援措施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园区灾害事故应急救援应贯彻在预防为主的前提下，实施统一指挥，条块结合，以块为主，单位自救与园区救援相结合的原则。</w:t>
      </w:r>
    </w:p>
    <w:p>
      <w:pPr>
        <w:spacing w:line="360" w:lineRule="auto"/>
        <w:ind w:firstLine="480" w:firstLineChars="200"/>
        <w:rPr>
          <w:rFonts w:ascii="Times New Roman" w:hAnsi="Times New Roman" w:cs="Times New Roman"/>
        </w:rPr>
      </w:pPr>
      <w:r>
        <w:rPr>
          <w:rFonts w:hint="eastAsia" w:ascii="Times New Roman" w:hAnsi="Times New Roman" w:cs="Times New Roman"/>
        </w:rPr>
        <w:t>1）园区应成立应急中心。其职责主要是：</w:t>
      </w:r>
    </w:p>
    <w:p>
      <w:pPr>
        <w:spacing w:line="360" w:lineRule="auto"/>
        <w:ind w:firstLine="480" w:firstLineChars="200"/>
        <w:rPr>
          <w:rFonts w:ascii="Times New Roman" w:hAnsi="Times New Roman" w:cs="Times New Roman"/>
        </w:rPr>
      </w:pPr>
      <w:r>
        <w:rPr>
          <w:rFonts w:hint="eastAsia" w:ascii="Times New Roman" w:hAnsi="Times New Roman" w:cs="Times New Roman"/>
        </w:rPr>
        <w:t>组织制定本企业预防灾害事故的管理制度和技术措施，制定灾害事故应急救援预案：</w:t>
      </w:r>
    </w:p>
    <w:p>
      <w:pPr>
        <w:spacing w:line="360" w:lineRule="auto"/>
        <w:ind w:firstLine="480" w:firstLineChars="200"/>
        <w:rPr>
          <w:rFonts w:ascii="Times New Roman" w:hAnsi="Times New Roman" w:cs="Times New Roman"/>
        </w:rPr>
      </w:pPr>
      <w:r>
        <w:rPr>
          <w:rFonts w:hint="eastAsia" w:ascii="Times New Roman" w:hAnsi="Times New Roman" w:cs="Times New Roman"/>
        </w:rPr>
        <w:t>组织本企业开展灾害事故预防和应急救援的培训和训练。</w:t>
      </w:r>
    </w:p>
    <w:p>
      <w:pPr>
        <w:spacing w:line="360" w:lineRule="auto"/>
        <w:ind w:firstLine="480" w:firstLineChars="200"/>
        <w:rPr>
          <w:rFonts w:ascii="Times New Roman" w:hAnsi="Times New Roman" w:cs="Times New Roman"/>
        </w:rPr>
      </w:pPr>
      <w:r>
        <w:rPr>
          <w:rFonts w:hint="eastAsia" w:ascii="Times New Roman" w:hAnsi="Times New Roman" w:cs="Times New Roman"/>
        </w:rPr>
        <w:t>组织和指导本企业各单位的灾害事故自救的社会救援工作。</w:t>
      </w:r>
    </w:p>
    <w:p>
      <w:pPr>
        <w:spacing w:line="360" w:lineRule="auto"/>
        <w:ind w:firstLine="480" w:firstLineChars="200"/>
        <w:rPr>
          <w:rFonts w:ascii="Times New Roman" w:hAnsi="Times New Roman" w:cs="Times New Roman"/>
        </w:rPr>
      </w:pPr>
      <w:r>
        <w:rPr>
          <w:rFonts w:hint="eastAsia" w:ascii="Times New Roman" w:hAnsi="Times New Roman" w:cs="Times New Roman"/>
        </w:rPr>
        <w:t>2）应急中心下设若干专业部门负责完成各自专业救援工作：</w:t>
      </w:r>
    </w:p>
    <w:p>
      <w:pPr>
        <w:spacing w:line="360" w:lineRule="auto"/>
        <w:ind w:firstLine="480" w:firstLineChars="200"/>
        <w:rPr>
          <w:rFonts w:ascii="Times New Roman" w:hAnsi="Times New Roman" w:cs="Times New Roman"/>
        </w:rPr>
      </w:pPr>
      <w:r>
        <w:rPr>
          <w:rFonts w:hint="eastAsia" w:ascii="Times New Roman" w:hAnsi="Times New Roman" w:cs="Times New Roman"/>
        </w:rPr>
        <w:t>应急部门负责组织制定预防灾害事故的管理制度和技术措施；编制应急救援计划方案；组织灾害事故预防和应急救援教育和训练；组织与指导园区灾害事故的自救与社会应急救援；组织事故分析上报。</w:t>
      </w:r>
    </w:p>
    <w:p>
      <w:pPr>
        <w:spacing w:line="360" w:lineRule="auto"/>
        <w:ind w:firstLine="480" w:firstLineChars="200"/>
        <w:rPr>
          <w:rFonts w:ascii="Times New Roman" w:hAnsi="Times New Roman" w:cs="Times New Roman"/>
        </w:rPr>
      </w:pPr>
      <w:r>
        <w:rPr>
          <w:rFonts w:hint="eastAsia" w:ascii="Times New Roman" w:hAnsi="Times New Roman" w:cs="Times New Roman"/>
        </w:rPr>
        <w:t>生态环境部门负责组织对灾害事故的现场监测和环境监测，测定事故的危害区域，预测事故危害程度，指导控制污染措施的实施。</w:t>
      </w:r>
    </w:p>
    <w:p>
      <w:pPr>
        <w:spacing w:line="360" w:lineRule="auto"/>
        <w:ind w:firstLine="480" w:firstLineChars="200"/>
        <w:rPr>
          <w:rFonts w:ascii="Times New Roman" w:hAnsi="Times New Roman" w:cs="Times New Roman"/>
        </w:rPr>
      </w:pPr>
      <w:r>
        <w:rPr>
          <w:rFonts w:hint="eastAsia" w:ascii="Times New Roman" w:hAnsi="Times New Roman" w:cs="Times New Roman"/>
        </w:rPr>
        <w:t>工业卫生、医疗部门负责组织对事故现场防毒和医疗救护，测定毒物对工作人员危害程度，指导现场人员救护和防护。</w:t>
      </w:r>
    </w:p>
    <w:p>
      <w:pPr>
        <w:spacing w:line="360" w:lineRule="auto"/>
        <w:ind w:firstLine="480" w:firstLineChars="200"/>
        <w:rPr>
          <w:rFonts w:ascii="Times New Roman" w:hAnsi="Times New Roman" w:cs="Times New Roman"/>
        </w:rPr>
      </w:pPr>
      <w:r>
        <w:rPr>
          <w:rFonts w:hint="eastAsia" w:ascii="Times New Roman" w:hAnsi="Times New Roman" w:cs="Times New Roman"/>
        </w:rPr>
        <w:t>专业消防队负责组织控制危害源、营救受害人员、扑灭火灾和洗消工作。</w:t>
      </w:r>
    </w:p>
    <w:p>
      <w:pPr>
        <w:spacing w:line="360" w:lineRule="auto"/>
        <w:ind w:firstLine="480" w:firstLineChars="200"/>
        <w:rPr>
          <w:rFonts w:ascii="Times New Roman" w:hAnsi="Times New Roman" w:cs="Times New Roman"/>
        </w:rPr>
      </w:pPr>
      <w:r>
        <w:rPr>
          <w:rFonts w:hint="eastAsia" w:ascii="Times New Roman" w:hAnsi="Times New Roman" w:cs="Times New Roman"/>
        </w:rPr>
        <w:t>物资部门负责保障救灾物资、器材的供应。</w:t>
      </w:r>
    </w:p>
    <w:p>
      <w:pPr>
        <w:spacing w:line="360" w:lineRule="auto"/>
        <w:ind w:firstLine="480" w:firstLineChars="200"/>
        <w:rPr>
          <w:rFonts w:ascii="Times New Roman" w:hAnsi="Times New Roman" w:cs="Times New Roman"/>
        </w:rPr>
      </w:pPr>
      <w:r>
        <w:rPr>
          <w:rFonts w:hint="eastAsia" w:ascii="Times New Roman" w:hAnsi="Times New Roman" w:cs="Times New Roman"/>
        </w:rPr>
        <w:t>交通部门负责保证救灾运输，物资运输，撤离和运送受伤人员。</w:t>
      </w:r>
    </w:p>
    <w:p>
      <w:pPr>
        <w:spacing w:line="360" w:lineRule="auto"/>
        <w:ind w:firstLine="480" w:firstLineChars="200"/>
        <w:rPr>
          <w:rFonts w:ascii="Times New Roman" w:hAnsi="Times New Roman" w:cs="Times New Roman"/>
        </w:rPr>
      </w:pPr>
      <w:r>
        <w:rPr>
          <w:rFonts w:hint="eastAsia" w:ascii="Times New Roman" w:hAnsi="Times New Roman" w:cs="Times New Roman"/>
        </w:rPr>
        <w:t>保卫部门负责组织快速应急救援队伍，协助公安和消防部门营救受害人员和治安保卫及撤离任务。</w:t>
      </w:r>
    </w:p>
    <w:p>
      <w:pPr>
        <w:spacing w:line="360" w:lineRule="auto"/>
        <w:ind w:firstLine="480" w:firstLineChars="200"/>
        <w:rPr>
          <w:rFonts w:ascii="Times New Roman" w:hAnsi="Times New Roman" w:cs="Times New Roman"/>
        </w:rPr>
      </w:pPr>
      <w:r>
        <w:rPr>
          <w:rFonts w:hint="eastAsia" w:ascii="Times New Roman" w:hAnsi="Times New Roman" w:cs="Times New Roman"/>
        </w:rPr>
        <w:t>维修部门负责善后机电仪器及建筑物的抢修任务。</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园区应成立事故应急专家委员会，由生产、应急、环保、卫生、科研、消防、工程、气象等方面有一定应急理论和实践的专家组成，为事故应急决策提供技术咨询和技术方案及建议。</w:t>
      </w:r>
    </w:p>
    <w:p>
      <w:pPr>
        <w:spacing w:line="360" w:lineRule="auto"/>
        <w:ind w:firstLine="480" w:firstLineChars="200"/>
        <w:rPr>
          <w:rFonts w:ascii="Times New Roman" w:hAnsi="Times New Roman" w:cs="Times New Roman"/>
        </w:rPr>
      </w:pPr>
      <w:r>
        <w:rPr>
          <w:rFonts w:hint="eastAsia" w:ascii="Times New Roman" w:hAnsi="Times New Roman" w:cs="Times New Roman"/>
        </w:rPr>
        <w:t>（6）应急救援</w:t>
      </w:r>
    </w:p>
    <w:p>
      <w:pPr>
        <w:spacing w:line="360" w:lineRule="auto"/>
        <w:ind w:firstLine="480" w:firstLineChars="200"/>
        <w:rPr>
          <w:rFonts w:ascii="Times New Roman" w:hAnsi="Times New Roman" w:cs="Times New Roman"/>
        </w:rPr>
      </w:pPr>
      <w:r>
        <w:rPr>
          <w:rFonts w:hint="eastAsia" w:ascii="Times New Roman" w:hAnsi="Times New Roman" w:cs="Times New Roman"/>
        </w:rPr>
        <w:t>园区所属单位在发生灾害事故时，应迅速准确地报警，同时组织义务消防队伍开展自救，采取措施控制危害源，防止次生灾害的发生。</w:t>
      </w:r>
    </w:p>
    <w:p>
      <w:pPr>
        <w:spacing w:line="360" w:lineRule="auto"/>
        <w:ind w:firstLine="480" w:firstLineChars="200"/>
        <w:rPr>
          <w:rFonts w:ascii="Times New Roman" w:hAnsi="Times New Roman" w:cs="Times New Roman"/>
        </w:rPr>
      </w:pPr>
      <w:r>
        <w:rPr>
          <w:rFonts w:hint="eastAsia" w:ascii="Times New Roman" w:hAnsi="Times New Roman" w:cs="Times New Roman"/>
        </w:rPr>
        <w:t>当需要园区救护中心救援时，迅速报告。园区应急中心迅速通报各专业部门赴现场各司其职。</w:t>
      </w:r>
    </w:p>
    <w:p>
      <w:pPr>
        <w:pStyle w:val="5"/>
        <w:ind w:firstLine="482"/>
      </w:pPr>
      <w:r>
        <w:rPr>
          <w:rFonts w:hint="eastAsia"/>
        </w:rPr>
        <w:t>8.2.2.5 应急状态的终止和善后计划措施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园区应急状态的终止由园区应急中心根据现场指挥部和事故应急专家委员会意见决定，并发布。</w:t>
      </w:r>
    </w:p>
    <w:p>
      <w:pPr>
        <w:spacing w:line="360" w:lineRule="auto"/>
        <w:ind w:firstLine="480" w:firstLineChars="200"/>
        <w:rPr>
          <w:rFonts w:ascii="Times New Roman" w:hAnsi="Times New Roman" w:cs="Times New Roman"/>
        </w:rPr>
      </w:pPr>
      <w:r>
        <w:rPr>
          <w:rFonts w:hint="eastAsia" w:ascii="Times New Roman" w:hAnsi="Times New Roman" w:cs="Times New Roman"/>
        </w:rPr>
        <w:t>事故现场及受影响区域，根据实际情况采取有效善后措施。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善后计划措施包括确认事故状态彻底解除、清理现场、清除污染、恢复生产等现场工作；对事故中受伤人员的医治；事故损失的估算；事故原因分析和防止事故再发生的防范措施等，总结教训，编写事故报告，报有关主管部门。</w:t>
      </w:r>
    </w:p>
    <w:p>
      <w:pPr>
        <w:pStyle w:val="5"/>
        <w:ind w:firstLine="482"/>
      </w:pPr>
      <w:r>
        <w:rPr>
          <w:rFonts w:hint="eastAsia"/>
        </w:rPr>
        <w:t>8.2.2.6 政府部门环境风险管理建议</w:t>
      </w:r>
    </w:p>
    <w:p>
      <w:pPr>
        <w:spacing w:line="360" w:lineRule="auto"/>
        <w:ind w:firstLine="480" w:firstLineChars="200"/>
        <w:rPr>
          <w:rFonts w:ascii="Times New Roman" w:hAnsi="Times New Roman" w:cs="Times New Roman"/>
        </w:rPr>
      </w:pPr>
      <w:r>
        <w:rPr>
          <w:rFonts w:hint="eastAsia" w:ascii="Times New Roman" w:hAnsi="Times New Roman" w:cs="Times New Roman"/>
        </w:rPr>
        <w:t>衔接政府—园区—企业环境风险防控设施和管理要求，实现企业/园区/政府环境风险防范和管理的联防联控，有效防控环境风险。加强园区/企业层面的应急预案的编制和备案的监管工作，督导园区定期开展环境风险事故演练，演练范围应覆盖各级环境敏感目标，协助园区完成应急物资储存和应急人员培训、管理工作，协助园区实施事故状态下的交通管制和避难人员临时住所安置，做好避难人员安全和临时生活的保障工作。</w:t>
      </w:r>
    </w:p>
    <w:p>
      <w:pPr>
        <w:pStyle w:val="4"/>
      </w:pPr>
      <w:bookmarkStart w:id="765" w:name="_Toc146092032"/>
      <w:r>
        <w:rPr>
          <w:rFonts w:hint="eastAsia"/>
        </w:rPr>
        <w:t>8.2.3 园区需完善的环境风险控制措施及应急措施</w:t>
      </w:r>
      <w:bookmarkEnd w:id="765"/>
    </w:p>
    <w:p>
      <w:pPr>
        <w:spacing w:line="360" w:lineRule="auto"/>
        <w:ind w:firstLine="480" w:firstLineChars="200"/>
        <w:rPr>
          <w:rFonts w:ascii="Times New Roman" w:hAnsi="Times New Roman" w:cs="Times New Roman"/>
        </w:rPr>
      </w:pPr>
      <w:r>
        <w:rPr>
          <w:rFonts w:hint="eastAsia" w:ascii="Times New Roman" w:hAnsi="Times New Roman" w:cs="Times New Roman"/>
        </w:rPr>
        <w:t>本次规划环评提出以下建议加强园区的环境风险管控：</w:t>
      </w:r>
    </w:p>
    <w:p>
      <w:pPr>
        <w:spacing w:line="360" w:lineRule="auto"/>
        <w:ind w:firstLine="480" w:firstLineChars="200"/>
        <w:rPr>
          <w:rFonts w:ascii="Times New Roman" w:hAnsi="Times New Roman" w:cs="Times New Roman"/>
        </w:rPr>
      </w:pPr>
      <w:r>
        <w:rPr>
          <w:rFonts w:hint="eastAsia" w:ascii="Times New Roman" w:hAnsi="Times New Roman" w:cs="Times New Roman"/>
        </w:rPr>
        <w:t>1、对园区内的企业定期进行环境风险应急知识的培训，提高企业的环境风险应急知识，提高积极性，同时督促园区内的企业开展突发环境事件应急预案的编制和修编。</w:t>
      </w:r>
    </w:p>
    <w:p>
      <w:pPr>
        <w:spacing w:line="360" w:lineRule="auto"/>
        <w:ind w:firstLine="480" w:firstLineChars="200"/>
        <w:rPr>
          <w:rFonts w:ascii="Times New Roman" w:hAnsi="Times New Roman" w:cs="Times New Roman"/>
        </w:rPr>
      </w:pPr>
      <w:r>
        <w:rPr>
          <w:rFonts w:hint="eastAsia" w:ascii="Times New Roman" w:hAnsi="Times New Roman" w:cs="Times New Roman"/>
        </w:rPr>
        <w:t>2、建立专项的园区环境风险隐患排查制度，根据园区实际情况建立园区级的环境风险隐患排查计划，明确具体排查的企业、排查的频次方式、排查的重点内容，根据排查的结果对环境隐患提出治理措施整改要求，定期进行环境隐患治理措施落实情况进行督察，建立环境风险隐患排查档案。</w:t>
      </w:r>
    </w:p>
    <w:p>
      <w:pPr>
        <w:spacing w:line="360" w:lineRule="auto"/>
        <w:ind w:firstLine="480" w:firstLineChars="200"/>
        <w:rPr>
          <w:rFonts w:ascii="Times New Roman" w:hAnsi="Times New Roman" w:cs="Times New Roman"/>
        </w:rPr>
      </w:pPr>
      <w:r>
        <w:rPr>
          <w:rFonts w:hint="eastAsia" w:ascii="Times New Roman" w:hAnsi="Times New Roman" w:cs="Times New Roman"/>
        </w:rPr>
        <w:t>3、及时更新环境风险源台帐、建立风险应急平台，将最新的风险源和和风险物资等信息及时录入综合平台。</w:t>
      </w:r>
    </w:p>
    <w:p>
      <w:pPr>
        <w:spacing w:line="360" w:lineRule="auto"/>
        <w:ind w:firstLine="480" w:firstLineChars="200"/>
        <w:rPr>
          <w:rFonts w:ascii="Times New Roman" w:hAnsi="Times New Roman" w:cs="Times New Roman"/>
        </w:rPr>
      </w:pPr>
      <w:r>
        <w:rPr>
          <w:rFonts w:hint="eastAsia" w:ascii="Times New Roman" w:hAnsi="Times New Roman" w:cs="Times New Roman"/>
        </w:rPr>
        <w:t>4、按照环境应急物资调查报告要求，配齐相应的应急物资，同时按有关要求在雨水排口附近设置视频监控设施，不定期对雨水排口进行监测。</w:t>
      </w:r>
    </w:p>
    <w:p>
      <w:pPr>
        <w:spacing w:line="360" w:lineRule="auto"/>
        <w:ind w:firstLine="480" w:firstLineChars="200"/>
        <w:rPr>
          <w:rFonts w:ascii="Times New Roman" w:hAnsi="Times New Roman" w:cs="Times New Roman"/>
        </w:rPr>
      </w:pPr>
      <w:r>
        <w:rPr>
          <w:rFonts w:hint="eastAsia" w:ascii="Times New Roman" w:hAnsi="Times New Roman" w:cs="Times New Roman"/>
        </w:rPr>
        <w:t>5、完成园区应急预案修订版的备案。</w:t>
      </w:r>
    </w:p>
    <w:p>
      <w:pPr>
        <w:spacing w:line="360" w:lineRule="auto"/>
        <w:ind w:firstLine="480" w:firstLineChars="200"/>
        <w:rPr>
          <w:rFonts w:ascii="Times New Roman" w:hAnsi="Times New Roman" w:cs="Times New Roman"/>
        </w:rPr>
      </w:pPr>
      <w:r>
        <w:rPr>
          <w:rFonts w:hint="eastAsia" w:ascii="Times New Roman" w:hAnsi="Times New Roman" w:cs="Times New Roman"/>
        </w:rPr>
        <w:t>6、定期组织开展环境风险应急演练。</w:t>
      </w:r>
    </w:p>
    <w:p>
      <w:pPr>
        <w:spacing w:line="360" w:lineRule="auto"/>
        <w:ind w:firstLine="480" w:firstLineChars="200"/>
        <w:rPr>
          <w:rFonts w:ascii="Times New Roman" w:hAnsi="Times New Roman" w:cs="Times New Roman"/>
        </w:rPr>
      </w:pPr>
      <w:r>
        <w:rPr>
          <w:rFonts w:hint="eastAsia" w:ascii="Times New Roman" w:hAnsi="Times New Roman" w:cs="Times New Roman"/>
        </w:rPr>
        <w:t>7、应建立完善的环保监测监控体系，包括但不限于下列：1）大气环境监测；2）地表水环境监测；3）地下水和土壤环境监测；4）企业大气固定污染源排放监测监控；5）无组织大气污染物排放监测；6）企业废水排放口监测监控等。</w:t>
      </w:r>
    </w:p>
    <w:p>
      <w:pPr>
        <w:pStyle w:val="3"/>
      </w:pPr>
      <w:bookmarkStart w:id="766" w:name="_Toc146092033"/>
      <w:r>
        <w:rPr>
          <w:rFonts w:hint="eastAsia"/>
        </w:rPr>
        <w:t>8.3 大气环境污染减缓措施</w:t>
      </w:r>
      <w:bookmarkEnd w:id="766"/>
    </w:p>
    <w:p>
      <w:pPr>
        <w:pStyle w:val="4"/>
      </w:pPr>
      <w:bookmarkStart w:id="767" w:name="_Toc146092034"/>
      <w:r>
        <w:rPr>
          <w:rFonts w:hint="eastAsia"/>
        </w:rPr>
        <w:t>8.3.1 施工期大气污染减缓措施</w:t>
      </w:r>
      <w:bookmarkEnd w:id="767"/>
    </w:p>
    <w:p>
      <w:pPr>
        <w:spacing w:line="360" w:lineRule="auto"/>
        <w:ind w:firstLine="480" w:firstLineChars="200"/>
        <w:rPr>
          <w:rFonts w:ascii="Times New Roman" w:hAnsi="Times New Roman" w:cs="Times New Roman"/>
        </w:rPr>
      </w:pPr>
      <w:r>
        <w:rPr>
          <w:rFonts w:hint="eastAsia" w:ascii="Times New Roman" w:hAnsi="Times New Roman" w:cs="Times New Roman"/>
        </w:rPr>
        <w:t>扩区后园区施工建设期相对周期较长，涉及的范围也相对较大，因此，在建设期应采取污染防治措施。主要措施如下：</w:t>
      </w:r>
    </w:p>
    <w:p>
      <w:pPr>
        <w:spacing w:line="360" w:lineRule="auto"/>
        <w:ind w:firstLine="480" w:firstLineChars="200"/>
        <w:rPr>
          <w:rFonts w:ascii="Times New Roman" w:hAnsi="Times New Roman" w:cs="Times New Roman"/>
        </w:rPr>
      </w:pPr>
      <w:r>
        <w:rPr>
          <w:rFonts w:hint="eastAsia" w:ascii="Times New Roman" w:hAnsi="Times New Roman" w:cs="Times New Roman"/>
        </w:rPr>
        <w:t>（1）加强施工管理，做到文明施工，综合考虑主导风向、地形地势及周边环境保护目标的分布，合理布置沙石料堆场、混凝土搅拌场等施工场地。严格落实建筑施工现场防尘降尘设施、装置等措施。围挡出入口设置洗车台、沉淀池和车辆清污设施，运输车辆必须在除泥、冲洗干净后，方可出场。施工现场运送土方、渣土的车辆必须封闭或遮盖严密，严禁使用未按规定办理相关手续的运输车辆，严禁沿路遗撒和随意倾倒。鼓励施工现场在道路、围墙、脚手架等部位安装喷淋或喷雾等降尘装置；鼓励在施工现场安装空气质量检测仪等装置。</w:t>
      </w:r>
    </w:p>
    <w:p>
      <w:pPr>
        <w:spacing w:line="360" w:lineRule="auto"/>
        <w:ind w:firstLine="480" w:firstLineChars="200"/>
        <w:rPr>
          <w:rFonts w:ascii="Times New Roman" w:hAnsi="Times New Roman" w:cs="Times New Roman"/>
        </w:rPr>
      </w:pPr>
      <w:r>
        <w:rPr>
          <w:rFonts w:hint="eastAsia" w:ascii="Times New Roman" w:hAnsi="Times New Roman" w:cs="Times New Roman"/>
        </w:rPr>
        <w:t>（2）土方开挖等施工作业尽量避开风速较大的季节，针对易扬散物料的运输及堆存应采取遮挡措施，避免露天堆置，减少扬尘散失量。</w:t>
      </w:r>
    </w:p>
    <w:p>
      <w:pPr>
        <w:spacing w:line="360" w:lineRule="auto"/>
        <w:ind w:firstLine="480" w:firstLineChars="200"/>
        <w:rPr>
          <w:rFonts w:ascii="Times New Roman" w:hAnsi="Times New Roman" w:cs="Times New Roman"/>
        </w:rPr>
      </w:pPr>
      <w:r>
        <w:rPr>
          <w:rFonts w:hint="eastAsia" w:ascii="Times New Roman" w:hAnsi="Times New Roman" w:cs="Times New Roman"/>
        </w:rPr>
        <w:t>（3）易扬散粉尘的施工作业面，应采取洒水降尘措施，减少扬尘污染。</w:t>
      </w:r>
    </w:p>
    <w:p>
      <w:pPr>
        <w:spacing w:line="360" w:lineRule="auto"/>
        <w:ind w:firstLine="480" w:firstLineChars="200"/>
        <w:rPr>
          <w:rFonts w:ascii="Times New Roman" w:hAnsi="Times New Roman" w:cs="Times New Roman"/>
        </w:rPr>
      </w:pPr>
      <w:r>
        <w:rPr>
          <w:rFonts w:hint="eastAsia" w:ascii="Times New Roman" w:hAnsi="Times New Roman" w:cs="Times New Roman"/>
        </w:rPr>
        <w:t>（4）施工作业期间，采用清洁燃料作为能源，减少气型污染物排放量。</w:t>
      </w:r>
    </w:p>
    <w:p>
      <w:pPr>
        <w:spacing w:line="360" w:lineRule="auto"/>
        <w:ind w:firstLine="480" w:firstLineChars="200"/>
        <w:rPr>
          <w:rFonts w:ascii="Times New Roman" w:hAnsi="Times New Roman" w:cs="Times New Roman"/>
        </w:rPr>
      </w:pPr>
      <w:r>
        <w:rPr>
          <w:rFonts w:hint="eastAsia" w:ascii="Times New Roman" w:hAnsi="Times New Roman" w:cs="Times New Roman"/>
        </w:rPr>
        <w:t>（5）根据《湖南省大气污染物防治条例》、《岳阳市扬尘污染防治条例》等的要求，施工过程中暂时不能开工的建设用地，需对裸露地面采取设置防尘网或者防尘布等措施进行覆盖，不能开工超过三个月的，应当进行绿化、透水铺装。</w:t>
      </w:r>
    </w:p>
    <w:p>
      <w:pPr>
        <w:spacing w:line="360" w:lineRule="auto"/>
        <w:ind w:firstLine="480" w:firstLineChars="200"/>
        <w:rPr>
          <w:rFonts w:ascii="Times New Roman" w:hAnsi="Times New Roman" w:cs="Times New Roman"/>
        </w:rPr>
      </w:pPr>
      <w:r>
        <w:rPr>
          <w:rFonts w:hint="eastAsia" w:ascii="Times New Roman" w:hAnsi="Times New Roman" w:cs="Times New Roman"/>
        </w:rPr>
        <w:t>（6）根据《湖南省污染防治攻坚三年行动计划（2018-2020）》要求，施工工地需达到“六个100%”（工地周边围挡、裸露土地和物料堆放覆盖、土方开挖湿法作业、路面硬化、出入车辆清洗、渣土车辆密闭运输达到100%），以减轻施工扬尘对大气的污染。</w:t>
      </w:r>
    </w:p>
    <w:p>
      <w:pPr>
        <w:pStyle w:val="4"/>
      </w:pPr>
      <w:bookmarkStart w:id="768" w:name="_Toc146092035"/>
      <w:r>
        <w:rPr>
          <w:rFonts w:hint="eastAsia"/>
        </w:rPr>
        <w:t>8.3.2 严格规划项目生态环境准入要求</w:t>
      </w:r>
      <w:bookmarkEnd w:id="768"/>
    </w:p>
    <w:p>
      <w:pPr>
        <w:spacing w:line="360" w:lineRule="auto"/>
        <w:ind w:firstLine="480" w:firstLineChars="200"/>
        <w:rPr>
          <w:rFonts w:ascii="Times New Roman" w:hAnsi="Times New Roman" w:cs="Times New Roman"/>
        </w:rPr>
      </w:pPr>
      <w:r>
        <w:rPr>
          <w:rFonts w:hint="eastAsia" w:ascii="Times New Roman" w:hAnsi="Times New Roman" w:cs="Times New Roman"/>
        </w:rPr>
        <w:t>（1）严格规划项目生态环境准入要求</w:t>
      </w:r>
    </w:p>
    <w:p>
      <w:pPr>
        <w:spacing w:line="360" w:lineRule="auto"/>
        <w:ind w:firstLine="480" w:firstLineChars="200"/>
        <w:rPr>
          <w:rFonts w:ascii="Times New Roman" w:hAnsi="Times New Roman" w:cs="Times New Roman"/>
        </w:rPr>
      </w:pPr>
      <w:r>
        <w:rPr>
          <w:rFonts w:hint="eastAsia" w:ascii="Times New Roman" w:hAnsi="Times New Roman" w:cs="Times New Roman"/>
        </w:rPr>
        <w:t>①按照园区规划的重点项目实施产业发展，限制与园区规划主导产业不符的项目建设。</w:t>
      </w:r>
    </w:p>
    <w:p>
      <w:pPr>
        <w:spacing w:line="360" w:lineRule="auto"/>
        <w:ind w:firstLine="480" w:firstLineChars="200"/>
        <w:rPr>
          <w:rFonts w:ascii="Times New Roman" w:hAnsi="Times New Roman" w:cs="Times New Roman"/>
        </w:rPr>
      </w:pPr>
      <w:r>
        <w:rPr>
          <w:rFonts w:hint="eastAsia" w:ascii="Times New Roman" w:hAnsi="Times New Roman" w:cs="Times New Roman"/>
        </w:rPr>
        <w:t>②规划项目的工艺技术、建设规模应符合国家产业政策要求，鼓励采用能源转换率高、污染物排放强度低、环境风险小的工艺技术。</w:t>
      </w:r>
    </w:p>
    <w:p>
      <w:pPr>
        <w:spacing w:line="360" w:lineRule="auto"/>
        <w:ind w:firstLine="480" w:firstLineChars="200"/>
        <w:rPr>
          <w:rFonts w:ascii="Times New Roman" w:hAnsi="Times New Roman" w:cs="Times New Roman"/>
        </w:rPr>
      </w:pPr>
      <w:r>
        <w:rPr>
          <w:rFonts w:hint="eastAsia" w:ascii="Times New Roman" w:hAnsi="Times New Roman" w:cs="Times New Roman"/>
        </w:rPr>
        <w:t>③完善规划项目生态环境准入的环境管理体系，按照本次评价提出的清单式环境管理对策建议，从生态空间管控、环境质量底线清单、资源利用上线清单及生态环境准入清单要求，细化、明确规划项目准入要求，新建或改建、扩建工业项目，在符合生态空间管控要求下，废水、废气、资源的排放或利用强度不能超过规定限值，否则，项目将不能通过审批立项。</w:t>
      </w:r>
    </w:p>
    <w:p>
      <w:pPr>
        <w:spacing w:line="360" w:lineRule="auto"/>
        <w:ind w:firstLine="480" w:firstLineChars="200"/>
        <w:rPr>
          <w:rFonts w:ascii="Times New Roman" w:hAnsi="Times New Roman" w:cs="Times New Roman"/>
        </w:rPr>
      </w:pPr>
      <w:r>
        <w:rPr>
          <w:rFonts w:hint="eastAsia" w:ascii="Times New Roman" w:hAnsi="Times New Roman" w:cs="Times New Roman"/>
        </w:rPr>
        <w:t>（2）新增主要污染物项目需落实总量倍量替代措施</w:t>
      </w:r>
    </w:p>
    <w:p>
      <w:pPr>
        <w:spacing w:line="360" w:lineRule="auto"/>
        <w:ind w:firstLine="480" w:firstLineChars="200"/>
        <w:rPr>
          <w:rFonts w:ascii="Times New Roman" w:hAnsi="Times New Roman" w:cs="Times New Roman"/>
        </w:rPr>
      </w:pPr>
      <w:r>
        <w:rPr>
          <w:rFonts w:hint="eastAsia" w:ascii="Times New Roman" w:hAnsi="Times New Roman" w:cs="Times New Roman"/>
        </w:rPr>
        <w:t>确保全面完成国家、湖南省、岳阳市污染减排任务和新建项目总量来源污染削减任务，依法取缔过剩行业项目及淘汰落后产能，实现区域环境质量改善目标，园区应完善建设项目环评审批总量前置要求，严格新增两高项目排污等量替代或倍量替代，即对入园项目二氧化硫、氮氧化物、烟粉尘、VOCs排放实施污染物排放总量控制。</w:t>
      </w:r>
    </w:p>
    <w:p>
      <w:pPr>
        <w:spacing w:line="360" w:lineRule="auto"/>
        <w:ind w:firstLine="480" w:firstLineChars="200"/>
        <w:rPr>
          <w:rFonts w:ascii="Times New Roman" w:hAnsi="Times New Roman" w:cs="Times New Roman"/>
        </w:rPr>
      </w:pPr>
      <w:r>
        <w:rPr>
          <w:rFonts w:hint="eastAsia" w:ascii="Times New Roman" w:hAnsi="Times New Roman" w:cs="Times New Roman"/>
        </w:rPr>
        <w:t>（3）严格筛选入园企业类型</w:t>
      </w:r>
    </w:p>
    <w:p>
      <w:pPr>
        <w:spacing w:line="360" w:lineRule="auto"/>
        <w:ind w:firstLine="480" w:firstLineChars="200"/>
        <w:rPr>
          <w:rFonts w:ascii="Times New Roman" w:hAnsi="Times New Roman" w:cs="Times New Roman"/>
        </w:rPr>
      </w:pPr>
      <w:r>
        <w:rPr>
          <w:rFonts w:hint="eastAsia" w:ascii="Times New Roman" w:hAnsi="Times New Roman" w:cs="Times New Roman"/>
        </w:rPr>
        <w:t>（4）严格筛选入园企业类型，以低能耗、污染轻、高效益企业为重点引进对象。对企业生产工艺和环保措施进行有效监管，实行清洁生产。入园企业推行ISO9000质量体系和ISO14000质量管理体系，提高企业自我社会形象和管理水平。</w:t>
      </w:r>
    </w:p>
    <w:p>
      <w:pPr>
        <w:pStyle w:val="4"/>
      </w:pPr>
      <w:bookmarkStart w:id="769" w:name="_Toc146092036"/>
      <w:r>
        <w:rPr>
          <w:rFonts w:hint="eastAsia"/>
        </w:rPr>
        <w:t>8.3.3 运营期供热方式与污染防治方案</w:t>
      </w:r>
      <w:bookmarkEnd w:id="769"/>
    </w:p>
    <w:p>
      <w:pPr>
        <w:spacing w:line="360" w:lineRule="auto"/>
        <w:ind w:firstLine="480" w:firstLineChars="200"/>
        <w:rPr>
          <w:rFonts w:ascii="Times New Roman" w:hAnsi="Times New Roman" w:cs="Times New Roman"/>
        </w:rPr>
      </w:pPr>
      <w:r>
        <w:rPr>
          <w:rFonts w:hint="eastAsia" w:ascii="Times New Roman" w:hAnsi="Times New Roman" w:cs="Times New Roman"/>
        </w:rPr>
        <w:t>（1）扩区后园区区内优先采用集中供热，除集中供热蒸汽无法满足工艺需求外不得不得自建供热设施，严格按照岳阳市中心城区高污染燃料禁燃区划分技术报告的要求禁止燃用高污染燃料。扩区范围内的企业因生产工艺需求需配套建设小型锅炉或者供热窑炉的要采用天然气、电能或成型生物质为能源。</w:t>
      </w:r>
    </w:p>
    <w:p>
      <w:pPr>
        <w:spacing w:line="360" w:lineRule="auto"/>
        <w:ind w:firstLine="480" w:firstLineChars="200"/>
        <w:rPr>
          <w:rFonts w:ascii="Times New Roman" w:hAnsi="Times New Roman" w:cs="Times New Roman"/>
        </w:rPr>
      </w:pPr>
      <w:r>
        <w:rPr>
          <w:rFonts w:hint="eastAsia" w:ascii="Times New Roman" w:hAnsi="Times New Roman" w:cs="Times New Roman"/>
        </w:rPr>
        <w:t>（2）加快扩建区域的天然气管网建设，提高园区使用清洁能源使用率。</w:t>
      </w:r>
    </w:p>
    <w:p>
      <w:pPr>
        <w:pStyle w:val="4"/>
      </w:pPr>
      <w:bookmarkStart w:id="770" w:name="_Toc146092037"/>
      <w:r>
        <w:rPr>
          <w:rFonts w:hint="eastAsia"/>
        </w:rPr>
        <w:t>8.3.4 加强工业企业大气污染深度治理</w:t>
      </w:r>
      <w:bookmarkEnd w:id="770"/>
    </w:p>
    <w:p>
      <w:pPr>
        <w:spacing w:line="360" w:lineRule="auto"/>
        <w:ind w:firstLine="480" w:firstLineChars="200"/>
        <w:rPr>
          <w:rFonts w:ascii="Times New Roman" w:hAnsi="Times New Roman" w:cs="Times New Roman"/>
        </w:rPr>
      </w:pPr>
      <w:r>
        <w:rPr>
          <w:rFonts w:hint="eastAsia" w:ascii="Times New Roman" w:hAnsi="Times New Roman" w:cs="Times New Roman"/>
        </w:rPr>
        <w:t>（1）加强园区大气污染综合整治</w:t>
      </w:r>
    </w:p>
    <w:p>
      <w:pPr>
        <w:spacing w:line="360" w:lineRule="auto"/>
        <w:ind w:firstLine="480" w:firstLineChars="200"/>
        <w:rPr>
          <w:rFonts w:ascii="Times New Roman" w:hAnsi="Times New Roman" w:cs="Times New Roman"/>
        </w:rPr>
      </w:pPr>
      <w:r>
        <w:rPr>
          <w:rFonts w:hint="eastAsia" w:ascii="Times New Roman" w:hAnsi="Times New Roman" w:cs="Times New Roman"/>
        </w:rPr>
        <w:t>①园区应针对本次评价提出的大气环境影响减缓对策及措施，转化为开发区废气治理行动方案，从产业布局、能源结构、源头与过程控制、废气收集与处理、重点污染物减排、监督管理措施、配套基础设施等方面，对园区大气污染综合整治提出具体规范性要求，针对重点或薄弱环节加大整治力度，提升园区废气治理的整体水平。</w:t>
      </w:r>
    </w:p>
    <w:p>
      <w:pPr>
        <w:spacing w:line="360" w:lineRule="auto"/>
        <w:ind w:firstLine="480" w:firstLineChars="200"/>
        <w:rPr>
          <w:rFonts w:ascii="Times New Roman" w:hAnsi="Times New Roman" w:cs="Times New Roman"/>
        </w:rPr>
      </w:pPr>
      <w:r>
        <w:rPr>
          <w:rFonts w:hint="eastAsia" w:ascii="Times New Roman" w:hAnsi="Times New Roman" w:cs="Times New Roman"/>
        </w:rPr>
        <w:t>②园区应强化开发区大气监测监控能力。推进开发区大气污染防治数字化转型，建立健全覆盖污染源和环境质量的大气自动监测监控体系，提升大气环境管控水平。园区应持续加强对工业企业大气污染工作的指导、管理和监督，进一步完善开发区环境安全预警监控指挥中心，构建集污染源监控、VOCS溯源管理、环境质量监控等于一体的监控管理体系。加强环境监督管理，依法对企业环保工作进行有效管理，企业进行“三同时”监督。对能耗和污染物排放量相对较大的企业安装废气在线自动监控系统，对治理设施进行有效监控。</w:t>
      </w:r>
    </w:p>
    <w:p>
      <w:pPr>
        <w:spacing w:line="360" w:lineRule="auto"/>
        <w:ind w:firstLine="480" w:firstLineChars="200"/>
        <w:rPr>
          <w:rFonts w:ascii="Times New Roman" w:hAnsi="Times New Roman" w:cs="Times New Roman"/>
        </w:rPr>
      </w:pPr>
      <w:r>
        <w:rPr>
          <w:rFonts w:hint="eastAsia" w:ascii="Times New Roman" w:hAnsi="Times New Roman" w:cs="Times New Roman"/>
        </w:rPr>
        <w:t>③园区应提升大气环境监管能力。通过政府购买第三方服务帮助企业改进治气对策，以及推动合同环境服务、绿色采购、绿色供应链管理、排污权交易、环境污染责任强制保险管理等工作，提升开发区企业的大气污染治理水平。同时，应建立泄漏检测与修复（LDAR）管理平台，定期调度企业LDAR实施情况。</w:t>
      </w:r>
    </w:p>
    <w:p>
      <w:pPr>
        <w:spacing w:line="360" w:lineRule="auto"/>
        <w:ind w:firstLine="480" w:firstLineChars="200"/>
        <w:rPr>
          <w:rFonts w:ascii="Times New Roman" w:hAnsi="Times New Roman" w:cs="Times New Roman"/>
        </w:rPr>
      </w:pPr>
      <w:r>
        <w:rPr>
          <w:rFonts w:hint="eastAsia" w:ascii="Times New Roman" w:hAnsi="Times New Roman" w:cs="Times New Roman"/>
        </w:rPr>
        <w:t>④园区应实行对排放源的精准监控，应继续推进自动监控全覆盖。各级生态环境管理部门要督促企业依法依规安装和运行污染源自动监控设施，并与生态环境管理部门污染源自动监控管理系统联网。对现场端设备的运行维护、监督检查、比对监测等工作行为实现智能视频监控，对工作内容实现电子痕迹化管理，严防数据造假。并对自动监控系统发现的超标排放行为，要依法严肃查处，督促超标企业达标排放。</w:t>
      </w:r>
    </w:p>
    <w:p>
      <w:pPr>
        <w:spacing w:line="360" w:lineRule="auto"/>
        <w:ind w:firstLine="480" w:firstLineChars="200"/>
        <w:rPr>
          <w:rFonts w:ascii="Times New Roman" w:hAnsi="Times New Roman" w:cs="Times New Roman"/>
        </w:rPr>
      </w:pPr>
      <w:r>
        <w:rPr>
          <w:rFonts w:hint="eastAsia" w:ascii="Times New Roman" w:hAnsi="Times New Roman" w:cs="Times New Roman"/>
        </w:rPr>
        <w:t>⑤园区应推广工业企业的分表计电工作，应进一步督促新建项目落实该项要求，并在入园新建项目可行性研究阶段即落实分表计电措施，同时逐步对现有企业实施分表计电工作，实现对污染企业用电量实时监管，有效杜绝企业擅自停运或不正常运行治污设施、未按要求落实错峰生产和重污染天气应急减排措施等环境违法行为，实现对企业污染处理设施运行情况的精准管理。</w:t>
      </w:r>
    </w:p>
    <w:p>
      <w:pPr>
        <w:spacing w:line="360" w:lineRule="auto"/>
        <w:ind w:firstLine="480" w:firstLineChars="200"/>
        <w:rPr>
          <w:rFonts w:ascii="Times New Roman" w:hAnsi="Times New Roman" w:cs="Times New Roman"/>
        </w:rPr>
      </w:pPr>
      <w:r>
        <w:rPr>
          <w:rFonts w:hint="eastAsia" w:ascii="Times New Roman" w:hAnsi="Times New Roman" w:cs="Times New Roman"/>
        </w:rPr>
        <w:t>⑥积极推进开发区循环化改造，全面提升资源节约、环境友好型原辅材料和工艺装备的应用水平，规范园区产业发展，实现提质增效。</w:t>
      </w:r>
    </w:p>
    <w:p>
      <w:pPr>
        <w:spacing w:line="360" w:lineRule="auto"/>
        <w:ind w:firstLine="480" w:firstLineChars="200"/>
        <w:rPr>
          <w:rFonts w:ascii="Times New Roman" w:hAnsi="Times New Roman" w:cs="Times New Roman"/>
        </w:rPr>
      </w:pPr>
      <w:r>
        <w:rPr>
          <w:rFonts w:hint="eastAsia" w:ascii="Times New Roman" w:hAnsi="Times New Roman" w:cs="Times New Roman"/>
        </w:rPr>
        <w:t>（2）推进重点行业大气污染治理升级改造</w:t>
      </w:r>
    </w:p>
    <w:p>
      <w:pPr>
        <w:spacing w:line="360" w:lineRule="auto"/>
        <w:ind w:firstLine="480" w:firstLineChars="200"/>
        <w:rPr>
          <w:rFonts w:ascii="Times New Roman" w:hAnsi="Times New Roman" w:cs="Times New Roman"/>
        </w:rPr>
      </w:pPr>
      <w:r>
        <w:rPr>
          <w:rFonts w:hint="eastAsia" w:ascii="Times New Roman" w:hAnsi="Times New Roman" w:cs="Times New Roman"/>
        </w:rPr>
        <w:t>①在化工新材料、精细化工、基础化工、石化等领域扶持树立标杆企业，从生产工艺、产品质量、安全生产、产能规模、燃料类型、原辅材料替代、污染治理等方面提出具体治理任务，引领产业集群转型升级。同时，加强无组织排放控制，提升产业发展质量和环保治理水平，提出“一企一策”转型发展或淘汰方案，依法依规开展整治，坚决反对“一刀切”。</w:t>
      </w:r>
    </w:p>
    <w:p>
      <w:pPr>
        <w:spacing w:line="360" w:lineRule="auto"/>
        <w:ind w:firstLine="480" w:firstLineChars="200"/>
        <w:rPr>
          <w:rFonts w:ascii="Times New Roman" w:hAnsi="Times New Roman" w:cs="Times New Roman"/>
        </w:rPr>
      </w:pPr>
      <w:r>
        <w:rPr>
          <w:rFonts w:hint="eastAsia" w:ascii="Times New Roman" w:hAnsi="Times New Roman" w:cs="Times New Roman"/>
        </w:rPr>
        <w:t>②按照《石油化学工业污染物排放标准》（GB 31571-2015）、《石油炼制工业污染物排放标准》（GB31570-2015）等行业污染物排放标准和《湖南省执行污染物特别排放限值标准表（第一批）》，加快现有重点行业特别排放限值改造，加强大气污染排放监督管理，深入实施工业企业排放达标计划。加强源头和过程控制，强化重点行业清洁生产强制审核，完善末端治理，推进重点行业最佳实用技术应用，严格污染治理设施运行管理，将烟气在线监测数据作为执法依据，加大超标处罚和联合惩戒力度，未达标排放的企业一律依法停产整治。</w:t>
      </w:r>
    </w:p>
    <w:p>
      <w:pPr>
        <w:spacing w:line="360" w:lineRule="auto"/>
        <w:ind w:firstLine="480" w:firstLineChars="200"/>
        <w:rPr>
          <w:rFonts w:ascii="Times New Roman" w:hAnsi="Times New Roman" w:cs="Times New Roman"/>
        </w:rPr>
      </w:pPr>
      <w:r>
        <w:rPr>
          <w:rFonts w:hint="eastAsia" w:ascii="Times New Roman" w:hAnsi="Times New Roman" w:cs="Times New Roman"/>
        </w:rPr>
        <w:t>（3）加强固定污染源排污许可管理</w:t>
      </w:r>
    </w:p>
    <w:p>
      <w:pPr>
        <w:spacing w:line="360" w:lineRule="auto"/>
        <w:ind w:firstLine="480" w:firstLineChars="200"/>
        <w:rPr>
          <w:rFonts w:ascii="Times New Roman" w:hAnsi="Times New Roman" w:cs="Times New Roman"/>
        </w:rPr>
      </w:pPr>
      <w:r>
        <w:rPr>
          <w:rFonts w:hint="eastAsia" w:ascii="Times New Roman" w:hAnsi="Times New Roman" w:cs="Times New Roman"/>
        </w:rPr>
        <w:t>按照固定污染源排污许可分类管理名录要求，完成涉及行业排污许可证核发工作。加大依证监管和执法处罚力度，督促企业持证排污、按证排污，对无证排污单位依法依规责令停产停业。</w:t>
      </w:r>
    </w:p>
    <w:p>
      <w:pPr>
        <w:spacing w:line="360" w:lineRule="auto"/>
        <w:ind w:firstLine="480" w:firstLineChars="200"/>
        <w:rPr>
          <w:rFonts w:ascii="Times New Roman" w:hAnsi="Times New Roman" w:cs="Times New Roman"/>
        </w:rPr>
      </w:pPr>
      <w:r>
        <w:rPr>
          <w:rFonts w:hint="eastAsia" w:ascii="Times New Roman" w:hAnsi="Times New Roman" w:cs="Times New Roman"/>
        </w:rPr>
        <w:t>（4）推进工业炉窑大气污染综合治理</w:t>
      </w:r>
    </w:p>
    <w:p>
      <w:pPr>
        <w:spacing w:line="360" w:lineRule="auto"/>
        <w:ind w:firstLine="480" w:firstLineChars="200"/>
        <w:rPr>
          <w:rFonts w:ascii="Times New Roman" w:hAnsi="Times New Roman" w:cs="Times New Roman"/>
        </w:rPr>
      </w:pPr>
      <w:r>
        <w:rPr>
          <w:rFonts w:hint="eastAsia" w:ascii="Times New Roman" w:hAnsi="Times New Roman" w:cs="Times New Roman"/>
        </w:rPr>
        <w:t>按照关于印发《工业炉窑大气污染综合治理方案》以及《湖南省工业炉窑大气污染综合治理实施方案》的通知，园区工业炉窑及规划项目应执行以下要求：</w:t>
      </w:r>
    </w:p>
    <w:p>
      <w:pPr>
        <w:spacing w:line="360" w:lineRule="auto"/>
        <w:ind w:firstLine="480" w:firstLineChars="200"/>
        <w:rPr>
          <w:rFonts w:ascii="Times New Roman" w:hAnsi="Times New Roman" w:cs="Times New Roman"/>
        </w:rPr>
      </w:pPr>
      <w:r>
        <w:rPr>
          <w:rFonts w:hint="eastAsia" w:ascii="Times New Roman" w:hAnsi="Times New Roman" w:cs="Times New Roman"/>
        </w:rPr>
        <w:t>①实施污染深度治理，推进工业炉窑全面达标排放。园区化工行业的工业炉窑主要大气污染物排放全面执行《湖南省工业炉窑大气污染综合治理实施方案》要求中特别排放限值，工业炉窑应配套建设高效脱硫脱硝除尘设施，确保稳定达标排放。全面加强无组织排放管理，严格控制工业炉窑生产工艺过程及相关物料储存、输送等环节无组织排放。</w:t>
      </w:r>
    </w:p>
    <w:p>
      <w:pPr>
        <w:spacing w:line="360" w:lineRule="auto"/>
        <w:ind w:firstLine="480" w:firstLineChars="200"/>
        <w:rPr>
          <w:rFonts w:ascii="Times New Roman" w:hAnsi="Times New Roman" w:cs="Times New Roman"/>
        </w:rPr>
      </w:pPr>
      <w:r>
        <w:rPr>
          <w:rFonts w:hint="eastAsia" w:ascii="Times New Roman" w:hAnsi="Times New Roman" w:cs="Times New Roman"/>
        </w:rPr>
        <w:t>②加快淘汰落后产能和不达标工业炉窑。系统建立工业炉窑管理清单，深入推进涉工业炉窑企业综合整治，强化全过程环保管理，全面加强有组织和无组织排放管控，通过“淘汰一批、替代一批、治理一批”，提升产业总体发展水平。</w:t>
      </w:r>
    </w:p>
    <w:p>
      <w:pPr>
        <w:spacing w:line="360" w:lineRule="auto"/>
        <w:ind w:firstLine="480" w:firstLineChars="200"/>
        <w:rPr>
          <w:rFonts w:ascii="Times New Roman" w:hAnsi="Times New Roman" w:cs="Times New Roman"/>
        </w:rPr>
      </w:pPr>
      <w:r>
        <w:rPr>
          <w:rFonts w:hint="eastAsia" w:ascii="Times New Roman" w:hAnsi="Times New Roman" w:cs="Times New Roman"/>
        </w:rPr>
        <w:t>（5）加强恶臭污染源治理与监管</w:t>
      </w:r>
    </w:p>
    <w:p>
      <w:pPr>
        <w:spacing w:line="360" w:lineRule="auto"/>
        <w:ind w:firstLine="480" w:firstLineChars="200"/>
        <w:rPr>
          <w:rFonts w:ascii="Times New Roman" w:hAnsi="Times New Roman" w:cs="Times New Roman"/>
        </w:rPr>
      </w:pPr>
      <w:r>
        <w:rPr>
          <w:rFonts w:hint="eastAsia" w:ascii="Times New Roman" w:hAnsi="Times New Roman" w:cs="Times New Roman"/>
        </w:rPr>
        <w:t>①根据企业使用的原料、生产工艺过程、生产的产品、副产品和环境影响评价文件或排污许可证等有关环境管理要求筛选确定恶臭污染源，产生恶臭污染物的生产活动，应当在密闭空间或者设备中进行，废气经过收集系统和处理设施后排放，排气筒高度应按环境影响评价或者排污许可证要求确定。企业应按照《排污单位环境管理台账及排污许可证执行报告技术规范总则（试行）》（HJ 944-2018）及行业排污许可要求建立台帐，记录恶臭污染物产生、控制和排放等信息。</w:t>
      </w:r>
    </w:p>
    <w:p>
      <w:pPr>
        <w:spacing w:line="360" w:lineRule="auto"/>
        <w:ind w:firstLine="480" w:firstLineChars="200"/>
        <w:rPr>
          <w:rFonts w:ascii="Times New Roman" w:hAnsi="Times New Roman" w:cs="Times New Roman"/>
        </w:rPr>
      </w:pPr>
      <w:r>
        <w:rPr>
          <w:rFonts w:hint="eastAsia" w:ascii="Times New Roman" w:hAnsi="Times New Roman" w:cs="Times New Roman"/>
        </w:rPr>
        <w:t>②按排污许可监测要求，开展相应监测及监管工作。</w:t>
      </w:r>
    </w:p>
    <w:p>
      <w:pPr>
        <w:pStyle w:val="4"/>
      </w:pPr>
      <w:bookmarkStart w:id="771" w:name="_Toc146092038"/>
      <w:r>
        <w:rPr>
          <w:rFonts w:hint="eastAsia"/>
        </w:rPr>
        <w:t>8.3.5 建立、强化VOCs污染防治长效机制</w:t>
      </w:r>
      <w:bookmarkEnd w:id="771"/>
    </w:p>
    <w:p>
      <w:pPr>
        <w:spacing w:line="360" w:lineRule="auto"/>
        <w:ind w:firstLine="480" w:firstLineChars="200"/>
        <w:rPr>
          <w:rFonts w:ascii="Times New Roman" w:hAnsi="Times New Roman" w:cs="Times New Roman"/>
        </w:rPr>
      </w:pPr>
      <w:r>
        <w:rPr>
          <w:rFonts w:hint="eastAsia" w:ascii="Times New Roman" w:hAnsi="Times New Roman" w:cs="Times New Roman"/>
        </w:rPr>
        <w:t>（1）园区应加强对企业的帮扶与指导</w:t>
      </w:r>
    </w:p>
    <w:p>
      <w:pPr>
        <w:spacing w:line="360" w:lineRule="auto"/>
        <w:ind w:firstLine="480" w:firstLineChars="200"/>
        <w:rPr>
          <w:rFonts w:ascii="Times New Roman" w:hAnsi="Times New Roman" w:cs="Times New Roman"/>
        </w:rPr>
      </w:pPr>
      <w:r>
        <w:rPr>
          <w:rFonts w:hint="eastAsia" w:ascii="Times New Roman" w:hAnsi="Times New Roman" w:cs="Times New Roman"/>
        </w:rPr>
        <w:t>①建立园区重点企业VOCs环境管理台账（标注类型、特征污染物、排放节点、现有工艺等主要信息，已完成治理、排放达标的重点行业企业也要列入清单，做到全覆盖、无遗漏、情况真实），明确各企业污染物特性及现有治污设施去除效果，对各企业VOCs自动监测设备上报数据进行综合评估，对于不能稳定达标排放的，鼓励采用多种技术组合工艺，建设适宜高效的治污设施，确保稳定达标排放，提高VOCs治理效率。</w:t>
      </w:r>
    </w:p>
    <w:p>
      <w:pPr>
        <w:spacing w:line="360" w:lineRule="auto"/>
        <w:ind w:firstLine="480" w:firstLineChars="200"/>
        <w:rPr>
          <w:rFonts w:ascii="Times New Roman" w:hAnsi="Times New Roman" w:cs="Times New Roman"/>
        </w:rPr>
      </w:pPr>
      <w:r>
        <w:rPr>
          <w:rFonts w:hint="eastAsia" w:ascii="Times New Roman" w:hAnsi="Times New Roman" w:cs="Times New Roman"/>
        </w:rPr>
        <w:t>②提高精细化管理水平，针对现有产业特点，编制化工企业“一行一策”方案，明确原辅材料替代、工艺改进、无组织排放等减排要求，实施有针对性的VOCs污染防治管控措施。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③加强对企业的帮扶与指导，对区内VOCs排放量较大的企业，组织编制“一厂一策”方案，协助企业提升VOCs治理水平。</w:t>
      </w:r>
    </w:p>
    <w:p>
      <w:pPr>
        <w:spacing w:line="360" w:lineRule="auto"/>
        <w:ind w:firstLine="480" w:firstLineChars="200"/>
        <w:rPr>
          <w:rFonts w:ascii="Times New Roman" w:hAnsi="Times New Roman" w:cs="Times New Roman"/>
        </w:rPr>
      </w:pPr>
      <w:r>
        <w:rPr>
          <w:rFonts w:hint="eastAsia" w:ascii="Times New Roman" w:hAnsi="Times New Roman" w:cs="Times New Roman"/>
        </w:rPr>
        <w:t>④对密封点数量2000个及以上的企业，确定为重点监管企业，检测报告、核算报告电子版应交岳阳市生态环境局临湘分局备案。</w:t>
      </w:r>
    </w:p>
    <w:p>
      <w:pPr>
        <w:spacing w:line="360" w:lineRule="auto"/>
        <w:ind w:firstLine="480" w:firstLineChars="200"/>
        <w:rPr>
          <w:rFonts w:ascii="Times New Roman" w:hAnsi="Times New Roman" w:cs="Times New Roman"/>
        </w:rPr>
      </w:pPr>
      <w:r>
        <w:rPr>
          <w:rFonts w:hint="eastAsia" w:ascii="Times New Roman" w:hAnsi="Times New Roman" w:cs="Times New Roman"/>
        </w:rPr>
        <w:t>⑤持续开展VOCs治理执法检查，加大对不规范治理和超标排放、偷排偷放行为的查处力度。</w:t>
      </w:r>
    </w:p>
    <w:p>
      <w:pPr>
        <w:spacing w:line="360" w:lineRule="auto"/>
        <w:ind w:firstLine="480" w:firstLineChars="200"/>
        <w:rPr>
          <w:rFonts w:ascii="Times New Roman" w:hAnsi="Times New Roman" w:cs="Times New Roman"/>
        </w:rPr>
      </w:pPr>
      <w:r>
        <w:rPr>
          <w:rFonts w:hint="eastAsia" w:ascii="Times New Roman" w:hAnsi="Times New Roman" w:cs="Times New Roman"/>
        </w:rPr>
        <w:t>（2）推进重点工业行业VOCs综合治理</w:t>
      </w:r>
    </w:p>
    <w:p>
      <w:pPr>
        <w:spacing w:line="360" w:lineRule="auto"/>
        <w:ind w:firstLine="480" w:firstLineChars="200"/>
        <w:rPr>
          <w:rFonts w:ascii="Times New Roman" w:hAnsi="Times New Roman" w:cs="Times New Roman"/>
        </w:rPr>
      </w:pPr>
      <w:r>
        <w:rPr>
          <w:rFonts w:hint="eastAsia" w:ascii="Times New Roman" w:hAnsi="Times New Roman" w:cs="Times New Roman"/>
        </w:rPr>
        <w:t>①大力推进源头替代，各企业应使用符合国家、湖南省有关低（无）VOCs含量产品技术要求的原辅材料；采用先进、密闭性好的生产设备、化工物料存贮容器和输送管线，并对现有企业实施清洁工艺改造，从源头减少VOCs排放。</w:t>
      </w:r>
    </w:p>
    <w:p>
      <w:pPr>
        <w:spacing w:line="360" w:lineRule="auto"/>
        <w:ind w:firstLine="480" w:firstLineChars="200"/>
        <w:rPr>
          <w:rFonts w:ascii="Times New Roman" w:hAnsi="Times New Roman" w:cs="Times New Roman"/>
        </w:rPr>
      </w:pPr>
      <w:r>
        <w:rPr>
          <w:rFonts w:hint="eastAsia" w:ascii="Times New Roman" w:hAnsi="Times New Roman" w:cs="Times New Roman"/>
        </w:rPr>
        <w:t>②参照《湖南省污染防治攻坚战三年行动计划（2018-2020年）》，园区各企业应推进VOCs自行监测工作的开展，落实VOCs在线监控设备或超标报警装置安装、运行、比对及联网技术规范的要求，实现自动在线监测，并建立VOCs台账清单。对排气筒排放速率（包括等效排气简等效排放速率）大于2.5kg/h或排气量大于60000m3/h的重点工业固定排放源，应完成VOCs在线监测设施安装和联网工作，其车间及厂界安装环境在线监测设施或超标报警传感装置；对未达到上述条件的重点行业固定污染源和车间及厂界完成超标报警传感装置安装和联网工作。对储油库安装油气回收自动监测设备并联网，并按照相关要求对油气回收过程中的气液比以及油气回收系统的密闭性、管线液阻等进行监测，并能记录、储存、处理和传输监测数据。</w:t>
      </w:r>
    </w:p>
    <w:p>
      <w:pPr>
        <w:spacing w:line="360" w:lineRule="auto"/>
        <w:ind w:firstLine="480" w:firstLineChars="200"/>
        <w:rPr>
          <w:rFonts w:ascii="Times New Roman" w:hAnsi="Times New Roman" w:cs="Times New Roman"/>
        </w:rPr>
      </w:pPr>
      <w:r>
        <w:rPr>
          <w:rFonts w:hint="eastAsia" w:ascii="Times New Roman" w:hAnsi="Times New Roman" w:cs="Times New Roman"/>
        </w:rPr>
        <w:t>④按照环大气[2019]88号要求，鼓励企业采用多种技术的组合工艺，其中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VOCs初始排放速率大于等于2kg/h的，去除效率不应低于80%（采用的原辅材料符合国家有关低VOCs含量产品规定的除外）。</w:t>
      </w:r>
    </w:p>
    <w:p>
      <w:pPr>
        <w:spacing w:line="360" w:lineRule="auto"/>
        <w:ind w:firstLine="480" w:firstLineChars="200"/>
        <w:rPr>
          <w:rFonts w:ascii="Times New Roman" w:hAnsi="Times New Roman" w:cs="Times New Roman"/>
        </w:rPr>
      </w:pPr>
      <w:r>
        <w:rPr>
          <w:rFonts w:hint="eastAsia" w:ascii="Times New Roman" w:hAnsi="Times New Roman" w:cs="Times New Roman"/>
        </w:rPr>
        <w:t>⑤企业应规范内部环保管理制度，制定VOCs防治设施运行管理方案，相关台账记录至少保存3 年以上，同时应加强对第三方运维机构监管，将技术服务能力差、运营管理水平低、存在弄虚作假行为、综合信用差的运维机构列入“黑名单”，定期向社会公布，接受公众监督。</w:t>
      </w:r>
    </w:p>
    <w:p>
      <w:pPr>
        <w:spacing w:line="360" w:lineRule="auto"/>
        <w:ind w:firstLine="480" w:firstLineChars="200"/>
        <w:rPr>
          <w:rFonts w:ascii="Times New Roman" w:hAnsi="Times New Roman" w:cs="Times New Roman"/>
        </w:rPr>
      </w:pPr>
      <w:r>
        <w:rPr>
          <w:rFonts w:hint="eastAsia" w:ascii="Times New Roman" w:hAnsi="Times New Roman" w:cs="Times New Roman"/>
        </w:rPr>
        <w:t>（3）强化VOCs无组织排放管控，定期开展LDAR检测</w:t>
      </w:r>
    </w:p>
    <w:p>
      <w:pPr>
        <w:spacing w:line="360" w:lineRule="auto"/>
        <w:ind w:firstLine="480" w:firstLineChars="200"/>
        <w:rPr>
          <w:rFonts w:ascii="Times New Roman" w:hAnsi="Times New Roman" w:cs="Times New Roman"/>
        </w:rPr>
      </w:pPr>
      <w:r>
        <w:rPr>
          <w:rFonts w:hint="eastAsia" w:ascii="Times New Roman" w:hAnsi="Times New Roman" w:cs="Times New Roman"/>
        </w:rPr>
        <w:t>①各企业均应稳定达到《挥发性有机物无组织排放控制标准》以及相关行业排放标准要求，定期开展VOCs治理执法检查，将有机溶剂使用量较大的，存在敞开式作业的，末端治理仅使用一次活性炭吸附、水或水溶液喷淋吸收、等离子、光催化、光氧化等技术的企业作为重点，对不能稳定达标的企业督促其限期整改。</w:t>
      </w:r>
    </w:p>
    <w:p>
      <w:pPr>
        <w:spacing w:line="360" w:lineRule="auto"/>
        <w:ind w:firstLine="480" w:firstLineChars="200"/>
        <w:rPr>
          <w:rFonts w:ascii="Times New Roman" w:hAnsi="Times New Roman" w:cs="Times New Roman"/>
        </w:rPr>
      </w:pPr>
      <w:r>
        <w:rPr>
          <w:rFonts w:hint="eastAsia" w:ascii="Times New Roman" w:hAnsi="Times New Roman" w:cs="Times New Roman"/>
        </w:rPr>
        <w:t>②各企业应强化无组织排放管控，全面加强含VOCs物料储存、转移和输送、设备与管线组件泄漏、敞开液面逸散以及工艺过程等五类排放源VOCs管控，按照“应收尽收、分质收集”的原则，显著提高废气收集率。分行业建立无组织排放改造清单和管理台账，对物料（含废渣）运输、装卸、储存、转移和工艺过程等无组织排放实施深度治理。</w:t>
      </w:r>
    </w:p>
    <w:p>
      <w:pPr>
        <w:spacing w:line="360" w:lineRule="auto"/>
        <w:ind w:firstLine="480" w:firstLineChars="200"/>
        <w:rPr>
          <w:rFonts w:ascii="Times New Roman" w:hAnsi="Times New Roman" w:cs="Times New Roman"/>
        </w:rPr>
      </w:pPr>
      <w:r>
        <w:rPr>
          <w:rFonts w:hint="eastAsia" w:ascii="Times New Roman" w:hAnsi="Times New Roman" w:cs="Times New Roman"/>
        </w:rPr>
        <w:t>③各企业应全面摸排载有气态、液态VOCs 物料的设备与管线组件，对密封点数量大于等于2000个的企业，对泵、压缩机、阀门、法兰及其他连接件等动静密封点进行泄漏检测，并建立台账，记录检测时间、检测仪器读数、修复时间、修复后检测仪器读数等信息。动密封点应每三个月开展一次LDAR，静密封点应每六个月开展一次LDAR，建立长效机制。</w:t>
      </w:r>
    </w:p>
    <w:p>
      <w:pPr>
        <w:spacing w:line="360" w:lineRule="auto"/>
        <w:ind w:firstLine="480" w:firstLineChars="200"/>
        <w:rPr>
          <w:rFonts w:ascii="Times New Roman" w:hAnsi="Times New Roman" w:cs="Times New Roman"/>
        </w:rPr>
      </w:pPr>
      <w:r>
        <w:rPr>
          <w:rFonts w:hint="eastAsia" w:ascii="Times New Roman" w:hAnsi="Times New Roman" w:cs="Times New Roman"/>
        </w:rPr>
        <w:t>④加强罐区无组织排放治理与监管。对易挥发化学品的储存，应设置氮封、浮顶、或挥发性有机物收集处置装置等防止挥发物质逸出的措施，最大限度减少无组织废气排放。</w:t>
      </w:r>
    </w:p>
    <w:p>
      <w:pPr>
        <w:spacing w:line="360" w:lineRule="auto"/>
        <w:ind w:firstLine="480" w:firstLineChars="200"/>
        <w:rPr>
          <w:rFonts w:ascii="Times New Roman" w:hAnsi="Times New Roman" w:cs="Times New Roman"/>
        </w:rPr>
      </w:pPr>
      <w:r>
        <w:rPr>
          <w:rFonts w:hint="eastAsia" w:ascii="Times New Roman" w:hAnsi="Times New Roman" w:cs="Times New Roman"/>
        </w:rPr>
        <w:t>⑤加强汽车装卸过程的无组织排放监管，可使用氮气对装车臂进行吹扫，气相管气体送至火炬系统处理或配套建设油气回收装置，避免频繁的装卸过程产生的无组织排放。</w:t>
      </w:r>
    </w:p>
    <w:p>
      <w:pPr>
        <w:spacing w:line="360" w:lineRule="auto"/>
        <w:ind w:firstLine="480" w:firstLineChars="200"/>
        <w:rPr>
          <w:rFonts w:ascii="Times New Roman" w:hAnsi="Times New Roman" w:cs="Times New Roman"/>
        </w:rPr>
      </w:pPr>
      <w:r>
        <w:rPr>
          <w:rFonts w:hint="eastAsia" w:ascii="Times New Roman" w:hAnsi="Times New Roman" w:cs="Times New Roman"/>
        </w:rPr>
        <w:t>⑥非正常排放的废气应送专有设备或火炬等设施处理，严禁直接排放。</w:t>
      </w:r>
    </w:p>
    <w:p>
      <w:pPr>
        <w:spacing w:line="360" w:lineRule="auto"/>
        <w:ind w:firstLine="480" w:firstLineChars="200"/>
        <w:rPr>
          <w:rFonts w:ascii="Times New Roman" w:hAnsi="Times New Roman" w:cs="Times New Roman"/>
        </w:rPr>
      </w:pPr>
      <w:r>
        <w:rPr>
          <w:rFonts w:hint="eastAsia" w:ascii="Times New Roman" w:hAnsi="Times New Roman" w:cs="Times New Roman"/>
        </w:rPr>
        <w:t>（4）建立有毒有害气体预警监控体系追根溯源，提升预警能力</w:t>
      </w:r>
    </w:p>
    <w:p>
      <w:pPr>
        <w:spacing w:line="360" w:lineRule="auto"/>
        <w:ind w:firstLine="480" w:firstLineChars="200"/>
        <w:rPr>
          <w:rFonts w:ascii="Times New Roman" w:hAnsi="Times New Roman" w:cs="Times New Roman"/>
        </w:rPr>
      </w:pPr>
      <w:r>
        <w:rPr>
          <w:rFonts w:hint="eastAsia" w:ascii="Times New Roman" w:hAnsi="Times New Roman" w:cs="Times New Roman"/>
        </w:rPr>
        <w:t>①尽快实施园区有毒有害气体预警监控体系工程的建设，加密对开发区内有毒有害气体监控，为健全以改善环境空气质量为核心的VOCs污染防治管理体系夯实基础。建成后与相关生态环境主管部门大气监控平台联网。</w:t>
      </w:r>
    </w:p>
    <w:p>
      <w:pPr>
        <w:spacing w:line="360" w:lineRule="auto"/>
        <w:ind w:firstLine="480" w:firstLineChars="200"/>
        <w:rPr>
          <w:rFonts w:ascii="Times New Roman" w:hAnsi="Times New Roman" w:cs="Times New Roman"/>
        </w:rPr>
      </w:pPr>
      <w:r>
        <w:rPr>
          <w:rFonts w:hint="eastAsia" w:ascii="Times New Roman" w:hAnsi="Times New Roman" w:cs="Times New Roman"/>
        </w:rPr>
        <w:t>②针对有毒有害气体预警监控体系的数据，开展溯源分析和精准定量考核。加强VOCs污染防治技防手段应用，通过大数据大数据系统，实现VOCs污染源溯源分析和各企业量化考核，精准发现排放VOCs的污染源来源，及时掌握区域内污染物变化迁移情况，开展溯源分析调度、源头消除和管控污染，并将其作为考核、评价和奖惩企业的具体指标。</w:t>
      </w:r>
    </w:p>
    <w:p>
      <w:pPr>
        <w:pStyle w:val="4"/>
      </w:pPr>
      <w:bookmarkStart w:id="772" w:name="_Toc146092039"/>
      <w:r>
        <w:rPr>
          <w:rFonts w:hint="eastAsia"/>
        </w:rPr>
        <w:t>8.3.6 加强恶臭污染源、酸雾治理与监管</w:t>
      </w:r>
      <w:bookmarkEnd w:id="772"/>
    </w:p>
    <w:p>
      <w:pPr>
        <w:spacing w:line="360" w:lineRule="auto"/>
        <w:ind w:firstLine="480" w:firstLineChars="200"/>
        <w:rPr>
          <w:rFonts w:ascii="Times New Roman" w:hAnsi="Times New Roman" w:cs="Times New Roman"/>
        </w:rPr>
      </w:pPr>
      <w:r>
        <w:rPr>
          <w:rFonts w:hint="eastAsia" w:ascii="Times New Roman" w:hAnsi="Times New Roman" w:cs="Times New Roman"/>
        </w:rPr>
        <w:t>①根据企业使用的原料、生产工艺过程、生产的产品、副产品和环境影响评价文件或排污许可证等有关环境管理要求筛选确定恶臭污染源、氯化氢污染源，产生恶臭污染物、氯化氢污染物的生产活动，应当在密闭空间或者设备中进行，废气经过收集系统和处理设施后（如碱液喷淋等）排放，排气筒高度应按环境影响评价或者排污许可证要求确定；对于产生。企业应按照《排污单位环境管理台账及排污许可证执行报告技术规范总则（试行）》（HJ 944-2018）及行业排污许可要求建立台帐，记录恶臭污染物产生、控制和排放等信息。</w:t>
      </w:r>
    </w:p>
    <w:p>
      <w:pPr>
        <w:spacing w:line="360" w:lineRule="auto"/>
        <w:ind w:firstLine="480" w:firstLineChars="200"/>
        <w:rPr>
          <w:rFonts w:ascii="Times New Roman" w:hAnsi="Times New Roman" w:cs="Times New Roman"/>
        </w:rPr>
      </w:pPr>
      <w:r>
        <w:rPr>
          <w:rFonts w:hint="eastAsia" w:ascii="Times New Roman" w:hAnsi="Times New Roman" w:cs="Times New Roman"/>
        </w:rPr>
        <w:t>②按排污许可监测要求，开展相应监测及监管工作。</w:t>
      </w:r>
    </w:p>
    <w:p>
      <w:pPr>
        <w:spacing w:line="360" w:lineRule="auto"/>
        <w:ind w:firstLine="480" w:firstLineChars="200"/>
        <w:rPr>
          <w:rFonts w:ascii="Times New Roman" w:hAnsi="Times New Roman" w:cs="Times New Roman"/>
        </w:rPr>
      </w:pPr>
      <w:r>
        <w:rPr>
          <w:rFonts w:hint="eastAsia" w:ascii="Times New Roman" w:hAnsi="Times New Roman" w:cs="Times New Roman"/>
        </w:rPr>
        <w:t>③在靠近居民区的片区严格限制引进恶臭、氯化氢等排放量大的企业，在引进具体项目进行环评时应详细论证恶臭、氯化氢等对居民区的影响。</w:t>
      </w:r>
    </w:p>
    <w:p>
      <w:pPr>
        <w:pStyle w:val="4"/>
      </w:pPr>
      <w:bookmarkStart w:id="773" w:name="_Toc146092040"/>
      <w:r>
        <w:rPr>
          <w:rFonts w:hint="eastAsia"/>
        </w:rPr>
        <w:t>8.3.7 其他大气污染控制措施</w:t>
      </w:r>
      <w:bookmarkEnd w:id="773"/>
    </w:p>
    <w:p>
      <w:pPr>
        <w:spacing w:line="360" w:lineRule="auto"/>
        <w:ind w:firstLine="480" w:firstLineChars="200"/>
        <w:rPr>
          <w:rFonts w:ascii="Times New Roman" w:hAnsi="Times New Roman" w:cs="Times New Roman"/>
        </w:rPr>
      </w:pPr>
      <w:r>
        <w:rPr>
          <w:rFonts w:hint="eastAsia" w:ascii="Times New Roman" w:hAnsi="Times New Roman" w:cs="Times New Roman"/>
        </w:rPr>
        <w:t>（1）加强机动车尾气综合治理</w:t>
      </w:r>
    </w:p>
    <w:p>
      <w:pPr>
        <w:spacing w:line="360" w:lineRule="auto"/>
        <w:ind w:firstLine="480" w:firstLineChars="200"/>
        <w:rPr>
          <w:rFonts w:ascii="Times New Roman" w:hAnsi="Times New Roman" w:cs="Times New Roman"/>
        </w:rPr>
      </w:pPr>
      <w:r>
        <w:rPr>
          <w:rFonts w:hint="eastAsia" w:ascii="Times New Roman" w:hAnsi="Times New Roman" w:cs="Times New Roman"/>
        </w:rPr>
        <w:t>机动车防治措施：在发动机的制造中改进设计和采用新技术；使用三元催化转化器并不断改进发动机助燃剂、催化液；对新车和在用车分别制定排放标准；对在用车的尾气排放进行定期检测和随机抽查（I/M制度）；对车辆进行严格的维修、保养，使车辆保持最佳的技术状态和出厂时的排放水平。</w:t>
      </w:r>
    </w:p>
    <w:p>
      <w:pPr>
        <w:spacing w:line="360" w:lineRule="auto"/>
        <w:ind w:firstLine="480" w:firstLineChars="200"/>
        <w:rPr>
          <w:rFonts w:ascii="Times New Roman" w:hAnsi="Times New Roman" w:cs="Times New Roman"/>
        </w:rPr>
      </w:pPr>
      <w:r>
        <w:rPr>
          <w:rFonts w:hint="eastAsia" w:ascii="Times New Roman" w:hAnsi="Times New Roman" w:cs="Times New Roman"/>
        </w:rPr>
        <w:t>车用燃料防治措施：制定高的燃料标准，提高燃料油的品质；使用清洁燃料，降低柴油中的硫含量；使用液化石油气（LPG）、压缩天然气（CNG）等替代燃料，使绿色汽车的比例提高。</w:t>
      </w:r>
    </w:p>
    <w:p>
      <w:pPr>
        <w:spacing w:line="360" w:lineRule="auto"/>
        <w:ind w:firstLine="480" w:firstLineChars="200"/>
        <w:rPr>
          <w:rFonts w:ascii="Times New Roman" w:hAnsi="Times New Roman" w:cs="Times New Roman"/>
        </w:rPr>
      </w:pPr>
      <w:r>
        <w:rPr>
          <w:rFonts w:hint="eastAsia" w:ascii="Times New Roman" w:hAnsi="Times New Roman" w:cs="Times New Roman"/>
        </w:rPr>
        <w:t>交通运输管理措施：提倡采用公共交通方式，因为公共交通可大幅降低尾气排放量，是改善城市大气质量的根本性措施之一。据估算，公共汽车每人每千米的尾气排放量比私家小汽车减排40%～70%的氮氧化物，减排95%左右的碳氢化物和一氧化碳；建立城市中、低汽车尾气排放控制区。</w:t>
      </w:r>
    </w:p>
    <w:p>
      <w:pPr>
        <w:spacing w:line="360" w:lineRule="auto"/>
        <w:ind w:firstLine="480" w:firstLineChars="200"/>
        <w:rPr>
          <w:rFonts w:ascii="Times New Roman" w:hAnsi="Times New Roman" w:cs="Times New Roman"/>
        </w:rPr>
      </w:pPr>
      <w:r>
        <w:rPr>
          <w:rFonts w:hint="eastAsia" w:ascii="Times New Roman" w:hAnsi="Times New Roman" w:cs="Times New Roman"/>
        </w:rPr>
        <w:t>（2）有效控制职工食堂油烟废气污染，要加强环保意识，炉灶锅台必须安装抽油烟装置及油烟净化装置，油烟排放浓度必须达到《饮食业油烟排放标准》（GB18483-2001）。</w:t>
      </w:r>
    </w:p>
    <w:p>
      <w:pPr>
        <w:spacing w:line="360" w:lineRule="auto"/>
        <w:ind w:firstLine="480" w:firstLineChars="200"/>
        <w:rPr>
          <w:rFonts w:ascii="Times New Roman" w:hAnsi="Times New Roman" w:cs="Times New Roman"/>
        </w:rPr>
      </w:pPr>
      <w:r>
        <w:rPr>
          <w:rFonts w:hint="eastAsia" w:ascii="Times New Roman" w:hAnsi="Times New Roman" w:cs="Times New Roman"/>
        </w:rPr>
        <w:t>（3）加强园区交通网络基础建设与管理，改善路面条件和清洁卫生，道路两侧硬化或绿化率达到100%，减少道路扬尘。</w:t>
      </w:r>
    </w:p>
    <w:p>
      <w:pPr>
        <w:spacing w:line="360" w:lineRule="auto"/>
        <w:ind w:firstLine="480" w:firstLineChars="200"/>
        <w:rPr>
          <w:rFonts w:ascii="Times New Roman" w:hAnsi="Times New Roman" w:cs="Times New Roman"/>
        </w:rPr>
      </w:pPr>
      <w:r>
        <w:rPr>
          <w:rFonts w:hint="eastAsia" w:ascii="Times New Roman" w:hAnsi="Times New Roman" w:cs="Times New Roman"/>
        </w:rPr>
        <w:t>（4）置绿化隔离带。绿化林带能起到隔离污染、减弱噪声和净化空气的作用。工业企业四周与外部交界处设置防护绿带，减轻企业对外界的影响。在主干道、快速路、河道两侧留有一定宽度的绿化带，区内各企业之间都应设置绿化隔离带。</w:t>
      </w:r>
    </w:p>
    <w:p>
      <w:pPr>
        <w:spacing w:line="360" w:lineRule="auto"/>
        <w:ind w:firstLine="480" w:firstLineChars="200"/>
        <w:rPr>
          <w:rFonts w:ascii="Times New Roman" w:hAnsi="Times New Roman" w:cs="Times New Roman"/>
        </w:rPr>
      </w:pPr>
      <w:r>
        <w:rPr>
          <w:rFonts w:hint="eastAsia" w:ascii="Times New Roman" w:hAnsi="Times New Roman" w:cs="Times New Roman"/>
        </w:rPr>
        <w:t>在采取了上述措施后，可有效减轻扩区实施对大气环境质量的影响。同时，根据环境质量“只能变好、不能变坏”的目标，建议园区在下一段管理中制定园区气型污染严重企业减排计划、严格控制新增污染物排放。切实保护园区环境质量。园区所属行政辖区上一年度环境质量未完成年度考核目标任务的，建议暂停审批园区新增污染物排放的建设项目，以此减缓园区大气污染。</w:t>
      </w:r>
    </w:p>
    <w:p>
      <w:pPr>
        <w:pStyle w:val="4"/>
      </w:pPr>
      <w:bookmarkStart w:id="774" w:name="_Toc146092041"/>
      <w:r>
        <w:rPr>
          <w:rFonts w:hint="eastAsia"/>
        </w:rPr>
        <w:t>8.3.8 园区规划典型行业废气防治措施</w:t>
      </w:r>
      <w:bookmarkEnd w:id="774"/>
    </w:p>
    <w:p>
      <w:pPr>
        <w:spacing w:line="360" w:lineRule="auto"/>
        <w:ind w:firstLine="480" w:firstLineChars="200"/>
        <w:rPr>
          <w:rFonts w:ascii="Times New Roman" w:hAnsi="Times New Roman" w:cs="Times New Roman"/>
        </w:rPr>
      </w:pPr>
      <w:r>
        <w:rPr>
          <w:rFonts w:hint="eastAsia" w:ascii="Times New Roman" w:hAnsi="Times New Roman" w:cs="Times New Roman"/>
        </w:rPr>
        <w:t>本次规划环评针对规划产业，结合相关排污许可要求，提出推荐的废气治理措施见下表，供园区管理及企业参考。</w:t>
      </w:r>
    </w:p>
    <w:p>
      <w:pPr>
        <w:pStyle w:val="6"/>
      </w:pPr>
      <w:r>
        <w:rPr>
          <w:rFonts w:hint="eastAsia"/>
        </w:rPr>
        <w:t>表8.3-1  园区规划典型行业废气污染治理技术一览表</w:t>
      </w:r>
    </w:p>
    <w:tbl>
      <w:tblPr>
        <w:tblStyle w:val="10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898"/>
        <w:gridCol w:w="1538"/>
        <w:gridCol w:w="3412"/>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Align w:val="center"/>
          </w:tcPr>
          <w:p>
            <w:pPr>
              <w:pStyle w:val="63"/>
            </w:pPr>
            <w:r>
              <w:t>行业/产品类别</w:t>
            </w:r>
          </w:p>
        </w:tc>
        <w:tc>
          <w:tcPr>
            <w:tcW w:w="930" w:type="dxa"/>
            <w:vAlign w:val="center"/>
          </w:tcPr>
          <w:p>
            <w:pPr>
              <w:pStyle w:val="63"/>
            </w:pPr>
            <w:r>
              <w:rPr>
                <w:rFonts w:hint="eastAsia"/>
              </w:rPr>
              <w:t>生产装置或设施</w:t>
            </w:r>
          </w:p>
        </w:tc>
        <w:tc>
          <w:tcPr>
            <w:tcW w:w="1571" w:type="dxa"/>
            <w:vAlign w:val="center"/>
          </w:tcPr>
          <w:p>
            <w:pPr>
              <w:pStyle w:val="63"/>
            </w:pPr>
            <w:r>
              <w:t>主要污染物</w:t>
            </w:r>
          </w:p>
        </w:tc>
        <w:tc>
          <w:tcPr>
            <w:tcW w:w="3560" w:type="dxa"/>
            <w:vAlign w:val="center"/>
          </w:tcPr>
          <w:p>
            <w:pPr>
              <w:pStyle w:val="63"/>
            </w:pPr>
            <w:r>
              <w:t>可行技术（污染防治设施名称及工艺）</w:t>
            </w:r>
          </w:p>
        </w:tc>
        <w:tc>
          <w:tcPr>
            <w:tcW w:w="1677" w:type="dxa"/>
            <w:vAlign w:val="center"/>
          </w:tcPr>
          <w:p>
            <w:pPr>
              <w:pStyle w:val="63"/>
            </w:pPr>
            <w:r>
              <w:t>文件依据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restart"/>
            <w:vAlign w:val="center"/>
          </w:tcPr>
          <w:p>
            <w:pPr>
              <w:pStyle w:val="63"/>
            </w:pPr>
            <w:r>
              <w:rPr>
                <w:rFonts w:hint="eastAsia"/>
              </w:rPr>
              <w:t>石化工业</w:t>
            </w:r>
          </w:p>
        </w:tc>
        <w:tc>
          <w:tcPr>
            <w:tcW w:w="930" w:type="dxa"/>
            <w:vMerge w:val="restart"/>
            <w:vAlign w:val="center"/>
          </w:tcPr>
          <w:p>
            <w:pPr>
              <w:pStyle w:val="63"/>
            </w:pPr>
            <w:r>
              <w:rPr>
                <w:rFonts w:hint="eastAsia"/>
              </w:rPr>
              <w:t>锅炉</w:t>
            </w:r>
          </w:p>
        </w:tc>
        <w:tc>
          <w:tcPr>
            <w:tcW w:w="1571" w:type="dxa"/>
            <w:vAlign w:val="center"/>
          </w:tcPr>
          <w:p>
            <w:pPr>
              <w:pStyle w:val="63"/>
            </w:pPr>
            <w:r>
              <w:rPr>
                <w:rFonts w:hint="eastAsia"/>
              </w:rPr>
              <w:t>二氧化硫</w:t>
            </w:r>
          </w:p>
        </w:tc>
        <w:tc>
          <w:tcPr>
            <w:tcW w:w="3560" w:type="dxa"/>
            <w:vAlign w:val="center"/>
          </w:tcPr>
          <w:p>
            <w:pPr>
              <w:pStyle w:val="63"/>
            </w:pPr>
            <w:r>
              <w:rPr>
                <w:rFonts w:hint="eastAsia"/>
              </w:rPr>
              <w:t>湿法脱硫（石灰石法、氧化镁法、氨法、氢氧化钠法）、半干法脱硫、干法脱硫</w:t>
            </w:r>
          </w:p>
        </w:tc>
        <w:tc>
          <w:tcPr>
            <w:tcW w:w="1677" w:type="dxa"/>
            <w:vMerge w:val="restart"/>
            <w:vAlign w:val="center"/>
          </w:tcPr>
          <w:p>
            <w:pPr>
              <w:pStyle w:val="63"/>
            </w:pPr>
            <w:r>
              <w:t>《排污许可证申请与核发技术规范</w:t>
            </w:r>
            <w:r>
              <w:rPr>
                <w:rFonts w:hint="eastAsia"/>
              </w:rPr>
              <w:t xml:space="preserve"> 石化工业</w:t>
            </w:r>
            <w:r>
              <w:t>》（HJ853-2017）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氮氧化物</w:t>
            </w:r>
          </w:p>
        </w:tc>
        <w:tc>
          <w:tcPr>
            <w:tcW w:w="3560" w:type="dxa"/>
            <w:vAlign w:val="center"/>
          </w:tcPr>
          <w:p>
            <w:pPr>
              <w:pStyle w:val="63"/>
            </w:pPr>
            <w:r>
              <w:rPr>
                <w:rFonts w:hint="eastAsia"/>
              </w:rPr>
              <w:t>低氮燃烧技术（低氮燃烧器、空气分级燃烧、燃料分级燃烧）、选择性催化还原法（SCR）、选择性非催化还原法（SNCR）</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颗粒物</w:t>
            </w:r>
          </w:p>
        </w:tc>
        <w:tc>
          <w:tcPr>
            <w:tcW w:w="3560" w:type="dxa"/>
            <w:vAlign w:val="center"/>
          </w:tcPr>
          <w:p>
            <w:pPr>
              <w:pStyle w:val="63"/>
            </w:pPr>
            <w:r>
              <w:rPr>
                <w:rFonts w:hint="eastAsia"/>
              </w:rPr>
              <w:t>袋式除尘、电除尘、湿式电除尘</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4" w:type="dxa"/>
            <w:vMerge w:val="continue"/>
            <w:vAlign w:val="center"/>
          </w:tcPr>
          <w:p>
            <w:pPr>
              <w:pStyle w:val="63"/>
            </w:pPr>
          </w:p>
        </w:tc>
        <w:tc>
          <w:tcPr>
            <w:tcW w:w="930" w:type="dxa"/>
            <w:vMerge w:val="restart"/>
            <w:vAlign w:val="center"/>
          </w:tcPr>
          <w:p>
            <w:pPr>
              <w:pStyle w:val="63"/>
            </w:pPr>
            <w:r>
              <w:rPr>
                <w:rFonts w:hint="eastAsia"/>
              </w:rPr>
              <w:t>工艺加热炉</w:t>
            </w:r>
          </w:p>
        </w:tc>
        <w:tc>
          <w:tcPr>
            <w:tcW w:w="1571" w:type="dxa"/>
            <w:vAlign w:val="center"/>
          </w:tcPr>
          <w:p>
            <w:pPr>
              <w:pStyle w:val="63"/>
            </w:pPr>
            <w:r>
              <w:rPr>
                <w:rFonts w:hint="eastAsia"/>
              </w:rPr>
              <w:t>二氧化硫</w:t>
            </w:r>
          </w:p>
        </w:tc>
        <w:tc>
          <w:tcPr>
            <w:tcW w:w="3560" w:type="dxa"/>
            <w:vAlign w:val="center"/>
          </w:tcPr>
          <w:p>
            <w:pPr>
              <w:pStyle w:val="63"/>
            </w:pPr>
            <w:r>
              <w:rPr>
                <w:rFonts w:hint="eastAsia"/>
              </w:rPr>
              <w:t>采用低硫燃料</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氮氧化物</w:t>
            </w:r>
          </w:p>
        </w:tc>
        <w:tc>
          <w:tcPr>
            <w:tcW w:w="3560" w:type="dxa"/>
            <w:vAlign w:val="center"/>
          </w:tcPr>
          <w:p>
            <w:pPr>
              <w:pStyle w:val="63"/>
            </w:pPr>
            <w:r>
              <w:rPr>
                <w:rFonts w:hint="eastAsia"/>
              </w:rPr>
              <w:t>低氮燃烧技术（低氮燃烧器、空气分级燃烧、燃料分级燃烧）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颗粒物</w:t>
            </w:r>
          </w:p>
        </w:tc>
        <w:tc>
          <w:tcPr>
            <w:tcW w:w="3560" w:type="dxa"/>
            <w:vAlign w:val="center"/>
          </w:tcPr>
          <w:p>
            <w:pPr>
              <w:pStyle w:val="63"/>
            </w:pPr>
            <w:r>
              <w:rPr>
                <w:rFonts w:hint="eastAsia"/>
              </w:rPr>
              <w:t>采用清洁燃料</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restart"/>
            <w:vAlign w:val="center"/>
          </w:tcPr>
          <w:p>
            <w:pPr>
              <w:pStyle w:val="63"/>
            </w:pPr>
            <w:r>
              <w:rPr>
                <w:rFonts w:hint="eastAsia"/>
              </w:rPr>
              <w:t>催化裂化装置</w:t>
            </w:r>
          </w:p>
        </w:tc>
        <w:tc>
          <w:tcPr>
            <w:tcW w:w="1571" w:type="dxa"/>
            <w:vAlign w:val="center"/>
          </w:tcPr>
          <w:p>
            <w:pPr>
              <w:pStyle w:val="63"/>
            </w:pPr>
            <w:r>
              <w:rPr>
                <w:rFonts w:hint="eastAsia"/>
              </w:rPr>
              <w:t>二氧化硫</w:t>
            </w:r>
          </w:p>
        </w:tc>
        <w:tc>
          <w:tcPr>
            <w:tcW w:w="3560" w:type="dxa"/>
            <w:vAlign w:val="center"/>
          </w:tcPr>
          <w:p>
            <w:pPr>
              <w:pStyle w:val="63"/>
            </w:pPr>
            <w:r>
              <w:rPr>
                <w:rFonts w:hint="eastAsia"/>
              </w:rPr>
              <w:t>湿法脱硫（氢氧化钠法、氧化镁法）</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氮氧化物</w:t>
            </w:r>
          </w:p>
        </w:tc>
        <w:tc>
          <w:tcPr>
            <w:tcW w:w="3560" w:type="dxa"/>
            <w:vAlign w:val="center"/>
          </w:tcPr>
          <w:p>
            <w:pPr>
              <w:pStyle w:val="63"/>
            </w:pPr>
            <w:r>
              <w:rPr>
                <w:rFonts w:hint="eastAsia"/>
              </w:rPr>
              <w:t>选择性催化还原法（SCR）</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颗粒物</w:t>
            </w:r>
          </w:p>
        </w:tc>
        <w:tc>
          <w:tcPr>
            <w:tcW w:w="3560" w:type="dxa"/>
            <w:vAlign w:val="center"/>
          </w:tcPr>
          <w:p>
            <w:pPr>
              <w:pStyle w:val="63"/>
            </w:pPr>
            <w:r>
              <w:rPr>
                <w:rFonts w:hint="eastAsia"/>
              </w:rPr>
              <w:t>袋式除尘技术</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酸性气回收装置</w:t>
            </w:r>
          </w:p>
        </w:tc>
        <w:tc>
          <w:tcPr>
            <w:tcW w:w="1571" w:type="dxa"/>
            <w:vAlign w:val="center"/>
          </w:tcPr>
          <w:p>
            <w:pPr>
              <w:pStyle w:val="63"/>
            </w:pPr>
            <w:r>
              <w:rPr>
                <w:rFonts w:hint="eastAsia"/>
              </w:rPr>
              <w:t>二氧化硫</w:t>
            </w:r>
          </w:p>
        </w:tc>
        <w:tc>
          <w:tcPr>
            <w:tcW w:w="3560" w:type="dxa"/>
            <w:vAlign w:val="center"/>
          </w:tcPr>
          <w:p>
            <w:pPr>
              <w:pStyle w:val="63"/>
            </w:pPr>
            <w:r>
              <w:rPr>
                <w:rFonts w:hint="eastAsia"/>
              </w:rPr>
              <w:t>硫磺回收+焚烧+（碱洗技术）a</w:t>
            </w:r>
          </w:p>
          <w:p>
            <w:pPr>
              <w:pStyle w:val="63"/>
            </w:pPr>
            <w:r>
              <w:rPr>
                <w:rFonts w:hint="eastAsia"/>
              </w:rPr>
              <w:t>酸性气制硫酸+（碱洗技术）a</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设备与管线组件</w:t>
            </w:r>
          </w:p>
        </w:tc>
        <w:tc>
          <w:tcPr>
            <w:tcW w:w="1571" w:type="dxa"/>
            <w:vAlign w:val="center"/>
          </w:tcPr>
          <w:p>
            <w:pPr>
              <w:pStyle w:val="63"/>
            </w:pPr>
            <w:r>
              <w:rPr>
                <w:rFonts w:hint="eastAsia"/>
              </w:rPr>
              <w:t>挥发性有机物</w:t>
            </w:r>
          </w:p>
        </w:tc>
        <w:tc>
          <w:tcPr>
            <w:tcW w:w="3560" w:type="dxa"/>
            <w:vAlign w:val="center"/>
          </w:tcPr>
          <w:p>
            <w:pPr>
              <w:pStyle w:val="63"/>
            </w:pPr>
            <w:r>
              <w:rPr>
                <w:rFonts w:hint="eastAsia"/>
              </w:rPr>
              <w:t>泄漏检测与修复（LDAR）</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储罐</w:t>
            </w:r>
          </w:p>
        </w:tc>
        <w:tc>
          <w:tcPr>
            <w:tcW w:w="1571" w:type="dxa"/>
            <w:vAlign w:val="center"/>
          </w:tcPr>
          <w:p>
            <w:pPr>
              <w:pStyle w:val="63"/>
            </w:pPr>
            <w:r>
              <w:rPr>
                <w:rFonts w:hint="eastAsia"/>
              </w:rPr>
              <w:t>挥发性有机物</w:t>
            </w:r>
          </w:p>
        </w:tc>
        <w:tc>
          <w:tcPr>
            <w:tcW w:w="3560" w:type="dxa"/>
            <w:vAlign w:val="center"/>
          </w:tcPr>
          <w:p>
            <w:pPr>
              <w:pStyle w:val="63"/>
            </w:pPr>
            <w:r>
              <w:rPr>
                <w:rFonts w:hint="eastAsia"/>
              </w:rPr>
              <w:t>油气平衡、油气回收（冷凝、吸附、吸收、膜分离或组合技术等）、燃烧净化（热力焚烧、 催化燃烧、蓄热燃烧）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装载</w:t>
            </w:r>
          </w:p>
        </w:tc>
        <w:tc>
          <w:tcPr>
            <w:tcW w:w="1571" w:type="dxa"/>
            <w:vAlign w:val="center"/>
          </w:tcPr>
          <w:p>
            <w:pPr>
              <w:pStyle w:val="63"/>
            </w:pPr>
            <w:r>
              <w:rPr>
                <w:rFonts w:hint="eastAsia"/>
              </w:rPr>
              <w:t>挥发性有机物、其他</w:t>
            </w:r>
          </w:p>
        </w:tc>
        <w:tc>
          <w:tcPr>
            <w:tcW w:w="3560" w:type="dxa"/>
            <w:vAlign w:val="center"/>
          </w:tcPr>
          <w:p>
            <w:pPr>
              <w:pStyle w:val="63"/>
            </w:pPr>
            <w:r>
              <w:rPr>
                <w:rFonts w:hint="eastAsia"/>
              </w:rPr>
              <w:t>顶部浸没式或底部装载方式+油气回收或燃烧净化</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restart"/>
            <w:vAlign w:val="center"/>
          </w:tcPr>
          <w:p>
            <w:pPr>
              <w:pStyle w:val="63"/>
            </w:pPr>
            <w:r>
              <w:rPr>
                <w:rFonts w:hint="eastAsia"/>
              </w:rPr>
              <w:t>污水处理厂油水分</w:t>
            </w:r>
          </w:p>
          <w:p>
            <w:pPr>
              <w:pStyle w:val="63"/>
            </w:pPr>
            <w:r>
              <w:rPr>
                <w:rFonts w:hint="eastAsia"/>
              </w:rPr>
              <w:t>离器</w:t>
            </w:r>
          </w:p>
        </w:tc>
        <w:tc>
          <w:tcPr>
            <w:tcW w:w="1571" w:type="dxa"/>
            <w:vAlign w:val="center"/>
          </w:tcPr>
          <w:p>
            <w:pPr>
              <w:pStyle w:val="63"/>
            </w:pPr>
            <w:r>
              <w:rPr>
                <w:rFonts w:hint="eastAsia"/>
              </w:rPr>
              <w:t>挥发性有机物</w:t>
            </w:r>
          </w:p>
        </w:tc>
        <w:tc>
          <w:tcPr>
            <w:tcW w:w="3560" w:type="dxa"/>
            <w:vMerge w:val="restart"/>
            <w:vAlign w:val="center"/>
          </w:tcPr>
          <w:p>
            <w:pPr>
              <w:pStyle w:val="63"/>
            </w:pPr>
            <w:r>
              <w:rPr>
                <w:rFonts w:hint="eastAsia"/>
              </w:rPr>
              <w:t>密闭集输与储存+油气回收或燃烧净化</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有机特征污染物b</w:t>
            </w:r>
          </w:p>
        </w:tc>
        <w:tc>
          <w:tcPr>
            <w:tcW w:w="3560" w:type="dxa"/>
            <w:vMerge w:val="continue"/>
            <w:vAlign w:val="center"/>
          </w:tcPr>
          <w:p>
            <w:pPr>
              <w:pStyle w:val="63"/>
            </w:pP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restart"/>
            <w:vAlign w:val="center"/>
          </w:tcPr>
          <w:p>
            <w:pPr>
              <w:pStyle w:val="63"/>
            </w:pPr>
            <w:r>
              <w:rPr>
                <w:rFonts w:hint="eastAsia"/>
              </w:rPr>
              <w:t>污水处理厂生化单</w:t>
            </w:r>
          </w:p>
          <w:p>
            <w:pPr>
              <w:pStyle w:val="63"/>
            </w:pPr>
            <w:r>
              <w:rPr>
                <w:rFonts w:hint="eastAsia"/>
              </w:rPr>
              <w:t>元</w:t>
            </w:r>
          </w:p>
        </w:tc>
        <w:tc>
          <w:tcPr>
            <w:tcW w:w="1571" w:type="dxa"/>
            <w:vAlign w:val="center"/>
          </w:tcPr>
          <w:p>
            <w:pPr>
              <w:pStyle w:val="63"/>
            </w:pPr>
            <w:r>
              <w:rPr>
                <w:rFonts w:hint="eastAsia"/>
              </w:rPr>
              <w:t>挥发性有机物、氨</w:t>
            </w:r>
          </w:p>
        </w:tc>
        <w:tc>
          <w:tcPr>
            <w:tcW w:w="3560" w:type="dxa"/>
            <w:vMerge w:val="restart"/>
            <w:vAlign w:val="center"/>
          </w:tcPr>
          <w:p>
            <w:pPr>
              <w:pStyle w:val="63"/>
            </w:pPr>
            <w:r>
              <w:rPr>
                <w:rFonts w:hint="eastAsia"/>
              </w:rPr>
              <w:t>生物滴滤</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有机特征污染物b</w:t>
            </w:r>
          </w:p>
        </w:tc>
        <w:tc>
          <w:tcPr>
            <w:tcW w:w="3560" w:type="dxa"/>
            <w:vMerge w:val="continue"/>
            <w:vAlign w:val="center"/>
          </w:tcPr>
          <w:p>
            <w:pPr>
              <w:pStyle w:val="63"/>
            </w:pP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rPr>
                <w:rFonts w:hint="eastAsia"/>
              </w:rPr>
              <w:t>硫化氢</w:t>
            </w:r>
          </w:p>
        </w:tc>
        <w:tc>
          <w:tcPr>
            <w:tcW w:w="3560" w:type="dxa"/>
            <w:vAlign w:val="center"/>
          </w:tcPr>
          <w:p>
            <w:pPr>
              <w:pStyle w:val="63"/>
            </w:pPr>
            <w:r>
              <w:rPr>
                <w:rFonts w:hint="eastAsia"/>
              </w:rPr>
              <w:t>生物滴滤、碱洗技术</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6061" w:type="dxa"/>
            <w:gridSpan w:val="3"/>
            <w:vAlign w:val="center"/>
          </w:tcPr>
          <w:p>
            <w:pPr>
              <w:pStyle w:val="63"/>
            </w:pPr>
            <w:r>
              <w:rPr>
                <w:rFonts w:hint="eastAsia"/>
              </w:rPr>
              <w:t>注：a碱洗技术适用于执行特别排放限值的污染源。</w:t>
            </w:r>
          </w:p>
          <w:p>
            <w:pPr>
              <w:pStyle w:val="63"/>
            </w:pPr>
            <w:r>
              <w:rPr>
                <w:rFonts w:hint="eastAsia"/>
              </w:rPr>
              <w:t>b对于石油炼制排污单位，有机特征污染物为苯、甲苯、二甲苯；对于石油化学排污单位，有机特征污染物为GB 31571中表6所列有机特征污染物。</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restart"/>
            <w:vAlign w:val="center"/>
          </w:tcPr>
          <w:p>
            <w:pPr>
              <w:pStyle w:val="63"/>
            </w:pPr>
            <w:r>
              <w:rPr>
                <w:rFonts w:hint="eastAsia"/>
              </w:rPr>
              <w:t>专用化学产品制造工业所有</w:t>
            </w:r>
          </w:p>
        </w:tc>
        <w:tc>
          <w:tcPr>
            <w:tcW w:w="930" w:type="dxa"/>
            <w:vAlign w:val="center"/>
          </w:tcPr>
          <w:p>
            <w:pPr>
              <w:pStyle w:val="63"/>
            </w:pPr>
            <w:r>
              <w:rPr>
                <w:rFonts w:hint="eastAsia"/>
              </w:rPr>
              <w:t>/</w:t>
            </w:r>
          </w:p>
        </w:tc>
        <w:tc>
          <w:tcPr>
            <w:tcW w:w="1571" w:type="dxa"/>
            <w:vAlign w:val="center"/>
          </w:tcPr>
          <w:p>
            <w:pPr>
              <w:pStyle w:val="63"/>
            </w:pPr>
            <w:r>
              <w:t>颗粒物</w:t>
            </w:r>
          </w:p>
        </w:tc>
        <w:tc>
          <w:tcPr>
            <w:tcW w:w="3560" w:type="dxa"/>
            <w:vAlign w:val="center"/>
          </w:tcPr>
          <w:p>
            <w:pPr>
              <w:pStyle w:val="63"/>
            </w:pPr>
            <w:r>
              <w:t>电除尘、袋式除尘</w:t>
            </w:r>
          </w:p>
        </w:tc>
        <w:tc>
          <w:tcPr>
            <w:tcW w:w="1677" w:type="dxa"/>
            <w:vMerge w:val="restart"/>
            <w:vAlign w:val="center"/>
          </w:tcPr>
          <w:p>
            <w:pPr>
              <w:pStyle w:val="63"/>
            </w:pPr>
            <w:r>
              <w:t>《排污许可证申请与核发技术规范专用化学产品制造工业》（HJ 1103—2020）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w:t>
            </w:r>
          </w:p>
        </w:tc>
        <w:tc>
          <w:tcPr>
            <w:tcW w:w="1571" w:type="dxa"/>
            <w:vAlign w:val="center"/>
          </w:tcPr>
          <w:p>
            <w:pPr>
              <w:pStyle w:val="63"/>
            </w:pPr>
            <w:r>
              <w:t>二氧化硫</w:t>
            </w:r>
          </w:p>
        </w:tc>
        <w:tc>
          <w:tcPr>
            <w:tcW w:w="3560" w:type="dxa"/>
            <w:vAlign w:val="center"/>
          </w:tcPr>
          <w:p>
            <w:pPr>
              <w:pStyle w:val="63"/>
            </w:pPr>
            <w:r>
              <w:t>湿法脱硫（石灰石/石灰-石膏法、氨法）、半干法脱硫、干法脱硫、氧化镁法</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w:t>
            </w:r>
          </w:p>
        </w:tc>
        <w:tc>
          <w:tcPr>
            <w:tcW w:w="1571" w:type="dxa"/>
            <w:vAlign w:val="center"/>
          </w:tcPr>
          <w:p>
            <w:pPr>
              <w:pStyle w:val="63"/>
            </w:pPr>
            <w:r>
              <w:t>氮氧化物</w:t>
            </w:r>
          </w:p>
        </w:tc>
        <w:tc>
          <w:tcPr>
            <w:tcW w:w="3560" w:type="dxa"/>
            <w:vAlign w:val="center"/>
          </w:tcPr>
          <w:p>
            <w:pPr>
              <w:pStyle w:val="63"/>
            </w:pPr>
            <w:r>
              <w:t>选择性催化还原法（SCR）、选择性非催化还原法SNCR）、低氮燃烧法</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w:t>
            </w:r>
          </w:p>
        </w:tc>
        <w:tc>
          <w:tcPr>
            <w:tcW w:w="1571" w:type="dxa"/>
            <w:vAlign w:val="center"/>
          </w:tcPr>
          <w:p>
            <w:pPr>
              <w:pStyle w:val="63"/>
            </w:pPr>
            <w:r>
              <w:t>挥发性有机物</w:t>
            </w:r>
          </w:p>
        </w:tc>
        <w:tc>
          <w:tcPr>
            <w:tcW w:w="3560" w:type="dxa"/>
            <w:vAlign w:val="center"/>
          </w:tcPr>
          <w:p>
            <w:pPr>
              <w:pStyle w:val="63"/>
            </w:pPr>
            <w:r>
              <w:t>冷凝、吸收、吸附、燃烧（直接燃烧、热力燃烧、催化燃烧）、冷凝-吸附、冷凝-吸附-燃烧、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rPr>
                <w:rFonts w:hint="eastAsia"/>
              </w:rPr>
              <w:t>/</w:t>
            </w:r>
          </w:p>
        </w:tc>
        <w:tc>
          <w:tcPr>
            <w:tcW w:w="1571" w:type="dxa"/>
            <w:vAlign w:val="center"/>
          </w:tcPr>
          <w:p>
            <w:pPr>
              <w:pStyle w:val="63"/>
            </w:pPr>
            <w:r>
              <w:t>酸雾</w:t>
            </w:r>
          </w:p>
        </w:tc>
        <w:tc>
          <w:tcPr>
            <w:tcW w:w="3560" w:type="dxa"/>
            <w:vAlign w:val="center"/>
          </w:tcPr>
          <w:p>
            <w:pPr>
              <w:pStyle w:val="63"/>
            </w:pPr>
            <w:r>
              <w:t>碱液吸收、电除雾、多级水洗-多级碱洗</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Align w:val="center"/>
          </w:tcPr>
          <w:p>
            <w:pPr>
              <w:pStyle w:val="63"/>
            </w:pPr>
            <w:r>
              <w:rPr>
                <w:rFonts w:hint="eastAsia"/>
              </w:rPr>
              <w:t>橡胶助剂</w:t>
            </w:r>
          </w:p>
        </w:tc>
        <w:tc>
          <w:tcPr>
            <w:tcW w:w="930" w:type="dxa"/>
            <w:vAlign w:val="center"/>
          </w:tcPr>
          <w:p>
            <w:pPr>
              <w:pStyle w:val="63"/>
            </w:pPr>
            <w:r>
              <w:rPr>
                <w:rFonts w:hint="eastAsia"/>
              </w:rPr>
              <w:t>/</w:t>
            </w:r>
          </w:p>
        </w:tc>
        <w:tc>
          <w:tcPr>
            <w:tcW w:w="1571" w:type="dxa"/>
            <w:vAlign w:val="center"/>
          </w:tcPr>
          <w:p>
            <w:pPr>
              <w:pStyle w:val="63"/>
            </w:pPr>
            <w:r>
              <w:t>硫化氢</w:t>
            </w:r>
          </w:p>
        </w:tc>
        <w:tc>
          <w:tcPr>
            <w:tcW w:w="3560" w:type="dxa"/>
            <w:vAlign w:val="center"/>
          </w:tcPr>
          <w:p>
            <w:pPr>
              <w:pStyle w:val="63"/>
            </w:pPr>
            <w:r>
              <w:t>克劳斯法-加氢还原法-焚烧、克劳斯法-焚烧-碱吸收、克劳斯法、克劳斯法-斯科特法</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Align w:val="center"/>
          </w:tcPr>
          <w:p>
            <w:pPr>
              <w:pStyle w:val="63"/>
            </w:pPr>
            <w:r>
              <w:rPr>
                <w:rFonts w:hint="eastAsia"/>
              </w:rPr>
              <w:t>工业用脂肪胺</w:t>
            </w:r>
          </w:p>
        </w:tc>
        <w:tc>
          <w:tcPr>
            <w:tcW w:w="930" w:type="dxa"/>
            <w:vMerge w:val="restart"/>
            <w:vAlign w:val="center"/>
          </w:tcPr>
          <w:p>
            <w:pPr>
              <w:pStyle w:val="63"/>
            </w:pPr>
            <w:r>
              <w:rPr>
                <w:rFonts w:hint="eastAsia"/>
              </w:rPr>
              <w:t>/</w:t>
            </w:r>
          </w:p>
        </w:tc>
        <w:tc>
          <w:tcPr>
            <w:tcW w:w="1571" w:type="dxa"/>
            <w:vMerge w:val="restart"/>
            <w:vAlign w:val="center"/>
          </w:tcPr>
          <w:p>
            <w:pPr>
              <w:pStyle w:val="63"/>
            </w:pPr>
            <w:r>
              <w:t>氨</w:t>
            </w:r>
          </w:p>
        </w:tc>
        <w:tc>
          <w:tcPr>
            <w:tcW w:w="3560" w:type="dxa"/>
            <w:vMerge w:val="restart"/>
            <w:vAlign w:val="center"/>
          </w:tcPr>
          <w:p>
            <w:pPr>
              <w:pStyle w:val="63"/>
            </w:pPr>
            <w:r>
              <w:t>稀酸洗涤</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Align w:val="center"/>
          </w:tcPr>
          <w:p>
            <w:pPr>
              <w:pStyle w:val="63"/>
            </w:pPr>
            <w:r>
              <w:rPr>
                <w:rFonts w:hint="eastAsia"/>
              </w:rPr>
              <w:t>阻垢/缓蚀剂</w:t>
            </w:r>
          </w:p>
        </w:tc>
        <w:tc>
          <w:tcPr>
            <w:tcW w:w="930" w:type="dxa"/>
            <w:vMerge w:val="continue"/>
            <w:vAlign w:val="center"/>
          </w:tcPr>
          <w:p>
            <w:pPr>
              <w:pStyle w:val="63"/>
            </w:pPr>
          </w:p>
        </w:tc>
        <w:tc>
          <w:tcPr>
            <w:tcW w:w="1571" w:type="dxa"/>
            <w:vMerge w:val="continue"/>
            <w:vAlign w:val="center"/>
          </w:tcPr>
          <w:p>
            <w:pPr>
              <w:pStyle w:val="63"/>
            </w:pPr>
          </w:p>
        </w:tc>
        <w:tc>
          <w:tcPr>
            <w:tcW w:w="3560" w:type="dxa"/>
            <w:vMerge w:val="continue"/>
            <w:vAlign w:val="center"/>
          </w:tcPr>
          <w:p>
            <w:pPr>
              <w:pStyle w:val="63"/>
            </w:pP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restart"/>
            <w:vAlign w:val="center"/>
          </w:tcPr>
          <w:p>
            <w:pPr>
              <w:pStyle w:val="63"/>
            </w:pPr>
            <w:r>
              <w:rPr>
                <w:rFonts w:hint="eastAsia"/>
              </w:rPr>
              <w:t>生物药品制品制造</w:t>
            </w:r>
          </w:p>
        </w:tc>
        <w:tc>
          <w:tcPr>
            <w:tcW w:w="930" w:type="dxa"/>
            <w:vMerge w:val="restart"/>
            <w:vAlign w:val="center"/>
          </w:tcPr>
          <w:p>
            <w:pPr>
              <w:pStyle w:val="63"/>
            </w:pPr>
            <w:r>
              <w:t>配料废气</w:t>
            </w:r>
          </w:p>
        </w:tc>
        <w:tc>
          <w:tcPr>
            <w:tcW w:w="1571" w:type="dxa"/>
            <w:vAlign w:val="center"/>
          </w:tcPr>
          <w:p>
            <w:pPr>
              <w:pStyle w:val="63"/>
            </w:pPr>
            <w:r>
              <w:t>NMHC、TVOC、特征污染物</w:t>
            </w:r>
          </w:p>
        </w:tc>
        <w:tc>
          <w:tcPr>
            <w:tcW w:w="3560" w:type="dxa"/>
            <w:vAlign w:val="center"/>
          </w:tcPr>
          <w:p>
            <w:pPr>
              <w:pStyle w:val="63"/>
            </w:pPr>
            <w:r>
              <w:t>吸收、吸附、催化氧化</w:t>
            </w:r>
            <w:r>
              <w:rPr>
                <w:vertAlign w:val="superscript"/>
              </w:rPr>
              <w:t>a</w:t>
            </w:r>
            <w:r>
              <w:t>、燃烧</w:t>
            </w:r>
          </w:p>
        </w:tc>
        <w:tc>
          <w:tcPr>
            <w:tcW w:w="1677" w:type="dxa"/>
            <w:vMerge w:val="restart"/>
            <w:vAlign w:val="center"/>
          </w:tcPr>
          <w:p>
            <w:pPr>
              <w:pStyle w:val="63"/>
            </w:pPr>
            <w:r>
              <w:rPr>
                <w:rFonts w:hint="eastAsia"/>
              </w:rPr>
              <w:t>《排污许可证申请与核发技术规范制药工业  生物药品制品制造》</w:t>
            </w:r>
            <w:r>
              <w:t>（HJ1062—2019）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t>颗粒物</w:t>
            </w:r>
          </w:p>
        </w:tc>
        <w:tc>
          <w:tcPr>
            <w:tcW w:w="3560" w:type="dxa"/>
            <w:vAlign w:val="center"/>
          </w:tcPr>
          <w:p>
            <w:pPr>
              <w:pStyle w:val="63"/>
            </w:pPr>
            <w:r>
              <w:t>袋式除尘、湿式除尘</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发酵废气</w:t>
            </w:r>
          </w:p>
        </w:tc>
        <w:tc>
          <w:tcPr>
            <w:tcW w:w="1571" w:type="dxa"/>
            <w:vAlign w:val="center"/>
          </w:tcPr>
          <w:p>
            <w:pPr>
              <w:pStyle w:val="63"/>
            </w:pPr>
            <w:r>
              <w:t>臭气浓度、NMHC、TVOC、特征污染物</w:t>
            </w:r>
          </w:p>
        </w:tc>
        <w:tc>
          <w:tcPr>
            <w:tcW w:w="3560" w:type="dxa"/>
            <w:vAlign w:val="center"/>
          </w:tcPr>
          <w:p>
            <w:pPr>
              <w:pStyle w:val="63"/>
            </w:pPr>
            <w:r>
              <w:t>冷凝、吸收、生物处理、催化氧化</w:t>
            </w:r>
            <w:r>
              <w:rPr>
                <w:vertAlign w:val="superscript"/>
              </w:rPr>
              <w:t>a</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提取废气</w:t>
            </w:r>
          </w:p>
        </w:tc>
        <w:tc>
          <w:tcPr>
            <w:tcW w:w="1571" w:type="dxa"/>
            <w:vAlign w:val="center"/>
          </w:tcPr>
          <w:p>
            <w:pPr>
              <w:pStyle w:val="63"/>
            </w:pPr>
            <w:r>
              <w:t>NMHC、TVOC、特征污染物</w:t>
            </w:r>
          </w:p>
        </w:tc>
        <w:tc>
          <w:tcPr>
            <w:tcW w:w="3560" w:type="dxa"/>
            <w:vAlign w:val="center"/>
          </w:tcPr>
          <w:p>
            <w:pPr>
              <w:pStyle w:val="63"/>
            </w:pPr>
            <w:r>
              <w:t>冷凝、吸收、吸附、催化氧化</w:t>
            </w:r>
            <w:r>
              <w:rPr>
                <w:vertAlign w:val="superscript"/>
              </w:rPr>
              <w:t>a</w:t>
            </w:r>
            <w:r>
              <w:t>、燃烧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纯化废气</w:t>
            </w:r>
          </w:p>
        </w:tc>
        <w:tc>
          <w:tcPr>
            <w:tcW w:w="1571" w:type="dxa"/>
            <w:vAlign w:val="center"/>
          </w:tcPr>
          <w:p>
            <w:pPr>
              <w:pStyle w:val="63"/>
            </w:pPr>
            <w:r>
              <w:t>NMHC、TVOC、特征污染物</w:t>
            </w:r>
          </w:p>
        </w:tc>
        <w:tc>
          <w:tcPr>
            <w:tcW w:w="3560" w:type="dxa"/>
            <w:vAlign w:val="center"/>
          </w:tcPr>
          <w:p>
            <w:pPr>
              <w:pStyle w:val="63"/>
            </w:pPr>
            <w:r>
              <w:t>冷凝、吸收、吸附、催化氧化</w:t>
            </w:r>
            <w:r>
              <w:rPr>
                <w:vertAlign w:val="superscript"/>
              </w:rPr>
              <w:t>a</w:t>
            </w:r>
            <w:r>
              <w:t>、燃烧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溶剂回收废气</w:t>
            </w:r>
          </w:p>
        </w:tc>
        <w:tc>
          <w:tcPr>
            <w:tcW w:w="1571" w:type="dxa"/>
            <w:vAlign w:val="center"/>
          </w:tcPr>
          <w:p>
            <w:pPr>
              <w:pStyle w:val="63"/>
            </w:pPr>
            <w:r>
              <w:t>NMHC、TVOC、特征污染物</w:t>
            </w:r>
          </w:p>
        </w:tc>
        <w:tc>
          <w:tcPr>
            <w:tcW w:w="3560" w:type="dxa"/>
            <w:vAlign w:val="center"/>
          </w:tcPr>
          <w:p>
            <w:pPr>
              <w:pStyle w:val="63"/>
            </w:pPr>
            <w:r>
              <w:t>冷凝、吸收、吸附、催化氧化</w:t>
            </w:r>
            <w:r>
              <w:rPr>
                <w:vertAlign w:val="superscript"/>
              </w:rPr>
              <w:t>a</w:t>
            </w:r>
            <w:r>
              <w:t>、燃烧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洗瓶废气</w:t>
            </w:r>
          </w:p>
        </w:tc>
        <w:tc>
          <w:tcPr>
            <w:tcW w:w="1571" w:type="dxa"/>
            <w:vAlign w:val="center"/>
          </w:tcPr>
          <w:p>
            <w:pPr>
              <w:pStyle w:val="63"/>
            </w:pPr>
            <w:r>
              <w:t>NMHC、TVOC</w:t>
            </w:r>
          </w:p>
        </w:tc>
        <w:tc>
          <w:tcPr>
            <w:tcW w:w="3560" w:type="dxa"/>
            <w:vAlign w:val="center"/>
          </w:tcPr>
          <w:p>
            <w:pPr>
              <w:pStyle w:val="63"/>
            </w:pPr>
            <w:r>
              <w:t>吸收、吸附、催化氧化</w:t>
            </w:r>
            <w:r>
              <w:rPr>
                <w:vertAlign w:val="superscript"/>
              </w:rPr>
              <w:t>a</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4" w:type="dxa"/>
            <w:vMerge w:val="continue"/>
            <w:vAlign w:val="center"/>
          </w:tcPr>
          <w:p>
            <w:pPr>
              <w:pStyle w:val="63"/>
            </w:pPr>
          </w:p>
        </w:tc>
        <w:tc>
          <w:tcPr>
            <w:tcW w:w="930" w:type="dxa"/>
            <w:vMerge w:val="restart"/>
            <w:vAlign w:val="center"/>
          </w:tcPr>
          <w:p>
            <w:pPr>
              <w:pStyle w:val="63"/>
            </w:pPr>
            <w:r>
              <w:t>干燥废气</w:t>
            </w:r>
          </w:p>
        </w:tc>
        <w:tc>
          <w:tcPr>
            <w:tcW w:w="1571" w:type="dxa"/>
            <w:vAlign w:val="center"/>
          </w:tcPr>
          <w:p>
            <w:pPr>
              <w:pStyle w:val="63"/>
            </w:pPr>
            <w:r>
              <w:t>NMHC、TVOC、特征污染物</w:t>
            </w:r>
          </w:p>
        </w:tc>
        <w:tc>
          <w:tcPr>
            <w:tcW w:w="3560" w:type="dxa"/>
            <w:vAlign w:val="center"/>
          </w:tcPr>
          <w:p>
            <w:pPr>
              <w:pStyle w:val="63"/>
            </w:pPr>
            <w:r>
              <w:t>冷凝、吸收、吸附、催化氧化</w:t>
            </w:r>
            <w:r>
              <w:rPr>
                <w:vertAlign w:val="superscript"/>
              </w:rPr>
              <w:t>a</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t>颗粒物</w:t>
            </w:r>
          </w:p>
        </w:tc>
        <w:tc>
          <w:tcPr>
            <w:tcW w:w="3560" w:type="dxa"/>
            <w:vAlign w:val="center"/>
          </w:tcPr>
          <w:p>
            <w:pPr>
              <w:pStyle w:val="63"/>
            </w:pPr>
            <w:r>
              <w:t>袋式除尘、湿式除尘</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restart"/>
            <w:vAlign w:val="center"/>
          </w:tcPr>
          <w:p>
            <w:pPr>
              <w:pStyle w:val="63"/>
            </w:pPr>
            <w:r>
              <w:t>固体制品废气</w:t>
            </w:r>
          </w:p>
        </w:tc>
        <w:tc>
          <w:tcPr>
            <w:tcW w:w="1571" w:type="dxa"/>
            <w:vAlign w:val="center"/>
          </w:tcPr>
          <w:p>
            <w:pPr>
              <w:pStyle w:val="63"/>
            </w:pPr>
            <w:r>
              <w:t>NMHC、TVOC</w:t>
            </w:r>
          </w:p>
        </w:tc>
        <w:tc>
          <w:tcPr>
            <w:tcW w:w="3560" w:type="dxa"/>
            <w:vAlign w:val="center"/>
          </w:tcPr>
          <w:p>
            <w:pPr>
              <w:pStyle w:val="63"/>
            </w:pPr>
            <w:r>
              <w:t>吸收、吸附、催化氧化a、燃烧</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Merge w:val="continue"/>
            <w:vAlign w:val="center"/>
          </w:tcPr>
          <w:p>
            <w:pPr>
              <w:pStyle w:val="63"/>
            </w:pPr>
          </w:p>
        </w:tc>
        <w:tc>
          <w:tcPr>
            <w:tcW w:w="1571" w:type="dxa"/>
            <w:vAlign w:val="center"/>
          </w:tcPr>
          <w:p>
            <w:pPr>
              <w:pStyle w:val="63"/>
            </w:pPr>
            <w:r>
              <w:t>颗粒物</w:t>
            </w:r>
          </w:p>
        </w:tc>
        <w:tc>
          <w:tcPr>
            <w:tcW w:w="3560" w:type="dxa"/>
            <w:vAlign w:val="center"/>
          </w:tcPr>
          <w:p>
            <w:pPr>
              <w:pStyle w:val="63"/>
            </w:pPr>
            <w:r>
              <w:t>袋式除尘、湿式除尘</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质检废气</w:t>
            </w:r>
          </w:p>
        </w:tc>
        <w:tc>
          <w:tcPr>
            <w:tcW w:w="1571" w:type="dxa"/>
            <w:vAlign w:val="center"/>
          </w:tcPr>
          <w:p>
            <w:pPr>
              <w:pStyle w:val="63"/>
            </w:pPr>
            <w:r>
              <w:t>NMHC、TVOC、特征污染物</w:t>
            </w:r>
          </w:p>
        </w:tc>
        <w:tc>
          <w:tcPr>
            <w:tcW w:w="3560" w:type="dxa"/>
            <w:vAlign w:val="center"/>
          </w:tcPr>
          <w:p>
            <w:pPr>
              <w:pStyle w:val="63"/>
            </w:pPr>
            <w:r>
              <w:t>吸附、吸收</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储罐呼吸气</w:t>
            </w:r>
          </w:p>
        </w:tc>
        <w:tc>
          <w:tcPr>
            <w:tcW w:w="1571" w:type="dxa"/>
            <w:vAlign w:val="center"/>
          </w:tcPr>
          <w:p>
            <w:pPr>
              <w:pStyle w:val="63"/>
            </w:pPr>
            <w:r>
              <w:t>NMHC、TVOC、特征污染物</w:t>
            </w:r>
          </w:p>
        </w:tc>
        <w:tc>
          <w:tcPr>
            <w:tcW w:w="3560" w:type="dxa"/>
            <w:vAlign w:val="center"/>
          </w:tcPr>
          <w:p>
            <w:pPr>
              <w:pStyle w:val="63"/>
            </w:pPr>
            <w:r>
              <w:t>吸附、生物处理</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废水处理站废气</w:t>
            </w:r>
          </w:p>
        </w:tc>
        <w:tc>
          <w:tcPr>
            <w:tcW w:w="1571" w:type="dxa"/>
            <w:vAlign w:val="center"/>
          </w:tcPr>
          <w:p>
            <w:pPr>
              <w:pStyle w:val="63"/>
            </w:pPr>
            <w:r>
              <w:t>NMHC、TVOC、臭气浓度、硫化氢、氨</w:t>
            </w:r>
          </w:p>
        </w:tc>
        <w:tc>
          <w:tcPr>
            <w:tcW w:w="3560" w:type="dxa"/>
            <w:vAlign w:val="center"/>
          </w:tcPr>
          <w:p>
            <w:pPr>
              <w:pStyle w:val="63"/>
            </w:pPr>
            <w:r>
              <w:t>吸收、吸附、生物处理</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固体废物暂存废气</w:t>
            </w:r>
          </w:p>
        </w:tc>
        <w:tc>
          <w:tcPr>
            <w:tcW w:w="1571" w:type="dxa"/>
            <w:vAlign w:val="center"/>
          </w:tcPr>
          <w:p>
            <w:pPr>
              <w:pStyle w:val="63"/>
            </w:pPr>
            <w:r>
              <w:t>臭气浓度、特征污染物</w:t>
            </w:r>
          </w:p>
        </w:tc>
        <w:tc>
          <w:tcPr>
            <w:tcW w:w="3560" w:type="dxa"/>
            <w:vAlign w:val="center"/>
          </w:tcPr>
          <w:p>
            <w:pPr>
              <w:pStyle w:val="63"/>
            </w:pPr>
            <w:r>
              <w:t>吸收、吸附</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研发废气</w:t>
            </w:r>
          </w:p>
        </w:tc>
        <w:tc>
          <w:tcPr>
            <w:tcW w:w="1571" w:type="dxa"/>
            <w:vAlign w:val="center"/>
          </w:tcPr>
          <w:p>
            <w:pPr>
              <w:pStyle w:val="63"/>
            </w:pPr>
            <w:r>
              <w:t>NMHC、TVOC、特征污染物</w:t>
            </w:r>
          </w:p>
        </w:tc>
        <w:tc>
          <w:tcPr>
            <w:tcW w:w="3560" w:type="dxa"/>
            <w:vAlign w:val="center"/>
          </w:tcPr>
          <w:p>
            <w:pPr>
              <w:pStyle w:val="63"/>
            </w:pPr>
            <w:r>
              <w:t>吸附、吸收</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930" w:type="dxa"/>
            <w:vAlign w:val="center"/>
          </w:tcPr>
          <w:p>
            <w:pPr>
              <w:pStyle w:val="63"/>
            </w:pPr>
            <w:r>
              <w:t>循环风排气</w:t>
            </w:r>
          </w:p>
        </w:tc>
        <w:tc>
          <w:tcPr>
            <w:tcW w:w="1571" w:type="dxa"/>
            <w:vAlign w:val="center"/>
          </w:tcPr>
          <w:p>
            <w:pPr>
              <w:pStyle w:val="63"/>
            </w:pPr>
            <w:r>
              <w:t>NMHC、TVOC</w:t>
            </w:r>
          </w:p>
        </w:tc>
        <w:tc>
          <w:tcPr>
            <w:tcW w:w="3560" w:type="dxa"/>
            <w:vAlign w:val="center"/>
          </w:tcPr>
          <w:p>
            <w:pPr>
              <w:pStyle w:val="63"/>
            </w:pPr>
            <w:r>
              <w:t>吸附、吸收</w:t>
            </w:r>
          </w:p>
        </w:tc>
        <w:tc>
          <w:tcPr>
            <w:tcW w:w="167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vAlign w:val="center"/>
          </w:tcPr>
          <w:p>
            <w:pPr>
              <w:pStyle w:val="63"/>
            </w:pPr>
          </w:p>
        </w:tc>
        <w:tc>
          <w:tcPr>
            <w:tcW w:w="6061" w:type="dxa"/>
            <w:gridSpan w:val="3"/>
            <w:vAlign w:val="center"/>
          </w:tcPr>
          <w:p>
            <w:pPr>
              <w:pStyle w:val="63"/>
            </w:pPr>
            <w:r>
              <w:t>a用于治理VOCs的催化氧化技术不包含基于臭氧发生原理的UV光催化氧化技术。</w:t>
            </w:r>
          </w:p>
        </w:tc>
        <w:tc>
          <w:tcPr>
            <w:tcW w:w="1677" w:type="dxa"/>
            <w:vMerge w:val="continue"/>
            <w:vAlign w:val="center"/>
          </w:tcPr>
          <w:p>
            <w:pPr>
              <w:pStyle w:val="63"/>
            </w:pPr>
          </w:p>
        </w:tc>
      </w:tr>
    </w:tbl>
    <w:p>
      <w:pPr>
        <w:pStyle w:val="3"/>
      </w:pPr>
      <w:bookmarkStart w:id="775" w:name="_Toc146092042"/>
      <w:r>
        <w:rPr>
          <w:rFonts w:hint="eastAsia"/>
        </w:rPr>
        <w:t>8.4水环境污染减缓措施</w:t>
      </w:r>
      <w:bookmarkEnd w:id="775"/>
    </w:p>
    <w:p>
      <w:pPr>
        <w:pStyle w:val="4"/>
      </w:pPr>
      <w:bookmarkStart w:id="776" w:name="_Toc146092043"/>
      <w:r>
        <w:rPr>
          <w:rFonts w:hint="eastAsia"/>
        </w:rPr>
        <w:t>8.4.1 施工期废水处理措施</w:t>
      </w:r>
      <w:bookmarkEnd w:id="776"/>
    </w:p>
    <w:p>
      <w:pPr>
        <w:spacing w:line="360" w:lineRule="auto"/>
        <w:ind w:firstLine="480" w:firstLineChars="200"/>
        <w:rPr>
          <w:rFonts w:ascii="Times New Roman" w:hAnsi="Times New Roman" w:cs="Times New Roman"/>
        </w:rPr>
      </w:pPr>
      <w:r>
        <w:rPr>
          <w:rFonts w:hint="eastAsia" w:ascii="Times New Roman" w:hAnsi="Times New Roman" w:cs="Times New Roman"/>
        </w:rPr>
        <w:t>1）严格控制施工范围，缩短施工周期，尽可能短时间内完成开挖、排管、回填工作，要求施工分段进行，同时做好施工期的临时水土保持措施，降低暴雨冲刷进入河流中；</w:t>
      </w:r>
    </w:p>
    <w:p>
      <w:pPr>
        <w:spacing w:line="360" w:lineRule="auto"/>
        <w:ind w:firstLine="480" w:firstLineChars="200"/>
        <w:rPr>
          <w:rFonts w:ascii="Times New Roman" w:hAnsi="Times New Roman" w:cs="Times New Roman"/>
        </w:rPr>
      </w:pPr>
      <w:r>
        <w:rPr>
          <w:rFonts w:hint="eastAsia" w:ascii="Times New Roman" w:hAnsi="Times New Roman" w:cs="Times New Roman"/>
        </w:rPr>
        <w:t>2）专门制定弃土处置计划，不得倾倒至河流、沟壑中，应送至指定的处置点，禁止随意丢弃。</w:t>
      </w:r>
    </w:p>
    <w:p>
      <w:pPr>
        <w:spacing w:line="360" w:lineRule="auto"/>
        <w:ind w:firstLine="480" w:firstLineChars="200"/>
        <w:rPr>
          <w:rFonts w:ascii="Times New Roman" w:hAnsi="Times New Roman" w:cs="Times New Roman"/>
        </w:rPr>
      </w:pPr>
      <w:r>
        <w:rPr>
          <w:rFonts w:hint="eastAsia" w:ascii="Times New Roman" w:hAnsi="Times New Roman" w:cs="Times New Roman"/>
        </w:rPr>
        <w:t>3）施工时混凝土搅拌废水较多，主要污染指标是悬浮物和pH值。各施工单位均应采用因地制宜建沉淀池进行沉淀处理的方法。直接影响沉淀效果的两大因素是：足够的沉淀池沉积和及时清挖。只有满足这两点，才能保证废水在沉淀池内有足够的停留时间，使悬浮物尽可能地沉淀下去。一般来说，经过两级沉淀池的沉淀处理后，悬浮物基本去除，排水可用于场地洒水，效果良好。</w:t>
      </w:r>
    </w:p>
    <w:p>
      <w:pPr>
        <w:spacing w:line="360" w:lineRule="auto"/>
        <w:ind w:firstLine="480" w:firstLineChars="200"/>
        <w:rPr>
          <w:rFonts w:ascii="Times New Roman" w:hAnsi="Times New Roman" w:cs="Times New Roman"/>
        </w:rPr>
      </w:pPr>
      <w:r>
        <w:rPr>
          <w:rFonts w:hint="eastAsia" w:ascii="Times New Roman" w:hAnsi="Times New Roman" w:cs="Times New Roman"/>
        </w:rPr>
        <w:t>4）洗车废水</w:t>
      </w:r>
    </w:p>
    <w:p>
      <w:pPr>
        <w:spacing w:line="360" w:lineRule="auto"/>
        <w:ind w:firstLine="480" w:firstLineChars="200"/>
        <w:rPr>
          <w:rFonts w:ascii="Times New Roman" w:hAnsi="Times New Roman" w:cs="Times New Roman"/>
        </w:rPr>
      </w:pPr>
      <w:r>
        <w:rPr>
          <w:rFonts w:hint="eastAsia" w:ascii="Times New Roman" w:hAnsi="Times New Roman" w:cs="Times New Roman"/>
        </w:rPr>
        <w:t>洗车废水的主要污染指标是悬浮物和少量石油类。对这部分废水，施工单位采用沉淀池沉淀处理；沉淀后的废水则用于场地洒水，效果显著。</w:t>
      </w:r>
    </w:p>
    <w:p>
      <w:pPr>
        <w:pStyle w:val="4"/>
      </w:pPr>
      <w:bookmarkStart w:id="777" w:name="_Toc146092044"/>
      <w:r>
        <w:rPr>
          <w:rFonts w:hint="eastAsia"/>
        </w:rPr>
        <w:t>8.4.2 提高入园项目生态环境准入要求</w:t>
      </w:r>
      <w:bookmarkEnd w:id="777"/>
    </w:p>
    <w:p>
      <w:pPr>
        <w:spacing w:line="360" w:lineRule="auto"/>
        <w:ind w:firstLine="480" w:firstLineChars="200"/>
        <w:rPr>
          <w:rFonts w:ascii="Times New Roman" w:hAnsi="Times New Roman" w:cs="Times New Roman"/>
        </w:rPr>
      </w:pPr>
      <w:r>
        <w:rPr>
          <w:rFonts w:hint="eastAsia" w:ascii="Times New Roman" w:hAnsi="Times New Roman" w:cs="Times New Roman"/>
        </w:rPr>
        <w:t>（1）严格落实水环境准入要求</w:t>
      </w:r>
    </w:p>
    <w:p>
      <w:pPr>
        <w:spacing w:line="360" w:lineRule="auto"/>
        <w:ind w:firstLine="480" w:firstLineChars="200"/>
        <w:rPr>
          <w:rFonts w:ascii="Times New Roman" w:hAnsi="Times New Roman" w:cs="Times New Roman"/>
        </w:rPr>
      </w:pPr>
      <w:r>
        <w:rPr>
          <w:rFonts w:hint="eastAsia" w:ascii="Times New Roman" w:hAnsi="Times New Roman" w:cs="Times New Roman"/>
        </w:rPr>
        <w:t>①严格执行规划环评提出“三线一单”要求，规划项目根据需要建设污水预处理设施建设、自动在线监测装置安装等，在达到国家或地方规定的排放标准后计入集中式污水处理设施处理。</w:t>
      </w:r>
    </w:p>
    <w:p>
      <w:pPr>
        <w:spacing w:line="360" w:lineRule="auto"/>
        <w:ind w:firstLine="480" w:firstLineChars="200"/>
        <w:rPr>
          <w:rFonts w:ascii="Times New Roman" w:hAnsi="Times New Roman" w:cs="Times New Roman"/>
        </w:rPr>
      </w:pPr>
      <w:r>
        <w:rPr>
          <w:rFonts w:hint="eastAsia" w:ascii="Times New Roman" w:hAnsi="Times New Roman" w:cs="Times New Roman"/>
        </w:rPr>
        <w:t>②实施最严格水资源管理，健全取用水总量控制指标体系。实施水资源消耗总量和强度双控，严格控制高耗水行业发展，推进企业节水改造，降低单位产品用水量。</w:t>
      </w:r>
    </w:p>
    <w:p>
      <w:pPr>
        <w:spacing w:line="360" w:lineRule="auto"/>
        <w:ind w:firstLine="480" w:firstLineChars="200"/>
        <w:rPr>
          <w:rFonts w:ascii="Times New Roman" w:hAnsi="Times New Roman" w:cs="Times New Roman"/>
        </w:rPr>
      </w:pPr>
      <w:r>
        <w:rPr>
          <w:rFonts w:hint="eastAsia" w:ascii="Times New Roman" w:hAnsi="Times New Roman" w:cs="Times New Roman"/>
        </w:rPr>
        <w:t>（2）加强工业水循环利用</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应结合重点行业、重点项目或关键工艺制定节水治污技术示范推广方案，开发区及企业生产和生态用水应优先使用中水，加强生产企业废水循环利用，规划及现有产业中高耗水企业应积极采取措施实现废水深度处理回用。</w:t>
      </w:r>
    </w:p>
    <w:p>
      <w:pPr>
        <w:spacing w:line="360" w:lineRule="auto"/>
        <w:ind w:firstLine="480" w:firstLineChars="200"/>
        <w:rPr>
          <w:rFonts w:ascii="Times New Roman" w:hAnsi="Times New Roman" w:cs="Times New Roman"/>
        </w:rPr>
      </w:pPr>
      <w:r>
        <w:rPr>
          <w:rFonts w:hint="eastAsia" w:ascii="Times New Roman" w:hAnsi="Times New Roman" w:cs="Times New Roman"/>
        </w:rPr>
        <w:t>（3）加大企业节水力度</w:t>
      </w:r>
    </w:p>
    <w:p>
      <w:pPr>
        <w:spacing w:line="360" w:lineRule="auto"/>
        <w:ind w:firstLine="480" w:firstLineChars="200"/>
        <w:rPr>
          <w:rFonts w:ascii="Times New Roman" w:hAnsi="Times New Roman" w:cs="Times New Roman"/>
        </w:rPr>
      </w:pPr>
      <w:r>
        <w:rPr>
          <w:rFonts w:hint="eastAsia" w:ascii="Times New Roman" w:hAnsi="Times New Roman" w:cs="Times New Roman"/>
        </w:rPr>
        <w:t>①为合理利用有限的水资源，必须采用先进的技术、设备及科学的用水管理体系，全面提升水的重复利用率，最大限度利用水资源。推荐采用以下节水措施：工艺、热工系统节水；空气冷却技术节水；实现分质供水、冷却水及冲洗水循环使用；冷凝液回收利用；污水深度处理工程。</w:t>
      </w:r>
    </w:p>
    <w:p>
      <w:pPr>
        <w:spacing w:line="360" w:lineRule="auto"/>
        <w:ind w:firstLine="480" w:firstLineChars="200"/>
        <w:rPr>
          <w:rFonts w:ascii="Times New Roman" w:hAnsi="Times New Roman" w:cs="Times New Roman"/>
        </w:rPr>
      </w:pPr>
      <w:r>
        <w:rPr>
          <w:rFonts w:hint="eastAsia" w:ascii="Times New Roman" w:hAnsi="Times New Roman" w:cs="Times New Roman"/>
        </w:rPr>
        <w:t>②园区管委会应建立重点用水企业名录，控制用水总量。新建、改建、扩建项目用水要达到行业先进水平，节水设施应与主体工程同时设计、同时施工、同时投运。</w:t>
      </w:r>
    </w:p>
    <w:p>
      <w:pPr>
        <w:pStyle w:val="4"/>
      </w:pPr>
      <w:bookmarkStart w:id="778" w:name="_Toc146092045"/>
      <w:r>
        <w:rPr>
          <w:rFonts w:hint="eastAsia"/>
        </w:rPr>
        <w:t>8.4.3 严格实行源头控污，强化园区污染源监管</w:t>
      </w:r>
      <w:bookmarkEnd w:id="778"/>
    </w:p>
    <w:p>
      <w:pPr>
        <w:spacing w:line="360" w:lineRule="auto"/>
        <w:ind w:firstLine="480" w:firstLineChars="200"/>
        <w:rPr>
          <w:rFonts w:ascii="Times New Roman" w:hAnsi="Times New Roman" w:cs="Times New Roman"/>
        </w:rPr>
      </w:pPr>
      <w:r>
        <w:rPr>
          <w:rFonts w:hint="eastAsia" w:ascii="Times New Roman" w:hAnsi="Times New Roman" w:cs="Times New Roman"/>
        </w:rPr>
        <w:t>①园区应加强配套管网的规划与建设，同步实现雨污分流、逐步推行“一厂一管”及与排水过程控制系统联网，确保污水收集及处理率均达到100%，禁止未经处理的污水排入园区周边天然河道。</w:t>
      </w:r>
    </w:p>
    <w:p>
      <w:pPr>
        <w:spacing w:line="360" w:lineRule="auto"/>
        <w:ind w:firstLine="480" w:firstLineChars="200"/>
        <w:rPr>
          <w:rFonts w:ascii="Times New Roman" w:hAnsi="Times New Roman" w:cs="Times New Roman"/>
        </w:rPr>
      </w:pPr>
      <w:r>
        <w:rPr>
          <w:rFonts w:hint="eastAsia" w:ascii="Times New Roman" w:hAnsi="Times New Roman" w:cs="Times New Roman"/>
        </w:rPr>
        <w:t>②入园项目应采用先进的生产工艺，从源头减少水资源消耗和污染物排放。为保证区域内污水处理厂的正常运行，应严格控制各企业废水达到相关行业标准及污水厂的进厂水质标准要求，同时必须达到污水处理厂进水水质标准要求，达不到以上条件的企业应自行强化预处理。各企业污水预处理，可针对自身污水特点，选择切实可行的治理方案，经地方环保局审查同意后方可实施。</w:t>
      </w:r>
    </w:p>
    <w:p>
      <w:pPr>
        <w:spacing w:line="360" w:lineRule="auto"/>
        <w:ind w:firstLine="480" w:firstLineChars="200"/>
        <w:rPr>
          <w:rFonts w:ascii="Times New Roman" w:hAnsi="Times New Roman" w:cs="Times New Roman"/>
        </w:rPr>
      </w:pPr>
      <w:r>
        <w:rPr>
          <w:rFonts w:hint="eastAsia" w:ascii="Times New Roman" w:hAnsi="Times New Roman" w:cs="Times New Roman"/>
        </w:rPr>
        <w:t>②各企业应按清污分流、雨污分流原则建立完善的排水系统，尽可能对厂区内的废水进行分质处理，确保各类生产废水得到有效收集处，尽可能提高处理污水的回用率。严禁将生产废水未处理直接外排污水处理厂。企业废水处理设施的关键设备应有备件，以保证处理设施正常运行。</w:t>
      </w:r>
    </w:p>
    <w:p>
      <w:pPr>
        <w:spacing w:line="360" w:lineRule="auto"/>
        <w:ind w:firstLine="480" w:firstLineChars="200"/>
        <w:rPr>
          <w:rFonts w:ascii="Times New Roman" w:hAnsi="Times New Roman" w:cs="Times New Roman"/>
        </w:rPr>
      </w:pPr>
      <w:r>
        <w:rPr>
          <w:rFonts w:hint="eastAsia" w:ascii="Times New Roman" w:hAnsi="Times New Roman" w:cs="Times New Roman"/>
        </w:rPr>
        <w:t>③推进重点涉水企业开展“一厂一策”工作，系统诊断企业供排水体系存在的问题，对企业基础设施建设和涉水设施运行情况进行排查，逐条列出问题清单并明确整改限期要求，不断完善配套管网、污水处理设施和自动化监控系统、视频管控系统建设，实现污水控制全方位、无死角。</w:t>
      </w:r>
    </w:p>
    <w:p>
      <w:pPr>
        <w:spacing w:line="360" w:lineRule="auto"/>
        <w:ind w:firstLine="480" w:firstLineChars="200"/>
        <w:rPr>
          <w:rFonts w:ascii="Times New Roman" w:hAnsi="Times New Roman" w:cs="Times New Roman"/>
        </w:rPr>
      </w:pPr>
      <w:r>
        <w:rPr>
          <w:rFonts w:hint="eastAsia" w:ascii="Times New Roman" w:hAnsi="Times New Roman" w:cs="Times New Roman"/>
        </w:rPr>
        <w:t>④开展园区涉水企业排查整治工作，严格工业污染源排放情况监管，加强治污设施建设，规范治污设施运行，有效提升治污能力，对超标和超总量的企业依法查处，一律停产整治。</w:t>
      </w:r>
    </w:p>
    <w:p>
      <w:pPr>
        <w:pStyle w:val="4"/>
      </w:pPr>
      <w:bookmarkStart w:id="779" w:name="_Toc146092046"/>
      <w:r>
        <w:rPr>
          <w:rFonts w:hint="eastAsia"/>
        </w:rPr>
        <w:t>8.4.4 加强园区水环境综合治理</w:t>
      </w:r>
      <w:bookmarkEnd w:id="779"/>
    </w:p>
    <w:p>
      <w:pPr>
        <w:spacing w:line="360" w:lineRule="auto"/>
        <w:ind w:firstLine="480" w:firstLineChars="200"/>
        <w:rPr>
          <w:rFonts w:ascii="Times New Roman" w:hAnsi="Times New Roman" w:cs="Times New Roman"/>
        </w:rPr>
      </w:pPr>
      <w:r>
        <w:rPr>
          <w:rFonts w:hint="eastAsia" w:ascii="Times New Roman" w:hAnsi="Times New Roman" w:cs="Times New Roman"/>
        </w:rPr>
        <w:t>（1）全面推进“一厂一管”模式建设企业污水排放架空管道</w:t>
      </w:r>
    </w:p>
    <w:p>
      <w:pPr>
        <w:spacing w:line="360" w:lineRule="auto"/>
        <w:ind w:firstLine="480" w:firstLineChars="200"/>
        <w:rPr>
          <w:rFonts w:ascii="Times New Roman" w:hAnsi="Times New Roman" w:cs="Times New Roman"/>
        </w:rPr>
      </w:pPr>
      <w:r>
        <w:rPr>
          <w:rFonts w:hint="eastAsia" w:ascii="Times New Roman" w:hAnsi="Times New Roman" w:cs="Times New Roman"/>
        </w:rPr>
        <w:t>①本次评价要求化工片区入驻企业应按照“一企一管、可视化”模式建设污水排放管道，同时对综合工业园内现有化工企业污水管网逐步实现“一厂一管”改造，与园区污水综合数据控制平台联网。当企业在线监测设施数据超标时，控制平台自动发送关闭超标排放企业电动阀门的指令，停止企业排水，并向生态环境分局发送超标举报短信，接到举报短信后立即对企业进行检查，并对污水排放池内的废水进行取样，确保超标废水不出厂外。</w:t>
      </w:r>
    </w:p>
    <w:p>
      <w:pPr>
        <w:spacing w:line="360" w:lineRule="auto"/>
        <w:ind w:firstLine="480" w:firstLineChars="200"/>
        <w:rPr>
          <w:rFonts w:ascii="Times New Roman" w:hAnsi="Times New Roman" w:cs="Times New Roman"/>
        </w:rPr>
      </w:pPr>
      <w:r>
        <w:rPr>
          <w:rFonts w:hint="eastAsia" w:ascii="Times New Roman" w:hAnsi="Times New Roman" w:cs="Times New Roman"/>
        </w:rPr>
        <w:t>②企业排水口和“一厂一管”的末端安装了视频监控和水质在线监测设备，对全程排水进行监管。“首尾双监控，前后两监测”的污水智能排放方式，杜绝了企业非法排污的行为，确保污水处理厂的进水水质。</w:t>
      </w:r>
    </w:p>
    <w:p>
      <w:pPr>
        <w:spacing w:line="360" w:lineRule="auto"/>
        <w:ind w:firstLine="480" w:firstLineChars="200"/>
        <w:rPr>
          <w:rFonts w:ascii="Times New Roman" w:hAnsi="Times New Roman" w:cs="Times New Roman"/>
        </w:rPr>
      </w:pPr>
      <w:r>
        <w:rPr>
          <w:rFonts w:hint="eastAsia" w:ascii="Times New Roman" w:hAnsi="Times New Roman" w:cs="Times New Roman"/>
        </w:rPr>
        <w:t>（2）废水事故排放防范措施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污水处理厂的事故来源于设备故障，检修或由于工艺参数改变而使处理效益变差，其防治措施有如下几点：</w:t>
      </w:r>
    </w:p>
    <w:p>
      <w:pPr>
        <w:spacing w:line="360" w:lineRule="auto"/>
        <w:ind w:firstLine="480" w:firstLineChars="200"/>
        <w:rPr>
          <w:rFonts w:ascii="Times New Roman" w:hAnsi="Times New Roman" w:cs="Times New Roman"/>
        </w:rPr>
      </w:pPr>
      <w:r>
        <w:rPr>
          <w:rFonts w:hint="eastAsia" w:ascii="Times New Roman" w:hAnsi="Times New Roman" w:cs="Times New Roman"/>
        </w:rPr>
        <w:t>①泵站与污水处理厂采用双电路供电，所有水泵设计考虑备用，机械设备采用性能可靠的优质产品。</w:t>
      </w:r>
    </w:p>
    <w:p>
      <w:pPr>
        <w:spacing w:line="360" w:lineRule="auto"/>
        <w:ind w:firstLine="480" w:firstLineChars="200"/>
        <w:rPr>
          <w:rFonts w:ascii="Times New Roman" w:hAnsi="Times New Roman" w:cs="Times New Roman"/>
        </w:rPr>
      </w:pPr>
      <w:r>
        <w:rPr>
          <w:rFonts w:hint="eastAsia" w:ascii="Times New Roman" w:hAnsi="Times New Roman" w:cs="Times New Roman"/>
        </w:rPr>
        <w:t>②为使在事故状态下污水处理厂各种机械、仪表等设备正常运转，必须选择质量优良、事故率低、便于维修的产品。关键设备应有备用，易于损部件也要备用，在事故出现时及时更换。</w:t>
      </w:r>
    </w:p>
    <w:p>
      <w:pPr>
        <w:spacing w:line="360" w:lineRule="auto"/>
        <w:ind w:firstLine="480" w:firstLineChars="200"/>
        <w:rPr>
          <w:rFonts w:ascii="Times New Roman" w:hAnsi="Times New Roman" w:cs="Times New Roman"/>
        </w:rPr>
      </w:pPr>
      <w:r>
        <w:rPr>
          <w:rFonts w:hint="eastAsia" w:ascii="Times New Roman" w:hAnsi="Times New Roman" w:cs="Times New Roman"/>
        </w:rPr>
        <w:t>③为使在事故状态下污水处理厂能够迅速恢复正常运行，在主要水工建筑物的容积上留有相应的缓冲能力，并配有相应的设备。</w:t>
      </w:r>
    </w:p>
    <w:p>
      <w:pPr>
        <w:spacing w:line="360" w:lineRule="auto"/>
        <w:ind w:firstLine="480" w:firstLineChars="200"/>
        <w:rPr>
          <w:rFonts w:ascii="Times New Roman" w:hAnsi="Times New Roman" w:cs="Times New Roman"/>
        </w:rPr>
      </w:pPr>
      <w:r>
        <w:rPr>
          <w:rFonts w:hint="eastAsia" w:ascii="Times New Roman" w:hAnsi="Times New Roman" w:cs="Times New Roman"/>
        </w:rPr>
        <w:t>④加强事故苗头控制，定期巡检、调节、保养、维修，及时发现可能引起事故的异常运行苗头，消除事故隐患。</w:t>
      </w:r>
    </w:p>
    <w:p>
      <w:pPr>
        <w:spacing w:line="360" w:lineRule="auto"/>
        <w:ind w:firstLine="480" w:firstLineChars="200"/>
        <w:rPr>
          <w:rFonts w:ascii="Times New Roman" w:hAnsi="Times New Roman" w:cs="Times New Roman"/>
        </w:rPr>
      </w:pPr>
      <w:r>
        <w:rPr>
          <w:rFonts w:hint="eastAsia" w:ascii="Times New Roman" w:hAnsi="Times New Roman" w:cs="Times New Roman"/>
        </w:rPr>
        <w:t>⑤严格控制处理单元的水量、水质、停留时间，负荷强度等，确保处理效果的稳定性，定期采样监测，操作人员及时调整，使设备处于最佳工况，发现不正常现象，应立即采取预防措施。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⑥加强污水处理厂人员操作技能的培训。</w:t>
      </w:r>
    </w:p>
    <w:p>
      <w:pPr>
        <w:spacing w:line="360" w:lineRule="auto"/>
        <w:ind w:firstLine="480" w:firstLineChars="200"/>
        <w:rPr>
          <w:rFonts w:ascii="Times New Roman" w:hAnsi="Times New Roman" w:cs="Times New Roman"/>
        </w:rPr>
      </w:pPr>
      <w:r>
        <w:rPr>
          <w:rFonts w:hint="eastAsia" w:ascii="Times New Roman" w:hAnsi="Times New Roman" w:cs="Times New Roman"/>
        </w:rPr>
        <w:t>⑦加强运行管理和进出水的监测，未经处理达标的污水严禁外排。</w:t>
      </w:r>
    </w:p>
    <w:p>
      <w:pPr>
        <w:spacing w:line="360" w:lineRule="auto"/>
        <w:ind w:firstLine="480" w:firstLineChars="200"/>
        <w:rPr>
          <w:rFonts w:ascii="Times New Roman" w:hAnsi="Times New Roman" w:cs="Times New Roman"/>
        </w:rPr>
      </w:pPr>
      <w:r>
        <w:rPr>
          <w:rFonts w:hint="eastAsia" w:ascii="Times New Roman" w:hAnsi="Times New Roman" w:cs="Times New Roman"/>
        </w:rPr>
        <w:t>（3）初期雨水和事故污水处理</w:t>
      </w:r>
    </w:p>
    <w:p>
      <w:pPr>
        <w:spacing w:line="360" w:lineRule="auto"/>
        <w:ind w:firstLine="480" w:firstLineChars="200"/>
        <w:rPr>
          <w:rFonts w:ascii="Times New Roman" w:hAnsi="Times New Roman" w:cs="Times New Roman"/>
        </w:rPr>
      </w:pPr>
      <w:r>
        <w:rPr>
          <w:rFonts w:hint="eastAsia" w:ascii="Times New Roman" w:hAnsi="Times New Roman" w:cs="Times New Roman"/>
        </w:rPr>
        <w:t>各化工企业自设初期雨水收集系统，设置应急切换装置，受污染的雨水收集纳入企业污水处理系统处理，各入园企业应按规范要求修建事故水池，将事故废水收集纳入污水处理系统处理，严格杜绝事故废水排入周边水体。</w:t>
      </w:r>
    </w:p>
    <w:p>
      <w:pPr>
        <w:spacing w:line="360" w:lineRule="auto"/>
        <w:ind w:firstLine="480" w:firstLineChars="200"/>
        <w:rPr>
          <w:rFonts w:ascii="Times New Roman" w:hAnsi="Times New Roman" w:cs="Times New Roman"/>
        </w:rPr>
      </w:pPr>
      <w:r>
        <w:rPr>
          <w:rFonts w:hint="eastAsia" w:ascii="Times New Roman" w:hAnsi="Times New Roman" w:cs="Times New Roman"/>
        </w:rPr>
        <w:t>（4）企业废水回用</w:t>
      </w:r>
    </w:p>
    <w:p>
      <w:pPr>
        <w:spacing w:line="360" w:lineRule="auto"/>
        <w:ind w:firstLine="480" w:firstLineChars="200"/>
        <w:rPr>
          <w:rFonts w:ascii="Times New Roman" w:hAnsi="Times New Roman" w:cs="Times New Roman"/>
        </w:rPr>
      </w:pPr>
      <w:r>
        <w:rPr>
          <w:rFonts w:hint="eastAsia" w:ascii="Times New Roman" w:hAnsi="Times New Roman" w:cs="Times New Roman"/>
        </w:rPr>
        <w:t>强化建设项目的环境管理，严格执行环境影响评价与“三同时”制度，坚持进园高技术化。对入园企业严格管理，鼓励企业采用节能节水技术，提高废水回用率，减少废水排放量。</w:t>
      </w:r>
    </w:p>
    <w:p>
      <w:pPr>
        <w:spacing w:line="360" w:lineRule="auto"/>
        <w:ind w:firstLine="480" w:firstLineChars="200"/>
        <w:rPr>
          <w:rFonts w:ascii="Times New Roman" w:hAnsi="Times New Roman" w:cs="Times New Roman"/>
        </w:rPr>
      </w:pPr>
      <w:r>
        <w:rPr>
          <w:rFonts w:hint="eastAsia" w:ascii="Times New Roman" w:hAnsi="Times New Roman" w:cs="Times New Roman"/>
        </w:rPr>
        <w:t>推行清洁生产和闭路循环，尽量做到一水多用，串联复用，推广不用水或少用水的生产工艺，最大限度地减少工业废水的排放量。同时要强化治理水污染最有效最合理的方法就是节约用水，提高水资源的利用率，如实现闭路循环，提高水的重复利用率，推行废水资源化，采用节水阀门和节水设备，加强供水管理，避免“长流水”，加强入园企业的节水管理。</w:t>
      </w:r>
    </w:p>
    <w:p>
      <w:pPr>
        <w:spacing w:line="360" w:lineRule="auto"/>
        <w:ind w:firstLine="480" w:firstLineChars="200"/>
        <w:rPr>
          <w:rFonts w:ascii="Times New Roman" w:hAnsi="Times New Roman" w:cs="Times New Roman"/>
        </w:rPr>
      </w:pPr>
      <w:r>
        <w:rPr>
          <w:rFonts w:hint="eastAsia" w:ascii="Times New Roman" w:hAnsi="Times New Roman" w:cs="Times New Roman"/>
        </w:rPr>
        <w:t>（5）水产种质资源保护措施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园区雨污管网及污水处理设施项目均在园区规划用地范围内建设，不涉及对保护区的影响，但规划污水处理项目营运时排水排入长江监利段四大家鱼水产种质资源保护区白螺矶~韩家埠江段实验区。项目排污下游4km处有螺山“四大家鱼”产卵场1处。</w:t>
      </w:r>
    </w:p>
    <w:p>
      <w:pPr>
        <w:spacing w:line="360" w:lineRule="auto"/>
        <w:ind w:firstLine="480" w:firstLineChars="200"/>
        <w:rPr>
          <w:rFonts w:ascii="Times New Roman" w:hAnsi="Times New Roman" w:cs="Times New Roman"/>
        </w:rPr>
      </w:pPr>
      <w:r>
        <w:rPr>
          <w:rFonts w:hint="eastAsia" w:ascii="Times New Roman" w:hAnsi="Times New Roman" w:cs="Times New Roman"/>
        </w:rPr>
        <w:t>规划项目营运时污水排入保护区实验区水域将对保护区实验区水质、水生态产生一定的影响，影响范围主要在排水与长江水混合区范围内：现排污管道1800 m3/h的排放流量其影响在横向13m、纵向6m的范围内；规划排放流量4040 m3/h其影响在横向30m、纵向28m的范围内，规划项目的运行将造成该范围内COD、氨氮、总氮及总磷值升高，造成该范围内浮游植物、浮游动物生物量升高，并对漂流进入该范围内的“四大家鱼”等鱼类早期资源有一定影响。而对混合区外的水质影响较小，对混合区下游螺山“四大家鱼”产卵场、江心洲粘性卵沉性卵鱼类产卵场的影响较小。</w:t>
      </w:r>
    </w:p>
    <w:p>
      <w:pPr>
        <w:spacing w:line="360" w:lineRule="auto"/>
        <w:ind w:firstLine="480" w:firstLineChars="200"/>
        <w:rPr>
          <w:rFonts w:ascii="Times New Roman" w:hAnsi="Times New Roman" w:cs="Times New Roman"/>
        </w:rPr>
      </w:pPr>
      <w:r>
        <w:rPr>
          <w:rFonts w:hint="eastAsia" w:ascii="Times New Roman" w:hAnsi="Times New Roman" w:cs="Times New Roman"/>
        </w:rPr>
        <w:t>同时园区统筹区内各污水处理厂（站）的排水，提高企业和污水处理厂的中水回用率，可优先回用于对生产工艺要求不高的生产线和物流仓储、公用设施用水及道路洒水、绿化用水等，减少废水排放量，确保扩区后总入河（长江）排水量规模不突破审批规模；同时可配套建设高效滤池+生态沟渠（人工湿地）等生物净化设施、提高COD、氨氮、总氮、总磷等水污染物处理排放标准，减缓规划项目实施对保护区的水生态影响。</w:t>
      </w:r>
    </w:p>
    <w:p>
      <w:pPr>
        <w:spacing w:line="360" w:lineRule="auto"/>
        <w:ind w:firstLine="480" w:firstLineChars="200"/>
        <w:rPr>
          <w:rFonts w:ascii="Times New Roman" w:hAnsi="Times New Roman" w:cs="Times New Roman"/>
        </w:rPr>
      </w:pPr>
      <w:r>
        <w:rPr>
          <w:rFonts w:hint="eastAsia" w:ascii="Times New Roman" w:hAnsi="Times New Roman" w:cs="Times New Roman"/>
        </w:rPr>
        <w:t>（7）其他水环境影响减缓措施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①针对管网布设等建设，管委会必须委托具有资质的单位设计，并在片区开发前期建设，保证配套管网建设完毕。</w:t>
      </w:r>
    </w:p>
    <w:p>
      <w:pPr>
        <w:spacing w:line="360" w:lineRule="auto"/>
        <w:ind w:firstLine="480" w:firstLineChars="200"/>
        <w:rPr>
          <w:rFonts w:ascii="Times New Roman" w:hAnsi="Times New Roman" w:cs="Times New Roman"/>
        </w:rPr>
      </w:pPr>
      <w:r>
        <w:rPr>
          <w:rFonts w:hint="eastAsia" w:ascii="Times New Roman" w:hAnsi="Times New Roman" w:cs="Times New Roman"/>
        </w:rPr>
        <w:t>②完善片区规划区域的雨污管网铺设，保证片区污水管网建设与片区经济建设同步。</w:t>
      </w:r>
    </w:p>
    <w:p>
      <w:pPr>
        <w:spacing w:line="360" w:lineRule="auto"/>
        <w:ind w:firstLine="480" w:firstLineChars="200"/>
        <w:rPr>
          <w:rFonts w:ascii="Times New Roman" w:hAnsi="Times New Roman" w:cs="Times New Roman"/>
        </w:rPr>
      </w:pPr>
      <w:r>
        <w:rPr>
          <w:rFonts w:hint="eastAsia" w:ascii="Times New Roman" w:hAnsi="Times New Roman" w:cs="Times New Roman"/>
        </w:rPr>
        <w:t>③推进清洁生产工艺，提高各企业水循环利用率，从源头削减废水产生量。</w:t>
      </w:r>
    </w:p>
    <w:p>
      <w:pPr>
        <w:spacing w:line="360" w:lineRule="auto"/>
        <w:ind w:firstLine="480" w:firstLineChars="200"/>
        <w:rPr>
          <w:rFonts w:ascii="Times New Roman" w:hAnsi="Times New Roman" w:cs="Times New Roman"/>
        </w:rPr>
      </w:pPr>
      <w:r>
        <w:rPr>
          <w:rFonts w:hint="eastAsia" w:ascii="Times New Roman" w:hAnsi="Times New Roman" w:cs="Times New Roman"/>
        </w:rPr>
        <w:t>④加快扩建区域污水管网建设，排水设施应与企业工程设置同步建设，企业废水经预处理后应达到相关行业标准及污水厂的进厂水质标准要求。</w:t>
      </w:r>
    </w:p>
    <w:p>
      <w:pPr>
        <w:spacing w:line="360" w:lineRule="auto"/>
        <w:ind w:firstLine="480" w:firstLineChars="200"/>
        <w:rPr>
          <w:rFonts w:ascii="Times New Roman" w:hAnsi="Times New Roman" w:cs="Times New Roman"/>
        </w:rPr>
      </w:pPr>
      <w:r>
        <w:rPr>
          <w:rFonts w:hint="eastAsia" w:ascii="Times New Roman" w:hAnsi="Times New Roman" w:cs="Times New Roman"/>
        </w:rPr>
        <w:t>⑤加强对工业企业排放污水监测，对于石油类含量等指标须严格控制。</w:t>
      </w:r>
    </w:p>
    <w:p>
      <w:pPr>
        <w:spacing w:line="360" w:lineRule="auto"/>
        <w:ind w:firstLine="480" w:firstLineChars="200"/>
        <w:rPr>
          <w:rFonts w:ascii="Times New Roman" w:hAnsi="Times New Roman" w:cs="Times New Roman"/>
        </w:rPr>
      </w:pPr>
      <w:r>
        <w:rPr>
          <w:rFonts w:hint="eastAsia" w:ascii="Times New Roman" w:hAnsi="Times New Roman" w:cs="Times New Roman"/>
        </w:rPr>
        <w:t>⑥重视企业安全生产工作，杜绝事故风险的发生，并做好应急处理预案，将可能发生的环境风险降至最低。</w:t>
      </w:r>
    </w:p>
    <w:p>
      <w:pPr>
        <w:spacing w:line="360" w:lineRule="auto"/>
        <w:ind w:firstLine="480" w:firstLineChars="200"/>
        <w:rPr>
          <w:rFonts w:ascii="Times New Roman" w:hAnsi="Times New Roman" w:cs="Times New Roman"/>
        </w:rPr>
      </w:pPr>
      <w:r>
        <w:rPr>
          <w:rFonts w:hint="eastAsia" w:ascii="Times New Roman" w:hAnsi="Times New Roman" w:cs="Times New Roman"/>
        </w:rPr>
        <w:t>（7）废水事故排放防范措施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①为使在事故状态下企业污水处理站能够迅速恢复正常运行，在主要水工建筑物的容积上留有相应的缓冲能力，并配有相应的设备。</w:t>
      </w:r>
    </w:p>
    <w:p>
      <w:pPr>
        <w:spacing w:line="360" w:lineRule="auto"/>
        <w:ind w:firstLine="480" w:firstLineChars="200"/>
        <w:rPr>
          <w:rFonts w:ascii="Times New Roman" w:hAnsi="Times New Roman" w:cs="Times New Roman"/>
        </w:rPr>
      </w:pPr>
      <w:r>
        <w:rPr>
          <w:rFonts w:hint="eastAsia" w:ascii="Times New Roman" w:hAnsi="Times New Roman" w:cs="Times New Roman"/>
        </w:rPr>
        <w:t>②加强事故苗头控制，定期巡检、调节、保养、维修，及时发现可能引起事故的异常运行苗头，消除事故隐患。</w:t>
      </w:r>
    </w:p>
    <w:p>
      <w:pPr>
        <w:spacing w:line="360" w:lineRule="auto"/>
        <w:ind w:firstLine="480" w:firstLineChars="200"/>
        <w:rPr>
          <w:rFonts w:ascii="Times New Roman" w:hAnsi="Times New Roman" w:cs="Times New Roman"/>
        </w:rPr>
      </w:pPr>
      <w:r>
        <w:rPr>
          <w:rFonts w:hint="eastAsia" w:ascii="Times New Roman" w:hAnsi="Times New Roman" w:cs="Times New Roman"/>
        </w:rPr>
        <w:t>③严格控制处理单元的水量、水质、停留时间，负荷强度等，确保处理效果的稳定性，定期采样监测，操作人员及时调整，使设备处于最佳工况，发现不正常现象，应立即采取应急措施。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④加强企业污水处理站人员操作技能的培训。</w:t>
      </w:r>
    </w:p>
    <w:p>
      <w:pPr>
        <w:spacing w:line="360" w:lineRule="auto"/>
        <w:ind w:firstLine="480" w:firstLineChars="200"/>
        <w:rPr>
          <w:rFonts w:ascii="Times New Roman" w:hAnsi="Times New Roman" w:cs="Times New Roman"/>
        </w:rPr>
      </w:pPr>
      <w:r>
        <w:rPr>
          <w:rFonts w:hint="eastAsia" w:ascii="Times New Roman" w:hAnsi="Times New Roman" w:cs="Times New Roman"/>
        </w:rPr>
        <w:t>⑤加强运行管理和进出水的监测，未经处理达标的污水严禁外排。</w:t>
      </w:r>
    </w:p>
    <w:p>
      <w:pPr>
        <w:spacing w:line="360" w:lineRule="auto"/>
        <w:ind w:firstLine="480" w:firstLineChars="200"/>
        <w:rPr>
          <w:rFonts w:ascii="Times New Roman" w:hAnsi="Times New Roman" w:cs="Times New Roman"/>
        </w:rPr>
      </w:pPr>
      <w:r>
        <w:rPr>
          <w:rFonts w:hint="eastAsia" w:ascii="Times New Roman" w:hAnsi="Times New Roman" w:cs="Times New Roman"/>
        </w:rPr>
        <w:t>⑥针对片区内的污水制定防控体系，片区内的各个企业均在厂区内设置事故池作为一级防控，片区的总事故池作为二级防控。</w:t>
      </w:r>
    </w:p>
    <w:p>
      <w:pPr>
        <w:spacing w:line="360" w:lineRule="auto"/>
        <w:ind w:firstLine="480" w:firstLineChars="200"/>
        <w:rPr>
          <w:rFonts w:ascii="Times New Roman" w:hAnsi="Times New Roman" w:cs="Times New Roman"/>
        </w:rPr>
      </w:pPr>
      <w:r>
        <w:rPr>
          <w:rFonts w:hint="eastAsia" w:ascii="Times New Roman" w:hAnsi="Times New Roman" w:cs="Times New Roman"/>
        </w:rPr>
        <w:t>⑦按要求设置事故应急池，并对其进行防渗处理。污水厂事故状态下，将污水输送至事故池，其允许停留时间在8~10h，在此期间排查事故对此进行修缮后，将事故池污水用泵均匀打回至污水厂进行处理。</w:t>
      </w:r>
    </w:p>
    <w:p>
      <w:pPr>
        <w:spacing w:line="360" w:lineRule="auto"/>
        <w:ind w:firstLine="480" w:firstLineChars="200"/>
        <w:rPr>
          <w:rFonts w:ascii="Times New Roman" w:hAnsi="Times New Roman" w:cs="Times New Roman"/>
        </w:rPr>
      </w:pPr>
      <w:r>
        <w:rPr>
          <w:rFonts w:hint="eastAsia" w:ascii="Times New Roman" w:hAnsi="Times New Roman" w:cs="Times New Roman"/>
        </w:rPr>
        <w:t>⑧当所在片区污水处理厂发生故障或者事故时，片区内的企业要停止生产，等污水处理厂事故解除后，其企业才能正常生产。</w:t>
      </w:r>
    </w:p>
    <w:p>
      <w:pPr>
        <w:spacing w:line="360" w:lineRule="auto"/>
        <w:ind w:firstLine="480" w:firstLineChars="200"/>
        <w:rPr>
          <w:rFonts w:ascii="Times New Roman" w:hAnsi="Times New Roman" w:cs="Times New Roman"/>
        </w:rPr>
      </w:pPr>
      <w:r>
        <w:rPr>
          <w:rFonts w:hint="eastAsia" w:ascii="Times New Roman" w:hAnsi="Times New Roman" w:cs="Times New Roman"/>
        </w:rPr>
        <w:t>⑨本环评建议在扩区范围内雨水排放口分别设置初期雨水收集池，并设置初期/后期雨水自动切换阀门，确保受污染雨水处理后排放。</w:t>
      </w:r>
    </w:p>
    <w:p>
      <w:pPr>
        <w:pStyle w:val="4"/>
      </w:pPr>
      <w:bookmarkStart w:id="780" w:name="_Toc146092047"/>
      <w:r>
        <w:rPr>
          <w:rFonts w:hint="eastAsia"/>
        </w:rPr>
        <w:t>8.4.5 园区规划典型行业废水治理可行技术</w:t>
      </w:r>
      <w:bookmarkEnd w:id="780"/>
    </w:p>
    <w:p>
      <w:pPr>
        <w:spacing w:line="360" w:lineRule="auto"/>
        <w:ind w:firstLine="480" w:firstLineChars="200"/>
        <w:rPr>
          <w:rFonts w:ascii="Times New Roman" w:hAnsi="Times New Roman" w:cs="Times New Roman"/>
        </w:rPr>
      </w:pPr>
      <w:r>
        <w:rPr>
          <w:rFonts w:hint="eastAsia" w:ascii="Times New Roman" w:hAnsi="Times New Roman" w:cs="Times New Roman"/>
        </w:rPr>
        <w:t>本次规划环评针对规划产业，结合相关排污许可要求，提出推荐的废水治理措施见下表，供园区及企业参考。</w:t>
      </w:r>
    </w:p>
    <w:p>
      <w:pPr>
        <w:pStyle w:val="6"/>
      </w:pPr>
      <w:r>
        <w:rPr>
          <w:rFonts w:hint="eastAsia"/>
        </w:rPr>
        <w:t>表8.4-1   园区规划典型行业废水污染防治可行技术一览表</w:t>
      </w:r>
    </w:p>
    <w:tbl>
      <w:tblPr>
        <w:tblStyle w:val="10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08"/>
        <w:gridCol w:w="426"/>
        <w:gridCol w:w="1245"/>
        <w:gridCol w:w="3553"/>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Align w:val="center"/>
          </w:tcPr>
          <w:p>
            <w:pPr>
              <w:pStyle w:val="63"/>
            </w:pPr>
            <w:r>
              <w:t>行业类别</w:t>
            </w:r>
          </w:p>
        </w:tc>
        <w:tc>
          <w:tcPr>
            <w:tcW w:w="476" w:type="pct"/>
            <w:vAlign w:val="center"/>
          </w:tcPr>
          <w:p>
            <w:pPr>
              <w:pStyle w:val="63"/>
            </w:pPr>
            <w:r>
              <w:rPr>
                <w:rFonts w:hint="eastAsia"/>
              </w:rPr>
              <w:t>类别</w:t>
            </w:r>
          </w:p>
        </w:tc>
        <w:tc>
          <w:tcPr>
            <w:tcW w:w="1014" w:type="pct"/>
            <w:gridSpan w:val="2"/>
            <w:vAlign w:val="center"/>
          </w:tcPr>
          <w:p>
            <w:pPr>
              <w:pStyle w:val="63"/>
            </w:pPr>
            <w:r>
              <w:rPr>
                <w:rFonts w:hint="eastAsia"/>
              </w:rPr>
              <w:t>废水类型</w:t>
            </w:r>
          </w:p>
        </w:tc>
        <w:tc>
          <w:tcPr>
            <w:tcW w:w="2143" w:type="pct"/>
            <w:vAlign w:val="center"/>
          </w:tcPr>
          <w:p>
            <w:pPr>
              <w:pStyle w:val="63"/>
            </w:pPr>
            <w:r>
              <w:t>可行技术（污染防治设施名称及工艺）</w:t>
            </w:r>
          </w:p>
        </w:tc>
        <w:tc>
          <w:tcPr>
            <w:tcW w:w="910" w:type="pct"/>
            <w:vAlign w:val="center"/>
          </w:tcPr>
          <w:p>
            <w:pPr>
              <w:pStyle w:val="63"/>
            </w:pPr>
            <w:r>
              <w:t>文件依据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restart"/>
            <w:vAlign w:val="center"/>
          </w:tcPr>
          <w:p>
            <w:pPr>
              <w:pStyle w:val="63"/>
            </w:pPr>
            <w:r>
              <w:rPr>
                <w:rFonts w:hint="eastAsia"/>
              </w:rPr>
              <w:t>石化工业</w:t>
            </w:r>
          </w:p>
        </w:tc>
        <w:tc>
          <w:tcPr>
            <w:tcW w:w="476" w:type="pct"/>
            <w:vMerge w:val="restart"/>
            <w:vAlign w:val="center"/>
          </w:tcPr>
          <w:p>
            <w:pPr>
              <w:pStyle w:val="63"/>
            </w:pPr>
            <w:r>
              <w:rPr>
                <w:rFonts w:hint="eastAsia"/>
              </w:rPr>
              <w:t>工艺装置预处理污水</w:t>
            </w:r>
          </w:p>
        </w:tc>
        <w:tc>
          <w:tcPr>
            <w:tcW w:w="1014" w:type="pct"/>
            <w:gridSpan w:val="2"/>
            <w:vAlign w:val="center"/>
          </w:tcPr>
          <w:p>
            <w:pPr>
              <w:pStyle w:val="63"/>
            </w:pPr>
            <w:r>
              <w:rPr>
                <w:rFonts w:hint="eastAsia"/>
              </w:rPr>
              <w:t>电脱盐工艺废水</w:t>
            </w:r>
          </w:p>
        </w:tc>
        <w:tc>
          <w:tcPr>
            <w:tcW w:w="2143" w:type="pct"/>
            <w:vAlign w:val="center"/>
          </w:tcPr>
          <w:p>
            <w:pPr>
              <w:pStyle w:val="63"/>
            </w:pPr>
            <w:r>
              <w:rPr>
                <w:rFonts w:hint="eastAsia"/>
              </w:rPr>
              <w:t>破乳、除油</w:t>
            </w:r>
          </w:p>
        </w:tc>
        <w:tc>
          <w:tcPr>
            <w:tcW w:w="910" w:type="pct"/>
            <w:vMerge w:val="restart"/>
            <w:vAlign w:val="center"/>
          </w:tcPr>
          <w:p>
            <w:pPr>
              <w:pStyle w:val="63"/>
            </w:pPr>
            <w:r>
              <w:t>《排污许可证申请与核发技术规范</w:t>
            </w:r>
            <w:r>
              <w:rPr>
                <w:rFonts w:hint="eastAsia"/>
              </w:rPr>
              <w:t xml:space="preserve"> </w:t>
            </w:r>
            <w:r>
              <w:t xml:space="preserve"> </w:t>
            </w:r>
            <w:r>
              <w:rPr>
                <w:rFonts w:hint="eastAsia"/>
              </w:rPr>
              <w:t>石化工业</w:t>
            </w:r>
            <w:r>
              <w:t>》（HJ853-2017）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含硫含氨酸性水</w:t>
            </w:r>
          </w:p>
        </w:tc>
        <w:tc>
          <w:tcPr>
            <w:tcW w:w="2143" w:type="pct"/>
            <w:vAlign w:val="center"/>
          </w:tcPr>
          <w:p>
            <w:pPr>
              <w:pStyle w:val="63"/>
            </w:pPr>
            <w:r>
              <w:rPr>
                <w:rFonts w:hint="eastAsia"/>
              </w:rPr>
              <w:t>汽提</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碱渣废水</w:t>
            </w:r>
          </w:p>
        </w:tc>
        <w:tc>
          <w:tcPr>
            <w:tcW w:w="2143" w:type="pct"/>
            <w:vAlign w:val="center"/>
          </w:tcPr>
          <w:p>
            <w:pPr>
              <w:pStyle w:val="63"/>
            </w:pPr>
            <w:r>
              <w:rPr>
                <w:rFonts w:hint="eastAsia"/>
              </w:rPr>
              <w:t>生化、湿式氧化</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酸碱废水</w:t>
            </w:r>
          </w:p>
        </w:tc>
        <w:tc>
          <w:tcPr>
            <w:tcW w:w="2143" w:type="pct"/>
            <w:vAlign w:val="center"/>
          </w:tcPr>
          <w:p>
            <w:pPr>
              <w:pStyle w:val="63"/>
            </w:pPr>
            <w:r>
              <w:rPr>
                <w:rFonts w:hint="eastAsia"/>
              </w:rPr>
              <w:t>中和</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对苯二甲酸（PTA）工艺废水</w:t>
            </w:r>
          </w:p>
        </w:tc>
        <w:tc>
          <w:tcPr>
            <w:tcW w:w="2143" w:type="pct"/>
            <w:vAlign w:val="center"/>
          </w:tcPr>
          <w:p>
            <w:pPr>
              <w:pStyle w:val="63"/>
            </w:pPr>
            <w:r>
              <w:rPr>
                <w:rFonts w:hint="eastAsia"/>
              </w:rPr>
              <w:t>沉淀、厌氧</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含腈废水</w:t>
            </w:r>
          </w:p>
        </w:tc>
        <w:tc>
          <w:tcPr>
            <w:tcW w:w="2143" w:type="pct"/>
            <w:vAlign w:val="center"/>
          </w:tcPr>
          <w:p>
            <w:pPr>
              <w:pStyle w:val="63"/>
            </w:pPr>
            <w:r>
              <w:rPr>
                <w:rFonts w:hint="eastAsia"/>
              </w:rPr>
              <w:t>次氯酸钠或过氧化氢氧化</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纺丝过程含油剂废水</w:t>
            </w:r>
          </w:p>
        </w:tc>
        <w:tc>
          <w:tcPr>
            <w:tcW w:w="2143" w:type="pct"/>
            <w:vAlign w:val="center"/>
          </w:tcPr>
          <w:p>
            <w:pPr>
              <w:pStyle w:val="63"/>
            </w:pPr>
            <w:r>
              <w:rPr>
                <w:rFonts w:hint="eastAsia"/>
              </w:rPr>
              <w:t>破乳、混凝、固液分离</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甲醇制烯烃（MTO）急冷塔塔底工艺废水</w:t>
            </w:r>
          </w:p>
        </w:tc>
        <w:tc>
          <w:tcPr>
            <w:tcW w:w="2143" w:type="pct"/>
            <w:vAlign w:val="center"/>
          </w:tcPr>
          <w:p>
            <w:pPr>
              <w:pStyle w:val="63"/>
            </w:pPr>
            <w:r>
              <w:rPr>
                <w:rFonts w:hint="eastAsia"/>
              </w:rPr>
              <w:t>过滤、中和、厌氧</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苯酚丙酮工艺废水</w:t>
            </w:r>
          </w:p>
        </w:tc>
        <w:tc>
          <w:tcPr>
            <w:tcW w:w="2143" w:type="pct"/>
            <w:vAlign w:val="center"/>
          </w:tcPr>
          <w:p>
            <w:pPr>
              <w:pStyle w:val="63"/>
            </w:pPr>
            <w:r>
              <w:rPr>
                <w:rFonts w:hint="eastAsia"/>
              </w:rPr>
              <w:t>酸化、萃取</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丁二烯装置工艺废水</w:t>
            </w:r>
          </w:p>
        </w:tc>
        <w:tc>
          <w:tcPr>
            <w:tcW w:w="2143" w:type="pct"/>
            <w:vAlign w:val="center"/>
          </w:tcPr>
          <w:p>
            <w:pPr>
              <w:pStyle w:val="63"/>
            </w:pPr>
            <w:r>
              <w:rPr>
                <w:rFonts w:hint="eastAsia"/>
              </w:rPr>
              <w:t>溶剂回收</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57" w:type="pct"/>
            <w:vMerge w:val="continue"/>
            <w:vAlign w:val="center"/>
          </w:tcPr>
          <w:p>
            <w:pPr>
              <w:pStyle w:val="63"/>
            </w:pPr>
          </w:p>
        </w:tc>
        <w:tc>
          <w:tcPr>
            <w:tcW w:w="476" w:type="pct"/>
            <w:vMerge w:val="restart"/>
            <w:vAlign w:val="center"/>
          </w:tcPr>
          <w:p>
            <w:pPr>
              <w:pStyle w:val="63"/>
            </w:pPr>
            <w:r>
              <w:rPr>
                <w:rFonts w:hint="eastAsia"/>
              </w:rPr>
              <w:t>外排或回</w:t>
            </w:r>
          </w:p>
          <w:p>
            <w:pPr>
              <w:pStyle w:val="63"/>
            </w:pPr>
            <w:r>
              <w:rPr>
                <w:rFonts w:hint="eastAsia"/>
              </w:rPr>
              <w:t>用废水</w:t>
            </w:r>
          </w:p>
        </w:tc>
        <w:tc>
          <w:tcPr>
            <w:tcW w:w="223" w:type="pct"/>
            <w:vMerge w:val="restart"/>
            <w:vAlign w:val="center"/>
          </w:tcPr>
          <w:p>
            <w:pPr>
              <w:pStyle w:val="63"/>
            </w:pPr>
            <w:r>
              <w:rPr>
                <w:rFonts w:hint="eastAsia"/>
              </w:rPr>
              <w:t>工艺</w:t>
            </w:r>
          </w:p>
          <w:p>
            <w:pPr>
              <w:pStyle w:val="63"/>
            </w:pPr>
            <w:r>
              <w:rPr>
                <w:rFonts w:hint="eastAsia"/>
              </w:rPr>
              <w:t>废水</w:t>
            </w:r>
          </w:p>
        </w:tc>
        <w:tc>
          <w:tcPr>
            <w:tcW w:w="791" w:type="pct"/>
            <w:vAlign w:val="center"/>
          </w:tcPr>
          <w:p>
            <w:pPr>
              <w:pStyle w:val="63"/>
            </w:pPr>
            <w:r>
              <w:rPr>
                <w:rFonts w:hint="eastAsia"/>
              </w:rPr>
              <w:t>含碱废水</w:t>
            </w:r>
          </w:p>
        </w:tc>
        <w:tc>
          <w:tcPr>
            <w:tcW w:w="2143" w:type="pct"/>
            <w:vMerge w:val="restart"/>
            <w:vAlign w:val="center"/>
          </w:tcPr>
          <w:p>
            <w:pPr>
              <w:pStyle w:val="63"/>
            </w:pPr>
            <w:r>
              <w:rPr>
                <w:rFonts w:hint="eastAsia"/>
              </w:rPr>
              <w:t>预处理+生化处理+深度处理</w:t>
            </w:r>
          </w:p>
          <w:p>
            <w:pPr>
              <w:pStyle w:val="63"/>
            </w:pPr>
            <w:r>
              <w:rPr>
                <w:rFonts w:hint="eastAsia"/>
              </w:rPr>
              <w:t>预处理：隔油、气浮、混凝、调节等；</w:t>
            </w:r>
          </w:p>
          <w:p>
            <w:pPr>
              <w:pStyle w:val="63"/>
            </w:pPr>
            <w:r>
              <w:rPr>
                <w:rFonts w:hint="eastAsia"/>
              </w:rPr>
              <w:t>生化处理：活性污泥法、序批式活性污泥法（SBR）、厌氧/缺氧/好氧法（A</w:t>
            </w:r>
            <w:r>
              <w:rPr>
                <w:rFonts w:hint="eastAsia"/>
                <w:vertAlign w:val="subscript"/>
              </w:rPr>
              <w:t>2</w:t>
            </w:r>
            <w:r>
              <w:rPr>
                <w:rFonts w:hint="eastAsia"/>
              </w:rPr>
              <w:t>/O）、缺氧/好氧法（A/O）、氧化沟法、膜生物法（MBR）、曝气生物滤池（BAF）、生物接触氧化法、一体化微氧高浓缺氧/好氧法等；</w:t>
            </w:r>
          </w:p>
          <w:p>
            <w:pPr>
              <w:pStyle w:val="63"/>
            </w:pPr>
            <w:r>
              <w:rPr>
                <w:rFonts w:hint="eastAsia"/>
              </w:rPr>
              <w:t>深度处理：混凝、过滤、臭氧氧化、超滤（UF）、反渗透（RO）</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223" w:type="pct"/>
            <w:vMerge w:val="continue"/>
            <w:vAlign w:val="center"/>
          </w:tcPr>
          <w:p>
            <w:pPr>
              <w:pStyle w:val="63"/>
            </w:pPr>
          </w:p>
        </w:tc>
        <w:tc>
          <w:tcPr>
            <w:tcW w:w="791" w:type="pct"/>
            <w:vAlign w:val="center"/>
          </w:tcPr>
          <w:p>
            <w:pPr>
              <w:pStyle w:val="63"/>
            </w:pPr>
            <w:r>
              <w:rPr>
                <w:rFonts w:hint="eastAsia"/>
              </w:rPr>
              <w:t>含硫含氨酸性水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223" w:type="pct"/>
            <w:vMerge w:val="continue"/>
            <w:vAlign w:val="center"/>
          </w:tcPr>
          <w:p>
            <w:pPr>
              <w:pStyle w:val="63"/>
            </w:pPr>
          </w:p>
        </w:tc>
        <w:tc>
          <w:tcPr>
            <w:tcW w:w="791" w:type="pct"/>
            <w:vAlign w:val="center"/>
          </w:tcPr>
          <w:p>
            <w:pPr>
              <w:pStyle w:val="63"/>
            </w:pPr>
            <w:r>
              <w:rPr>
                <w:rFonts w:hint="eastAsia"/>
              </w:rPr>
              <w:t>含苯系物废水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223" w:type="pct"/>
            <w:vMerge w:val="continue"/>
            <w:vAlign w:val="center"/>
          </w:tcPr>
          <w:p>
            <w:pPr>
              <w:pStyle w:val="63"/>
            </w:pPr>
          </w:p>
        </w:tc>
        <w:tc>
          <w:tcPr>
            <w:tcW w:w="791" w:type="pct"/>
            <w:vAlign w:val="center"/>
          </w:tcPr>
          <w:p>
            <w:pPr>
              <w:pStyle w:val="63"/>
            </w:pPr>
            <w:r>
              <w:rPr>
                <w:rFonts w:hint="eastAsia"/>
              </w:rPr>
              <w:t>含盐废水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223" w:type="pct"/>
            <w:vMerge w:val="continue"/>
            <w:vAlign w:val="center"/>
          </w:tcPr>
          <w:p>
            <w:pPr>
              <w:pStyle w:val="63"/>
            </w:pPr>
          </w:p>
        </w:tc>
        <w:tc>
          <w:tcPr>
            <w:tcW w:w="791" w:type="pct"/>
            <w:vAlign w:val="center"/>
          </w:tcPr>
          <w:p>
            <w:pPr>
              <w:pStyle w:val="63"/>
            </w:pPr>
            <w:r>
              <w:rPr>
                <w:rFonts w:hint="eastAsia"/>
              </w:rPr>
              <w:t>含油废水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223" w:type="pct"/>
            <w:vMerge w:val="continue"/>
            <w:vAlign w:val="center"/>
          </w:tcPr>
          <w:p>
            <w:pPr>
              <w:pStyle w:val="63"/>
            </w:pPr>
          </w:p>
        </w:tc>
        <w:tc>
          <w:tcPr>
            <w:tcW w:w="791" w:type="pct"/>
            <w:vAlign w:val="center"/>
          </w:tcPr>
          <w:p>
            <w:pPr>
              <w:pStyle w:val="63"/>
            </w:pPr>
            <w:r>
              <w:rPr>
                <w:rFonts w:hint="eastAsia"/>
              </w:rPr>
              <w:t>其他工艺废水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污染雨水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生活污水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循环冷却水排污水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蒸气发生器排污水</w:t>
            </w:r>
          </w:p>
        </w:tc>
        <w:tc>
          <w:tcPr>
            <w:tcW w:w="2143" w:type="pct"/>
            <w:vMerge w:val="restart"/>
            <w:vAlign w:val="center"/>
          </w:tcPr>
          <w:p>
            <w:pPr>
              <w:pStyle w:val="63"/>
            </w:pPr>
            <w:r>
              <w:rPr>
                <w:rFonts w:hint="eastAsia"/>
              </w:rPr>
              <w:t>回用</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余热锅炉排污水</w:t>
            </w:r>
          </w:p>
        </w:tc>
        <w:tc>
          <w:tcPr>
            <w:tcW w:w="2143" w:type="pct"/>
            <w:vMerge w:val="continue"/>
            <w:vAlign w:val="center"/>
          </w:tcPr>
          <w:p>
            <w:pPr>
              <w:pStyle w:val="63"/>
            </w:pP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化学水制水排污水</w:t>
            </w:r>
          </w:p>
        </w:tc>
        <w:tc>
          <w:tcPr>
            <w:tcW w:w="2143" w:type="pct"/>
            <w:vAlign w:val="center"/>
          </w:tcPr>
          <w:p>
            <w:pPr>
              <w:pStyle w:val="63"/>
            </w:pPr>
            <w:r>
              <w:rPr>
                <w:rFonts w:hint="eastAsia"/>
              </w:rPr>
              <w:t>中和</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脱硫废水</w:t>
            </w:r>
          </w:p>
        </w:tc>
        <w:tc>
          <w:tcPr>
            <w:tcW w:w="2143" w:type="pct"/>
            <w:vAlign w:val="center"/>
          </w:tcPr>
          <w:p>
            <w:pPr>
              <w:pStyle w:val="63"/>
            </w:pPr>
            <w:r>
              <w:rPr>
                <w:rFonts w:hint="eastAsia"/>
              </w:rPr>
              <w:t>过滤（沉淀）+氧化</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restart"/>
            <w:vAlign w:val="center"/>
          </w:tcPr>
          <w:p>
            <w:pPr>
              <w:pStyle w:val="63"/>
            </w:pPr>
            <w:r>
              <w:rPr>
                <w:rFonts w:hint="eastAsia"/>
              </w:rPr>
              <w:t>专用化学产品制造工业</w:t>
            </w:r>
          </w:p>
        </w:tc>
        <w:tc>
          <w:tcPr>
            <w:tcW w:w="476" w:type="pct"/>
            <w:vMerge w:val="restart"/>
            <w:vAlign w:val="center"/>
          </w:tcPr>
          <w:p>
            <w:pPr>
              <w:pStyle w:val="63"/>
            </w:pPr>
            <w:r>
              <w:rPr>
                <w:rFonts w:hint="eastAsia"/>
              </w:rPr>
              <w:t>厂内综合污水处理站的综合污水</w:t>
            </w:r>
          </w:p>
        </w:tc>
        <w:tc>
          <w:tcPr>
            <w:tcW w:w="1014" w:type="pct"/>
            <w:gridSpan w:val="2"/>
            <w:vAlign w:val="center"/>
          </w:tcPr>
          <w:p>
            <w:pPr>
              <w:pStyle w:val="63"/>
            </w:pPr>
            <w:r>
              <w:t>生产废水涉及重金属污染物</w:t>
            </w:r>
          </w:p>
        </w:tc>
        <w:tc>
          <w:tcPr>
            <w:tcW w:w="2143" w:type="pct"/>
            <w:vAlign w:val="center"/>
          </w:tcPr>
          <w:p>
            <w:pPr>
              <w:pStyle w:val="63"/>
            </w:pPr>
            <w:r>
              <w:t>化学沉淀法、化学还原法-混凝沉淀法、多级中和-混凝沉淀</w:t>
            </w:r>
          </w:p>
        </w:tc>
        <w:tc>
          <w:tcPr>
            <w:tcW w:w="910" w:type="pct"/>
            <w:vMerge w:val="restart"/>
            <w:vAlign w:val="center"/>
          </w:tcPr>
          <w:p>
            <w:pPr>
              <w:pStyle w:val="63"/>
            </w:pPr>
            <w:r>
              <w:t>《排污许可证申请与核发技术规范专用化学产品制造工业》（HJ 1103-2020）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pStyle w:val="63"/>
            </w:pPr>
          </w:p>
        </w:tc>
        <w:tc>
          <w:tcPr>
            <w:tcW w:w="476" w:type="pct"/>
            <w:vMerge w:val="continue"/>
            <w:vAlign w:val="center"/>
          </w:tcPr>
          <w:p>
            <w:pPr>
              <w:pStyle w:val="63"/>
            </w:pPr>
          </w:p>
        </w:tc>
        <w:tc>
          <w:tcPr>
            <w:tcW w:w="1014" w:type="pct"/>
            <w:gridSpan w:val="2"/>
            <w:vAlign w:val="center"/>
          </w:tcPr>
          <w:p>
            <w:pPr>
              <w:pStyle w:val="63"/>
            </w:pPr>
            <w:r>
              <w:rPr>
                <w:rFonts w:hint="eastAsia"/>
              </w:rPr>
              <w:t>所有</w:t>
            </w:r>
          </w:p>
        </w:tc>
        <w:tc>
          <w:tcPr>
            <w:tcW w:w="2143" w:type="pct"/>
            <w:vAlign w:val="center"/>
          </w:tcPr>
          <w:p>
            <w:pPr>
              <w:pStyle w:val="63"/>
            </w:pPr>
            <w:r>
              <w:t>预处理：格栅、过滤、中和沉淀法、气浮、混凝沉淀；</w:t>
            </w:r>
          </w:p>
          <w:p>
            <w:pPr>
              <w:pStyle w:val="63"/>
            </w:pPr>
            <w:r>
              <w:t>生化处理：活性污泥法、序批式活性污泥法（SBR法）、缺氧/好样活性污泥法、生物接触氧化法、厌氧/缺氧/好氧法、膜生物反应器法（MBR法）；</w:t>
            </w:r>
          </w:p>
          <w:p>
            <w:pPr>
              <w:pStyle w:val="63"/>
            </w:pPr>
            <w:r>
              <w:t>除磷处理：化学除磷、生物除磷、化学与生物组合除磷；</w:t>
            </w:r>
          </w:p>
          <w:p>
            <w:pPr>
              <w:pStyle w:val="63"/>
            </w:pPr>
            <w:r>
              <w:t>深度及回用处理：多效蒸发、过滤、超滤、纳滤、反渗透</w:t>
            </w:r>
          </w:p>
        </w:tc>
        <w:tc>
          <w:tcPr>
            <w:tcW w:w="910" w:type="pct"/>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Align w:val="center"/>
          </w:tcPr>
          <w:p>
            <w:pPr>
              <w:pStyle w:val="63"/>
            </w:pPr>
            <w:r>
              <w:rPr>
                <w:rFonts w:hint="eastAsia"/>
              </w:rPr>
              <w:t>生物药品制品制造</w:t>
            </w:r>
          </w:p>
        </w:tc>
        <w:tc>
          <w:tcPr>
            <w:tcW w:w="476" w:type="pct"/>
            <w:vAlign w:val="center"/>
          </w:tcPr>
          <w:p>
            <w:pPr>
              <w:pStyle w:val="63"/>
            </w:pPr>
            <w:r>
              <w:rPr>
                <w:rFonts w:hint="eastAsia"/>
              </w:rPr>
              <w:t>综合废水</w:t>
            </w:r>
          </w:p>
        </w:tc>
        <w:tc>
          <w:tcPr>
            <w:tcW w:w="1014" w:type="pct"/>
            <w:gridSpan w:val="2"/>
            <w:vAlign w:val="center"/>
          </w:tcPr>
          <w:p>
            <w:pPr>
              <w:pStyle w:val="63"/>
            </w:pPr>
            <w:r>
              <w:rPr>
                <w:rFonts w:hint="eastAsia"/>
              </w:rPr>
              <w:t>生产废</w:t>
            </w:r>
          </w:p>
          <w:p>
            <w:pPr>
              <w:pStyle w:val="63"/>
            </w:pPr>
            <w:r>
              <w:rPr>
                <w:rFonts w:hint="eastAsia"/>
              </w:rPr>
              <w:t>水、生活污</w:t>
            </w:r>
          </w:p>
          <w:p>
            <w:pPr>
              <w:pStyle w:val="63"/>
            </w:pPr>
            <w:r>
              <w:rPr>
                <w:rFonts w:hint="eastAsia"/>
              </w:rPr>
              <w:t>水</w:t>
            </w:r>
          </w:p>
        </w:tc>
        <w:tc>
          <w:tcPr>
            <w:tcW w:w="2143" w:type="pct"/>
            <w:vAlign w:val="center"/>
          </w:tcPr>
          <w:p>
            <w:pPr>
              <w:pStyle w:val="63"/>
            </w:pPr>
            <w:r>
              <w:rPr>
                <w:rFonts w:hint="eastAsia"/>
              </w:rPr>
              <w:t>预处理+生化处理+深度处理；</w:t>
            </w:r>
          </w:p>
          <w:p>
            <w:pPr>
              <w:pStyle w:val="63"/>
            </w:pPr>
            <w:r>
              <w:rPr>
                <w:rFonts w:hint="eastAsia"/>
              </w:rPr>
              <w:t>预处理：灭活、混凝、沉淀、中和调节、氧化、吸附；</w:t>
            </w:r>
          </w:p>
          <w:p>
            <w:pPr>
              <w:pStyle w:val="63"/>
            </w:pPr>
            <w:r>
              <w:rPr>
                <w:rFonts w:hint="eastAsia"/>
              </w:rPr>
              <w:t>生化处理：水解酸化、厌氧生物、好氧生物、 曝气生物滤池；</w:t>
            </w:r>
          </w:p>
          <w:p>
            <w:pPr>
              <w:pStyle w:val="63"/>
            </w:pPr>
            <w:r>
              <w:rPr>
                <w:rFonts w:hint="eastAsia"/>
              </w:rPr>
              <w:t>深度处理：活性炭吸附、高级氧化、臭氧、芬顿氧化、离子交换、树脂过滤、膜分离</w:t>
            </w:r>
          </w:p>
        </w:tc>
        <w:tc>
          <w:tcPr>
            <w:tcW w:w="910" w:type="pct"/>
            <w:vAlign w:val="center"/>
          </w:tcPr>
          <w:p>
            <w:pPr>
              <w:pStyle w:val="63"/>
            </w:pPr>
            <w:r>
              <w:rPr>
                <w:rFonts w:hint="eastAsia"/>
              </w:rPr>
              <w:t>《排污许可证申请与核发技术规范制药工业  生物药品制品制造》</w:t>
            </w:r>
            <w:r>
              <w:t>（HJ1062—2019）</w:t>
            </w:r>
          </w:p>
        </w:tc>
      </w:tr>
    </w:tbl>
    <w:p>
      <w:pPr>
        <w:pStyle w:val="3"/>
      </w:pPr>
      <w:bookmarkStart w:id="781" w:name="_Toc146092048"/>
      <w:r>
        <w:rPr>
          <w:rFonts w:hint="eastAsia"/>
        </w:rPr>
        <w:t>8.5地下水污染防控措施</w:t>
      </w:r>
      <w:bookmarkEnd w:id="781"/>
    </w:p>
    <w:p>
      <w:pPr>
        <w:spacing w:line="360" w:lineRule="auto"/>
        <w:ind w:firstLine="480" w:firstLineChars="200"/>
        <w:rPr>
          <w:rFonts w:ascii="Times New Roman" w:hAnsi="Times New Roman" w:cs="Times New Roman"/>
        </w:rPr>
      </w:pPr>
      <w:r>
        <w:rPr>
          <w:rFonts w:hint="eastAsia" w:ascii="Times New Roman" w:hAnsi="Times New Roman" w:cs="Times New Roman"/>
        </w:rPr>
        <w:t>本项目属于规划项目，正常状况下园区内企业采取分区防渗措施，对地下水造成的影响很小。但是在非正常状况下存在的对地下水环境产生污染趋势，如采取合理的主动防控与被动防渗等地下水防治措施，使得地下水污染风险降到最低。本项目地下水污染防治措施按照“源头控制、分区防治、污染监控、应急响应”相结合的原则，从污染物的产生、入渗、扩散、应急响应全方位进行控制。</w:t>
      </w:r>
    </w:p>
    <w:p>
      <w:pPr>
        <w:pStyle w:val="4"/>
      </w:pPr>
      <w:bookmarkStart w:id="782" w:name="_Toc146092049"/>
      <w:r>
        <w:rPr>
          <w:rFonts w:hint="eastAsia"/>
        </w:rPr>
        <w:t>8.5.1 源头控制措施</w:t>
      </w:r>
      <w:bookmarkEnd w:id="782"/>
    </w:p>
    <w:p>
      <w:pPr>
        <w:spacing w:line="360" w:lineRule="auto"/>
        <w:ind w:firstLine="480" w:firstLineChars="200"/>
        <w:rPr>
          <w:rFonts w:ascii="Times New Roman" w:hAnsi="Times New Roman" w:cs="Times New Roman"/>
        </w:rPr>
      </w:pPr>
      <w:r>
        <w:rPr>
          <w:rFonts w:hint="eastAsia" w:ascii="Times New Roman" w:hAnsi="Times New Roman" w:cs="Times New Roman"/>
        </w:rPr>
        <w:t>园区内建设项目使用先进、成熟、可靠的工艺技术工艺，良好的管道、设备和污水储存设施采用较清洁的原辅材料，对产生的废水进行合理的治理和综合利用，尽可能从源头上减少污染物产生。严格按照国家相关规范要求，对工艺、管道、设备、污水储存及处理构筑物采取相应的措施，以防止和降低污染物的跑、冒、滴、漏，将环境风险事故降低到最低。优化排水系统设计，工艺废水、地面冲洗废水、厂区初期雨水等在厂区内收集及预处理后通过管线送污水处理中心处理。管线铺设尽量采用“可视化”原则，即管道尽可能地上铺设，做到污染物“早发现、早处理”，以减少由于埋地管道泄漏而可能造成的地下水污染。</w:t>
      </w:r>
    </w:p>
    <w:p>
      <w:pPr>
        <w:spacing w:line="360" w:lineRule="auto"/>
        <w:ind w:firstLine="480" w:firstLineChars="200"/>
        <w:rPr>
          <w:rFonts w:ascii="Times New Roman" w:hAnsi="Times New Roman" w:cs="Times New Roman"/>
        </w:rPr>
      </w:pPr>
      <w:r>
        <w:rPr>
          <w:rFonts w:hint="eastAsia" w:ascii="Times New Roman" w:hAnsi="Times New Roman" w:cs="Times New Roman"/>
        </w:rPr>
        <w:t>同时根据《地下水管理条例》相关要求，禁止下列污染或者可能污染地下水的行为：</w:t>
      </w:r>
    </w:p>
    <w:p>
      <w:pPr>
        <w:spacing w:line="360" w:lineRule="auto"/>
        <w:ind w:firstLine="480" w:firstLineChars="200"/>
        <w:rPr>
          <w:rFonts w:ascii="Times New Roman" w:hAnsi="Times New Roman" w:cs="Times New Roman"/>
        </w:rPr>
      </w:pPr>
      <w:r>
        <w:rPr>
          <w:rFonts w:hint="eastAsia" w:ascii="Times New Roman" w:hAnsi="Times New Roman" w:cs="Times New Roman"/>
        </w:rPr>
        <w:t>（一）利用渗井、渗坑、裂隙、溶洞以及私设暗管等逃避监管的方式排放水污染物；</w:t>
      </w:r>
    </w:p>
    <w:p>
      <w:pPr>
        <w:spacing w:line="360" w:lineRule="auto"/>
        <w:ind w:firstLine="480" w:firstLineChars="200"/>
        <w:rPr>
          <w:rFonts w:ascii="Times New Roman" w:hAnsi="Times New Roman" w:cs="Times New Roman"/>
        </w:rPr>
      </w:pPr>
      <w:r>
        <w:rPr>
          <w:rFonts w:hint="eastAsia" w:ascii="Times New Roman" w:hAnsi="Times New Roman" w:cs="Times New Roman"/>
        </w:rPr>
        <w:t>（二）利用岩层孔隙、裂隙、溶洞、废弃矿坑等贮存石化原料及产品、农药、危险废物、城镇污水处理设施产生的污泥和处理后的污泥或者其他有毒有害物质；</w:t>
      </w:r>
    </w:p>
    <w:p>
      <w:pPr>
        <w:spacing w:line="360" w:lineRule="auto"/>
        <w:ind w:firstLine="480" w:firstLineChars="200"/>
        <w:rPr>
          <w:rFonts w:ascii="Times New Roman" w:hAnsi="Times New Roman" w:cs="Times New Roman"/>
        </w:rPr>
      </w:pPr>
      <w:r>
        <w:rPr>
          <w:rFonts w:hint="eastAsia" w:ascii="Times New Roman" w:hAnsi="Times New Roman" w:cs="Times New Roman"/>
        </w:rPr>
        <w:t>（三）利用无防渗漏措施的沟渠、坑塘等输送或者贮存含有毒污染物的废水、含病原体的污水和其他废弃物；</w:t>
      </w:r>
    </w:p>
    <w:p>
      <w:pPr>
        <w:spacing w:line="360" w:lineRule="auto"/>
        <w:ind w:firstLine="480" w:firstLineChars="200"/>
        <w:rPr>
          <w:rFonts w:ascii="Times New Roman" w:hAnsi="Times New Roman" w:cs="Times New Roman"/>
        </w:rPr>
      </w:pPr>
      <w:r>
        <w:rPr>
          <w:rFonts w:hint="eastAsia" w:ascii="Times New Roman" w:hAnsi="Times New Roman" w:cs="Times New Roman"/>
        </w:rPr>
        <w:t>（四）法律、法规禁止的其他污染或者可能污染地下水的行为。</w:t>
      </w:r>
    </w:p>
    <w:p>
      <w:pPr>
        <w:pStyle w:val="4"/>
      </w:pPr>
      <w:bookmarkStart w:id="783" w:name="_Toc146092050"/>
      <w:r>
        <w:rPr>
          <w:rFonts w:hint="eastAsia"/>
        </w:rPr>
        <w:t>8.5.2 地下水污染主动防控措施</w:t>
      </w:r>
      <w:bookmarkEnd w:id="783"/>
    </w:p>
    <w:p>
      <w:pPr>
        <w:spacing w:line="360" w:lineRule="auto"/>
        <w:ind w:firstLine="480" w:firstLineChars="200"/>
        <w:rPr>
          <w:rFonts w:ascii="Times New Roman" w:hAnsi="Times New Roman" w:cs="Times New Roman"/>
        </w:rPr>
      </w:pPr>
      <w:r>
        <w:rPr>
          <w:rFonts w:hint="eastAsia" w:ascii="Times New Roman" w:hAnsi="Times New Roman" w:cs="Times New Roman"/>
        </w:rPr>
        <w:t>地下水主动防控措施主要从工艺节水、工艺设备、建筑结构、总图布置、给排水防控等方面考虑。</w:t>
      </w:r>
    </w:p>
    <w:p>
      <w:pPr>
        <w:spacing w:line="360" w:lineRule="auto"/>
        <w:ind w:firstLine="480" w:firstLineChars="200"/>
        <w:rPr>
          <w:rFonts w:ascii="Times New Roman" w:hAnsi="Times New Roman" w:cs="Times New Roman"/>
        </w:rPr>
      </w:pPr>
      <w:r>
        <w:rPr>
          <w:rFonts w:hint="eastAsia" w:ascii="Times New Roman" w:hAnsi="Times New Roman" w:cs="Times New Roman"/>
        </w:rPr>
        <w:t>从原则上讲，对任何一种工业行业，其一般生产过程都有可能采用工艺节水技术来减少生产用水，而且节水潜力较大。对于改扩建企业，采用工艺节水技术往往比单纯进行水的循环利用和污水回用更为方便与合理。工艺节水不仅可以从根本上减少生产用水，而且通常具有减少用水设备、减少废水或污染物排放量、减轻环境污染，以及节省工程投资和运行费用、节省能源等一系列优点。工艺节水主要包括洗涤节水及物流节水。要求企业利用高压水洗法、新型喷嘴水洗法、喷淋洗涤法、物料换热节水技术等技术进行工艺节水。选用节能、节水、环保的工艺设备。在考虑工艺合理的条件下，采用抗震、坚固的建筑结构，防止污水渗出。</w:t>
      </w:r>
    </w:p>
    <w:p>
      <w:pPr>
        <w:spacing w:line="360" w:lineRule="auto"/>
        <w:ind w:firstLine="480" w:firstLineChars="200"/>
        <w:rPr>
          <w:rFonts w:ascii="Times New Roman" w:hAnsi="Times New Roman" w:cs="Times New Roman"/>
        </w:rPr>
      </w:pPr>
      <w:r>
        <w:rPr>
          <w:rFonts w:hint="eastAsia" w:ascii="Times New Roman" w:hAnsi="Times New Roman" w:cs="Times New Roman"/>
        </w:rPr>
        <w:t>规划园区禁止向地下水进行排污，在正常状况下对地下水造成的影响很小。但是在非正常状况下短期内对局部地下水环境产生一定污染。产生地下水污染的主要因素是各废水储存和处置单元发生泄漏，如池体等产生裂缝。因此需要从以下四个方面考虑防治裂缝的产生：</w:t>
      </w:r>
    </w:p>
    <w:p>
      <w:pPr>
        <w:spacing w:line="360" w:lineRule="auto"/>
        <w:ind w:firstLine="480" w:firstLineChars="200"/>
        <w:rPr>
          <w:rFonts w:ascii="Times New Roman" w:hAnsi="Times New Roman" w:cs="Times New Roman"/>
        </w:rPr>
      </w:pPr>
      <w:r>
        <w:rPr>
          <w:rFonts w:hint="eastAsia" w:ascii="Times New Roman" w:hAnsi="Times New Roman" w:cs="Times New Roman"/>
        </w:rPr>
        <w:t>①简化结构体系：在建筑工程结构设计中，要根据工程要求和实际情况，加强对结构设计的简化处理，采用现代概念设计理念，加强对复杂体系的分析，通过合理、科学的现代设计方法，避免裂缝的产生。与此同时，还要综合考虑到受力和变形作用，合理计算配筋，尤其是对于裂缝控制的薄弱环节，一定要做好防范处理，进而控制好结构体系对裂缝的有效预防。</w:t>
      </w:r>
    </w:p>
    <w:p>
      <w:pPr>
        <w:spacing w:line="360" w:lineRule="auto"/>
        <w:ind w:firstLine="480" w:firstLineChars="200"/>
        <w:rPr>
          <w:rFonts w:ascii="Times New Roman" w:hAnsi="Times New Roman" w:cs="Times New Roman"/>
        </w:rPr>
      </w:pPr>
      <w:r>
        <w:rPr>
          <w:rFonts w:hint="eastAsia" w:ascii="Times New Roman" w:hAnsi="Times New Roman" w:cs="Times New Roman"/>
        </w:rPr>
        <w:t>②结构形状要规则：在布置结构的形状时，要尽量做到规则，确保整个结构应有的刚度，如果在设计中，结构布置不规则，那么其上下结构所承受的刚度不会统一，从而造成不同程度的变形，尤其是是刚度控制薄弱的环节，极易发生开裂的现象，为此，要进行结构设计时，结构的形状一定要保证其规则性，从而避免裂缝的产生。</w:t>
      </w:r>
    </w:p>
    <w:p>
      <w:pPr>
        <w:spacing w:line="360" w:lineRule="auto"/>
        <w:ind w:firstLine="480" w:firstLineChars="200"/>
        <w:rPr>
          <w:rFonts w:ascii="Times New Roman" w:hAnsi="Times New Roman" w:cs="Times New Roman"/>
        </w:rPr>
      </w:pPr>
      <w:r>
        <w:rPr>
          <w:rFonts w:hint="eastAsia" w:ascii="Times New Roman" w:hAnsi="Times New Roman" w:cs="Times New Roman"/>
        </w:rPr>
        <w:t>③尺寸设计要合理：在进行结构设计时，尺寸设计也预防裂缝产生的主要环节。一旦结构的尺寸过长，那么其所产生的温差应力也会增大，最终出现裂缝。因此，需要设计人员在设计，结合工程实际要求，合理控制结构的尺寸，全面考虑结构应力与长度的关系，既要满足设计的规范和要求，也要避免裂缝现象的产生。</w:t>
      </w:r>
    </w:p>
    <w:p>
      <w:pPr>
        <w:spacing w:line="360" w:lineRule="auto"/>
        <w:ind w:firstLine="480" w:firstLineChars="200"/>
        <w:rPr>
          <w:rFonts w:ascii="Times New Roman" w:hAnsi="Times New Roman" w:cs="Times New Roman"/>
        </w:rPr>
      </w:pPr>
      <w:r>
        <w:rPr>
          <w:rFonts w:hint="eastAsia" w:ascii="Times New Roman" w:hAnsi="Times New Roman" w:cs="Times New Roman"/>
        </w:rPr>
        <w:t>④材料运用要规范：首先，工程结构设计中，所选用的混凝土，既要满足防水要求，也要满足工程的承载力要求，其强度不可以过高。其次，在结构设计中，需要混凝土的和易性得到改善。第三，对于水泥品种的选择，最好采用收缩性小的水泥材料，并且可以适当地掺加一些外加剂，使得水灰比降低，严格控制内外温度，加强对整个结构的保温和保水养护。</w:t>
      </w:r>
    </w:p>
    <w:p>
      <w:pPr>
        <w:spacing w:line="360" w:lineRule="auto"/>
        <w:ind w:firstLine="480" w:firstLineChars="200"/>
        <w:rPr>
          <w:rFonts w:ascii="Times New Roman" w:hAnsi="Times New Roman" w:cs="Times New Roman"/>
        </w:rPr>
      </w:pPr>
      <w:r>
        <w:rPr>
          <w:rFonts w:hint="eastAsia" w:ascii="Times New Roman" w:hAnsi="Times New Roman" w:cs="Times New Roman"/>
        </w:rPr>
        <w:t>要求规划内建设项目使用先进、成熟、可靠的工艺技术工艺，良好的管道、设备和污水储存设施采用较清洁的原辅材料，对产生的废水进行合理的治理和综合利用，尽可能从源头上减少污染物产生。严格按照国家相关规范要求，对工艺、管道、设备、污水储存及处理构筑物采取相应的措施，以防止和降低污染物的跑、冒、滴、漏，将环境风险事故降低到最低。优化排水系统设计，工艺废水、地面冲洗废水、规划区初期雨水等在规划园区内收集及预处理后通过污水管线送园区污水处理厂处理。管线铺设尽量采用“可视化”原则，即管道尽可能地上铺设，做到污染物“早发现、早处理”，以减少由于埋地管道泄漏而可能造成的地下水污染。主装置生产废水管道进入空中管廊，只有生活污水、地面冲洗废水、雨水等走地下管道。</w:t>
      </w:r>
    </w:p>
    <w:p>
      <w:pPr>
        <w:pStyle w:val="4"/>
      </w:pPr>
      <w:bookmarkStart w:id="784" w:name="_Toc146092051"/>
      <w:r>
        <w:rPr>
          <w:rFonts w:hint="eastAsia"/>
        </w:rPr>
        <w:t>8.5.3 地下水污染被动防控措施</w:t>
      </w:r>
      <w:bookmarkEnd w:id="784"/>
    </w:p>
    <w:p>
      <w:pPr>
        <w:spacing w:line="360" w:lineRule="auto"/>
        <w:ind w:firstLine="480" w:firstLineChars="200"/>
        <w:rPr>
          <w:rFonts w:ascii="Times New Roman" w:hAnsi="Times New Roman" w:cs="Times New Roman"/>
        </w:rPr>
      </w:pPr>
      <w:r>
        <w:rPr>
          <w:rFonts w:hint="eastAsia" w:ascii="Times New Roman" w:hAnsi="Times New Roman" w:cs="Times New Roman"/>
        </w:rPr>
        <w:t>根据《环境影响评价技术导则 地下水环境》（HJ610-2016）给出不同分区的具体防渗技术要求一般情况下，应以水平防渗为主，防控措施应满足以下要求：</w:t>
      </w:r>
    </w:p>
    <w:p>
      <w:pPr>
        <w:spacing w:line="360" w:lineRule="auto"/>
        <w:ind w:firstLine="480" w:firstLineChars="200"/>
        <w:rPr>
          <w:rFonts w:ascii="Times New Roman" w:hAnsi="Times New Roman" w:cs="Times New Roman"/>
        </w:rPr>
      </w:pPr>
      <w:r>
        <w:rPr>
          <w:rFonts w:hint="eastAsia" w:ascii="Times New Roman" w:hAnsi="Times New Roman" w:cs="Times New Roman"/>
        </w:rPr>
        <w:t>a）已颁布污染控制国家标准或防渗技术规范的行业，水平防渗技术要求按照相应标准或规范执行；</w:t>
      </w:r>
    </w:p>
    <w:p>
      <w:pPr>
        <w:spacing w:line="360" w:lineRule="auto"/>
        <w:ind w:firstLine="480" w:firstLineChars="200"/>
        <w:rPr>
          <w:rFonts w:ascii="Times New Roman" w:hAnsi="Times New Roman" w:cs="Times New Roman"/>
        </w:rPr>
      </w:pPr>
      <w:r>
        <w:rPr>
          <w:rFonts w:hint="eastAsia" w:ascii="Times New Roman" w:hAnsi="Times New Roman" w:cs="Times New Roman"/>
        </w:rPr>
        <w:t>b）未颁布相关标准的行业，参考《石油化工工程防渗技术规范》（GBT50934-2013）对地下水污染防渗要求，根据预测结果和场地包气带特征及其防污性能，提出防渗技术要求；或根据建设项目场地天然包气带防污性能、污染控制难易程度和污染物特性，提出防渗技术要求。</w:t>
      </w:r>
    </w:p>
    <w:p>
      <w:pPr>
        <w:spacing w:line="360" w:lineRule="auto"/>
        <w:ind w:firstLine="480" w:firstLineChars="200"/>
        <w:rPr>
          <w:rFonts w:ascii="Times New Roman" w:hAnsi="Times New Roman" w:cs="Times New Roman"/>
        </w:rPr>
      </w:pPr>
      <w:r>
        <w:rPr>
          <w:rFonts w:hint="eastAsia" w:ascii="Times New Roman" w:hAnsi="Times New Roman" w:cs="Times New Roman"/>
        </w:rPr>
        <w:t>地下水被动防治措施主要为拟建项目进行全面防渗处理，有效的防止污染物渗入地下。</w:t>
      </w:r>
    </w:p>
    <w:p>
      <w:pPr>
        <w:spacing w:line="360" w:lineRule="auto"/>
        <w:ind w:firstLine="480" w:firstLineChars="200"/>
        <w:rPr>
          <w:rFonts w:ascii="Times New Roman" w:hAnsi="Times New Roman" w:cs="Times New Roman"/>
        </w:rPr>
      </w:pPr>
      <w:r>
        <w:rPr>
          <w:rFonts w:hint="eastAsia" w:ascii="Times New Roman" w:hAnsi="Times New Roman" w:cs="Times New Roman"/>
        </w:rPr>
        <w:t>1）污染防治区的划分</w:t>
      </w:r>
    </w:p>
    <w:p>
      <w:pPr>
        <w:spacing w:line="360" w:lineRule="auto"/>
        <w:ind w:firstLine="480" w:firstLineChars="200"/>
        <w:rPr>
          <w:rFonts w:ascii="Times New Roman" w:hAnsi="Times New Roman" w:cs="Times New Roman"/>
        </w:rPr>
      </w:pPr>
      <w:r>
        <w:rPr>
          <w:rFonts w:hint="eastAsia" w:ascii="Times New Roman" w:hAnsi="Times New Roman" w:cs="Times New Roman"/>
        </w:rPr>
        <w:t>根据规划区内各生产、生活功能单元可能产生污染的地区，划分为重点防渗区、一般防渗区和简单防渗区，对规划区可能泄漏污染物的地面进行防渗处理，可有效防治污染物渗入地下，并及时地将渗漏/泄漏的污染物收集并进行集中处理。</w:t>
      </w:r>
    </w:p>
    <w:p>
      <w:pPr>
        <w:spacing w:line="360" w:lineRule="auto"/>
        <w:ind w:firstLine="480" w:firstLineChars="200"/>
        <w:rPr>
          <w:rFonts w:ascii="Times New Roman" w:hAnsi="Times New Roman" w:cs="Times New Roman"/>
        </w:rPr>
      </w:pPr>
      <w:r>
        <w:rPr>
          <w:rFonts w:hint="eastAsia" w:ascii="Times New Roman" w:hAnsi="Times New Roman" w:cs="Times New Roman"/>
        </w:rPr>
        <w:t>（1）重点防渗区</w:t>
      </w:r>
    </w:p>
    <w:p>
      <w:pPr>
        <w:spacing w:line="360" w:lineRule="auto"/>
        <w:ind w:firstLine="480" w:firstLineChars="200"/>
        <w:rPr>
          <w:rFonts w:ascii="Times New Roman" w:hAnsi="Times New Roman" w:cs="Times New Roman"/>
        </w:rPr>
      </w:pPr>
      <w:r>
        <w:rPr>
          <w:rFonts w:hint="eastAsia" w:ascii="Times New Roman" w:hAnsi="Times New Roman" w:cs="Times New Roman"/>
        </w:rPr>
        <w:t>重点污染防治区指位于地下或者半地下的生产功能单元，污染地下水环境的污染物泄漏后不容易被及时发现或处理的区域/部位，该区域采取严格的防腐、防渗措施。主要为罐区、各企业污水处理站和循环水池、废水收集池等，重点污染防治区防渗渗透系数应等效黏土防渗层Mb≥6.0m，K≤1×10-7cm/s。</w:t>
      </w:r>
    </w:p>
    <w:p>
      <w:pPr>
        <w:spacing w:line="360" w:lineRule="auto"/>
        <w:ind w:firstLine="480" w:firstLineChars="200"/>
        <w:rPr>
          <w:rFonts w:ascii="Times New Roman" w:hAnsi="Times New Roman" w:cs="Times New Roman"/>
        </w:rPr>
      </w:pPr>
      <w:r>
        <w:rPr>
          <w:rFonts w:hint="eastAsia" w:ascii="Times New Roman" w:hAnsi="Times New Roman" w:cs="Times New Roman"/>
        </w:rPr>
        <w:t>（2）一般防渗区</w:t>
      </w:r>
    </w:p>
    <w:p>
      <w:pPr>
        <w:spacing w:line="360" w:lineRule="auto"/>
        <w:ind w:firstLine="480" w:firstLineChars="200"/>
        <w:rPr>
          <w:rFonts w:ascii="Times New Roman" w:hAnsi="Times New Roman" w:cs="Times New Roman"/>
        </w:rPr>
      </w:pPr>
      <w:r>
        <w:rPr>
          <w:rFonts w:hint="eastAsia" w:ascii="Times New Roman" w:hAnsi="Times New Roman" w:cs="Times New Roman"/>
        </w:rPr>
        <w:t>一般防渗区主要包括产生生活污水的区域及生产单元、维修单元等，一般污染防治区污染防治区防渗渗透系数应等效黏土防渗层Mb≥1.5m，K≤1×10-7cm/s。</w:t>
      </w:r>
    </w:p>
    <w:p>
      <w:pPr>
        <w:spacing w:line="360" w:lineRule="auto"/>
        <w:ind w:firstLine="480" w:firstLineChars="200"/>
        <w:rPr>
          <w:rFonts w:ascii="Times New Roman" w:hAnsi="Times New Roman" w:cs="Times New Roman"/>
        </w:rPr>
      </w:pPr>
      <w:r>
        <w:rPr>
          <w:rFonts w:hint="eastAsia" w:ascii="Times New Roman" w:hAnsi="Times New Roman" w:cs="Times New Roman"/>
        </w:rPr>
        <w:t>（3）简单防渗区</w:t>
      </w:r>
    </w:p>
    <w:p>
      <w:pPr>
        <w:spacing w:line="360" w:lineRule="auto"/>
        <w:ind w:firstLine="480" w:firstLineChars="200"/>
        <w:rPr>
          <w:rFonts w:ascii="Times New Roman" w:hAnsi="Times New Roman" w:cs="Times New Roman"/>
        </w:rPr>
      </w:pPr>
      <w:r>
        <w:rPr>
          <w:rFonts w:hint="eastAsia" w:ascii="Times New Roman" w:hAnsi="Times New Roman" w:cs="Times New Roman"/>
        </w:rPr>
        <w:t>没有物料或污染物泄漏，不会对地下水环境造成污染的区域或部位。主要包括厂区内绿化带、人行道路等。</w:t>
      </w:r>
    </w:p>
    <w:p>
      <w:pPr>
        <w:spacing w:line="360" w:lineRule="auto"/>
        <w:ind w:firstLine="480" w:firstLineChars="200"/>
        <w:rPr>
          <w:rFonts w:ascii="Times New Roman" w:hAnsi="Times New Roman" w:cs="Times New Roman"/>
        </w:rPr>
      </w:pPr>
      <w:r>
        <w:rPr>
          <w:rFonts w:hint="eastAsia" w:ascii="Times New Roman" w:hAnsi="Times New Roman" w:cs="Times New Roman"/>
        </w:rPr>
        <w:t>2）分区防治措施</w:t>
      </w:r>
    </w:p>
    <w:p>
      <w:pPr>
        <w:spacing w:line="360" w:lineRule="auto"/>
        <w:ind w:firstLine="480" w:firstLineChars="200"/>
        <w:rPr>
          <w:rFonts w:ascii="Times New Roman" w:hAnsi="Times New Roman" w:cs="Times New Roman"/>
        </w:rPr>
      </w:pPr>
      <w:r>
        <w:rPr>
          <w:rFonts w:hint="eastAsia" w:ascii="Times New Roman" w:hAnsi="Times New Roman" w:cs="Times New Roman"/>
        </w:rPr>
        <w:t>根据防渗参照的标准和规范，结合目前施工过程中的可操作性和技术水平，针对不同的防渗区域采用典型的防渗措施如下，在具体设计中应根据实际情况在满足防渗标准的前提下做必要的调整。重点防渗区防渗技术要求等效黏土防渗层Mb≥6.0m，K≤1×10-7cm/s，或参照GB18598 执行。一般防渗区要求等效黏土防渗层Mb≥1.5m，K≤1×10-7cm/s；或参照GB16889 执行。简单防渗区要求一般地面硬化。</w:t>
      </w:r>
    </w:p>
    <w:p>
      <w:pPr>
        <w:spacing w:line="360" w:lineRule="auto"/>
        <w:ind w:firstLine="480" w:firstLineChars="200"/>
        <w:rPr>
          <w:rFonts w:ascii="Times New Roman" w:hAnsi="Times New Roman" w:cs="Times New Roman"/>
        </w:rPr>
      </w:pPr>
      <w:r>
        <w:rPr>
          <w:rFonts w:hint="eastAsia" w:ascii="Times New Roman" w:hAnsi="Times New Roman" w:cs="Times New Roman"/>
        </w:rPr>
        <w:t>3）防渗方案</w:t>
      </w:r>
    </w:p>
    <w:p>
      <w:pPr>
        <w:spacing w:line="360" w:lineRule="auto"/>
        <w:ind w:firstLine="480" w:firstLineChars="200"/>
        <w:rPr>
          <w:rFonts w:ascii="Times New Roman" w:hAnsi="Times New Roman" w:cs="Times New Roman"/>
        </w:rPr>
      </w:pPr>
      <w:r>
        <w:rPr>
          <w:rFonts w:hint="eastAsia" w:ascii="Times New Roman" w:hAnsi="Times New Roman" w:cs="Times New Roman"/>
        </w:rPr>
        <w:t>结合规划园区内建设项目各生产环节产生的废水、废水管线走向、储运装置、事故应急装置及地下水环境影响评价预测结果，进行分区防渗，并建立防渗设施的检漏系统。</w:t>
      </w:r>
    </w:p>
    <w:p>
      <w:pPr>
        <w:spacing w:line="360" w:lineRule="auto"/>
        <w:ind w:firstLine="480" w:firstLineChars="200"/>
        <w:rPr>
          <w:rFonts w:ascii="Times New Roman" w:hAnsi="Times New Roman" w:cs="Times New Roman"/>
        </w:rPr>
      </w:pPr>
      <w:r>
        <w:rPr>
          <w:rFonts w:hint="eastAsia" w:ascii="Times New Roman" w:hAnsi="Times New Roman" w:cs="Times New Roman"/>
        </w:rPr>
        <w:t>（1）罐区及循环水池等防渗要求</w:t>
      </w:r>
    </w:p>
    <w:p>
      <w:pPr>
        <w:spacing w:line="360" w:lineRule="auto"/>
        <w:ind w:firstLine="480" w:firstLineChars="200"/>
        <w:rPr>
          <w:rFonts w:ascii="Times New Roman" w:hAnsi="Times New Roman" w:cs="Times New Roman"/>
        </w:rPr>
      </w:pPr>
      <w:r>
        <w:rPr>
          <w:rFonts w:hint="eastAsia" w:ascii="Times New Roman" w:hAnsi="Times New Roman" w:cs="Times New Roman"/>
        </w:rPr>
        <w:t>罐区地面采用水泥硬化和严格防渗、防腐和防爆措施，罐区周围设置具有强防渗性围堰和集水沟，罐区环墙罐基础防渗，需从上至下依次采用“沥青砂绝缘层+砂垫层+长丝无纺土工布+2mm厚HDPE防渗膜+长丝无纺土工布+粘土或原土夯实”的防渗方式。</w:t>
      </w:r>
    </w:p>
    <w:p>
      <w:pPr>
        <w:spacing w:line="360" w:lineRule="auto"/>
        <w:ind w:firstLine="480" w:firstLineChars="200"/>
        <w:rPr>
          <w:rFonts w:ascii="Times New Roman" w:hAnsi="Times New Roman" w:cs="Times New Roman"/>
        </w:rPr>
      </w:pPr>
      <w:r>
        <w:rPr>
          <w:rFonts w:hint="eastAsia" w:ascii="Times New Roman" w:hAnsi="Times New Roman" w:cs="Times New Roman"/>
        </w:rPr>
        <w:t>②循环水池等单元采取结构厚度不应小于250mm，混凝土抗渗等级不应低于P8，且水池的内表面应涂刷水泥基渗透结晶型或喷涂聚脲等防水材料，或在混凝土内掺加水泥基渗透结晶型防水剂等防渗措施。</w:t>
      </w:r>
    </w:p>
    <w:p>
      <w:pPr>
        <w:spacing w:line="360" w:lineRule="auto"/>
        <w:ind w:firstLine="480" w:firstLineChars="200"/>
        <w:rPr>
          <w:rFonts w:ascii="Times New Roman" w:hAnsi="Times New Roman" w:cs="Times New Roman"/>
        </w:rPr>
      </w:pPr>
      <w:r>
        <w:rPr>
          <w:rFonts w:hint="eastAsia" w:ascii="Times New Roman" w:hAnsi="Times New Roman" w:cs="Times New Roman"/>
        </w:rPr>
        <w:t>（2）地面防渗措施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①地面防渗层优先采用粘土、抗渗混凝土、高密度聚乙烯（HDPE）等防渗材料；</w:t>
      </w:r>
    </w:p>
    <w:p>
      <w:pPr>
        <w:spacing w:line="360" w:lineRule="auto"/>
        <w:ind w:firstLine="480" w:firstLineChars="200"/>
        <w:rPr>
          <w:rFonts w:ascii="Times New Roman" w:hAnsi="Times New Roman" w:cs="Times New Roman"/>
        </w:rPr>
      </w:pPr>
      <w:r>
        <w:rPr>
          <w:rFonts w:hint="eastAsia" w:ascii="Times New Roman" w:hAnsi="Times New Roman" w:cs="Times New Roman"/>
        </w:rPr>
        <w:t>②拟建项目可因地制宜，充分利用厂区分布的粘土资源，防渗层顶面宜采用混凝土地面或设置厚度不小于200mm的砂石层；</w:t>
      </w:r>
    </w:p>
    <w:p>
      <w:pPr>
        <w:spacing w:line="360" w:lineRule="auto"/>
        <w:ind w:firstLine="480" w:firstLineChars="200"/>
        <w:rPr>
          <w:rFonts w:ascii="Times New Roman" w:hAnsi="Times New Roman" w:cs="Times New Roman"/>
        </w:rPr>
      </w:pPr>
      <w:r>
        <w:rPr>
          <w:rFonts w:hint="eastAsia" w:ascii="Times New Roman" w:hAnsi="Times New Roman" w:cs="Times New Roman"/>
        </w:rPr>
        <w:t>③混凝土防渗层可采用抗渗钢纤维混凝土、抗渗钢筋混凝土或抗渗素混凝土；</w:t>
      </w:r>
    </w:p>
    <w:p>
      <w:pPr>
        <w:spacing w:line="360" w:lineRule="auto"/>
        <w:ind w:firstLine="480" w:firstLineChars="200"/>
        <w:rPr>
          <w:rFonts w:ascii="Times New Roman" w:hAnsi="Times New Roman" w:cs="Times New Roman"/>
        </w:rPr>
      </w:pPr>
      <w:r>
        <w:rPr>
          <w:rFonts w:hint="eastAsia" w:ascii="Times New Roman" w:hAnsi="Times New Roman" w:cs="Times New Roman"/>
        </w:rPr>
        <w:t>④混凝土防渗层的耐久性应符合现行国家标准《混凝土结构设计规范》（GB50010）的有关规定；</w:t>
      </w:r>
    </w:p>
    <w:p>
      <w:pPr>
        <w:spacing w:line="360" w:lineRule="auto"/>
        <w:ind w:firstLine="480" w:firstLineChars="200"/>
        <w:rPr>
          <w:rFonts w:ascii="Times New Roman" w:hAnsi="Times New Roman" w:cs="Times New Roman"/>
        </w:rPr>
      </w:pPr>
      <w:r>
        <w:rPr>
          <w:rFonts w:hint="eastAsia" w:ascii="Times New Roman" w:hAnsi="Times New Roman" w:cs="Times New Roman"/>
        </w:rPr>
        <w:t>⑤混凝土防渗层内不得埋设水平管线，管线垂直穿越地面时应设置衔接缝。</w:t>
      </w:r>
    </w:p>
    <w:p>
      <w:pPr>
        <w:spacing w:line="360" w:lineRule="auto"/>
        <w:ind w:firstLine="480" w:firstLineChars="200"/>
        <w:rPr>
          <w:rFonts w:ascii="Times New Roman" w:hAnsi="Times New Roman" w:cs="Times New Roman"/>
        </w:rPr>
      </w:pPr>
      <w:r>
        <w:rPr>
          <w:rFonts w:hint="eastAsia" w:ascii="Times New Roman" w:hAnsi="Times New Roman" w:cs="Times New Roman"/>
        </w:rPr>
        <w:t>（3）池体防渗措施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①混凝土水池（如污水调节池、污泥池等）的耐久性应符合现行国家标准《混凝土结构设计规范》（GB50010）的有关规定，混凝土强度等级不宜低于C30；</w:t>
      </w:r>
    </w:p>
    <w:p>
      <w:pPr>
        <w:spacing w:line="360" w:lineRule="auto"/>
        <w:ind w:firstLine="480" w:firstLineChars="200"/>
        <w:rPr>
          <w:rFonts w:ascii="Times New Roman" w:hAnsi="Times New Roman" w:cs="Times New Roman"/>
        </w:rPr>
      </w:pPr>
      <w:r>
        <w:rPr>
          <w:rFonts w:hint="eastAsia" w:ascii="Times New Roman" w:hAnsi="Times New Roman" w:cs="Times New Roman"/>
        </w:rPr>
        <w:t>②一般污染防治区水池结构厚度不应小于250mm，混凝土抗渗等级不应低于P8；</w:t>
      </w:r>
    </w:p>
    <w:p>
      <w:pPr>
        <w:spacing w:line="360" w:lineRule="auto"/>
        <w:ind w:firstLine="480" w:firstLineChars="200"/>
        <w:rPr>
          <w:rFonts w:ascii="Times New Roman" w:hAnsi="Times New Roman" w:cs="Times New Roman"/>
        </w:rPr>
      </w:pPr>
      <w:r>
        <w:rPr>
          <w:rFonts w:hint="eastAsia" w:ascii="Times New Roman" w:hAnsi="Times New Roman" w:cs="Times New Roman"/>
        </w:rPr>
        <w:t>③重点污染防治区水池结构厚度不应小于250mm，混凝土抗渗等级不应低于P8，且水池的内表面应涂刷水泥基渗透结晶型或喷涂聚脲等防水涂料，或在混凝土内掺加水泥基渗透结晶型防水剂；水泥基渗透结晶型防水涂料厚度不应小于1.0mm，喷涂聚脲防水涂料厚度不应小于1.5mm；当混凝土内掺加水泥基渗透结晶型防水剂时，掺量宜为胶凝材料总量的1%-2%；</w:t>
      </w:r>
    </w:p>
    <w:p>
      <w:pPr>
        <w:spacing w:line="360" w:lineRule="auto"/>
        <w:ind w:firstLine="480" w:firstLineChars="200"/>
        <w:rPr>
          <w:rFonts w:ascii="Times New Roman" w:hAnsi="Times New Roman" w:cs="Times New Roman"/>
        </w:rPr>
      </w:pPr>
      <w:r>
        <w:rPr>
          <w:rFonts w:hint="eastAsia" w:ascii="Times New Roman" w:hAnsi="Times New Roman" w:cs="Times New Roman"/>
        </w:rPr>
        <w:t>④在涂刷防水涂料之前，水池应进行蓄水试验；</w:t>
      </w:r>
    </w:p>
    <w:p>
      <w:pPr>
        <w:spacing w:line="360" w:lineRule="auto"/>
        <w:ind w:firstLine="480" w:firstLineChars="200"/>
        <w:rPr>
          <w:rFonts w:ascii="Times New Roman" w:hAnsi="Times New Roman" w:cs="Times New Roman"/>
        </w:rPr>
      </w:pPr>
      <w:r>
        <w:rPr>
          <w:rFonts w:hint="eastAsia" w:ascii="Times New Roman" w:hAnsi="Times New Roman" w:cs="Times New Roman"/>
        </w:rPr>
        <w:t>⑤水池所有缝均应设止水带，止水带宜采用橡胶止水带或塑料止水带，施工缝可采用镀锌钢板止水带。</w:t>
      </w:r>
    </w:p>
    <w:p>
      <w:pPr>
        <w:spacing w:line="360" w:lineRule="auto"/>
        <w:ind w:firstLine="480" w:firstLineChars="200"/>
        <w:rPr>
          <w:rFonts w:ascii="Times New Roman" w:hAnsi="Times New Roman" w:cs="Times New Roman"/>
        </w:rPr>
      </w:pPr>
      <w:r>
        <w:rPr>
          <w:rFonts w:hint="eastAsia" w:ascii="Times New Roman" w:hAnsi="Times New Roman" w:cs="Times New Roman"/>
        </w:rPr>
        <w:t>⑥钢筋混凝土水池的设计上应符合行业标准《石油化工钢筋混凝土水池结构设计规范》（SH/T3132）的有关规定；</w:t>
      </w:r>
    </w:p>
    <w:p>
      <w:pPr>
        <w:spacing w:line="360" w:lineRule="auto"/>
        <w:ind w:firstLine="480" w:firstLineChars="200"/>
        <w:rPr>
          <w:rFonts w:ascii="Times New Roman" w:hAnsi="Times New Roman" w:cs="Times New Roman"/>
        </w:rPr>
      </w:pPr>
      <w:r>
        <w:rPr>
          <w:rFonts w:hint="eastAsia" w:ascii="Times New Roman" w:hAnsi="Times New Roman" w:cs="Times New Roman"/>
        </w:rPr>
        <w:t>⑦非混凝土水池的防渗层应采用高密度聚乙烯（HDPE）膜，并应采取抗浮措施，高密度聚乙烯（HDPE）膜厚度不宜小于1.50mm，埋深不宜小于300mm，且膜上、膜下均应设置保护层。</w:t>
      </w:r>
    </w:p>
    <w:p>
      <w:pPr>
        <w:spacing w:line="360" w:lineRule="auto"/>
        <w:ind w:firstLine="480" w:firstLineChars="200"/>
        <w:rPr>
          <w:rFonts w:ascii="Times New Roman" w:hAnsi="Times New Roman" w:cs="Times New Roman"/>
        </w:rPr>
      </w:pPr>
      <w:r>
        <w:rPr>
          <w:rFonts w:hint="eastAsia" w:ascii="Times New Roman" w:hAnsi="Times New Roman" w:cs="Times New Roman"/>
        </w:rPr>
        <w:t>（4）地下管道防渗措施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地下管道宜采用钢制管道。当管道公称直径不大于500mm时，应采用无缝钢管；当管道公称直径大于500mm时，宜采用直缝埋弧焊焊接钢管，焊缝应进行100%涉嫌探伤。管道设计壁厚的复试量不应小于2mm，或采用管道内防腐。管道的外防腐等级应采用特加强级，管道的链接方式应采用焊接。</w:t>
      </w:r>
    </w:p>
    <w:p>
      <w:pPr>
        <w:spacing w:line="360" w:lineRule="auto"/>
        <w:ind w:firstLine="480" w:firstLineChars="200"/>
        <w:rPr>
          <w:rFonts w:ascii="Times New Roman" w:hAnsi="Times New Roman" w:cs="Times New Roman"/>
        </w:rPr>
      </w:pPr>
      <w:r>
        <w:rPr>
          <w:rFonts w:hint="eastAsia" w:ascii="Times New Roman" w:hAnsi="Times New Roman" w:cs="Times New Roman"/>
        </w:rPr>
        <w:t>②当地下管道采用非钢制金属管道时，宜采用高密度聚乙烯（HDPE）膜防渗层，也可采用抗渗钢筋混凝土管沟或套管。</w:t>
      </w:r>
    </w:p>
    <w:p>
      <w:pPr>
        <w:spacing w:line="360" w:lineRule="auto"/>
        <w:ind w:firstLine="480" w:firstLineChars="200"/>
        <w:rPr>
          <w:rFonts w:ascii="Times New Roman" w:hAnsi="Times New Roman" w:cs="Times New Roman"/>
        </w:rPr>
      </w:pPr>
      <w:r>
        <w:rPr>
          <w:rFonts w:hint="eastAsia" w:ascii="Times New Roman" w:hAnsi="Times New Roman" w:cs="Times New Roman"/>
        </w:rPr>
        <w:t>③地下管道的高密度聚乙烯（HDPE）膜防渗层厚度不宜小于1.50mm，膜两侧应设置保护层，保护层宜采用长丝无纺土工布。</w:t>
      </w:r>
    </w:p>
    <w:p>
      <w:pPr>
        <w:spacing w:line="360" w:lineRule="auto"/>
        <w:ind w:firstLine="480" w:firstLineChars="200"/>
        <w:rPr>
          <w:rFonts w:ascii="Times New Roman" w:hAnsi="Times New Roman" w:cs="Times New Roman"/>
        </w:rPr>
      </w:pPr>
      <w:r>
        <w:rPr>
          <w:rFonts w:hint="eastAsia" w:ascii="Times New Roman" w:hAnsi="Times New Roman" w:cs="Times New Roman"/>
        </w:rPr>
        <w:t>④抗渗钢筋混凝土管沟防渗层的混凝土强度等级不宜低于 C30，抗渗等级不应低于P8，混凝土垫层的强度等级不宜低于C15。沟底和沟壁的不宜小于200mm，沟底、沟壁的内表面和顶板顶面应抹聚合物水泥防水砂浆，厚度不应小于10mm。</w:t>
      </w:r>
    </w:p>
    <w:p>
      <w:pPr>
        <w:spacing w:line="360" w:lineRule="auto"/>
        <w:ind w:firstLine="480" w:firstLineChars="200"/>
        <w:rPr>
          <w:rFonts w:ascii="Times New Roman" w:hAnsi="Times New Roman" w:cs="Times New Roman"/>
        </w:rPr>
      </w:pPr>
      <w:r>
        <w:rPr>
          <w:rFonts w:hint="eastAsia" w:ascii="Times New Roman" w:hAnsi="Times New Roman" w:cs="Times New Roman"/>
        </w:rPr>
        <w:t>同时根据《地下水管理条例》相关要求，企业事业单位和其他生产经营者应当采取下列措施，防止地下水污染：</w:t>
      </w:r>
    </w:p>
    <w:p>
      <w:pPr>
        <w:spacing w:line="360" w:lineRule="auto"/>
        <w:ind w:firstLine="480" w:firstLineChars="200"/>
        <w:rPr>
          <w:rFonts w:ascii="Times New Roman" w:hAnsi="Times New Roman" w:cs="Times New Roman"/>
        </w:rPr>
      </w:pPr>
      <w:r>
        <w:rPr>
          <w:rFonts w:hint="eastAsia" w:ascii="Times New Roman" w:hAnsi="Times New Roman" w:cs="Times New Roman"/>
        </w:rPr>
        <w:t>（一）兴建地下工程设施应依法编制的环境影响评价文件中，应当包括地下水污染防治的内容，并采取防护性措施；</w:t>
      </w:r>
    </w:p>
    <w:p>
      <w:pPr>
        <w:spacing w:line="360" w:lineRule="auto"/>
        <w:ind w:firstLine="480" w:firstLineChars="200"/>
        <w:rPr>
          <w:rFonts w:ascii="Times New Roman" w:hAnsi="Times New Roman" w:cs="Times New Roman"/>
        </w:rPr>
      </w:pPr>
      <w:r>
        <w:rPr>
          <w:rFonts w:hint="eastAsia" w:ascii="Times New Roman" w:hAnsi="Times New Roman" w:cs="Times New Roman"/>
        </w:rPr>
        <w:t>（二）化学品生产企业以及工业集聚区、危险废物处置场、等的运营、 管理单位，应当采取防渗漏等措施，并建设地下水水质监测井进行监测；</w:t>
      </w:r>
    </w:p>
    <w:p>
      <w:pPr>
        <w:spacing w:line="360" w:lineRule="auto"/>
        <w:ind w:firstLine="480" w:firstLineChars="200"/>
        <w:rPr>
          <w:rFonts w:ascii="Times New Roman" w:hAnsi="Times New Roman" w:cs="Times New Roman"/>
        </w:rPr>
      </w:pPr>
      <w:r>
        <w:rPr>
          <w:rFonts w:hint="eastAsia" w:ascii="Times New Roman" w:hAnsi="Times New Roman" w:cs="Times New Roman"/>
        </w:rPr>
        <w:t>（三）加油站等的地下油罐应当使用双层罐或者采取建造防渗池等其他有效措施，并进行防渗漏监测；</w:t>
      </w:r>
    </w:p>
    <w:p>
      <w:pPr>
        <w:spacing w:line="360" w:lineRule="auto"/>
        <w:ind w:firstLine="480" w:firstLineChars="200"/>
        <w:rPr>
          <w:rFonts w:ascii="Times New Roman" w:hAnsi="Times New Roman" w:cs="Times New Roman"/>
        </w:rPr>
      </w:pPr>
      <w:r>
        <w:rPr>
          <w:rFonts w:hint="eastAsia" w:ascii="Times New Roman" w:hAnsi="Times New Roman" w:cs="Times New Roman"/>
        </w:rPr>
        <w:t>（四） 放可溶性剧毒废渣的场所，应当采取防水、防渗漏、防流失的措施；</w:t>
      </w:r>
    </w:p>
    <w:p>
      <w:pPr>
        <w:spacing w:line="360" w:lineRule="auto"/>
        <w:ind w:firstLine="480" w:firstLineChars="200"/>
        <w:rPr>
          <w:rFonts w:ascii="Times New Roman" w:hAnsi="Times New Roman" w:cs="Times New Roman"/>
        </w:rPr>
      </w:pPr>
      <w:r>
        <w:rPr>
          <w:rFonts w:hint="eastAsia" w:ascii="Times New Roman" w:hAnsi="Times New Roman" w:cs="Times New Roman"/>
        </w:rPr>
        <w:t>（五）法律、法规规定应当采取的其他防止地下水污染的措施。</w:t>
      </w:r>
    </w:p>
    <w:p>
      <w:pPr>
        <w:pStyle w:val="4"/>
      </w:pPr>
      <w:bookmarkStart w:id="785" w:name="_Toc146092052"/>
      <w:r>
        <w:rPr>
          <w:rFonts w:hint="eastAsia"/>
        </w:rPr>
        <w:t>8.5.4 推进现有企业地下水环境调查与评估工作</w:t>
      </w:r>
      <w:bookmarkEnd w:id="785"/>
    </w:p>
    <w:p>
      <w:pPr>
        <w:spacing w:line="360" w:lineRule="auto"/>
        <w:ind w:firstLine="480" w:firstLineChars="200"/>
        <w:rPr>
          <w:rFonts w:ascii="Times New Roman" w:hAnsi="Times New Roman" w:cs="Times New Roman"/>
        </w:rPr>
      </w:pPr>
      <w:r>
        <w:rPr>
          <w:rFonts w:hint="eastAsia" w:ascii="Times New Roman" w:hAnsi="Times New Roman" w:cs="Times New Roman"/>
        </w:rPr>
        <w:t>根据《湖南省在产企业土壤和地下水自行监测技术指南》、《地下水管理条例》等相关规范要求现有重点企业应加强地下水环境现状调查和评估工作，主要实施内容如下：</w:t>
      </w:r>
    </w:p>
    <w:p>
      <w:pPr>
        <w:spacing w:line="360" w:lineRule="auto"/>
        <w:ind w:firstLine="480" w:firstLineChars="200"/>
        <w:rPr>
          <w:rFonts w:ascii="Times New Roman" w:hAnsi="Times New Roman" w:cs="Times New Roman"/>
        </w:rPr>
      </w:pPr>
      <w:r>
        <w:rPr>
          <w:rFonts w:hint="eastAsia" w:ascii="Times New Roman" w:hAnsi="Times New Roman" w:cs="Times New Roman"/>
        </w:rPr>
        <w:t>（1）开展地下水环境现状调查工作</w:t>
      </w:r>
    </w:p>
    <w:p>
      <w:pPr>
        <w:spacing w:line="360" w:lineRule="auto"/>
        <w:ind w:firstLine="480" w:firstLineChars="200"/>
        <w:rPr>
          <w:rFonts w:ascii="Times New Roman" w:hAnsi="Times New Roman" w:cs="Times New Roman"/>
        </w:rPr>
      </w:pPr>
      <w:r>
        <w:rPr>
          <w:rFonts w:hint="eastAsia" w:ascii="Times New Roman" w:hAnsi="Times New Roman" w:cs="Times New Roman"/>
        </w:rPr>
        <w:t>园区重点化工企业应进一步推进现有重点企业地下水环境现状调查与评估工作，通过对地下水水质现状的调查和污染源排查，进一步强化地下水污染防治工作。</w:t>
      </w:r>
    </w:p>
    <w:p>
      <w:pPr>
        <w:spacing w:line="360" w:lineRule="auto"/>
        <w:ind w:firstLine="480" w:firstLineChars="200"/>
        <w:rPr>
          <w:rFonts w:ascii="Times New Roman" w:hAnsi="Times New Roman" w:cs="Times New Roman"/>
        </w:rPr>
      </w:pPr>
      <w:r>
        <w:rPr>
          <w:rFonts w:hint="eastAsia" w:ascii="Times New Roman" w:hAnsi="Times New Roman" w:cs="Times New Roman"/>
        </w:rPr>
        <w:t>污染物含量超过土壤污染风险管控标准的建设用地地块，编制土壤污染风险评估报告时，应当包括地下水是否受到污染的内容；列入风险管控和修复名录的建设用地地块，采取的风险管控措施中应当包括地下水污染防治的内容。</w:t>
      </w:r>
    </w:p>
    <w:p>
      <w:pPr>
        <w:spacing w:line="360" w:lineRule="auto"/>
        <w:ind w:firstLine="480" w:firstLineChars="200"/>
        <w:rPr>
          <w:rFonts w:ascii="Times New Roman" w:hAnsi="Times New Roman" w:cs="Times New Roman"/>
        </w:rPr>
      </w:pPr>
      <w:r>
        <w:rPr>
          <w:rFonts w:hint="eastAsia" w:ascii="Times New Roman" w:hAnsi="Times New Roman" w:cs="Times New Roman"/>
        </w:rPr>
        <w:t>（2）实施潜在污染装置的信息备案工作</w:t>
      </w:r>
    </w:p>
    <w:p>
      <w:pPr>
        <w:spacing w:line="360" w:lineRule="auto"/>
        <w:ind w:firstLine="480" w:firstLineChars="200"/>
        <w:rPr>
          <w:rFonts w:ascii="Times New Roman" w:hAnsi="Times New Roman" w:cs="Times New Roman"/>
        </w:rPr>
      </w:pPr>
      <w:r>
        <w:rPr>
          <w:rFonts w:hint="eastAsia" w:ascii="Times New Roman" w:hAnsi="Times New Roman" w:cs="Times New Roman"/>
        </w:rPr>
        <w:t>①园区现有涉及有毒有害物质的生产装置、储罐和管道，或者建设污水处理池、应急池等存在地下水污染风险的设施，应当按照国家有关标准和规范要求，设计、建设和安装有关防腐蚀、防泄漏设施和泄漏监测装置，防止有毒有害物质污染地下水。</w:t>
      </w:r>
    </w:p>
    <w:p>
      <w:pPr>
        <w:spacing w:line="360" w:lineRule="auto"/>
        <w:ind w:firstLine="480" w:firstLineChars="200"/>
        <w:rPr>
          <w:rFonts w:ascii="Times New Roman" w:hAnsi="Times New Roman" w:cs="Times New Roman"/>
        </w:rPr>
      </w:pPr>
      <w:r>
        <w:rPr>
          <w:rFonts w:hint="eastAsia" w:ascii="Times New Roman" w:hAnsi="Times New Roman" w:cs="Times New Roman"/>
        </w:rPr>
        <w:t>②现有地下储罐储存有毒有害物质的，应当将地下储罐的信息报岳阳市生态环境主管部门备案。新、改、扩建项目地下储罐储存有毒有害物质的，应当在项目投入生产或者使用之前，将地下储罐的信息报岳阳市生态环境主管部门备案。地下储罐信息包括使用年限、类型、规格、位置和使用情况等。</w:t>
      </w:r>
    </w:p>
    <w:p>
      <w:pPr>
        <w:spacing w:line="360" w:lineRule="auto"/>
        <w:ind w:firstLine="480" w:firstLineChars="200"/>
        <w:rPr>
          <w:rFonts w:ascii="Times New Roman" w:hAnsi="Times New Roman" w:cs="Times New Roman"/>
        </w:rPr>
      </w:pPr>
      <w:r>
        <w:rPr>
          <w:rFonts w:hint="eastAsia" w:ascii="Times New Roman" w:hAnsi="Times New Roman" w:cs="Times New Roman"/>
        </w:rPr>
        <w:t>（3）建立地下水污染隐患排查治理制度</w:t>
      </w:r>
    </w:p>
    <w:p>
      <w:pPr>
        <w:spacing w:line="360" w:lineRule="auto"/>
        <w:ind w:firstLine="480" w:firstLineChars="200"/>
        <w:rPr>
          <w:rFonts w:ascii="Times New Roman" w:hAnsi="Times New Roman" w:cs="Times New Roman"/>
        </w:rPr>
      </w:pPr>
      <w:r>
        <w:rPr>
          <w:rFonts w:hint="eastAsia" w:ascii="Times New Roman" w:hAnsi="Times New Roman" w:cs="Times New Roman"/>
        </w:rPr>
        <w:t>①定期对重点区域（包括涉及有毒有害物质的生产区，原材料及固体废物的堆存区、储放区和转运区等）、重点设施（包括涉及有毒有害物质的地下储罐、地下管线，以及污染治理设施等）开展隐患排查。发现污染隐患的，应当制定整改方案，及时采取技术、管理措施消除隐患。隐患排查、治理情况应当如实记录并建立档案。</w:t>
      </w:r>
    </w:p>
    <w:p>
      <w:pPr>
        <w:spacing w:line="360" w:lineRule="auto"/>
        <w:ind w:firstLine="480" w:firstLineChars="200"/>
        <w:rPr>
          <w:rFonts w:ascii="Times New Roman" w:hAnsi="Times New Roman" w:cs="Times New Roman"/>
        </w:rPr>
      </w:pPr>
      <w:r>
        <w:rPr>
          <w:rFonts w:hint="eastAsia" w:ascii="Times New Roman" w:hAnsi="Times New Roman" w:cs="Times New Roman"/>
        </w:rPr>
        <w:t>②在隐患排查、监测等活动中发现工矿用地地下水存在污染迹象的，应当排查污染源，查明污染原因，采取措施防止新增污染，并参照污染地块有关规定及时开展地下水环境调查与风险评估，根据调查与风险评估结果采取风险管控或者治理与修复等措施。</w:t>
      </w:r>
    </w:p>
    <w:p>
      <w:pPr>
        <w:spacing w:line="360" w:lineRule="auto"/>
        <w:ind w:firstLine="480" w:firstLineChars="200"/>
        <w:rPr>
          <w:rFonts w:ascii="Times New Roman" w:hAnsi="Times New Roman" w:cs="Times New Roman"/>
        </w:rPr>
      </w:pPr>
      <w:r>
        <w:rPr>
          <w:rFonts w:hint="eastAsia" w:ascii="Times New Roman" w:hAnsi="Times New Roman" w:cs="Times New Roman"/>
        </w:rPr>
        <w:t>（4）制定地下水环境风险应急预案</w:t>
      </w:r>
    </w:p>
    <w:p>
      <w:pPr>
        <w:spacing w:line="360" w:lineRule="auto"/>
        <w:ind w:firstLine="480" w:firstLineChars="200"/>
        <w:rPr>
          <w:rFonts w:ascii="Times New Roman" w:hAnsi="Times New Roman" w:cs="Times New Roman"/>
        </w:rPr>
      </w:pPr>
      <w:r>
        <w:rPr>
          <w:rFonts w:hint="eastAsia" w:ascii="Times New Roman" w:hAnsi="Times New Roman" w:cs="Times New Roman"/>
        </w:rPr>
        <w:t>各企业突发环境事件应急预案应当包括防止地下水污染相关内容。突发环境事件造成或者可能造成地下水污染的，应当采取应急措施避免或者减少土壤和地下水污染；应急处置结束后，应当立即组织开展环境影响和损害评估工作，评估认为需要开展治理与修复的，应当制定并落实污染地下水治理与修复方案。</w:t>
      </w:r>
    </w:p>
    <w:p>
      <w:pPr>
        <w:spacing w:line="360" w:lineRule="auto"/>
        <w:ind w:firstLine="480" w:firstLineChars="200"/>
        <w:rPr>
          <w:rFonts w:ascii="Times New Roman" w:hAnsi="Times New Roman" w:cs="Times New Roman"/>
        </w:rPr>
      </w:pPr>
      <w:r>
        <w:rPr>
          <w:rFonts w:hint="eastAsia" w:ascii="Times New Roman" w:hAnsi="Times New Roman" w:cs="Times New Roman"/>
        </w:rPr>
        <w:t>（5）开展例行监测工作</w:t>
      </w:r>
    </w:p>
    <w:p>
      <w:pPr>
        <w:spacing w:line="360" w:lineRule="auto"/>
        <w:ind w:firstLine="480" w:firstLineChars="200"/>
        <w:rPr>
          <w:rFonts w:ascii="Times New Roman" w:hAnsi="Times New Roman" w:cs="Times New Roman"/>
        </w:rPr>
      </w:pPr>
      <w:r>
        <w:rPr>
          <w:rFonts w:hint="eastAsia" w:ascii="Times New Roman" w:hAnsi="Times New Roman" w:cs="Times New Roman"/>
        </w:rPr>
        <w:t>应当按照相关技术规范要求，自行或者委托第三方定期开展土壤和地下水监测，重点监测存在污染隐患的区域和设施周边的地下水，并按照规定公开相关信息。</w:t>
      </w:r>
    </w:p>
    <w:p>
      <w:pPr>
        <w:pStyle w:val="4"/>
      </w:pPr>
      <w:bookmarkStart w:id="786" w:name="_Toc146092053"/>
      <w:r>
        <w:rPr>
          <w:rFonts w:hint="eastAsia"/>
        </w:rPr>
        <w:t>8.5.5 地下水环境监测计划</w:t>
      </w:r>
      <w:bookmarkEnd w:id="786"/>
    </w:p>
    <w:p>
      <w:pPr>
        <w:spacing w:line="360" w:lineRule="auto"/>
        <w:ind w:firstLine="480" w:firstLineChars="200"/>
        <w:rPr>
          <w:rFonts w:ascii="Times New Roman" w:hAnsi="Times New Roman" w:cs="Times New Roman"/>
        </w:rPr>
      </w:pPr>
      <w:r>
        <w:rPr>
          <w:rFonts w:hint="eastAsia" w:ascii="Times New Roman" w:hAnsi="Times New Roman" w:cs="Times New Roman"/>
        </w:rPr>
        <w:t>（1）建立地下水例行监测与监控制度</w:t>
      </w:r>
    </w:p>
    <w:p>
      <w:pPr>
        <w:spacing w:line="360" w:lineRule="auto"/>
        <w:ind w:firstLine="480" w:firstLineChars="200"/>
        <w:rPr>
          <w:rFonts w:ascii="Times New Roman" w:hAnsi="Times New Roman" w:cs="Times New Roman"/>
        </w:rPr>
      </w:pPr>
      <w:r>
        <w:rPr>
          <w:rFonts w:hint="eastAsia" w:ascii="Times New Roman" w:hAnsi="Times New Roman" w:cs="Times New Roman"/>
        </w:rPr>
        <w:t>地下水环境监测主要参考《地下水环境监测技术规范》（HJ164-2020），结合评价区含水层系统和地下水径流特征，考虑潜在污染源、环境保护目标等因素，依据《环境影响评价技术导则 地下水环境》（HJ610-2016）相关要求布置地下水监测井。</w:t>
      </w:r>
    </w:p>
    <w:p>
      <w:pPr>
        <w:spacing w:line="360" w:lineRule="auto"/>
        <w:ind w:firstLine="480" w:firstLineChars="200"/>
        <w:rPr>
          <w:rFonts w:ascii="Times New Roman" w:hAnsi="Times New Roman" w:cs="Times New Roman"/>
        </w:rPr>
      </w:pPr>
      <w:r>
        <w:rPr>
          <w:rFonts w:hint="eastAsia" w:ascii="Times New Roman" w:hAnsi="Times New Roman" w:cs="Times New Roman"/>
        </w:rPr>
        <w:t>为了掌握规划区各企业周围地下水环境质量状况和地下水体中污染物的动态变化，应对项目区进行地下水水质监测，建立规划园区地下水污染监测系统，以便及时准确地反馈地下水水质状况，为防止对地下水的污染采取相应的措施提供重要的依据。</w:t>
      </w:r>
    </w:p>
    <w:p>
      <w:pPr>
        <w:spacing w:line="360" w:lineRule="auto"/>
        <w:ind w:firstLine="480" w:firstLineChars="200"/>
        <w:rPr>
          <w:rFonts w:ascii="Times New Roman" w:hAnsi="Times New Roman" w:cs="Times New Roman"/>
        </w:rPr>
      </w:pPr>
      <w:r>
        <w:rPr>
          <w:rFonts w:hint="eastAsia" w:ascii="Times New Roman" w:hAnsi="Times New Roman" w:cs="Times New Roman"/>
        </w:rPr>
        <w:t>1）监测原则和重点</w:t>
      </w:r>
    </w:p>
    <w:p>
      <w:pPr>
        <w:spacing w:line="360" w:lineRule="auto"/>
        <w:ind w:firstLine="480" w:firstLineChars="200"/>
        <w:rPr>
          <w:rFonts w:ascii="Times New Roman" w:hAnsi="Times New Roman" w:cs="Times New Roman"/>
        </w:rPr>
      </w:pPr>
      <w:r>
        <w:rPr>
          <w:rFonts w:hint="eastAsia" w:ascii="Times New Roman" w:hAnsi="Times New Roman" w:cs="Times New Roman"/>
        </w:rPr>
        <w:t>根据规划区的水文地质特点、影响区域及主要污染源在地下水上下游布设监测点位。背景值监测井位于上游，地下水监测每年进行监测2次（丰枯水期各一次），各污染源监测井应每季度监测一次，一年共4次，重点区域和出现异常情况下应增加监测频率；在污染事故等情况下，要加密监测点，同时增加监测频率，加密监测点以能控制污染扩散范围为原则，应结合污染物特征和水文地质条件进行布设。</w:t>
      </w:r>
    </w:p>
    <w:p>
      <w:pPr>
        <w:spacing w:line="360" w:lineRule="auto"/>
        <w:ind w:firstLine="480" w:firstLineChars="200"/>
        <w:rPr>
          <w:rFonts w:ascii="Times New Roman" w:hAnsi="Times New Roman" w:cs="Times New Roman"/>
        </w:rPr>
      </w:pPr>
      <w:r>
        <w:rPr>
          <w:rFonts w:hint="eastAsia" w:ascii="Times New Roman" w:hAnsi="Times New Roman" w:cs="Times New Roman"/>
        </w:rPr>
        <w:t>2）监测因子</w:t>
      </w:r>
    </w:p>
    <w:p>
      <w:pPr>
        <w:spacing w:line="360" w:lineRule="auto"/>
        <w:ind w:firstLine="480" w:firstLineChars="200"/>
        <w:rPr>
          <w:rFonts w:ascii="Times New Roman" w:hAnsi="Times New Roman" w:cs="Times New Roman"/>
        </w:rPr>
      </w:pPr>
      <w:r>
        <w:rPr>
          <w:rFonts w:hint="eastAsia" w:ascii="Times New Roman" w:hAnsi="Times New Roman" w:cs="Times New Roman"/>
        </w:rPr>
        <w:t>水质监测项目可参照《地下水质量标准》（GB/T14848-2017）确定。</w:t>
      </w:r>
    </w:p>
    <w:p>
      <w:pPr>
        <w:spacing w:line="360" w:lineRule="auto"/>
        <w:ind w:firstLine="480" w:firstLineChars="200"/>
        <w:rPr>
          <w:rFonts w:ascii="Times New Roman" w:hAnsi="Times New Roman" w:cs="Times New Roman"/>
        </w:rPr>
      </w:pPr>
      <w:r>
        <w:rPr>
          <w:rFonts w:hint="eastAsia" w:ascii="Times New Roman" w:hAnsi="Times New Roman" w:cs="Times New Roman"/>
        </w:rPr>
        <w:t>地下水跟踪监测项目为地下水质。</w:t>
      </w:r>
    </w:p>
    <w:p>
      <w:pPr>
        <w:spacing w:line="360" w:lineRule="auto"/>
        <w:ind w:firstLine="480" w:firstLineChars="200"/>
        <w:rPr>
          <w:rFonts w:ascii="Times New Roman" w:hAnsi="Times New Roman" w:cs="Times New Roman"/>
        </w:rPr>
      </w:pPr>
      <w:r>
        <w:rPr>
          <w:rFonts w:hint="eastAsia" w:ascii="Times New Roman" w:hAnsi="Times New Roman" w:cs="Times New Roman"/>
        </w:rPr>
        <w:t>地下水水质监测项目包括：钾、钙、钠、镁、CO32-、HCO3-、氯化物、硫酸盐、pH值、高锰酸盐指数、硝酸盐（以N计）、溶解性总固体、总硬度、亚硝酸盐（以N计）、氨氮、高锰酸钾指数、BOD5、镉、汞、氰化物、挥发酚、石油类、铅、砷、六价铬、氟化物等。</w:t>
      </w:r>
    </w:p>
    <w:p>
      <w:pPr>
        <w:spacing w:line="360" w:lineRule="auto"/>
        <w:ind w:firstLine="480" w:firstLineChars="200"/>
        <w:rPr>
          <w:rFonts w:ascii="Times New Roman" w:hAnsi="Times New Roman" w:cs="Times New Roman"/>
        </w:rPr>
      </w:pPr>
      <w:r>
        <w:rPr>
          <w:rFonts w:hint="eastAsia" w:ascii="Times New Roman" w:hAnsi="Times New Roman" w:cs="Times New Roman"/>
        </w:rPr>
        <w:t>3）监测数据管理</w:t>
      </w:r>
    </w:p>
    <w:p>
      <w:pPr>
        <w:spacing w:line="360" w:lineRule="auto"/>
        <w:ind w:firstLine="480" w:firstLineChars="200"/>
        <w:rPr>
          <w:rFonts w:ascii="Times New Roman" w:hAnsi="Times New Roman" w:cs="Times New Roman"/>
        </w:rPr>
      </w:pPr>
      <w:r>
        <w:rPr>
          <w:rFonts w:hint="eastAsia" w:ascii="Times New Roman" w:hAnsi="Times New Roman" w:cs="Times New Roman"/>
        </w:rPr>
        <w:t>上述监测结果应按相关规定及时建立档案，并定期向所在地生态环境主管部门备案。公开常规监测资料。如发现异常或发生事故，应加密监测频次，并分析污染原因，及时采取相应措施。</w:t>
      </w:r>
    </w:p>
    <w:p>
      <w:pPr>
        <w:spacing w:line="360" w:lineRule="auto"/>
        <w:ind w:firstLine="480" w:firstLineChars="200"/>
        <w:rPr>
          <w:rFonts w:ascii="Times New Roman" w:hAnsi="Times New Roman" w:cs="Times New Roman"/>
        </w:rPr>
      </w:pPr>
      <w:r>
        <w:rPr>
          <w:rFonts w:hint="eastAsia" w:ascii="Times New Roman" w:hAnsi="Times New Roman" w:cs="Times New Roman"/>
        </w:rPr>
        <w:t>（2）完善入园企业地下水环境管理制度</w:t>
      </w:r>
    </w:p>
    <w:p>
      <w:pPr>
        <w:spacing w:line="360" w:lineRule="auto"/>
        <w:ind w:firstLine="480" w:firstLineChars="200"/>
        <w:rPr>
          <w:rFonts w:ascii="Times New Roman" w:hAnsi="Times New Roman" w:cs="Times New Roman"/>
        </w:rPr>
      </w:pPr>
      <w:r>
        <w:rPr>
          <w:rFonts w:hint="eastAsia" w:ascii="Times New Roman" w:hAnsi="Times New Roman" w:cs="Times New Roman"/>
        </w:rPr>
        <w:t>入园企业应提供环评报告中地下水环境潜在污染源分布情况、污水种类及产生量，企业运营过程中应按环评中原辅材料及工艺流程进行生产，发生变动应及时备案，涉及重大变更的应重新履行环境影响评价手续。企业运营期间，应建立地下水例行监测制度，每年丰、平、枯水期开展监测，报园区备案。</w:t>
      </w:r>
    </w:p>
    <w:p>
      <w:pPr>
        <w:spacing w:line="360" w:lineRule="auto"/>
        <w:ind w:firstLine="480" w:firstLineChars="200"/>
        <w:rPr>
          <w:rFonts w:ascii="Times New Roman" w:hAnsi="Times New Roman" w:cs="Times New Roman"/>
        </w:rPr>
      </w:pPr>
      <w:r>
        <w:rPr>
          <w:rFonts w:hint="eastAsia" w:ascii="Times New Roman" w:hAnsi="Times New Roman" w:cs="Times New Roman"/>
        </w:rPr>
        <w:t>（3）建立定期巡视与检测制度</w:t>
      </w:r>
    </w:p>
    <w:p>
      <w:pPr>
        <w:spacing w:line="360" w:lineRule="auto"/>
        <w:ind w:firstLine="480" w:firstLineChars="200"/>
        <w:rPr>
          <w:rFonts w:ascii="Times New Roman" w:hAnsi="Times New Roman" w:cs="Times New Roman"/>
        </w:rPr>
      </w:pPr>
      <w:r>
        <w:rPr>
          <w:rFonts w:hint="eastAsia" w:ascii="Times New Roman" w:hAnsi="Times New Roman" w:cs="Times New Roman"/>
        </w:rPr>
        <w:t>园区管委会应定期对区内企业进行巡视。可采取定期巡查、随机抽查或其他方式，由园区管委会组织专业人员或委托第三方机构，对照企业风险源分布情况，逐一对其防渗工程有效性进行现场检查。建议重点行业每年排查比例不低于在产企业总数的50%，其他企业排查比例不低于在园企业总数的30%。</w:t>
      </w:r>
    </w:p>
    <w:p>
      <w:pPr>
        <w:pStyle w:val="4"/>
      </w:pPr>
      <w:bookmarkStart w:id="787" w:name="_Toc146092054"/>
      <w:r>
        <w:rPr>
          <w:rFonts w:hint="eastAsia"/>
        </w:rPr>
        <w:t>8.5.6 应急治理措施</w:t>
      </w:r>
      <w:bookmarkEnd w:id="787"/>
    </w:p>
    <w:p>
      <w:pPr>
        <w:spacing w:line="360" w:lineRule="auto"/>
        <w:ind w:firstLine="480" w:firstLineChars="200"/>
        <w:rPr>
          <w:rFonts w:ascii="Times New Roman" w:hAnsi="Times New Roman" w:cs="Times New Roman"/>
        </w:rPr>
      </w:pPr>
      <w:r>
        <w:rPr>
          <w:rFonts w:hint="eastAsia" w:ascii="Times New Roman" w:hAnsi="Times New Roman" w:cs="Times New Roman"/>
        </w:rPr>
        <w:t>1）风险应急程序</w:t>
      </w:r>
    </w:p>
    <w:p>
      <w:pPr>
        <w:spacing w:line="360" w:lineRule="auto"/>
        <w:ind w:firstLine="480" w:firstLineChars="200"/>
        <w:rPr>
          <w:rFonts w:ascii="Times New Roman" w:hAnsi="Times New Roman" w:cs="Times New Roman"/>
        </w:rPr>
      </w:pPr>
      <w:r>
        <w:rPr>
          <w:rFonts w:hint="eastAsia" w:ascii="Times New Roman" w:hAnsi="Times New Roman" w:cs="Times New Roman"/>
        </w:rPr>
        <w:t>制定风险事故应急预案的目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治理程序。</w:t>
      </w:r>
    </w:p>
    <w:p>
      <w:pPr>
        <w:spacing w:line="360" w:lineRule="auto"/>
        <w:ind w:firstLine="480" w:firstLineChars="200"/>
        <w:rPr>
          <w:rFonts w:ascii="Times New Roman" w:hAnsi="Times New Roman" w:cs="Times New Roman"/>
        </w:rPr>
      </w:pPr>
      <w:r>
        <w:rPr>
          <w:rFonts w:hint="eastAsia" w:ascii="Times New Roman" w:hAnsi="Times New Roman" w:cs="Times New Roman"/>
        </w:rPr>
        <w:t>2）应急措施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①一旦发生地下水污染事故，应立即启动应急预案。</w:t>
      </w:r>
    </w:p>
    <w:p>
      <w:pPr>
        <w:spacing w:line="360" w:lineRule="auto"/>
        <w:ind w:firstLine="480" w:firstLineChars="200"/>
        <w:rPr>
          <w:rFonts w:ascii="Times New Roman" w:hAnsi="Times New Roman" w:cs="Times New Roman"/>
        </w:rPr>
      </w:pPr>
      <w:r>
        <w:rPr>
          <w:rFonts w:hint="eastAsia" w:ascii="Times New Roman" w:hAnsi="Times New Roman" w:cs="Times New Roman"/>
        </w:rPr>
        <w:t>②查明并切断污染源。</w:t>
      </w:r>
    </w:p>
    <w:p>
      <w:pPr>
        <w:spacing w:line="360" w:lineRule="auto"/>
        <w:ind w:firstLine="480" w:firstLineChars="200"/>
        <w:rPr>
          <w:rFonts w:ascii="Times New Roman" w:hAnsi="Times New Roman" w:cs="Times New Roman"/>
        </w:rPr>
      </w:pPr>
      <w:r>
        <w:rPr>
          <w:rFonts w:hint="eastAsia" w:ascii="Times New Roman" w:hAnsi="Times New Roman" w:cs="Times New Roman"/>
        </w:rPr>
        <w:t>③探明地下水污染深度、范围和污染程度。</w:t>
      </w:r>
    </w:p>
    <w:p>
      <w:pPr>
        <w:spacing w:line="360" w:lineRule="auto"/>
        <w:ind w:firstLine="480" w:firstLineChars="200"/>
        <w:rPr>
          <w:rFonts w:ascii="Times New Roman" w:hAnsi="Times New Roman" w:cs="Times New Roman"/>
        </w:rPr>
      </w:pPr>
      <w:r>
        <w:rPr>
          <w:rFonts w:hint="eastAsia" w:ascii="Times New Roman" w:hAnsi="Times New Roman" w:cs="Times New Roman"/>
        </w:rPr>
        <w:t>④依据探明的地下水污染情况，合理布置截渗井，并进行试抽工作。</w:t>
      </w:r>
    </w:p>
    <w:p>
      <w:pPr>
        <w:spacing w:line="360" w:lineRule="auto"/>
        <w:ind w:firstLine="480" w:firstLineChars="200"/>
        <w:rPr>
          <w:rFonts w:ascii="Times New Roman" w:hAnsi="Times New Roman" w:cs="Times New Roman"/>
        </w:rPr>
      </w:pPr>
      <w:r>
        <w:rPr>
          <w:rFonts w:hint="eastAsia" w:ascii="Times New Roman" w:hAnsi="Times New Roman" w:cs="Times New Roman"/>
        </w:rPr>
        <w:t>⑤依据抽水设计方案进行施工，抽取被污染的地下水体，并依据各井孔出水情况进行调整。</w:t>
      </w:r>
    </w:p>
    <w:p>
      <w:pPr>
        <w:spacing w:line="360" w:lineRule="auto"/>
        <w:ind w:firstLine="480" w:firstLineChars="200"/>
        <w:rPr>
          <w:rFonts w:ascii="Times New Roman" w:hAnsi="Times New Roman" w:cs="Times New Roman"/>
        </w:rPr>
      </w:pPr>
      <w:r>
        <w:rPr>
          <w:rFonts w:hint="eastAsia" w:ascii="Times New Roman" w:hAnsi="Times New Roman" w:cs="Times New Roman"/>
        </w:rPr>
        <w:t>⑥将抽取的地下水进行集中收集处理，并送实验室进行化验分析。</w:t>
      </w:r>
    </w:p>
    <w:p>
      <w:pPr>
        <w:spacing w:line="360" w:lineRule="auto"/>
        <w:ind w:firstLine="480" w:firstLineChars="200"/>
        <w:rPr>
          <w:rFonts w:ascii="Times New Roman" w:hAnsi="Times New Roman" w:cs="Times New Roman"/>
        </w:rPr>
      </w:pPr>
      <w:r>
        <w:rPr>
          <w:rFonts w:hint="eastAsia" w:ascii="Times New Roman" w:hAnsi="Times New Roman" w:cs="Times New Roman"/>
        </w:rPr>
        <w:t>⑦当地下水中的特征污染物浓度满足地下水功能区划的标准后，逐步停止抽水，并进行土壤修复治理工作。</w:t>
      </w:r>
    </w:p>
    <w:p>
      <w:pPr>
        <w:pStyle w:val="3"/>
      </w:pPr>
      <w:bookmarkStart w:id="788" w:name="_Toc146092055"/>
      <w:r>
        <w:rPr>
          <w:rFonts w:hint="eastAsia"/>
        </w:rPr>
        <w:t>8.6噪声污染防治措施</w:t>
      </w:r>
      <w:bookmarkEnd w:id="788"/>
    </w:p>
    <w:p>
      <w:pPr>
        <w:spacing w:line="360" w:lineRule="auto"/>
        <w:ind w:firstLine="480" w:firstLineChars="200"/>
        <w:rPr>
          <w:rFonts w:ascii="Times New Roman" w:hAnsi="Times New Roman" w:cs="Times New Roman"/>
        </w:rPr>
      </w:pPr>
      <w:r>
        <w:rPr>
          <w:rFonts w:hint="eastAsia" w:ascii="Times New Roman" w:hAnsi="Times New Roman" w:cs="Times New Roman"/>
        </w:rPr>
        <w:t>（1）施工期噪声防治</w:t>
      </w:r>
    </w:p>
    <w:p>
      <w:pPr>
        <w:spacing w:line="360" w:lineRule="auto"/>
        <w:ind w:firstLine="480" w:firstLineChars="200"/>
        <w:rPr>
          <w:rFonts w:ascii="Times New Roman" w:hAnsi="Times New Roman" w:cs="Times New Roman"/>
        </w:rPr>
      </w:pPr>
      <w:r>
        <w:rPr>
          <w:rFonts w:hint="eastAsia" w:ascii="Times New Roman" w:hAnsi="Times New Roman" w:cs="Times New Roman"/>
        </w:rPr>
        <w:t>①采用低噪声的施工机械和先进的施工技术，从源头削减噪声强度。</w:t>
      </w:r>
    </w:p>
    <w:p>
      <w:pPr>
        <w:spacing w:line="360" w:lineRule="auto"/>
        <w:ind w:firstLine="480" w:firstLineChars="200"/>
        <w:rPr>
          <w:rFonts w:ascii="Times New Roman" w:hAnsi="Times New Roman" w:cs="Times New Roman"/>
        </w:rPr>
      </w:pPr>
      <w:r>
        <w:rPr>
          <w:rFonts w:hint="eastAsia" w:ascii="Times New Roman" w:hAnsi="Times New Roman" w:cs="Times New Roman"/>
        </w:rPr>
        <w:t>②合理安排施工进度和作业时间，尽可能避开声环境敏感时段，合理布设高噪声施工设备。</w:t>
      </w:r>
    </w:p>
    <w:p>
      <w:pPr>
        <w:spacing w:line="360" w:lineRule="auto"/>
        <w:ind w:firstLine="480" w:firstLineChars="200"/>
        <w:rPr>
          <w:rFonts w:ascii="Times New Roman" w:hAnsi="Times New Roman" w:cs="Times New Roman"/>
        </w:rPr>
      </w:pPr>
      <w:r>
        <w:rPr>
          <w:rFonts w:hint="eastAsia" w:ascii="Times New Roman" w:hAnsi="Times New Roman" w:cs="Times New Roman"/>
        </w:rPr>
        <w:t>（2）工业生产噪声防治</w:t>
      </w:r>
    </w:p>
    <w:p>
      <w:pPr>
        <w:spacing w:line="360" w:lineRule="auto"/>
        <w:ind w:firstLine="480" w:firstLineChars="200"/>
        <w:rPr>
          <w:rFonts w:ascii="Times New Roman" w:hAnsi="Times New Roman" w:cs="Times New Roman"/>
        </w:rPr>
      </w:pPr>
      <w:r>
        <w:rPr>
          <w:rFonts w:hint="eastAsia" w:ascii="Times New Roman" w:hAnsi="Times New Roman" w:cs="Times New Roman"/>
        </w:rPr>
        <w:t>①采用先进的低噪声生产工艺及设备，控制噪声的产生。</w:t>
      </w:r>
    </w:p>
    <w:p>
      <w:pPr>
        <w:spacing w:line="360" w:lineRule="auto"/>
        <w:ind w:firstLine="480" w:firstLineChars="200"/>
        <w:rPr>
          <w:rFonts w:ascii="Times New Roman" w:hAnsi="Times New Roman" w:cs="Times New Roman"/>
        </w:rPr>
      </w:pPr>
      <w:r>
        <w:rPr>
          <w:rFonts w:hint="eastAsia" w:ascii="Times New Roman" w:hAnsi="Times New Roman" w:cs="Times New Roman"/>
        </w:rPr>
        <w:t>②针对强噪声源，采取隔声、消声、减振等措施，降低噪声强度；对于各类安全阀排气、事故排气门、送风机进口等排气放空噪声源应采取有效的消声、隔声措施。定期维护检修以确保设备运转正常，减少噪声发生量，使得其在厂界能达标排放。</w:t>
      </w:r>
    </w:p>
    <w:p>
      <w:pPr>
        <w:spacing w:line="360" w:lineRule="auto"/>
        <w:ind w:firstLine="480" w:firstLineChars="200"/>
        <w:rPr>
          <w:rFonts w:ascii="Times New Roman" w:hAnsi="Times New Roman" w:cs="Times New Roman"/>
        </w:rPr>
      </w:pPr>
      <w:r>
        <w:rPr>
          <w:rFonts w:hint="eastAsia" w:ascii="Times New Roman" w:hAnsi="Times New Roman" w:cs="Times New Roman"/>
        </w:rPr>
        <w:t>③优化各企业的总平面布置，使高噪声源远离厂界，同时加强厂区绿化。利用地形、地物降低噪声，在主干道两旁、工厂区周围及噪声敏感点周围栽种树木，乔灌结合，形成隔声林带。</w:t>
      </w:r>
    </w:p>
    <w:p>
      <w:pPr>
        <w:spacing w:line="360" w:lineRule="auto"/>
        <w:ind w:firstLine="480" w:firstLineChars="200"/>
        <w:rPr>
          <w:rFonts w:ascii="Times New Roman" w:hAnsi="Times New Roman" w:cs="Times New Roman"/>
        </w:rPr>
      </w:pPr>
      <w:r>
        <w:rPr>
          <w:rFonts w:hint="eastAsia" w:ascii="Times New Roman" w:hAnsi="Times New Roman" w:cs="Times New Roman"/>
        </w:rPr>
        <w:t>④各工业企业在机械设备选型时尽量选用低噪声设备，优化平面布置，工厂噪声设备布置应遵循“闹静分开”和“合理布局”的原则，高噪声设备尽量布置于室内，对强噪声源通过采取隔声、消声、减振等措施，降低噪声水平。</w:t>
      </w:r>
    </w:p>
    <w:p>
      <w:pPr>
        <w:spacing w:line="360" w:lineRule="auto"/>
        <w:ind w:firstLine="480" w:firstLineChars="200"/>
        <w:rPr>
          <w:rFonts w:ascii="Times New Roman" w:hAnsi="Times New Roman" w:cs="Times New Roman"/>
        </w:rPr>
      </w:pPr>
      <w:r>
        <w:rPr>
          <w:rFonts w:hint="eastAsia" w:ascii="Times New Roman" w:hAnsi="Times New Roman" w:cs="Times New Roman"/>
        </w:rPr>
        <w:t>⑤对新建、改建和扩建的项目，需按国家有关建设项目环境保护管理的规定执行。建设项目在做环境影响评价工作时，对项目可能产生的噪声污染，要提出防治措施。建设项目投入生产前，噪声污染防治设施需验收合格。</w:t>
      </w:r>
    </w:p>
    <w:p>
      <w:pPr>
        <w:spacing w:line="360" w:lineRule="auto"/>
        <w:ind w:firstLine="480" w:firstLineChars="200"/>
        <w:rPr>
          <w:rFonts w:ascii="Times New Roman" w:hAnsi="Times New Roman" w:cs="Times New Roman"/>
        </w:rPr>
      </w:pPr>
      <w:r>
        <w:rPr>
          <w:rFonts w:hint="eastAsia" w:ascii="Times New Roman" w:hAnsi="Times New Roman" w:cs="Times New Roman"/>
        </w:rPr>
        <w:t>（3）交通等其它噪声防治</w:t>
      </w:r>
    </w:p>
    <w:p>
      <w:pPr>
        <w:spacing w:line="360" w:lineRule="auto"/>
        <w:ind w:firstLine="480" w:firstLineChars="200"/>
        <w:rPr>
          <w:rFonts w:ascii="Times New Roman" w:hAnsi="Times New Roman" w:cs="Times New Roman"/>
        </w:rPr>
      </w:pPr>
      <w:r>
        <w:rPr>
          <w:rFonts w:hint="eastAsia" w:ascii="Times New Roman" w:hAnsi="Times New Roman" w:cs="Times New Roman"/>
        </w:rPr>
        <w:t>尽可能减少车辆噪声对规划区外村庄居民的影响，在居住区附近行驶时尽量降低车速。</w:t>
      </w:r>
    </w:p>
    <w:p>
      <w:pPr>
        <w:spacing w:line="360" w:lineRule="auto"/>
        <w:ind w:firstLine="480" w:firstLineChars="200"/>
        <w:rPr>
          <w:rFonts w:ascii="Times New Roman" w:hAnsi="Times New Roman" w:cs="Times New Roman"/>
        </w:rPr>
      </w:pPr>
      <w:r>
        <w:rPr>
          <w:rFonts w:hint="eastAsia" w:ascii="Times New Roman" w:hAnsi="Times New Roman" w:cs="Times New Roman"/>
        </w:rPr>
        <w:t>①优化园区总体规划，合理规划道路两侧用地，建设公路绿化带，采用沥青混凝土路面，以及合理设置临街建筑物使用功能。</w:t>
      </w:r>
    </w:p>
    <w:p>
      <w:pPr>
        <w:spacing w:line="360" w:lineRule="auto"/>
        <w:ind w:firstLine="480" w:firstLineChars="200"/>
        <w:rPr>
          <w:rFonts w:ascii="Times New Roman" w:hAnsi="Times New Roman" w:cs="Times New Roman"/>
        </w:rPr>
      </w:pPr>
      <w:r>
        <w:rPr>
          <w:rFonts w:hint="eastAsia" w:ascii="Times New Roman" w:hAnsi="Times New Roman" w:cs="Times New Roman"/>
        </w:rPr>
        <w:t>②园区边界连接的居住区与工业区设置绿化带，也可起到噪声防治的目的。加强绿化美化建设，完善交通标志等设施，落实道路两侧的绿化带建设。</w:t>
      </w:r>
    </w:p>
    <w:p>
      <w:pPr>
        <w:spacing w:line="360" w:lineRule="auto"/>
        <w:ind w:firstLine="480" w:firstLineChars="200"/>
        <w:rPr>
          <w:rFonts w:ascii="Times New Roman" w:hAnsi="Times New Roman" w:cs="Times New Roman"/>
        </w:rPr>
      </w:pPr>
      <w:r>
        <w:rPr>
          <w:rFonts w:hint="eastAsia" w:ascii="Times New Roman" w:hAnsi="Times New Roman" w:cs="Times New Roman"/>
        </w:rPr>
        <w:t>③合理规划企业的运输车辆的运输路线，对居民区集中的区域应尽可能绕行，避免车辆运输噪声对集中居住区产生交通噪声影响。</w:t>
      </w:r>
    </w:p>
    <w:p>
      <w:pPr>
        <w:pStyle w:val="3"/>
      </w:pPr>
      <w:bookmarkStart w:id="789" w:name="_Toc146092056"/>
      <w:r>
        <w:rPr>
          <w:rFonts w:hint="eastAsia"/>
        </w:rPr>
        <w:t>8.7固体废弃物污染环境减缓措施</w:t>
      </w:r>
      <w:bookmarkEnd w:id="789"/>
    </w:p>
    <w:p>
      <w:pPr>
        <w:spacing w:line="360" w:lineRule="auto"/>
        <w:ind w:firstLine="480" w:firstLineChars="200"/>
        <w:rPr>
          <w:rFonts w:ascii="Times New Roman" w:hAnsi="Times New Roman" w:cs="Times New Roman"/>
        </w:rPr>
      </w:pPr>
      <w:r>
        <w:rPr>
          <w:rFonts w:hint="eastAsia" w:ascii="Times New Roman" w:hAnsi="Times New Roman" w:cs="Times New Roman"/>
        </w:rPr>
        <w:t>（1）施工弃土弃渣</w:t>
      </w:r>
    </w:p>
    <w:p>
      <w:pPr>
        <w:spacing w:line="360" w:lineRule="auto"/>
        <w:ind w:firstLine="480" w:firstLineChars="200"/>
        <w:rPr>
          <w:rFonts w:ascii="Times New Roman" w:hAnsi="Times New Roman" w:cs="Times New Roman"/>
        </w:rPr>
      </w:pPr>
      <w:r>
        <w:rPr>
          <w:rFonts w:hint="eastAsia" w:ascii="Times New Roman" w:hAnsi="Times New Roman" w:cs="Times New Roman"/>
        </w:rPr>
        <w:t>整个园区建设涉及的挖方、填方量应尽量在园区内实现土方平衡，避免土方外运，严禁园区内弃土随意倾倒。</w:t>
      </w:r>
    </w:p>
    <w:p>
      <w:pPr>
        <w:spacing w:line="360" w:lineRule="auto"/>
        <w:ind w:firstLine="480" w:firstLineChars="200"/>
        <w:rPr>
          <w:rFonts w:ascii="Times New Roman" w:hAnsi="Times New Roman" w:cs="Times New Roman"/>
        </w:rPr>
      </w:pPr>
      <w:r>
        <w:rPr>
          <w:rFonts w:hint="eastAsia" w:ascii="Times New Roman" w:hAnsi="Times New Roman" w:cs="Times New Roman"/>
        </w:rPr>
        <w:t>（2）生活垃圾</w:t>
      </w:r>
    </w:p>
    <w:p>
      <w:pPr>
        <w:spacing w:line="360" w:lineRule="auto"/>
        <w:ind w:firstLine="480" w:firstLineChars="200"/>
        <w:rPr>
          <w:rFonts w:ascii="Times New Roman" w:hAnsi="Times New Roman" w:cs="Times New Roman"/>
        </w:rPr>
      </w:pPr>
      <w:r>
        <w:rPr>
          <w:rFonts w:hint="eastAsia" w:ascii="Times New Roman" w:hAnsi="Times New Roman" w:cs="Times New Roman"/>
        </w:rPr>
        <w:t>①加强生活垃圾的管理，促进生活垃圾达到无害化、减量化、资源化、社会化、产业化的目的。鼓励和督促居民和企业回收有用垃圾，配合环卫部门进行垃圾分类收集、处理，要求有害垃圾、工业垃圾不得混入生活垃圾等。</w:t>
      </w:r>
    </w:p>
    <w:p>
      <w:pPr>
        <w:spacing w:line="360" w:lineRule="auto"/>
        <w:ind w:firstLine="480" w:firstLineChars="200"/>
        <w:rPr>
          <w:rFonts w:ascii="Times New Roman" w:hAnsi="Times New Roman" w:cs="Times New Roman"/>
        </w:rPr>
      </w:pPr>
      <w:r>
        <w:rPr>
          <w:rFonts w:hint="eastAsia" w:ascii="Times New Roman" w:hAnsi="Times New Roman" w:cs="Times New Roman"/>
        </w:rPr>
        <w:t>②建立分类投放—分类收集—分类运输—分类管理的“链式系统”，在园区内设置一定密度的垃圾箱和投放点，环卫部门应及时组织清运产生的生活垃圾，送往岳阳市生活垃圾焚烧发电厂处理。</w:t>
      </w:r>
    </w:p>
    <w:p>
      <w:pPr>
        <w:spacing w:line="360" w:lineRule="auto"/>
        <w:ind w:firstLine="480" w:firstLineChars="200"/>
        <w:rPr>
          <w:rFonts w:ascii="Times New Roman" w:hAnsi="Times New Roman" w:cs="Times New Roman"/>
        </w:rPr>
      </w:pPr>
      <w:r>
        <w:rPr>
          <w:rFonts w:hint="eastAsia" w:ascii="Times New Roman" w:hAnsi="Times New Roman" w:cs="Times New Roman"/>
        </w:rPr>
        <w:t>（3）一般工业固废</w:t>
      </w:r>
    </w:p>
    <w:p>
      <w:pPr>
        <w:spacing w:line="360" w:lineRule="auto"/>
        <w:ind w:firstLine="480" w:firstLineChars="200"/>
        <w:rPr>
          <w:rFonts w:ascii="Times New Roman" w:hAnsi="Times New Roman" w:cs="Times New Roman"/>
        </w:rPr>
      </w:pPr>
      <w:r>
        <w:rPr>
          <w:rFonts w:hint="eastAsia" w:ascii="Times New Roman" w:hAnsi="Times New Roman" w:cs="Times New Roman"/>
        </w:rPr>
        <w:t>①各企业从工艺入手采用无废或少废的清洁生产技术，从产品设计、原材料的选择、工艺改革等途径减少工业固体废物的产生量，从发生源消除或减少一般工业固体废物的产生。</w:t>
      </w:r>
    </w:p>
    <w:p>
      <w:pPr>
        <w:spacing w:line="360" w:lineRule="auto"/>
        <w:ind w:firstLine="480" w:firstLineChars="200"/>
        <w:rPr>
          <w:rFonts w:ascii="Times New Roman" w:hAnsi="Times New Roman" w:cs="Times New Roman"/>
        </w:rPr>
      </w:pPr>
      <w:r>
        <w:rPr>
          <w:rFonts w:hint="eastAsia" w:ascii="Times New Roman" w:hAnsi="Times New Roman" w:cs="Times New Roman"/>
        </w:rPr>
        <w:t>②采取先进的固体废物综合利用技术，实行工业固体废物综合利用的优惠政策等措施，提高工业固体废物综合利用率，以实现“减量化、资源化、无害化”。</w:t>
      </w:r>
    </w:p>
    <w:p>
      <w:pPr>
        <w:spacing w:line="360" w:lineRule="auto"/>
        <w:ind w:firstLine="480" w:firstLineChars="200"/>
        <w:rPr>
          <w:rFonts w:ascii="Times New Roman" w:hAnsi="Times New Roman" w:cs="Times New Roman"/>
        </w:rPr>
      </w:pPr>
      <w:r>
        <w:rPr>
          <w:rFonts w:hint="eastAsia" w:ascii="Times New Roman" w:hAnsi="Times New Roman" w:cs="Times New Roman"/>
        </w:rPr>
        <w:t>③园区各企业产生的各类固体废弃物必须分类管理、定点堆放；对于能利用的工业固体废物回收综合利用；不能利用的工业固体废物可集中收集后送往垃圾填埋场。</w:t>
      </w:r>
    </w:p>
    <w:p>
      <w:pPr>
        <w:spacing w:line="360" w:lineRule="auto"/>
        <w:ind w:firstLine="480" w:firstLineChars="200"/>
        <w:rPr>
          <w:rFonts w:ascii="Times New Roman" w:hAnsi="Times New Roman" w:cs="Times New Roman"/>
        </w:rPr>
      </w:pPr>
      <w:r>
        <w:rPr>
          <w:rFonts w:hint="eastAsia" w:ascii="Times New Roman" w:hAnsi="Times New Roman" w:cs="Times New Roman"/>
        </w:rPr>
        <w:t>（4）危险废物</w:t>
      </w:r>
    </w:p>
    <w:p>
      <w:pPr>
        <w:spacing w:line="360" w:lineRule="auto"/>
        <w:ind w:firstLine="480" w:firstLineChars="200"/>
        <w:rPr>
          <w:rFonts w:ascii="Times New Roman" w:hAnsi="Times New Roman" w:cs="Times New Roman"/>
        </w:rPr>
      </w:pPr>
      <w:r>
        <w:rPr>
          <w:rFonts w:hint="eastAsia" w:ascii="Times New Roman" w:hAnsi="Times New Roman" w:cs="Times New Roman"/>
        </w:rPr>
        <w:t>园区产生的危险废物交由有危险废物资质的单位收集，集中进行安全处置。</w:t>
      </w:r>
    </w:p>
    <w:p>
      <w:pPr>
        <w:spacing w:line="360" w:lineRule="auto"/>
        <w:ind w:firstLine="480" w:firstLineChars="200"/>
        <w:rPr>
          <w:rFonts w:ascii="Times New Roman" w:hAnsi="Times New Roman" w:cs="Times New Roman"/>
        </w:rPr>
      </w:pPr>
      <w:r>
        <w:rPr>
          <w:rFonts w:hint="eastAsia" w:ascii="Times New Roman" w:hAnsi="Times New Roman" w:cs="Times New Roman"/>
        </w:rPr>
        <w:t>①每个入区企业都应按照《国家危险废物名录》对所产生的固体废物进行鉴别，有产生危险废物的，应到当地生态环境主管部门进行申报登记，并落实危险废物处置协议，对危险废物实施全过程管理。</w:t>
      </w:r>
    </w:p>
    <w:p>
      <w:pPr>
        <w:spacing w:line="360" w:lineRule="auto"/>
        <w:ind w:firstLine="480" w:firstLineChars="200"/>
        <w:rPr>
          <w:rFonts w:ascii="Times New Roman" w:hAnsi="Times New Roman" w:cs="Times New Roman"/>
        </w:rPr>
      </w:pPr>
      <w:r>
        <w:rPr>
          <w:rFonts w:hint="eastAsia" w:ascii="Times New Roman" w:hAnsi="Times New Roman" w:cs="Times New Roman"/>
        </w:rPr>
        <w:t>②危险废物的处置、转运应按照《危险废物转移联单管理办法》等有关规定执行，委托处置的必须交有资质单位安全处置，严厉打击非法违规转移危险废物和流入环境的违法行为。</w:t>
      </w:r>
    </w:p>
    <w:p>
      <w:pPr>
        <w:spacing w:line="360" w:lineRule="auto"/>
        <w:ind w:firstLine="480" w:firstLineChars="200"/>
        <w:rPr>
          <w:rFonts w:ascii="Times New Roman" w:hAnsi="Times New Roman" w:cs="Times New Roman"/>
        </w:rPr>
      </w:pPr>
      <w:r>
        <w:rPr>
          <w:rFonts w:hint="eastAsia" w:ascii="Times New Roman" w:hAnsi="Times New Roman" w:cs="Times New Roman"/>
        </w:rPr>
        <w:t>③危险废物在厂内暂存应按照《危险废物贮存污染控制标准》的要求，设计、建造或改建用于专门存放危险废物的设施，按废物的形态、化学性质和危害等进行分类堆放，并设专业人员进行连续管理。危险废物的贮存设施应满足以下要求：</w:t>
      </w:r>
    </w:p>
    <w:p>
      <w:pPr>
        <w:spacing w:line="360" w:lineRule="auto"/>
        <w:ind w:firstLine="480" w:firstLineChars="200"/>
        <w:rPr>
          <w:rFonts w:ascii="Times New Roman" w:hAnsi="Times New Roman" w:cs="Times New Roman"/>
        </w:rPr>
      </w:pPr>
      <w:r>
        <w:rPr>
          <w:rFonts w:hint="eastAsia" w:ascii="Times New Roman" w:hAnsi="Times New Roman" w:cs="Times New Roman"/>
        </w:rPr>
        <w:t>a、应建有堵截泄漏的裙脚，地面与裙脚要用坚固防渗的材料建造。应有隔离设施、报警装置和防风、防晒、防雨设施；</w:t>
      </w:r>
    </w:p>
    <w:p>
      <w:pPr>
        <w:spacing w:line="360" w:lineRule="auto"/>
        <w:ind w:firstLine="480" w:firstLineChars="200"/>
        <w:rPr>
          <w:rFonts w:ascii="Times New Roman" w:hAnsi="Times New Roman" w:cs="Times New Roman"/>
        </w:rPr>
      </w:pPr>
      <w:r>
        <w:rPr>
          <w:rFonts w:hint="eastAsia" w:ascii="Times New Roman" w:hAnsi="Times New Roman" w:cs="Times New Roman"/>
        </w:rPr>
        <w:t>b、基础防渗层为粘土层的，其厚度应在1m以上，渗透系数应小于1.0×10-7cm/s；基础防渗层也可用厚度在2mm以上的高密度聚乙烯或其他人工防渗材料组成，渗透系数应小于1.0×10-10cm/s；</w:t>
      </w:r>
    </w:p>
    <w:p>
      <w:pPr>
        <w:spacing w:line="360" w:lineRule="auto"/>
        <w:ind w:firstLine="480" w:firstLineChars="200"/>
        <w:rPr>
          <w:rFonts w:ascii="Times New Roman" w:hAnsi="Times New Roman" w:cs="Times New Roman"/>
        </w:rPr>
      </w:pPr>
      <w:r>
        <w:rPr>
          <w:rFonts w:hint="eastAsia" w:ascii="Times New Roman" w:hAnsi="Times New Roman" w:cs="Times New Roman"/>
        </w:rPr>
        <w:t>c、须有泄漏液体收集装置；用于存放液体、半固体危险废物的地方还须有耐腐蚀的硬化地面，地面无裂隙；</w:t>
      </w:r>
    </w:p>
    <w:p>
      <w:pPr>
        <w:spacing w:line="360" w:lineRule="auto"/>
        <w:ind w:firstLine="480" w:firstLineChars="200"/>
        <w:rPr>
          <w:rFonts w:ascii="Times New Roman" w:hAnsi="Times New Roman" w:cs="Times New Roman"/>
        </w:rPr>
      </w:pPr>
      <w:r>
        <w:rPr>
          <w:rFonts w:hint="eastAsia" w:ascii="Times New Roman" w:hAnsi="Times New Roman" w:cs="Times New Roman"/>
        </w:rPr>
        <w:t>d、衬层上需建有渗滤液收集系统（或装置）。</w:t>
      </w:r>
    </w:p>
    <w:p>
      <w:pPr>
        <w:spacing w:line="360" w:lineRule="auto"/>
        <w:ind w:firstLine="480" w:firstLineChars="200"/>
        <w:rPr>
          <w:rFonts w:ascii="Times New Roman" w:hAnsi="Times New Roman" w:cs="Times New Roman"/>
        </w:rPr>
      </w:pPr>
      <w:r>
        <w:rPr>
          <w:rFonts w:hint="eastAsia" w:ascii="Times New Roman" w:hAnsi="Times New Roman" w:cs="Times New Roman"/>
        </w:rPr>
        <w:t>④园区建立危险废物信息管理系统，包括废物产生单位基本情况、废物产生及去向信息、废物产生单位综合信息、废物综合利用、贮存处置设置、国家和地方废物管理政策法规标准、废物物理化学毒性等特性信息、废物供求单位信息等内容。这些信息应包含危险废物本身的详细信息，产生这些危险废物的企业的详细信息和废物管理信息，其中企业信息包括单位名称、企业性质、所在位置、生产工艺流程、生产原料、产品名称、设施运行情况；废物本身信息包括其年产生量、年综合利用量、年处置量、年排放量、废物名称、废物类别代码、废物形态及废物物化特性等；废物管理信息包括废物综合利用设施运行情况、处置设施运行情况、储存设施运行情况、管理政策、管理法规、技术导则、技术标准和污染控制标准。</w:t>
      </w:r>
    </w:p>
    <w:p>
      <w:pPr>
        <w:pStyle w:val="3"/>
      </w:pPr>
      <w:bookmarkStart w:id="790" w:name="_Toc146092057"/>
      <w:r>
        <w:rPr>
          <w:rFonts w:hint="eastAsia"/>
        </w:rPr>
        <w:t>8.8土壤环境影响减缓措施</w:t>
      </w:r>
      <w:bookmarkEnd w:id="790"/>
    </w:p>
    <w:p>
      <w:pPr>
        <w:spacing w:line="360" w:lineRule="auto"/>
        <w:ind w:firstLine="480" w:firstLineChars="200"/>
        <w:rPr>
          <w:rFonts w:ascii="Times New Roman" w:hAnsi="Times New Roman" w:cs="Times New Roman"/>
        </w:rPr>
      </w:pPr>
      <w:r>
        <w:rPr>
          <w:rFonts w:hint="eastAsia" w:ascii="Times New Roman" w:hAnsi="Times New Roman" w:cs="Times New Roman"/>
        </w:rPr>
        <w:t>（1）严格规划项目用地环境准入管理</w:t>
      </w:r>
    </w:p>
    <w:p>
      <w:pPr>
        <w:spacing w:line="360" w:lineRule="auto"/>
        <w:ind w:firstLine="480" w:firstLineChars="200"/>
        <w:rPr>
          <w:rFonts w:ascii="Times New Roman" w:hAnsi="Times New Roman" w:cs="Times New Roman"/>
        </w:rPr>
      </w:pPr>
      <w:r>
        <w:rPr>
          <w:rFonts w:hint="eastAsia" w:ascii="Times New Roman" w:hAnsi="Times New Roman" w:cs="Times New Roman"/>
        </w:rPr>
        <w:t>①在规划项目环境影响评价中，强化土壤环境调查，开展土壤环境影响评价内容，明确防范土壤污染具体措施，纳入“三同时”管理。</w:t>
      </w:r>
    </w:p>
    <w:p>
      <w:pPr>
        <w:spacing w:line="360" w:lineRule="auto"/>
        <w:ind w:firstLine="480" w:firstLineChars="200"/>
        <w:rPr>
          <w:rFonts w:ascii="Times New Roman" w:hAnsi="Times New Roman" w:cs="Times New Roman"/>
        </w:rPr>
      </w:pPr>
      <w:r>
        <w:rPr>
          <w:rFonts w:hint="eastAsia" w:ascii="Times New Roman" w:hAnsi="Times New Roman" w:cs="Times New Roman"/>
        </w:rPr>
        <w:t>②拟开发为建设用地的未利用地，符合土壤环境质量要求的地块，方可进入用地程序；不符合土壤环境质量要求的，由园区管委会划定管控区域，按照相关规定采取环境风险管控措施。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③推进园区统一规划、集聚发展，实现园区化、专业化管理。严格执行相关行业企业布局选址要求，禁止在居民区、学校、医疗和养老机构等敏感区域周边布局重污染项目。</w:t>
      </w:r>
    </w:p>
    <w:p>
      <w:pPr>
        <w:spacing w:line="360" w:lineRule="auto"/>
        <w:ind w:firstLine="480" w:firstLineChars="200"/>
        <w:rPr>
          <w:rFonts w:ascii="Times New Roman" w:hAnsi="Times New Roman" w:cs="Times New Roman"/>
        </w:rPr>
      </w:pPr>
      <w:r>
        <w:rPr>
          <w:rFonts w:hint="eastAsia" w:ascii="Times New Roman" w:hAnsi="Times New Roman" w:cs="Times New Roman"/>
        </w:rPr>
        <w:t>④结合产业结构调整和化解过剩产能要求的实施，依法搬迁或关闭对土壤造成严重污染的现有企业。</w:t>
      </w:r>
    </w:p>
    <w:p>
      <w:pPr>
        <w:spacing w:line="360" w:lineRule="auto"/>
        <w:ind w:firstLine="480" w:firstLineChars="200"/>
        <w:rPr>
          <w:rFonts w:ascii="Times New Roman" w:hAnsi="Times New Roman" w:cs="Times New Roman"/>
        </w:rPr>
      </w:pPr>
      <w:r>
        <w:rPr>
          <w:rFonts w:hint="eastAsia" w:ascii="Times New Roman" w:hAnsi="Times New Roman" w:cs="Times New Roman"/>
        </w:rPr>
        <w:t>⑤建立回收土地土壤环境调查评估制度。对拟收回或已收回土地使用权的化工等行业企业和危险废物利用处置企业用地，以及用途拟变更为居住和商业、学校、医疗、养老机构等公共设施的上述用地，由土地使用权人开展土壤环境调查评估，加强再开发利用的土壤环境准入管理。</w:t>
      </w:r>
    </w:p>
    <w:p>
      <w:pPr>
        <w:spacing w:line="360" w:lineRule="auto"/>
        <w:ind w:firstLine="480" w:firstLineChars="200"/>
        <w:rPr>
          <w:rFonts w:ascii="Times New Roman" w:hAnsi="Times New Roman" w:cs="Times New Roman"/>
        </w:rPr>
      </w:pPr>
      <w:r>
        <w:rPr>
          <w:rFonts w:hint="eastAsia" w:ascii="Times New Roman" w:hAnsi="Times New Roman" w:cs="Times New Roman"/>
        </w:rPr>
        <w:t>⑥根据疑似污染地块、污染地块名录及其土壤环境质量评估结果、负面清单，合理确定污染地块的土地用途，明确污染地块再开发利用必须符合规划用途的土壤环境质量要求，不符合相应规划用地土壤环境质量要求的地块，不得核发建设工程规划许可证。</w:t>
      </w:r>
    </w:p>
    <w:p>
      <w:pPr>
        <w:spacing w:line="360" w:lineRule="auto"/>
        <w:ind w:firstLine="480" w:firstLineChars="200"/>
        <w:rPr>
          <w:rFonts w:ascii="Times New Roman" w:hAnsi="Times New Roman" w:cs="Times New Roman"/>
        </w:rPr>
      </w:pPr>
      <w:r>
        <w:rPr>
          <w:rFonts w:hint="eastAsia" w:ascii="Times New Roman" w:hAnsi="Times New Roman" w:cs="Times New Roman"/>
        </w:rPr>
        <w:t>（2）土壤环境保护措施与对策应符合“预防为主、严控增量”的原则</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内产生的固体废物主要包括居民生活垃圾，工业区的工业固体废物。建立政府、社区、企业和居民协调机制，通过分类投放收集、综合循环利用，促进垃圾减量化、资源化、无害化。结合新农村建设，完善村庄保洁制度，推进农村生活污水和生活垃圾治理。加强工业固体废物综合利用，园区内各固体废物暂存设施及场所，严格按照相关规范设置，加强地表防渗，采取顶棚措施避免雨淋等，从源头降低固体废物对土壤污染的风险。严格危险化学品监管，避免对土壤环境造成影响，做到精细管理源头、规范储存转运、严格过程监控、确保无害化处置。</w:t>
      </w:r>
    </w:p>
    <w:p>
      <w:pPr>
        <w:spacing w:line="360" w:lineRule="auto"/>
        <w:ind w:firstLine="480" w:firstLineChars="200"/>
        <w:rPr>
          <w:rFonts w:ascii="Times New Roman" w:hAnsi="Times New Roman" w:cs="Times New Roman"/>
        </w:rPr>
      </w:pPr>
      <w:r>
        <w:rPr>
          <w:rFonts w:hint="eastAsia" w:ascii="Times New Roman" w:hAnsi="Times New Roman" w:cs="Times New Roman"/>
        </w:rPr>
        <w:t>（3）企业依法履行土壤污染防治义务，建立土壤污染定期监测制度</w:t>
      </w:r>
    </w:p>
    <w:p>
      <w:pPr>
        <w:spacing w:line="360" w:lineRule="auto"/>
        <w:ind w:firstLine="480" w:firstLineChars="200"/>
        <w:rPr>
          <w:rFonts w:ascii="Times New Roman" w:hAnsi="Times New Roman" w:cs="Times New Roman"/>
        </w:rPr>
      </w:pPr>
      <w:r>
        <w:rPr>
          <w:rFonts w:hint="eastAsia" w:ascii="Times New Roman" w:hAnsi="Times New Roman" w:cs="Times New Roman"/>
        </w:rPr>
        <w:t>根据《中华人民共和国土壤污染防治法》、《工矿用地土壤环境管理办法（试行）》等相关要求，重点监管单位应依法履行土壤污染防治义务，主要工作如下：严格控制有毒有害物质排放，并按年度向生态环境主管部门报告排放情况；建立土壤污染隐患排查制度，保证持续有效防止有毒有害物质渗漏、流失、扬散；制定、实施自行监测方案，将监测数据报生态环境主管部门并向社会公开；重点监管单位拆除设施、设备或者建筑物、构筑物前，应当制定包括应急措施在内的土壤污染防治工作方案，报生态环境、工业和信息化主管部门备案；建设和运行污水集中处理设施、固体废物处置设施时，应当依法采取措施防止土壤污染；重点监管单位现有或新、改、扩建项目有毒有害物质地下储罐的信息，应报送至生态主管部门备案；重点监管单位终止生产经营活动前，应当参照污染地块土壤环境管理有关规定，开展土壤和地下水环境初步调查，编制调查报告，并将其上传至全国污染地块土壤环境管理信息系统。</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园区内重点监控企业每年要自行对其用地土壤进行环境监测，结果向社会公开。园区环境执法部门应定期对重点监管企业和工业园区周边土壤开展监督性监测，监测结果作为环境执法和风险预警的重要依据。</w:t>
      </w:r>
    </w:p>
    <w:p>
      <w:pPr>
        <w:spacing w:line="360" w:lineRule="auto"/>
        <w:ind w:firstLine="480" w:firstLineChars="200"/>
        <w:rPr>
          <w:rFonts w:ascii="Times New Roman" w:hAnsi="Times New Roman" w:cs="Times New Roman"/>
        </w:rPr>
      </w:pPr>
      <w:r>
        <w:rPr>
          <w:rFonts w:hint="eastAsia" w:ascii="Times New Roman" w:hAnsi="Times New Roman" w:cs="Times New Roman"/>
        </w:rPr>
        <w:t>（4）强化土壤环境执法</w:t>
      </w:r>
    </w:p>
    <w:p>
      <w:pPr>
        <w:spacing w:line="360" w:lineRule="auto"/>
        <w:ind w:firstLine="480" w:firstLineChars="200"/>
        <w:rPr>
          <w:rFonts w:ascii="Times New Roman" w:hAnsi="Times New Roman" w:cs="Times New Roman"/>
        </w:rPr>
      </w:pPr>
      <w:r>
        <w:rPr>
          <w:rFonts w:hint="eastAsia" w:ascii="Times New Roman" w:hAnsi="Times New Roman" w:cs="Times New Roman"/>
        </w:rPr>
        <w:t>明确监管重点，针对园区现有和拟建企业，根据其生产过程和产排污情况分析土壤污染风险，确定土壤环境污染重点监管单位名单，实行动态更新，并向社会公布。加强土壤环境执法，落实行政执法与刑事司法衔接机制，严厉打击非法排放、倾倒、填埋含有毒有害物质、违法违规存放处置危险废物和危化品、不正常使用污染治理设施、监测数据造假等环境违法行为，严厉查处相关领域职能部门、从业单位及个人违法违规行为。</w:t>
      </w:r>
    </w:p>
    <w:p>
      <w:pPr>
        <w:spacing w:line="360" w:lineRule="auto"/>
        <w:ind w:firstLine="480" w:firstLineChars="200"/>
        <w:rPr>
          <w:rFonts w:ascii="Times New Roman" w:hAnsi="Times New Roman" w:cs="Times New Roman"/>
        </w:rPr>
      </w:pPr>
      <w:r>
        <w:rPr>
          <w:rFonts w:hint="eastAsia" w:ascii="Times New Roman" w:hAnsi="Times New Roman" w:cs="Times New Roman"/>
        </w:rPr>
        <w:t>（5）搬迁企业应开展用地土壤污染评估及整治</w:t>
      </w:r>
    </w:p>
    <w:p>
      <w:pPr>
        <w:spacing w:line="360" w:lineRule="auto"/>
        <w:ind w:firstLine="480" w:firstLineChars="200"/>
        <w:rPr>
          <w:rFonts w:ascii="Times New Roman" w:hAnsi="Times New Roman" w:cs="Times New Roman"/>
        </w:rPr>
      </w:pPr>
      <w:r>
        <w:rPr>
          <w:rFonts w:hint="eastAsia" w:ascii="Times New Roman" w:hAnsi="Times New Roman" w:cs="Times New Roman"/>
        </w:rPr>
        <w:t>按照“谁污染谁治理”的原则，造成土壤污染的单位或个人要承担治理与修复的主体责任。责任主体发生变更的，由变更后继承其债权、债务的单位或个人承担相关责任；土地使用权依法转让的，由土地使用权受让人或双方约定的责任人承担相关责任。责任主体灭失或责任主体不明确的，由所在地人民政府依法承担相关责任。园区在后续开发管理过程中如有搬迁企业则应落实搬迁企业原址土壤环境影响预评估，在此基础上，根据污染物特征、污染场地类型制定科学有效的污染场地修复方案，进行污染场地修复。修复后的场地，须经有关部门验收通过后，方可进行再开发利用。未经治理与修复或者治理与修复后不能满足新的用地要求的，有关部门不得为其办理相应的规划、供地、建设等审批手续。</w:t>
      </w:r>
    </w:p>
    <w:p>
      <w:pPr>
        <w:spacing w:line="360" w:lineRule="auto"/>
        <w:ind w:firstLine="480" w:firstLineChars="200"/>
        <w:rPr>
          <w:rFonts w:ascii="Times New Roman" w:hAnsi="Times New Roman" w:cs="Times New Roman"/>
        </w:rPr>
      </w:pPr>
      <w:r>
        <w:rPr>
          <w:rFonts w:hint="eastAsia" w:ascii="Times New Roman" w:hAnsi="Times New Roman" w:cs="Times New Roman"/>
        </w:rPr>
        <w:t>（6）规范危险废物产生及经营单位行为</w:t>
      </w:r>
    </w:p>
    <w:p>
      <w:pPr>
        <w:spacing w:line="360" w:lineRule="auto"/>
        <w:ind w:firstLine="480" w:firstLineChars="200"/>
        <w:rPr>
          <w:rFonts w:ascii="Times New Roman" w:hAnsi="Times New Roman" w:cs="Times New Roman"/>
        </w:rPr>
      </w:pPr>
      <w:r>
        <w:rPr>
          <w:rFonts w:hint="eastAsia" w:ascii="Times New Roman" w:hAnsi="Times New Roman" w:cs="Times New Roman"/>
        </w:rPr>
        <w:t>①园区应进一步规范危险废物产生及经营单位有关土壤污染防治的工作，危险废物产生企业和利用处置企业要根据土壤污染防治相关要求，完善突发环境事件应急预案内容，并向所在地生态环境主管部门备案。建设危险废物信息化监控平台，规范危险废物收集、贮存、转移和利用处置活动，强化对危险废物产生单位自行利用处置危险废物活动的管理。</w:t>
      </w:r>
    </w:p>
    <w:p>
      <w:pPr>
        <w:spacing w:line="360" w:lineRule="auto"/>
        <w:ind w:firstLine="480" w:firstLineChars="200"/>
        <w:rPr>
          <w:rFonts w:ascii="Times New Roman" w:hAnsi="Times New Roman" w:cs="Times New Roman"/>
        </w:rPr>
      </w:pPr>
      <w:r>
        <w:rPr>
          <w:rFonts w:hint="eastAsia" w:ascii="Times New Roman" w:hAnsi="Times New Roman" w:cs="Times New Roman"/>
        </w:rPr>
        <w:t>②严厉打击非法倾倒危险废物违法犯罪活动。组织危险废物环境隐患专项排查整治，全面查清涉危单位生产经营重点环节、重点场所环境风险隐患，精准掌控涉危单位产生、贮存、运输、接收、利用、处置等情况，建立危险废物监督管理台帐。强化应急管理、生态环境、卫生健康、公安、交通运输等部门联合执法，以化工为重点行业，以废酸、废碱和废弃危险化学品等为重点类别，以贮存处置量大、非法转移、倾倒、处置案件频发和管理力量薄弱的市县为重点区域，创新采用大数据分析和产废数量核查等措施，持续保持高压严打态势，严厉打击危险废物非法转移、倾倒和处理处置等违法犯罪行为。</w:t>
      </w:r>
    </w:p>
    <w:p>
      <w:pPr>
        <w:pStyle w:val="3"/>
      </w:pPr>
      <w:bookmarkStart w:id="791" w:name="_Toc146092058"/>
      <w:r>
        <w:rPr>
          <w:rFonts w:hint="eastAsia"/>
        </w:rPr>
        <w:t>8.9生态环境破坏减缓措施</w:t>
      </w:r>
      <w:bookmarkEnd w:id="791"/>
    </w:p>
    <w:p>
      <w:pPr>
        <w:spacing w:line="360" w:lineRule="auto"/>
        <w:ind w:firstLine="480" w:firstLineChars="200"/>
        <w:rPr>
          <w:rFonts w:ascii="Times New Roman" w:hAnsi="Times New Roman" w:cs="Times New Roman"/>
        </w:rPr>
      </w:pPr>
      <w:r>
        <w:rPr>
          <w:rFonts w:hint="eastAsia" w:ascii="Times New Roman" w:hAnsi="Times New Roman" w:cs="Times New Roman"/>
        </w:rPr>
        <w:t>（1）建设期水土流失的保护措施</w:t>
      </w:r>
    </w:p>
    <w:p>
      <w:pPr>
        <w:spacing w:line="360" w:lineRule="auto"/>
        <w:ind w:firstLine="480" w:firstLineChars="200"/>
        <w:rPr>
          <w:rFonts w:ascii="Times New Roman" w:hAnsi="Times New Roman" w:cs="Times New Roman"/>
        </w:rPr>
      </w:pPr>
      <w:r>
        <w:rPr>
          <w:rFonts w:hint="eastAsia" w:ascii="Times New Roman" w:hAnsi="Times New Roman" w:cs="Times New Roman"/>
        </w:rPr>
        <w:t>建设期主要是路网、管网、房屋建筑的建设。主要影响是扰动地表、破坏植被、产生新的水土流失。因此，在扰动地表大的区域，特别是高挖深填地域，施工时须同时建挡土墙、护墙、浆砌片石等工程，以稳定边坡，防止坡面崩塌。</w:t>
      </w:r>
    </w:p>
    <w:p>
      <w:pPr>
        <w:spacing w:line="360" w:lineRule="auto"/>
        <w:ind w:firstLine="480" w:firstLineChars="200"/>
        <w:rPr>
          <w:rFonts w:ascii="Times New Roman" w:hAnsi="Times New Roman" w:cs="Times New Roman"/>
        </w:rPr>
      </w:pPr>
      <w:r>
        <w:rPr>
          <w:rFonts w:hint="eastAsia" w:ascii="Times New Roman" w:hAnsi="Times New Roman" w:cs="Times New Roman"/>
        </w:rPr>
        <w:t>在道路施工时，应及时夯实边坡，设置临时排水沟，路面及时固化。严禁在无水土保持措施的条件下，直接将工程施工产生的废渣堆放在低洼沟渠边。</w:t>
      </w:r>
    </w:p>
    <w:p>
      <w:pPr>
        <w:spacing w:line="360" w:lineRule="auto"/>
        <w:ind w:firstLine="480" w:firstLineChars="200"/>
        <w:rPr>
          <w:rFonts w:ascii="Times New Roman" w:hAnsi="Times New Roman" w:cs="Times New Roman"/>
        </w:rPr>
      </w:pPr>
      <w:r>
        <w:rPr>
          <w:rFonts w:hint="eastAsia" w:ascii="Times New Roman" w:hAnsi="Times New Roman" w:cs="Times New Roman"/>
        </w:rPr>
        <w:t>注意施工中挖填平衡，强化渣土管理，避免影响市容。施工弃渣应运往指定地点填埋，严禁随意倾倒。应对边坡、因开挖造成地表裸露处做好绿化，或用草席、沙袋对坡面进行暂时护理，以防产生水土流失。</w:t>
      </w:r>
    </w:p>
    <w:p>
      <w:pPr>
        <w:spacing w:line="360" w:lineRule="auto"/>
        <w:ind w:firstLine="480" w:firstLineChars="200"/>
        <w:rPr>
          <w:rFonts w:ascii="Times New Roman" w:hAnsi="Times New Roman" w:cs="Times New Roman"/>
        </w:rPr>
      </w:pPr>
      <w:r>
        <w:rPr>
          <w:rFonts w:hint="eastAsia" w:ascii="Times New Roman" w:hAnsi="Times New Roman" w:cs="Times New Roman"/>
        </w:rPr>
        <w:t>施工时应尽量保留园区内表土用于园区绿化覆土；应尽量避开暴雨季节施工。做好施工期废水防护措施以及水土流失临时防护措施，不得将施工废水直接外排。</w:t>
      </w:r>
    </w:p>
    <w:p>
      <w:pPr>
        <w:spacing w:line="360" w:lineRule="auto"/>
        <w:ind w:firstLine="480" w:firstLineChars="200"/>
        <w:rPr>
          <w:rFonts w:ascii="Times New Roman" w:hAnsi="Times New Roman" w:cs="Times New Roman"/>
        </w:rPr>
      </w:pPr>
      <w:r>
        <w:rPr>
          <w:rFonts w:hint="eastAsia" w:ascii="Times New Roman" w:hAnsi="Times New Roman" w:cs="Times New Roman"/>
        </w:rPr>
        <w:t>（2）生境稳定性与自然景观负面影响的消减</w:t>
      </w:r>
    </w:p>
    <w:p>
      <w:pPr>
        <w:spacing w:line="360" w:lineRule="auto"/>
        <w:ind w:firstLine="480" w:firstLineChars="200"/>
        <w:rPr>
          <w:rFonts w:ascii="Times New Roman" w:hAnsi="Times New Roman" w:cs="Times New Roman"/>
        </w:rPr>
      </w:pPr>
      <w:r>
        <w:rPr>
          <w:rFonts w:hint="eastAsia" w:ascii="Times New Roman" w:hAnsi="Times New Roman" w:cs="Times New Roman"/>
        </w:rPr>
        <w:t>园区建设将改变区域土地利用格局，除造成土地自然生产能力降低外，也会对动植物的移动产生影响。为消减对区域生境稳定状况的影响，凡施工或用地可能造成林地破碎化的地方，应进行生态学设计，如减少破碎化程度的设计；为减少道路施工对两侧山地植被的影响、地块施工对周围植被的影响，要标桩划界，严禁施工人员进入非施工占地区域毁坏植被。</w:t>
      </w:r>
    </w:p>
    <w:p>
      <w:pPr>
        <w:spacing w:line="360" w:lineRule="auto"/>
        <w:ind w:firstLine="480" w:firstLineChars="200"/>
        <w:rPr>
          <w:rFonts w:ascii="Times New Roman" w:hAnsi="Times New Roman" w:cs="Times New Roman"/>
        </w:rPr>
      </w:pPr>
      <w:r>
        <w:rPr>
          <w:rFonts w:hint="eastAsia" w:ascii="Times New Roman" w:hAnsi="Times New Roman" w:cs="Times New Roman"/>
        </w:rPr>
        <w:t>为消减开发活动对自然景观的影响，应依山就势，注重个性化设计，对山体应尽多保留，优化用地，通过景观设计与自然保持和谐，尽可能的消减城市化景观影响。</w:t>
      </w:r>
    </w:p>
    <w:p>
      <w:pPr>
        <w:spacing w:line="360" w:lineRule="auto"/>
        <w:ind w:firstLine="480" w:firstLineChars="200"/>
        <w:rPr>
          <w:rFonts w:ascii="Times New Roman" w:hAnsi="Times New Roman" w:cs="Times New Roman"/>
        </w:rPr>
      </w:pPr>
      <w:r>
        <w:rPr>
          <w:rFonts w:hint="eastAsia" w:ascii="Times New Roman" w:hAnsi="Times New Roman" w:cs="Times New Roman"/>
        </w:rPr>
        <w:t>（3）生态影响防护和恢复方案</w:t>
      </w:r>
    </w:p>
    <w:p>
      <w:pPr>
        <w:spacing w:line="360" w:lineRule="auto"/>
        <w:ind w:firstLine="480" w:firstLineChars="200"/>
        <w:rPr>
          <w:rFonts w:ascii="Times New Roman" w:hAnsi="Times New Roman" w:cs="Times New Roman"/>
        </w:rPr>
      </w:pPr>
      <w:r>
        <w:rPr>
          <w:rFonts w:hint="eastAsia" w:ascii="Times New Roman" w:hAnsi="Times New Roman" w:cs="Times New Roman"/>
        </w:rPr>
        <w:t>主要从生态影响的避免、消减和补偿三个方面来确定，具体的防护与恢复方案如下。</w:t>
      </w:r>
    </w:p>
    <w:p>
      <w:pPr>
        <w:spacing w:line="360" w:lineRule="auto"/>
        <w:ind w:firstLine="480" w:firstLineChars="200"/>
        <w:rPr>
          <w:rFonts w:ascii="Times New Roman" w:hAnsi="Times New Roman" w:cs="Times New Roman"/>
        </w:rPr>
      </w:pPr>
      <w:r>
        <w:rPr>
          <w:rFonts w:hint="eastAsia" w:ascii="Times New Roman" w:hAnsi="Times New Roman" w:cs="Times New Roman"/>
        </w:rPr>
        <w:t>1）施工期生态环境影响的保护与恢复措施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区域建设要力求同自然景观、生态环境相融洽，区内基础及服务设施建设要严格设计施工，以对周围植被和生态环境破坏最小为宜；平面布置与空间布局应合理，水、电、通讯、截排水等应统一规划施工，避免重复开挖。</w:t>
      </w:r>
    </w:p>
    <w:p>
      <w:pPr>
        <w:spacing w:line="360" w:lineRule="auto"/>
        <w:ind w:firstLine="480" w:firstLineChars="200"/>
        <w:rPr>
          <w:rFonts w:ascii="Times New Roman" w:hAnsi="Times New Roman" w:cs="Times New Roman"/>
        </w:rPr>
      </w:pPr>
      <w:r>
        <w:rPr>
          <w:rFonts w:hint="eastAsia" w:ascii="Times New Roman" w:hAnsi="Times New Roman" w:cs="Times New Roman"/>
        </w:rPr>
        <w:t>②项目建设要按总体规划分期分批进行，筛选最佳建设方案，要合理规划施工时的临时用地，对那些不必要的占地和施工要尽量避免。尽量减小施工噪声源强，最大限度减少施工对动植物的影响，避免给生态环境造成更严重的破坏。</w:t>
      </w:r>
    </w:p>
    <w:p>
      <w:pPr>
        <w:spacing w:line="360" w:lineRule="auto"/>
        <w:ind w:firstLine="480" w:firstLineChars="200"/>
        <w:rPr>
          <w:rFonts w:ascii="Times New Roman" w:hAnsi="Times New Roman" w:cs="Times New Roman"/>
        </w:rPr>
      </w:pPr>
      <w:r>
        <w:rPr>
          <w:rFonts w:hint="eastAsia" w:ascii="Times New Roman" w:hAnsi="Times New Roman" w:cs="Times New Roman"/>
        </w:rPr>
        <w:t>③施工过程中采取临时防护措施，在施工场地周围设临时排洪沟，并在沟渠末端设临时沉淀池，对雨水中的泥沙作初步的沉积；应对边坡采取适当的加固和维护措施，以防止发生滑坡、崩塌事故；加强设备堆放场、土石材料堆放场的防径流冲刷措施，可在堆放场铺盖防水雨布，在周围开挖疏排水沟等。</w:t>
      </w:r>
    </w:p>
    <w:p>
      <w:pPr>
        <w:spacing w:line="360" w:lineRule="auto"/>
        <w:ind w:firstLine="480" w:firstLineChars="200"/>
        <w:rPr>
          <w:rFonts w:ascii="Times New Roman" w:hAnsi="Times New Roman" w:cs="Times New Roman"/>
        </w:rPr>
      </w:pPr>
      <w:r>
        <w:rPr>
          <w:rFonts w:hint="eastAsia" w:ascii="Times New Roman" w:hAnsi="Times New Roman" w:cs="Times New Roman"/>
        </w:rPr>
        <w:t>④对园区内现有的山体植被尽量保留，施工期禁止对保留山体进行开挖、禁止在山体周边退让距离内进行其他施工活动，以免带来生态及污染影响。</w:t>
      </w:r>
    </w:p>
    <w:p>
      <w:pPr>
        <w:spacing w:line="360" w:lineRule="auto"/>
        <w:ind w:firstLine="480" w:firstLineChars="200"/>
        <w:rPr>
          <w:rFonts w:ascii="Times New Roman" w:hAnsi="Times New Roman" w:cs="Times New Roman"/>
        </w:rPr>
      </w:pPr>
      <w:r>
        <w:rPr>
          <w:rFonts w:hint="eastAsia" w:ascii="Times New Roman" w:hAnsi="Times New Roman" w:cs="Times New Roman"/>
        </w:rPr>
        <w:t>⑤施工期取弃土（渣）场、临时道路、场地、仓库等辅助工程应尽量避免占用耕地、农田及生态植被好的绿地，如确需占用的，应先保存好表层土壤，控制开挖深度。待工程竣工后，开挖面和占用地应尽快植树种草、恢复生态，防治水土流失。</w:t>
      </w:r>
    </w:p>
    <w:p>
      <w:pPr>
        <w:spacing w:line="360" w:lineRule="auto"/>
        <w:ind w:firstLine="480" w:firstLineChars="200"/>
        <w:rPr>
          <w:rFonts w:ascii="Times New Roman" w:hAnsi="Times New Roman" w:cs="Times New Roman"/>
        </w:rPr>
      </w:pPr>
      <w:r>
        <w:rPr>
          <w:rFonts w:hint="eastAsia" w:ascii="Times New Roman" w:hAnsi="Times New Roman" w:cs="Times New Roman"/>
        </w:rPr>
        <w:t>⑥废弃的沙、石、土及施工人员垃圾必须运至规定的专门存放点，禁止向水体和专门存放地以外的沟渠倾倒。</w:t>
      </w:r>
    </w:p>
    <w:p>
      <w:pPr>
        <w:spacing w:line="360" w:lineRule="auto"/>
        <w:ind w:firstLine="480" w:firstLineChars="200"/>
        <w:rPr>
          <w:rFonts w:ascii="Times New Roman" w:hAnsi="Times New Roman" w:cs="Times New Roman"/>
        </w:rPr>
      </w:pPr>
      <w:r>
        <w:rPr>
          <w:rFonts w:hint="eastAsia" w:ascii="Times New Roman" w:hAnsi="Times New Roman" w:cs="Times New Roman"/>
        </w:rPr>
        <w:t>⑦加强施工期的组织管理，提高工效，缩短工期；施工期最好选在旱季，避开暴雨期施工；挖、填方施工时，尽量做到先筑挡土墙，随挖、随运、随压，严禁随意开挖取土取石，破坏植被。</w:t>
      </w:r>
    </w:p>
    <w:p>
      <w:pPr>
        <w:spacing w:line="360" w:lineRule="auto"/>
        <w:ind w:firstLine="480" w:firstLineChars="200"/>
        <w:rPr>
          <w:rFonts w:ascii="Times New Roman" w:hAnsi="Times New Roman" w:cs="Times New Roman"/>
        </w:rPr>
      </w:pPr>
      <w:r>
        <w:rPr>
          <w:rFonts w:hint="eastAsia" w:ascii="Times New Roman" w:hAnsi="Times New Roman" w:cs="Times New Roman"/>
        </w:rPr>
        <w:t>⑧公路与地块等设施施工建设完后，要注意保护边坡和河堤，裸露的土地应尽快种上植被和采取封闭措施，以防坍塌，造成水土流失。</w:t>
      </w:r>
    </w:p>
    <w:p>
      <w:pPr>
        <w:spacing w:line="360" w:lineRule="auto"/>
        <w:ind w:firstLine="480" w:firstLineChars="200"/>
        <w:rPr>
          <w:rFonts w:ascii="Times New Roman" w:hAnsi="Times New Roman" w:cs="Times New Roman"/>
        </w:rPr>
      </w:pPr>
      <w:r>
        <w:rPr>
          <w:rFonts w:hint="eastAsia" w:ascii="Times New Roman" w:hAnsi="Times New Roman" w:cs="Times New Roman"/>
        </w:rPr>
        <w:t>⑨施工完成后，要实施植被恢复工程、绿化补缺工程建设，对生态环境已遭破坏的地段，要进行全面绿化恢复，种植当地观赏性好的野生花草灌木和乡土树种，恢复原有生态平衡和自然环境，恢复景区的景观效果。引进外来树种时，需进行严格的检疫措施，以免感染和带来病虫害。</w:t>
      </w:r>
    </w:p>
    <w:p>
      <w:pPr>
        <w:spacing w:line="360" w:lineRule="auto"/>
        <w:ind w:firstLine="480" w:firstLineChars="200"/>
        <w:rPr>
          <w:rFonts w:ascii="Times New Roman" w:hAnsi="Times New Roman" w:cs="Times New Roman"/>
        </w:rPr>
      </w:pPr>
      <w:r>
        <w:rPr>
          <w:rFonts w:hint="eastAsia" w:ascii="Times New Roman" w:hAnsi="Times New Roman" w:cs="Times New Roman"/>
        </w:rPr>
        <w:t>⑩永久性的用地要采用异地补偿的方法予以补偿，即在园区周边及周围的荒山荒地、建设废弃地等进行绿化，恢复植被，以补偿区域生态系统，减少基础设施永久占地的生态影响。补偿数量与永久占用地的数量一致，遵循占多少复垦多少的原则。绿地补偿能力依次为乔木&gt;灌木&gt;绿篱&gt;草地。但由于乔木的生长成熟期较长，而草地较短，要补偿并修正此生态损害的影响，评价建议区内以草地绿化为主，并辅以乔木、绿篱、灌木等其它绿化植物，使开发建设过程造成的生态环境影响降低到最小。</w:t>
      </w:r>
    </w:p>
    <w:p>
      <w:pPr>
        <w:spacing w:line="360" w:lineRule="auto"/>
        <w:ind w:firstLine="480" w:firstLineChars="200"/>
        <w:rPr>
          <w:rFonts w:ascii="Times New Roman" w:hAnsi="Times New Roman" w:cs="Times New Roman"/>
        </w:rPr>
      </w:pPr>
      <w:r>
        <w:rPr>
          <w:rFonts w:hint="eastAsia" w:ascii="Times New Roman" w:hAnsi="Times New Roman" w:cs="Times New Roman"/>
        </w:rPr>
        <w:t>2）营运期景观生态保护措施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①制定综合管理规定，加强整个区域的生态环境管理，以地方法规和政策推进的形式和手段，促进各单位等进行绿化、美化，并对绿化带进行日常维护。</w:t>
      </w:r>
    </w:p>
    <w:p>
      <w:pPr>
        <w:spacing w:line="360" w:lineRule="auto"/>
        <w:ind w:firstLine="480" w:firstLineChars="200"/>
        <w:rPr>
          <w:rFonts w:ascii="Times New Roman" w:hAnsi="Times New Roman" w:cs="Times New Roman"/>
        </w:rPr>
      </w:pPr>
      <w:r>
        <w:rPr>
          <w:rFonts w:hint="eastAsia" w:ascii="Times New Roman" w:hAnsi="Times New Roman" w:cs="Times New Roman"/>
        </w:rPr>
        <w:t>②评价建议保留建成区较完整的自然绿地，开发时应重点保护绿地中相对较高、坡度较大、自然植被相对完整的部分，同时开发区边界应布置一定距离的防护绿化带，空间上使开发区与周边环境形成隔离区，可减少开发区废气、废水污染物对环境的影响，同时启到隔声降噪的效果，实现不同功能区域的空间隔离，有利于未建成区生态环境的保护，减少高新区建设对生态环境的影响。</w:t>
      </w:r>
    </w:p>
    <w:p>
      <w:pPr>
        <w:spacing w:line="360" w:lineRule="auto"/>
        <w:ind w:firstLine="480" w:firstLineChars="200"/>
        <w:rPr>
          <w:rFonts w:ascii="Times New Roman" w:hAnsi="Times New Roman" w:cs="Times New Roman"/>
        </w:rPr>
      </w:pPr>
      <w:r>
        <w:rPr>
          <w:rFonts w:hint="eastAsia" w:ascii="Times New Roman" w:hAnsi="Times New Roman" w:cs="Times New Roman"/>
        </w:rPr>
        <w:t>③在施工建设的同时，搞好景观生态保护的宣传工作，建议有计划组织居民学习生态与环保知识，张贴环保公益广告，培养区内居民的生态与环境保护意识。对于破坏生态与自然景观资源的行为，应采取批评教育、罚款、行政处罚甚至刑事处罚等措施。</w:t>
      </w:r>
    </w:p>
    <w:p>
      <w:pPr>
        <w:spacing w:line="360" w:lineRule="auto"/>
        <w:ind w:firstLine="480" w:firstLineChars="200"/>
        <w:rPr>
          <w:rFonts w:ascii="Times New Roman" w:hAnsi="Times New Roman" w:cs="Times New Roman"/>
        </w:rPr>
      </w:pPr>
      <w:r>
        <w:rPr>
          <w:rFonts w:hint="eastAsia" w:ascii="Times New Roman" w:hAnsi="Times New Roman" w:cs="Times New Roman"/>
        </w:rPr>
        <w:t>④应做好水土保持工作，加强植被保护。</w:t>
      </w:r>
    </w:p>
    <w:p>
      <w:pPr>
        <w:spacing w:line="360" w:lineRule="auto"/>
        <w:ind w:firstLine="480" w:firstLineChars="200"/>
        <w:rPr>
          <w:rFonts w:ascii="Times New Roman" w:hAnsi="Times New Roman" w:cs="Times New Roman"/>
        </w:rPr>
      </w:pPr>
      <w:r>
        <w:rPr>
          <w:rFonts w:hint="eastAsia" w:ascii="Times New Roman" w:hAnsi="Times New Roman" w:cs="Times New Roman"/>
        </w:rPr>
        <w:t>⑤形成点、线、面相结合的绿化系统。点为高新区内小块绿地、厂区内部散点绿地，线为区内外道路两侧，以及工业用地与公共设施用之间的绿化带，面为工业区周边的生态绿地。</w:t>
      </w:r>
    </w:p>
    <w:p>
      <w:pPr>
        <w:spacing w:line="360" w:lineRule="auto"/>
        <w:ind w:firstLine="480" w:firstLineChars="200"/>
        <w:rPr>
          <w:rFonts w:ascii="Times New Roman" w:hAnsi="Times New Roman" w:cs="Times New Roman"/>
        </w:rPr>
      </w:pPr>
      <w:r>
        <w:rPr>
          <w:rFonts w:hint="eastAsia" w:ascii="Times New Roman" w:hAnsi="Times New Roman" w:cs="Times New Roman"/>
        </w:rPr>
        <w:t>⑥在园区内配套用地与工业用地之间设置绿化带，尽可能多保留为建成区的山体及林地。规划确定的绿地，为法定永久性非建筑用地，除园林建筑、绿地生产管理的少量建筑、构筑物及必要的配套设施外，严禁建设其它性质的建筑，任何单位严禁以任何理由改变用地性质。</w:t>
      </w:r>
    </w:p>
    <w:p>
      <w:pPr>
        <w:spacing w:line="360" w:lineRule="auto"/>
        <w:ind w:firstLine="480" w:firstLineChars="200"/>
        <w:rPr>
          <w:rFonts w:ascii="Times New Roman" w:hAnsi="Times New Roman" w:cs="Times New Roman"/>
        </w:rPr>
      </w:pPr>
      <w:r>
        <w:rPr>
          <w:rFonts w:hint="eastAsia" w:ascii="Times New Roman" w:hAnsi="Times New Roman" w:cs="Times New Roman"/>
        </w:rPr>
        <w:t>⑦规划确定的公共绿地、防护绿地的规划设计和实施建设，应与周边地块和城市道路景观需求等有机结合，用地周边严禁设置封闭围墙建筑，应设置园林式栏杆、绿篱等。</w:t>
      </w:r>
    </w:p>
    <w:p>
      <w:pPr>
        <w:spacing w:line="360" w:lineRule="auto"/>
        <w:ind w:firstLine="480" w:firstLineChars="200"/>
        <w:rPr>
          <w:rFonts w:ascii="Times New Roman" w:hAnsi="Times New Roman" w:cs="Times New Roman"/>
        </w:rPr>
      </w:pPr>
      <w:r>
        <w:rPr>
          <w:rFonts w:hint="eastAsia" w:ascii="Times New Roman" w:hAnsi="Times New Roman" w:cs="Times New Roman"/>
        </w:rPr>
        <w:t>⑧减缓土地利用破坏的措施</w:t>
      </w:r>
    </w:p>
    <w:p>
      <w:pPr>
        <w:spacing w:line="360" w:lineRule="auto"/>
        <w:ind w:firstLine="480" w:firstLineChars="200"/>
        <w:rPr>
          <w:rFonts w:ascii="Times New Roman" w:hAnsi="Times New Roman" w:cs="Times New Roman"/>
        </w:rPr>
      </w:pPr>
      <w:r>
        <w:rPr>
          <w:rFonts w:hint="eastAsia" w:ascii="Times New Roman" w:hAnsi="Times New Roman" w:cs="Times New Roman"/>
        </w:rPr>
        <w:t>a、提高土地集约利用度，实行土地集约利用。首先应严格推行土地有偿使用制度，规范土地市场，运用地价杠杆刺激土地的高效利用，杜绝园区内土地浪费，做到地尽其力，优地优用；其次应提高土地容积率，促进工业园土地立体化利用，充分利用地上、地下空间。</w:t>
      </w:r>
    </w:p>
    <w:p>
      <w:pPr>
        <w:spacing w:line="360" w:lineRule="auto"/>
        <w:ind w:firstLine="480" w:firstLineChars="200"/>
        <w:rPr>
          <w:rFonts w:ascii="Times New Roman" w:hAnsi="Times New Roman" w:cs="Times New Roman"/>
        </w:rPr>
      </w:pPr>
      <w:r>
        <w:rPr>
          <w:rFonts w:hint="eastAsia" w:ascii="Times New Roman" w:hAnsi="Times New Roman" w:cs="Times New Roman"/>
        </w:rPr>
        <w:t>b、优化产业结构，提高产业科技含量，提高土地产出率和土地管理水平。</w:t>
      </w:r>
    </w:p>
    <w:p>
      <w:pPr>
        <w:spacing w:line="360" w:lineRule="auto"/>
        <w:ind w:firstLine="480" w:firstLineChars="200"/>
        <w:rPr>
          <w:rFonts w:ascii="Times New Roman" w:hAnsi="Times New Roman" w:cs="Times New Roman"/>
        </w:rPr>
      </w:pPr>
      <w:r>
        <w:rPr>
          <w:rFonts w:hint="eastAsia" w:ascii="Times New Roman" w:hAnsi="Times New Roman" w:cs="Times New Roman"/>
        </w:rPr>
        <w:t>c、完善土地资源的整体规划整理工作。进一步完善区域总体土地规划整理工作，严格建设用地的审批，严格实行农用地的占补平衡。</w:t>
      </w:r>
    </w:p>
    <w:p>
      <w:pPr>
        <w:pStyle w:val="3"/>
      </w:pPr>
      <w:bookmarkStart w:id="792" w:name="_Toc146092059"/>
      <w:r>
        <w:rPr>
          <w:rFonts w:hint="eastAsia"/>
        </w:rPr>
        <w:t>8.10 对特殊敏感区减缓措施</w:t>
      </w:r>
      <w:bookmarkEnd w:id="792"/>
    </w:p>
    <w:p>
      <w:pPr>
        <w:pStyle w:val="4"/>
      </w:pPr>
      <w:bookmarkStart w:id="793" w:name="_Toc146092060"/>
      <w:r>
        <w:rPr>
          <w:rFonts w:hint="eastAsia"/>
        </w:rPr>
        <w:t>8.10.1对长江新螺段白鱀豚国家级自然保护区和长江监利段四大家鱼国家级水产种质资源保护区减缓措施</w:t>
      </w:r>
      <w:bookmarkEnd w:id="793"/>
    </w:p>
    <w:p>
      <w:pPr>
        <w:spacing w:line="360" w:lineRule="auto"/>
        <w:ind w:firstLine="480" w:firstLineChars="200"/>
        <w:rPr>
          <w:rFonts w:ascii="Times New Roman" w:hAnsi="Times New Roman" w:cs="Times New Roman"/>
        </w:rPr>
      </w:pPr>
      <w:r>
        <w:rPr>
          <w:rFonts w:hint="eastAsia" w:ascii="Times New Roman" w:hAnsi="Times New Roman" w:cs="Times New Roman"/>
        </w:rPr>
        <w:t>本项目入河排污口涉及长江新螺段白鱀豚国家级自然保护区和长江监利段四大家鱼国家级水产种质资源保护区，根据前文可知，本项目污水排放对混合区以外水域鱼类等水生生物组成区系及资源的影响较小。除重大风险事故发生，入河排污口设置后的影响主要是对保护对象迁移洄游的影响，且程度是有限的。</w:t>
      </w:r>
    </w:p>
    <w:p>
      <w:pPr>
        <w:spacing w:line="360" w:lineRule="auto"/>
        <w:ind w:firstLine="480" w:firstLineChars="200"/>
        <w:rPr>
          <w:rFonts w:ascii="Times New Roman" w:hAnsi="Times New Roman" w:cs="Times New Roman"/>
        </w:rPr>
      </w:pPr>
      <w:r>
        <w:rPr>
          <w:rFonts w:hint="eastAsia" w:ascii="Times New Roman" w:hAnsi="Times New Roman" w:cs="Times New Roman"/>
        </w:rPr>
        <w:t>主要减缓措施如下：</w:t>
      </w:r>
    </w:p>
    <w:p>
      <w:pPr>
        <w:spacing w:line="360" w:lineRule="auto"/>
        <w:ind w:firstLine="480" w:firstLineChars="200"/>
        <w:rPr>
          <w:rFonts w:ascii="Times New Roman" w:hAnsi="Times New Roman" w:cs="Times New Roman"/>
        </w:rPr>
      </w:pPr>
      <w:r>
        <w:rPr>
          <w:rFonts w:hint="eastAsia" w:ascii="Times New Roman" w:hAnsi="Times New Roman" w:cs="Times New Roman"/>
        </w:rPr>
        <w:t>（1）确保污水处理厂达标排放。加强事故苗头控制，定期巡检、调节、保养、维修，及时发现可能引起事故的异常运行苗头，消除事故隐患；严格控制处理单元的水量、水质、停留时间，负荷强度等，确保处理效果的稳定性，定期采样监测，操作人员及时调整，使设备处于最佳工况，发现不正常现象，应立即采取预防措施。</w:t>
      </w:r>
    </w:p>
    <w:p>
      <w:pPr>
        <w:spacing w:line="360" w:lineRule="auto"/>
        <w:ind w:firstLine="480" w:firstLineChars="200"/>
        <w:rPr>
          <w:rFonts w:ascii="Times New Roman" w:hAnsi="Times New Roman" w:cs="Times New Roman"/>
        </w:rPr>
      </w:pPr>
      <w:r>
        <w:rPr>
          <w:rFonts w:hint="eastAsia" w:ascii="Times New Roman" w:hAnsi="Times New Roman" w:cs="Times New Roman"/>
        </w:rPr>
        <w:t>（2）企业按照“雨污分流、污污分流、分质处理”的原则建设污水收集管网，采用“一企一管一监测”明管（专管）输送。园区企业废水预处理达标后进入市政污水管网进入污水处理厂集中处理，企业不得自建排污口排放。加强日常环境监管力度，加大对企业的清洁生产审核，根据企业产排污情况，对于重点企业要求增设在线监控设施，严厉打击超标排放与偷排漏排。</w:t>
      </w:r>
    </w:p>
    <w:p>
      <w:pPr>
        <w:spacing w:line="360" w:lineRule="auto"/>
        <w:ind w:firstLine="480" w:firstLineChars="200"/>
        <w:rPr>
          <w:rFonts w:ascii="Times New Roman" w:hAnsi="Times New Roman" w:cs="Times New Roman"/>
        </w:rPr>
      </w:pPr>
      <w:r>
        <w:rPr>
          <w:rFonts w:hint="eastAsia" w:ascii="Times New Roman" w:hAnsi="Times New Roman" w:cs="Times New Roman"/>
        </w:rPr>
        <w:t>（3）入园项目应采用先进的生产工艺，从源头减少水资源消耗和污染物排放。所有入区涉水企业均应建设污水预处理设施，污水满足园区污水处理厂进口标准后，方可排入集中污水处理厂。</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综上所述，严格落实水环境保护措施，达标排放，排污口设置对水域水环境安全影响可控。</w:t>
      </w:r>
    </w:p>
    <w:p>
      <w:pPr>
        <w:pStyle w:val="4"/>
      </w:pPr>
      <w:bookmarkStart w:id="794" w:name="_Toc146092061"/>
      <w:r>
        <w:rPr>
          <w:rFonts w:hint="eastAsia"/>
        </w:rPr>
        <w:t>8.10.2 对五尖山国家森林公园减缓措施</w:t>
      </w:r>
      <w:bookmarkEnd w:id="794"/>
    </w:p>
    <w:p>
      <w:pPr>
        <w:spacing w:line="360" w:lineRule="auto"/>
        <w:ind w:firstLine="480" w:firstLineChars="200"/>
        <w:rPr>
          <w:rFonts w:ascii="Times New Roman" w:hAnsi="Times New Roman" w:cs="Times New Roman"/>
        </w:rPr>
      </w:pPr>
      <w:r>
        <w:rPr>
          <w:rFonts w:hint="eastAsia" w:ascii="Times New Roman" w:hAnsi="Times New Roman" w:cs="Times New Roman"/>
        </w:rPr>
        <w:t>园区规划开发不占用五尖山国家森林用地，不会破坏五尖山古树名木和历史人文景观等。园区规划废水不会排入五尖山国家森林公园，不会对五尖山森林公园内部的水质造成影响。规划园区废气正常排放情况下，对五尖山森林公园的环境空气质量影响较小。主要是事故状态下废气对五尖山国家森林公园存在影响。</w:t>
      </w:r>
    </w:p>
    <w:p>
      <w:pPr>
        <w:spacing w:line="360" w:lineRule="auto"/>
        <w:ind w:firstLine="480" w:firstLineChars="200"/>
        <w:rPr>
          <w:rFonts w:ascii="Times New Roman" w:hAnsi="Times New Roman" w:cs="Times New Roman"/>
        </w:rPr>
      </w:pPr>
      <w:r>
        <w:rPr>
          <w:rFonts w:hint="eastAsia" w:ascii="Times New Roman" w:hAnsi="Times New Roman" w:cs="Times New Roman"/>
        </w:rPr>
        <w:t>主要采取以下措施减少对其影响：</w:t>
      </w:r>
    </w:p>
    <w:p>
      <w:pPr>
        <w:spacing w:line="360" w:lineRule="auto"/>
        <w:ind w:firstLine="480" w:firstLineChars="200"/>
        <w:rPr>
          <w:rFonts w:ascii="Times New Roman" w:hAnsi="Times New Roman" w:cs="Times New Roman"/>
        </w:rPr>
      </w:pPr>
      <w:r>
        <w:rPr>
          <w:rFonts w:hint="eastAsia" w:ascii="Times New Roman" w:hAnsi="Times New Roman" w:cs="Times New Roman"/>
        </w:rPr>
        <w:t>（1）建议尽快实施高新区有毒有害气体预警监控体系工程的建设，加密对开发区内有毒有害气体监控，为健全以改善环境空气质量为核心的VOCs污染防治管理体系夯实基础。建成后与相关生态环境主管部门大气监控平台联网。</w:t>
      </w:r>
    </w:p>
    <w:p>
      <w:pPr>
        <w:spacing w:line="360" w:lineRule="auto"/>
        <w:ind w:firstLine="480" w:firstLineChars="200"/>
        <w:rPr>
          <w:rFonts w:ascii="Times New Roman" w:hAnsi="Times New Roman" w:cs="Times New Roman"/>
        </w:rPr>
      </w:pPr>
      <w:r>
        <w:rPr>
          <w:rFonts w:hint="eastAsia" w:ascii="Times New Roman" w:hAnsi="Times New Roman" w:cs="Times New Roman"/>
        </w:rPr>
        <w:t>（2）加强企业管理，建立可靠的监测和预警系统，有针对性地排查环境安全隐患，对排查出的问题及时预警，对入区企业提出建立突发环境事件应急预案和事故防范、减缓措施的要求，特别是使用或生产危险性较大的物料的企业，必须提出行之有效的杜绝环境污染事故发生的防范与抢险措施。</w:t>
      </w:r>
    </w:p>
    <w:p>
      <w:pPr>
        <w:spacing w:line="360" w:lineRule="auto"/>
        <w:ind w:firstLine="480" w:firstLineChars="200"/>
        <w:rPr>
          <w:rFonts w:ascii="Times New Roman" w:hAnsi="Times New Roman" w:cs="Times New Roman"/>
        </w:rPr>
      </w:pPr>
      <w:r>
        <w:rPr>
          <w:rFonts w:hint="eastAsia" w:ascii="Times New Roman" w:hAnsi="Times New Roman" w:cs="Times New Roman"/>
        </w:rPr>
        <w:t>（3）建立健全突发环境污染事故的应急机制，提高应急管理水平，有效预防、及时控制和消除重大环境污染事件造成的危害，建立健全突发环境事件应急机制，提高对涉及公共场所危机的突发环境污染事件的处置能力，保障公众的生命健康和财产安全，保护环境，促进社会全面、协调、可持续发展。以确保各企业或在园区公共区域内突发环境事件发生后，能及时有效地调配各种应急资源，实施应急救援，最大限度地阻止和控制污染向周围环境进一步扩散，最大可能避免对公共环境造成的污染。</w:t>
      </w:r>
    </w:p>
    <w:p>
      <w:pPr>
        <w:spacing w:line="360" w:lineRule="auto"/>
        <w:ind w:firstLine="480" w:firstLineChars="200"/>
        <w:rPr>
          <w:rFonts w:ascii="Times New Roman" w:hAnsi="Times New Roman" w:cs="Times New Roman"/>
        </w:rPr>
      </w:pPr>
      <w:r>
        <w:rPr>
          <w:rFonts w:hint="eastAsia" w:ascii="Times New Roman" w:hAnsi="Times New Roman" w:cs="Times New Roman"/>
        </w:rPr>
        <w:t>综上所述，严格落实大气环境保护措施和风险防范措施，区域规划对白泥湖国家湿地公园影响可控。</w:t>
      </w:r>
    </w:p>
    <w:p>
      <w:pPr>
        <w:spacing w:line="360" w:lineRule="auto"/>
        <w:ind w:firstLine="480" w:firstLineChars="200"/>
        <w:rPr>
          <w:rFonts w:ascii="Times New Roman" w:hAnsi="Times New Roman" w:cs="Times New Roman"/>
        </w:rPr>
        <w:sectPr>
          <w:pgSz w:w="11907" w:h="16839"/>
          <w:pgMar w:top="1440" w:right="1797" w:bottom="1440" w:left="1797" w:header="851" w:footer="680" w:gutter="0"/>
          <w:cols w:space="425" w:num="1"/>
          <w:docGrid w:linePitch="326" w:charSpace="0"/>
        </w:sectPr>
      </w:pPr>
    </w:p>
    <w:p>
      <w:pPr>
        <w:keepNext/>
        <w:keepLines/>
        <w:spacing w:before="120" w:beforeLines="50" w:after="120" w:afterLines="50" w:line="360" w:lineRule="auto"/>
        <w:jc w:val="center"/>
        <w:outlineLvl w:val="0"/>
        <w:rPr>
          <w:rFonts w:ascii="Times New Roman" w:hAnsi="Times New Roman"/>
          <w:b/>
          <w:bCs/>
          <w:kern w:val="44"/>
          <w:sz w:val="32"/>
          <w:szCs w:val="44"/>
        </w:rPr>
      </w:pPr>
      <w:bookmarkStart w:id="795" w:name="_Toc146092062"/>
      <w:bookmarkStart w:id="796" w:name="_Toc134088611"/>
      <w:bookmarkStart w:id="797" w:name="_Toc82607086"/>
      <w:bookmarkStart w:id="798" w:name="_Toc93071919"/>
      <w:bookmarkStart w:id="799" w:name="_Toc131493818"/>
      <w:bookmarkStart w:id="800" w:name="_Toc131493563"/>
      <w:r>
        <w:rPr>
          <w:rFonts w:ascii="Times New Roman" w:hAnsi="Times New Roman"/>
          <w:b/>
          <w:bCs/>
          <w:kern w:val="44"/>
          <w:sz w:val="32"/>
          <w:szCs w:val="44"/>
        </w:rPr>
        <w:t>第9章 环境影响跟踪评价计划</w:t>
      </w:r>
      <w:bookmarkEnd w:id="795"/>
    </w:p>
    <w:p>
      <w:pPr>
        <w:keepNext/>
        <w:keepLines/>
        <w:spacing w:line="360" w:lineRule="auto"/>
        <w:outlineLvl w:val="1"/>
        <w:rPr>
          <w:rFonts w:asciiTheme="majorHAnsi" w:hAnsiTheme="majorHAnsi" w:eastAsiaTheme="majorEastAsia" w:cstheme="majorBidi"/>
          <w:b/>
          <w:bCs/>
          <w:sz w:val="30"/>
          <w:szCs w:val="32"/>
        </w:rPr>
      </w:pPr>
      <w:bookmarkStart w:id="801" w:name="_Toc146092063"/>
      <w:r>
        <w:rPr>
          <w:rFonts w:asciiTheme="majorHAnsi" w:hAnsiTheme="majorHAnsi" w:eastAsiaTheme="majorEastAsia" w:cstheme="majorBidi"/>
          <w:b/>
          <w:bCs/>
          <w:sz w:val="30"/>
          <w:szCs w:val="32"/>
        </w:rPr>
        <w:t>9.1 跟踪评价计划</w:t>
      </w:r>
      <w:bookmarkEnd w:id="801"/>
    </w:p>
    <w:p>
      <w:pPr>
        <w:spacing w:line="360" w:lineRule="auto"/>
        <w:rPr>
          <w:rFonts w:ascii="Times New Roman" w:hAnsi="Times New Roman" w:cs="Times New Roman"/>
          <w:bCs/>
        </w:rPr>
      </w:pPr>
      <w:r>
        <w:rPr>
          <w:rFonts w:ascii="Times New Roman" w:hAnsi="Times New Roman" w:cs="Times New Roman"/>
        </w:rPr>
        <w:t>（</w:t>
      </w:r>
      <w:r>
        <w:rPr>
          <w:rFonts w:ascii="Times New Roman" w:hAnsi="Times New Roman" w:cs="Times New Roman"/>
          <w:bCs/>
        </w:rPr>
        <w:t>1）跟踪评价内容</w:t>
      </w:r>
    </w:p>
    <w:p>
      <w:pPr>
        <w:spacing w:line="360" w:lineRule="auto"/>
        <w:ind w:firstLine="480" w:firstLineChars="200"/>
        <w:rPr>
          <w:rFonts w:ascii="Times New Roman" w:hAnsi="Times New Roman" w:cs="Times New Roman"/>
          <w:bCs/>
        </w:rPr>
      </w:pPr>
      <w:r>
        <w:rPr>
          <w:rFonts w:ascii="Times New Roman" w:hAnsi="Times New Roman" w:cs="Times New Roman"/>
          <w:bCs/>
        </w:rPr>
        <w:t>根据《规划环境影响评价技术导则 总纲》（HJ 130-2019）、《规划环境影响评价技术导则 产业园区》（HJ 131—2021），结合规划实施的主要生态环境影响，拟定跟踪评价计划，监测和调查规划实施对区域环境质量、生态功能、资源利用等的实际影响，以及不良生态环境影响减缓措施的有效性。</w:t>
      </w:r>
    </w:p>
    <w:p>
      <w:pPr>
        <w:spacing w:line="360" w:lineRule="auto"/>
        <w:ind w:firstLine="480" w:firstLineChars="200"/>
        <w:rPr>
          <w:rFonts w:ascii="Times New Roman" w:hAnsi="Times New Roman" w:cs="Times New Roman"/>
          <w:bCs/>
        </w:rPr>
      </w:pPr>
      <w:r>
        <w:rPr>
          <w:rFonts w:ascii="Times New Roman" w:hAnsi="Times New Roman" w:cs="Times New Roman"/>
          <w:bCs/>
        </w:rPr>
        <w:t>跟踪评价取得的数据、资料和结果应能够说明规划实施带来的生态环境质量实际变化，反映规划优化调整建议、分区环境管控要求和环境准入负面清单等对策措施的执行效果，并为后续规划实施、调整、修编，完善环境管理方案和加强相关建设项目环境管理等提供依据。</w:t>
      </w:r>
    </w:p>
    <w:p>
      <w:pPr>
        <w:spacing w:line="360" w:lineRule="auto"/>
        <w:ind w:firstLine="480" w:firstLineChars="200"/>
        <w:rPr>
          <w:rFonts w:ascii="Times New Roman" w:hAnsi="Times New Roman" w:cs="Times New Roman"/>
          <w:bCs/>
        </w:rPr>
      </w:pPr>
      <w:r>
        <w:rPr>
          <w:rFonts w:ascii="Times New Roman" w:hAnsi="Times New Roman" w:cs="Times New Roman"/>
          <w:bCs/>
        </w:rPr>
        <w:t>跟踪评价计划应包括工作目的、监测方案、调查方法、评价重点、执行单位、实施安排等内容。主要包括：</w:t>
      </w:r>
    </w:p>
    <w:p>
      <w:pPr>
        <w:spacing w:line="360" w:lineRule="auto"/>
        <w:ind w:firstLine="480" w:firstLineChars="200"/>
        <w:rPr>
          <w:rFonts w:ascii="Times New Roman" w:hAnsi="Times New Roman" w:cs="Times New Roman"/>
          <w:bCs/>
        </w:rPr>
      </w:pPr>
      <w:r>
        <w:rPr>
          <w:rFonts w:ascii="Times New Roman" w:hAnsi="Times New Roman" w:cs="Times New Roman"/>
          <w:bCs/>
        </w:rPr>
        <w:t>1）明确需重点调查、监测、评价的资源生态环境要素，提出具体监测计划及评价指标，以及相应的监测点位、频次、周期等。</w:t>
      </w:r>
    </w:p>
    <w:p>
      <w:pPr>
        <w:spacing w:line="360" w:lineRule="auto"/>
        <w:ind w:firstLine="480" w:firstLineChars="200"/>
        <w:rPr>
          <w:rFonts w:ascii="Times New Roman" w:hAnsi="Times New Roman" w:cs="Times New Roman"/>
          <w:bCs/>
        </w:rPr>
      </w:pPr>
      <w:r>
        <w:rPr>
          <w:rFonts w:ascii="Times New Roman" w:hAnsi="Times New Roman" w:cs="Times New Roman"/>
          <w:bCs/>
        </w:rPr>
        <w:t>2）提出调查和分析规划优化调整建议、环境影响减缓措施、环境管控要求和生态环境准入清单落实情况和执行效果的具体内容和要求，明确分析和评价不良生态环境影响预防和减缓措施有效性的监测要求和评价准则。</w:t>
      </w:r>
    </w:p>
    <w:p>
      <w:pPr>
        <w:spacing w:line="360" w:lineRule="auto"/>
        <w:ind w:firstLine="480" w:firstLineChars="200"/>
        <w:rPr>
          <w:rFonts w:ascii="Times New Roman" w:hAnsi="Times New Roman" w:cs="Times New Roman"/>
          <w:bCs/>
        </w:rPr>
      </w:pPr>
      <w:r>
        <w:rPr>
          <w:rFonts w:ascii="Times New Roman" w:hAnsi="Times New Roman" w:cs="Times New Roman"/>
          <w:bCs/>
        </w:rPr>
        <w:t>3）提出规划实施对区域环境质量、生态功能、资源利用等的阶段性综合影响，环境影响减缓措施和环境管控要求的执行效果，后续规划实施调整建议等跟踪评价结论的内容和要求。</w:t>
      </w:r>
    </w:p>
    <w:p>
      <w:pPr>
        <w:spacing w:line="360" w:lineRule="auto"/>
        <w:rPr>
          <w:rFonts w:ascii="Times New Roman" w:hAnsi="Times New Roman" w:cs="Times New Roman"/>
          <w:bCs/>
        </w:rPr>
      </w:pPr>
      <w:r>
        <w:rPr>
          <w:rFonts w:ascii="Times New Roman" w:hAnsi="Times New Roman" w:cs="Times New Roman"/>
          <w:bCs/>
        </w:rPr>
        <w:t>（2）组织形式和管理要求</w:t>
      </w:r>
    </w:p>
    <w:p>
      <w:pPr>
        <w:spacing w:line="360" w:lineRule="auto"/>
        <w:ind w:firstLine="480" w:firstLineChars="200"/>
        <w:rPr>
          <w:rFonts w:ascii="Times New Roman" w:hAnsi="Times New Roman" w:cs="Times New Roman"/>
          <w:bCs/>
        </w:rPr>
      </w:pPr>
      <w:r>
        <w:rPr>
          <w:rFonts w:ascii="Times New Roman" w:hAnsi="Times New Roman" w:cs="Times New Roman"/>
          <w:bCs/>
        </w:rPr>
        <w:t>本轮规划实施的过程中，应由规划实施单位临湘高新产业开发区管委会组织开展规划的环境影响跟踪评价，委托具有环境影响评价资质的单位编制《临湘高新产业开发区总体规划环境影响跟踪评价报告书》，并由生态环境主管部门监督规划环境影响跟踪评价报告书中提出的规划优化调整建议和环境影响减缓措施的实施。</w:t>
      </w:r>
    </w:p>
    <w:p>
      <w:pPr>
        <w:keepLines/>
        <w:spacing w:line="360" w:lineRule="auto"/>
        <w:ind w:firstLine="482" w:firstLineChars="200"/>
        <w:jc w:val="center"/>
        <w:outlineLvl w:val="4"/>
        <w:rPr>
          <w:rFonts w:ascii="Times New Roman" w:hAnsi="Times New Roman" w:cs="Times New Roman"/>
          <w:b/>
          <w:bCs/>
          <w:szCs w:val="28"/>
        </w:rPr>
      </w:pPr>
      <w:r>
        <w:rPr>
          <w:rFonts w:ascii="Times New Roman" w:hAnsi="Times New Roman" w:cs="Times New Roman"/>
          <w:b/>
          <w:bCs/>
          <w:szCs w:val="28"/>
        </w:rPr>
        <w:t>表9.1-1  规划跟踪评价主要内容</w:t>
      </w:r>
    </w:p>
    <w:tbl>
      <w:tblPr>
        <w:tblStyle w:val="3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46"/>
        <w:gridCol w:w="904"/>
        <w:gridCol w:w="2327"/>
        <w:gridCol w:w="3231"/>
        <w:gridCol w:w="14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9" w:type="pct"/>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530"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类别</w:t>
            </w:r>
          </w:p>
        </w:tc>
        <w:tc>
          <w:tcPr>
            <w:tcW w:w="1364"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跟踪评价项目的</w:t>
            </w:r>
          </w:p>
        </w:tc>
        <w:tc>
          <w:tcPr>
            <w:tcW w:w="1894"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监测与跟踪评价内容</w:t>
            </w:r>
          </w:p>
        </w:tc>
        <w:tc>
          <w:tcPr>
            <w:tcW w:w="833" w:type="pct"/>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restart"/>
            <w:tcBorders>
              <w:top w:val="single" w:color="auto" w:sz="4" w:space="0"/>
              <w:left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5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规划实施情况</w:t>
            </w: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规划实施范围</w:t>
            </w:r>
          </w:p>
        </w:tc>
        <w:tc>
          <w:tcPr>
            <w:tcW w:w="1894"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是否与本环评一致</w:t>
            </w:r>
          </w:p>
        </w:tc>
        <w:tc>
          <w:tcPr>
            <w:tcW w:w="833" w:type="pct"/>
            <w:vMerge w:val="restart"/>
            <w:tcBorders>
              <w:top w:val="single" w:color="auto" w:sz="4" w:space="0"/>
              <w:left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现场踏勘</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资料收集</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对比分析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规划目标、规模</w:t>
            </w:r>
          </w:p>
        </w:tc>
        <w:tc>
          <w:tcPr>
            <w:tcW w:w="1894"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规划功能定位、总体布局</w:t>
            </w:r>
          </w:p>
        </w:tc>
        <w:tc>
          <w:tcPr>
            <w:tcW w:w="1894"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基础设施的建设及运行</w:t>
            </w:r>
          </w:p>
        </w:tc>
        <w:tc>
          <w:tcPr>
            <w:tcW w:w="1894" w:type="pct"/>
            <w:tcBorders>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对规划实施区域基础设施进行阶段性验收，主要包括给排水工程、燃气工程等</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环境管理机构的具体化</w:t>
            </w:r>
          </w:p>
        </w:tc>
        <w:tc>
          <w:tcPr>
            <w:tcW w:w="1894"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机构是否落实，制度是否健全</w:t>
            </w:r>
          </w:p>
        </w:tc>
        <w:tc>
          <w:tcPr>
            <w:tcW w:w="833" w:type="pct"/>
            <w:vMerge w:val="restart"/>
            <w:tcBorders>
              <w:top w:val="single" w:color="auto" w:sz="4" w:space="0"/>
              <w:left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现场核查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环境制度的健全、环保档案的建立</w:t>
            </w:r>
          </w:p>
        </w:tc>
        <w:tc>
          <w:tcPr>
            <w:tcW w:w="1894"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restart"/>
            <w:tcBorders>
              <w:top w:val="single" w:color="auto" w:sz="4" w:space="0"/>
              <w:left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5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评价建议的规划调整内容及减缓措施落实情况</w:t>
            </w: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建议的规划调整方案是否得到实施</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如没有采纳，分析是否存在重大环境问题及是否需采取补救措施</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对比分析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评价指标体系中确定的目标落实情况</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对目标执行情况进行分析、总结，及时合理调整目标</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调查统计</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对比分析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评价建议的环境保护对策是否得到落实</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①</w:t>
            </w:r>
            <w:r>
              <w:rPr>
                <w:rFonts w:ascii="Times New Roman" w:hAnsi="Times New Roman" w:eastAsia="宋体" w:cs="Times New Roman"/>
                <w:bCs/>
                <w:sz w:val="21"/>
                <w:szCs w:val="21"/>
              </w:rPr>
              <w:t>如采纳相应对策，则对环保措施达标率、去除效果进行实测，分析环保措施有效性，及时提出调整建议；</w:t>
            </w:r>
            <w:r>
              <w:rPr>
                <w:rFonts w:hint="eastAsia" w:ascii="Times New Roman" w:hAnsi="Times New Roman" w:eastAsia="宋体" w:cs="Times New Roman"/>
                <w:bCs/>
                <w:sz w:val="21"/>
                <w:szCs w:val="21"/>
              </w:rPr>
              <w:t>②</w:t>
            </w:r>
            <w:r>
              <w:rPr>
                <w:rFonts w:ascii="Times New Roman" w:hAnsi="Times New Roman" w:eastAsia="宋体" w:cs="Times New Roman"/>
                <w:bCs/>
                <w:sz w:val="21"/>
                <w:szCs w:val="21"/>
              </w:rPr>
              <w:t>如没有采纳，分析其目前是否存在重大环境问题及是否需采取补救措施</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实际监测</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专家咨询</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分析评价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restart"/>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30" w:type="pct"/>
            <w:vMerge w:val="restart"/>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污染源调查</w:t>
            </w:r>
          </w:p>
        </w:tc>
        <w:tc>
          <w:tcPr>
            <w:tcW w:w="1364"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污染物排放情况</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各种污染物排放量调查</w:t>
            </w:r>
          </w:p>
        </w:tc>
        <w:tc>
          <w:tcPr>
            <w:tcW w:w="833" w:type="pct"/>
            <w:vMerge w:val="restart"/>
            <w:tcBorders>
              <w:top w:val="single" w:color="auto" w:sz="4" w:space="0"/>
              <w:left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资料收集</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调查统计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清洁生产水平调查</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碳排放水平</w:t>
            </w:r>
          </w:p>
        </w:tc>
        <w:tc>
          <w:tcPr>
            <w:tcW w:w="833" w:type="pct"/>
            <w:vMerge w:val="continue"/>
            <w:tcBorders>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restart"/>
            <w:tcBorders>
              <w:top w:val="single" w:color="auto" w:sz="4" w:space="0"/>
              <w:left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5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规划区域环境质量变化趋势</w:t>
            </w: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环境空气</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大气环境监测与回顾评价</w:t>
            </w:r>
          </w:p>
        </w:tc>
        <w:tc>
          <w:tcPr>
            <w:tcW w:w="833" w:type="pct"/>
            <w:vMerge w:val="restart"/>
            <w:tcBorders>
              <w:top w:val="single" w:color="auto" w:sz="4" w:space="0"/>
              <w:left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对比分析</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实际监测</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调查统计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声环境</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噪声监测</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地表水</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地表水环境监测与回顾评价</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地下水</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地下水环境监测与回顾评价</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土壤环境</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土壤环境监测与回顾评价</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生态环境</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生态环境变化趋势</w:t>
            </w:r>
          </w:p>
        </w:tc>
        <w:tc>
          <w:tcPr>
            <w:tcW w:w="833" w:type="pct"/>
            <w:vMerge w:val="continue"/>
            <w:tcBorders>
              <w:left w:val="single" w:color="auto" w:sz="4" w:space="0"/>
              <w:right w:val="single" w:color="auto" w:sz="12" w:space="0"/>
            </w:tcBorders>
            <w:vAlign w:val="center"/>
          </w:tcPr>
          <w:p>
            <w:pPr>
              <w:jc w:val="center"/>
              <w:rPr>
                <w:rFonts w:ascii="Times New Roman" w:hAnsi="Times New Roman" w:eastAsia="宋体" w:cs="Times New Roman"/>
                <w:bCs/>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53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资源环境承载力</w:t>
            </w: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水资源赋存及开发利用的变化情况</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调查规划区新鲜水的总需求量进行水资源承载分析，如果超过承载力应调整项目规划的目标、规模、发展速度及产业结构，引进更先进的清洁生产工艺</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专家咨询</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调查统计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restart"/>
            <w:tcBorders>
              <w:top w:val="single" w:color="auto" w:sz="4" w:space="0"/>
              <w:left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5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社会经济影响</w:t>
            </w: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对区域经济的影响</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产业延伸、经济带动作用是否明显；国民生产总值、工业增加值及财政收入等</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调查统计</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专家咨询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居民公众意见调查</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公众满意度</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公众参与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restart"/>
            <w:tcBorders>
              <w:top w:val="single" w:color="auto" w:sz="4" w:space="0"/>
              <w:left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5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后续发展的环境影响</w:t>
            </w:r>
          </w:p>
        </w:tc>
        <w:tc>
          <w:tcPr>
            <w:tcW w:w="13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综合评价规划实施后的实际环境影响</w:t>
            </w:r>
          </w:p>
        </w:tc>
        <w:tc>
          <w:tcPr>
            <w:tcW w:w="18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833" w:type="pc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9" w:type="pct"/>
            <w:vMerge w:val="continue"/>
            <w:tcBorders>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530" w:type="pct"/>
            <w:vMerge w:val="continue"/>
            <w:tcBorders>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p>
        </w:tc>
        <w:tc>
          <w:tcPr>
            <w:tcW w:w="1364"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确定为进一步提高规划的环境效益所需的改进措施</w:t>
            </w:r>
          </w:p>
        </w:tc>
        <w:tc>
          <w:tcPr>
            <w:tcW w:w="1894"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①</w:t>
            </w:r>
            <w:r>
              <w:rPr>
                <w:rFonts w:ascii="Times New Roman" w:hAnsi="Times New Roman" w:eastAsia="宋体" w:cs="Times New Roman"/>
                <w:bCs/>
                <w:sz w:val="21"/>
                <w:szCs w:val="21"/>
              </w:rPr>
              <w:t>给出原不确定因素部分确定后带来的环境影响；</w:t>
            </w:r>
            <w:r>
              <w:rPr>
                <w:rFonts w:hint="eastAsia" w:ascii="Times New Roman" w:hAnsi="Times New Roman" w:eastAsia="宋体" w:cs="Times New Roman"/>
                <w:bCs/>
                <w:sz w:val="21"/>
                <w:szCs w:val="21"/>
              </w:rPr>
              <w:t>②</w:t>
            </w:r>
            <w:r>
              <w:rPr>
                <w:rFonts w:ascii="Times New Roman" w:hAnsi="Times New Roman" w:eastAsia="宋体" w:cs="Times New Roman"/>
                <w:bCs/>
                <w:sz w:val="21"/>
                <w:szCs w:val="21"/>
              </w:rPr>
              <w:t>及时发现新的环境影响，提出解决对策，使规划的实施更具目的性</w:t>
            </w:r>
          </w:p>
        </w:tc>
        <w:tc>
          <w:tcPr>
            <w:tcW w:w="833" w:type="pct"/>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bl>
    <w:p>
      <w:pPr>
        <w:keepNext/>
        <w:keepLines/>
        <w:spacing w:line="360" w:lineRule="auto"/>
        <w:outlineLvl w:val="1"/>
        <w:rPr>
          <w:rFonts w:ascii="Times New Roman" w:hAnsi="Times New Roman" w:cs="Times New Roman" w:eastAsiaTheme="majorEastAsia"/>
          <w:b/>
          <w:bCs/>
          <w:sz w:val="30"/>
          <w:szCs w:val="32"/>
        </w:rPr>
      </w:pPr>
      <w:bookmarkStart w:id="802" w:name="_Toc146092064"/>
      <w:r>
        <w:rPr>
          <w:rFonts w:ascii="Times New Roman" w:hAnsi="Times New Roman" w:cs="Times New Roman" w:eastAsiaTheme="majorEastAsia"/>
          <w:b/>
          <w:bCs/>
          <w:sz w:val="30"/>
          <w:szCs w:val="32"/>
        </w:rPr>
        <w:t>9.2 环境监测计划</w:t>
      </w:r>
      <w:bookmarkEnd w:id="802"/>
    </w:p>
    <w:p>
      <w:pPr>
        <w:spacing w:line="360" w:lineRule="auto"/>
        <w:rPr>
          <w:rFonts w:ascii="Times New Roman" w:hAnsi="Times New Roman" w:cs="Times New Roman"/>
          <w:bCs/>
        </w:rPr>
      </w:pPr>
      <w:r>
        <w:rPr>
          <w:rFonts w:ascii="Times New Roman" w:hAnsi="Times New Roman" w:cs="Times New Roman"/>
          <w:bCs/>
        </w:rPr>
        <w:t>（1）监测目的</w:t>
      </w:r>
    </w:p>
    <w:p>
      <w:pPr>
        <w:spacing w:line="360" w:lineRule="auto"/>
        <w:ind w:firstLine="480" w:firstLineChars="200"/>
        <w:rPr>
          <w:rFonts w:ascii="Times New Roman" w:hAnsi="Times New Roman" w:cs="Times New Roman"/>
          <w:bCs/>
        </w:rPr>
      </w:pPr>
      <w:r>
        <w:rPr>
          <w:rFonts w:ascii="Times New Roman" w:hAnsi="Times New Roman" w:cs="Times New Roman"/>
          <w:bCs/>
        </w:rPr>
        <w:t>通过对园区区域环境进行例行监测，随时掌握区域内各环境要素的变化情况，及时发现环境问题；通过对监测资料进行分析，检查本报告书中提出的各项环保措施的落实情况，并根据监测结果调整环保措施；为临湘高新产业开发区区域的环境建设、监督管理提供依据；使开发区的生态环境呈良性循环。</w:t>
      </w:r>
    </w:p>
    <w:p>
      <w:pPr>
        <w:spacing w:line="360" w:lineRule="auto"/>
        <w:rPr>
          <w:rFonts w:ascii="Times New Roman" w:hAnsi="Times New Roman" w:cs="Times New Roman"/>
          <w:bCs/>
        </w:rPr>
      </w:pPr>
      <w:r>
        <w:rPr>
          <w:rFonts w:ascii="Times New Roman" w:hAnsi="Times New Roman" w:cs="Times New Roman"/>
          <w:bCs/>
        </w:rPr>
        <w:t>（2）监测原则</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①</w:t>
      </w:r>
      <w:r>
        <w:rPr>
          <w:rFonts w:ascii="Times New Roman" w:hAnsi="Times New Roman" w:cs="Times New Roman"/>
          <w:bCs/>
        </w:rPr>
        <w:t>结合临湘高新产业开发区的规模与产业特点，针对区域生态环境保护的具体要求，选择有关的生态与环境因子作为监测、调查与观测对象，经分析确认与区域生态环境保护无关的环境因子不作专门的监测。</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②</w:t>
      </w:r>
      <w:r>
        <w:rPr>
          <w:rFonts w:ascii="Times New Roman" w:hAnsi="Times New Roman" w:cs="Times New Roman"/>
          <w:bCs/>
        </w:rPr>
        <w:t>本着监测成果应能及时、全面和系统地反映临湘高新产业开发区区域的环境变化情况，监测断面与观测点的设置既能对环境因子起到控制作用，满足相应专业的技术要求，同时应充分利用现有环境监测机构、技术人员及装备，以节约资金和便于管理，重点建立完善环境监测管理信息系统。</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③</w:t>
      </w:r>
      <w:r>
        <w:rPr>
          <w:rFonts w:ascii="Times New Roman" w:hAnsi="Times New Roman" w:cs="Times New Roman"/>
          <w:bCs/>
        </w:rPr>
        <w:t>采取人工监测与在线监测相结合的手段，满足对监测项目和监测频率的要求；常规监测与移动监测相结合的监测手段，常规监测满足日常管理的需要，移动监测为管理部门提供重大污染事故的基础信息和决策依据（建议临湘高新产业开发区移动监测纳入岳阳市生态环境局移动监测网）。</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④</w:t>
      </w:r>
      <w:r>
        <w:rPr>
          <w:rFonts w:ascii="Times New Roman" w:hAnsi="Times New Roman" w:cs="Times New Roman"/>
          <w:bCs/>
        </w:rPr>
        <w:t>临湘高新产业开发区环境监测计划应根据区域规划和区域工业企业变化情况及监测结果，每隔一定时间适当调整计划安排，包括监测方法。</w:t>
      </w:r>
    </w:p>
    <w:p>
      <w:pPr>
        <w:spacing w:line="360" w:lineRule="auto"/>
        <w:ind w:firstLine="480" w:firstLineChars="200"/>
        <w:rPr>
          <w:rFonts w:ascii="Times New Roman" w:hAnsi="Times New Roman" w:cs="Times New Roman"/>
          <w:bCs/>
        </w:rPr>
      </w:pPr>
      <w:r>
        <w:rPr>
          <w:rFonts w:ascii="Times New Roman" w:hAnsi="Times New Roman" w:cs="Times New Roman"/>
          <w:bCs/>
        </w:rPr>
        <w:t>（3）监测计划总体布局</w:t>
      </w:r>
    </w:p>
    <w:p>
      <w:pPr>
        <w:spacing w:line="360" w:lineRule="auto"/>
        <w:ind w:firstLine="480" w:firstLineChars="200"/>
        <w:rPr>
          <w:rFonts w:ascii="Times New Roman" w:hAnsi="Times New Roman" w:cs="Times New Roman"/>
          <w:bCs/>
        </w:rPr>
      </w:pPr>
      <w:r>
        <w:rPr>
          <w:rFonts w:ascii="Times New Roman" w:hAnsi="Times New Roman" w:cs="Times New Roman"/>
          <w:bCs/>
        </w:rPr>
        <w:t>临湘</w:t>
      </w:r>
      <w:r>
        <w:rPr>
          <w:rFonts w:hint="eastAsia" w:ascii="Times New Roman" w:hAnsi="Times New Roman" w:cs="Times New Roman"/>
          <w:bCs/>
        </w:rPr>
        <w:t>高新</w:t>
      </w:r>
      <w:r>
        <w:rPr>
          <w:rFonts w:ascii="Times New Roman" w:hAnsi="Times New Roman" w:cs="Times New Roman"/>
          <w:bCs/>
        </w:rPr>
        <w:t>产业开发区环境质量监测计划主要包括水环境、大气环境、声环境、固体废物、生态环境等的监测点位布设、监测项目、监测频率、质量保证、数据报表。环境监控包括污染源监测和环境质量监测两部分。</w:t>
      </w:r>
    </w:p>
    <w:p>
      <w:pPr>
        <w:keepNext/>
        <w:keepLines/>
        <w:spacing w:line="360" w:lineRule="auto"/>
        <w:outlineLvl w:val="2"/>
        <w:rPr>
          <w:rFonts w:ascii="Times New Roman" w:hAnsi="Times New Roman" w:cs="Times New Roman"/>
          <w:b/>
          <w:bCs/>
          <w:sz w:val="28"/>
          <w:szCs w:val="32"/>
        </w:rPr>
      </w:pPr>
      <w:bookmarkStart w:id="803" w:name="_Toc146092065"/>
      <w:r>
        <w:rPr>
          <w:rFonts w:ascii="Times New Roman" w:hAnsi="Times New Roman" w:cs="Times New Roman"/>
          <w:b/>
          <w:bCs/>
          <w:sz w:val="28"/>
          <w:szCs w:val="32"/>
        </w:rPr>
        <w:t>9.2.1 水环境</w:t>
      </w:r>
      <w:bookmarkEnd w:id="803"/>
    </w:p>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9.2.1.1 地表水水质监测</w:t>
      </w:r>
    </w:p>
    <w:p>
      <w:pPr>
        <w:spacing w:line="360" w:lineRule="auto"/>
        <w:rPr>
          <w:rFonts w:ascii="Times New Roman" w:hAnsi="Times New Roman" w:cs="Times New Roman"/>
          <w:bCs/>
        </w:rPr>
      </w:pPr>
      <w:r>
        <w:rPr>
          <w:rFonts w:ascii="Times New Roman" w:hAnsi="Times New Roman" w:cs="Times New Roman"/>
          <w:bCs/>
        </w:rPr>
        <w:t>（1）污染源监测</w:t>
      </w:r>
    </w:p>
    <w:p>
      <w:pPr>
        <w:spacing w:line="360" w:lineRule="auto"/>
        <w:ind w:firstLine="480" w:firstLineChars="200"/>
        <w:rPr>
          <w:rFonts w:ascii="Times New Roman" w:hAnsi="Times New Roman" w:cs="Times New Roman"/>
          <w:bCs/>
        </w:rPr>
      </w:pPr>
      <w:r>
        <w:rPr>
          <w:rFonts w:ascii="Times New Roman" w:hAnsi="Times New Roman" w:cs="Times New Roman"/>
          <w:bCs/>
        </w:rPr>
        <w:t>1）监测点位置</w:t>
      </w:r>
    </w:p>
    <w:p>
      <w:pPr>
        <w:spacing w:line="360" w:lineRule="auto"/>
        <w:ind w:firstLine="480" w:firstLineChars="200"/>
        <w:rPr>
          <w:rFonts w:ascii="Times New Roman" w:hAnsi="Times New Roman" w:cs="Times New Roman"/>
          <w:bCs/>
        </w:rPr>
      </w:pPr>
      <w:r>
        <w:rPr>
          <w:rFonts w:ascii="Times New Roman" w:hAnsi="Times New Roman" w:cs="Times New Roman"/>
          <w:bCs/>
        </w:rPr>
        <w:t>监测点位置包括在重点排污工业企业废水排放口设点，反映重点工业企业排放污水的情况；如工业企业有污水处理设施时，应分别在污水处理设施进出口设点监测，反映工业企业废污水处理情况；在各片区污水处理厂进出口处设点，反映污水处理情况。重点工业企业污水排放口和园区污水处理厂进出口处应设置在线监测设备，以能够方便及时快捷的反映污水排放情况，同时有利于完善环境管理信息系统。</w:t>
      </w:r>
    </w:p>
    <w:p>
      <w:pPr>
        <w:spacing w:line="360" w:lineRule="auto"/>
        <w:ind w:firstLine="480" w:firstLineChars="200"/>
        <w:rPr>
          <w:rFonts w:ascii="Times New Roman" w:hAnsi="Times New Roman" w:cs="Times New Roman"/>
          <w:bCs/>
        </w:rPr>
      </w:pPr>
      <w:r>
        <w:rPr>
          <w:rFonts w:ascii="Times New Roman" w:hAnsi="Times New Roman" w:cs="Times New Roman"/>
          <w:bCs/>
        </w:rPr>
        <w:t>2）监测项目</w:t>
      </w:r>
    </w:p>
    <w:p>
      <w:pPr>
        <w:spacing w:line="360" w:lineRule="auto"/>
        <w:ind w:firstLine="480" w:firstLineChars="200"/>
        <w:rPr>
          <w:rFonts w:ascii="Times New Roman" w:hAnsi="Times New Roman" w:cs="Times New Roman"/>
          <w:bCs/>
        </w:rPr>
      </w:pPr>
      <w:r>
        <w:rPr>
          <w:rFonts w:ascii="Times New Roman" w:hAnsi="Times New Roman" w:cs="Times New Roman"/>
          <w:bCs/>
        </w:rPr>
        <w:t>常规监测项目按照《污水综合排放标准》（GB8978-1996）要求的分析项目进行。主要监测项目包括水温、pH、COD</w:t>
      </w:r>
      <w:r>
        <w:rPr>
          <w:rFonts w:ascii="Times New Roman" w:hAnsi="Times New Roman" w:cs="Times New Roman"/>
          <w:vertAlign w:val="subscript"/>
        </w:rPr>
        <w:t>Cr</w:t>
      </w:r>
      <w:r>
        <w:rPr>
          <w:rFonts w:ascii="Times New Roman" w:hAnsi="Times New Roman" w:cs="Times New Roman"/>
        </w:rPr>
        <w:t>、</w:t>
      </w:r>
      <w:r>
        <w:rPr>
          <w:rFonts w:ascii="Times New Roman" w:hAnsi="Times New Roman" w:cs="Times New Roman"/>
          <w:bCs/>
        </w:rPr>
        <w:t>DO、氨氮、总磷、氰化物、铜、铅、锌、镉、砷、汞、六价铬、挥发酚、硫化物、色度等。同时统计用水部位、用水量；测量排水量，并注明废水来源。在线监测的项目主要包括：排水量、水温、pH、SS、COD、BO</w:t>
      </w:r>
      <w:r>
        <w:rPr>
          <w:rFonts w:ascii="Times New Roman" w:hAnsi="Times New Roman" w:cs="Times New Roman"/>
        </w:rPr>
        <w:t>D</w:t>
      </w:r>
      <w:r>
        <w:rPr>
          <w:rFonts w:ascii="Times New Roman" w:hAnsi="Times New Roman" w:cs="Times New Roman"/>
          <w:vertAlign w:val="subscript"/>
        </w:rPr>
        <w:t>5</w:t>
      </w:r>
      <w:r>
        <w:rPr>
          <w:rFonts w:ascii="Times New Roman" w:hAnsi="Times New Roman" w:cs="Times New Roman"/>
        </w:rPr>
        <w:t>等。</w:t>
      </w:r>
      <w:r>
        <w:rPr>
          <w:rFonts w:ascii="Times New Roman" w:hAnsi="Times New Roman" w:cs="Times New Roman"/>
          <w:bCs/>
        </w:rPr>
        <w:t>同时统计用水部位、用水量，并注明废水来源。监测因子可根据生产企业废水产生及排放特点，酌情增减。</w:t>
      </w:r>
    </w:p>
    <w:p>
      <w:pPr>
        <w:spacing w:line="360" w:lineRule="auto"/>
        <w:ind w:firstLine="480" w:firstLineChars="200"/>
        <w:rPr>
          <w:rFonts w:ascii="Times New Roman" w:hAnsi="Times New Roman" w:cs="Times New Roman"/>
          <w:bCs/>
        </w:rPr>
      </w:pPr>
      <w:r>
        <w:rPr>
          <w:rFonts w:ascii="Times New Roman" w:hAnsi="Times New Roman" w:cs="Times New Roman"/>
          <w:bCs/>
        </w:rPr>
        <w:t>3）监测频率</w:t>
      </w:r>
    </w:p>
    <w:p>
      <w:pPr>
        <w:spacing w:line="360" w:lineRule="auto"/>
        <w:ind w:firstLine="480" w:firstLineChars="200"/>
        <w:rPr>
          <w:rFonts w:ascii="Times New Roman" w:hAnsi="Times New Roman" w:cs="Times New Roman"/>
          <w:bCs/>
        </w:rPr>
      </w:pPr>
      <w:r>
        <w:rPr>
          <w:rFonts w:ascii="Times New Roman" w:hAnsi="Times New Roman" w:cs="Times New Roman"/>
          <w:bCs/>
        </w:rPr>
        <w:t>常规监测项目除污水处理厂每星期监测一次外，其它排污口每季监测一次，根据环境管理需要，可酌情增减；如遇事故情况或开、停车、检修等非正常情况，应另外加测。</w:t>
      </w:r>
    </w:p>
    <w:p>
      <w:pPr>
        <w:spacing w:line="360" w:lineRule="auto"/>
        <w:ind w:firstLine="480" w:firstLineChars="200"/>
        <w:rPr>
          <w:rFonts w:ascii="Times New Roman" w:hAnsi="Times New Roman" w:cs="Times New Roman"/>
          <w:bCs/>
        </w:rPr>
      </w:pPr>
      <w:r>
        <w:rPr>
          <w:rFonts w:ascii="Times New Roman" w:hAnsi="Times New Roman" w:cs="Times New Roman"/>
          <w:bCs/>
        </w:rPr>
        <w:t>在线监测每日监测结果以小时均值或日均值的方式提供监测报告，并以日均值为基础提供周报或月报。管理部门也可根据需要查阅现场实时测量值。</w:t>
      </w:r>
    </w:p>
    <w:p>
      <w:pPr>
        <w:spacing w:line="360" w:lineRule="auto"/>
        <w:rPr>
          <w:rFonts w:ascii="Times New Roman" w:hAnsi="Times New Roman" w:cs="Times New Roman"/>
          <w:bCs/>
        </w:rPr>
      </w:pPr>
      <w:r>
        <w:rPr>
          <w:rFonts w:ascii="Times New Roman" w:hAnsi="Times New Roman" w:cs="Times New Roman"/>
          <w:bCs/>
        </w:rPr>
        <w:t>（2）地表水水质监测</w:t>
      </w:r>
    </w:p>
    <w:p>
      <w:pPr>
        <w:spacing w:line="360" w:lineRule="auto"/>
        <w:ind w:firstLine="480" w:firstLineChars="200"/>
        <w:rPr>
          <w:rFonts w:ascii="Times New Roman" w:hAnsi="Times New Roman" w:cs="Times New Roman"/>
          <w:bCs/>
        </w:rPr>
      </w:pPr>
      <w:r>
        <w:rPr>
          <w:rFonts w:ascii="Times New Roman" w:hAnsi="Times New Roman" w:cs="Times New Roman"/>
          <w:bCs/>
        </w:rPr>
        <w:t>1）监测断面布设与监测因子</w:t>
      </w:r>
    </w:p>
    <w:p>
      <w:pPr>
        <w:spacing w:line="360" w:lineRule="auto"/>
        <w:ind w:firstLine="480" w:firstLineChars="200"/>
        <w:rPr>
          <w:rFonts w:ascii="Times New Roman" w:hAnsi="Times New Roman" w:cs="Times New Roman"/>
          <w:bCs/>
        </w:rPr>
      </w:pPr>
      <w:r>
        <w:rPr>
          <w:rFonts w:hint="eastAsia" w:ascii="Times New Roman" w:hAnsi="Times New Roman" w:cs="Times New Roman"/>
          <w:bCs/>
        </w:rPr>
        <w:t>三湾产业园</w:t>
      </w:r>
      <w:r>
        <w:rPr>
          <w:rFonts w:ascii="Times New Roman" w:hAnsi="Times New Roman" w:cs="Times New Roman"/>
          <w:bCs/>
        </w:rPr>
        <w:t>污水排入污水处理厂进行处理，达标后废水排入</w:t>
      </w:r>
      <w:r>
        <w:rPr>
          <w:rFonts w:hint="eastAsia" w:ascii="Times New Roman" w:hAnsi="Times New Roman" w:cs="Times New Roman"/>
          <w:bCs/>
        </w:rPr>
        <w:t>长安河；滨江产业园</w:t>
      </w:r>
      <w:r>
        <w:rPr>
          <w:rFonts w:ascii="Times New Roman" w:hAnsi="Times New Roman" w:cs="Times New Roman"/>
          <w:bCs/>
        </w:rPr>
        <w:t>污水排入污水处理厂进行处理，达标后废水排入</w:t>
      </w:r>
      <w:r>
        <w:rPr>
          <w:rFonts w:hint="eastAsia" w:ascii="Times New Roman" w:hAnsi="Times New Roman" w:cs="Times New Roman"/>
          <w:bCs/>
        </w:rPr>
        <w:t>长江</w:t>
      </w:r>
      <w:r>
        <w:rPr>
          <w:rFonts w:ascii="Times New Roman" w:hAnsi="Times New Roman" w:cs="Times New Roman"/>
          <w:bCs/>
        </w:rPr>
        <w:t>(</w:t>
      </w:r>
      <w:r>
        <w:rPr>
          <w:rFonts w:hint="eastAsia" w:ascii="Times New Roman" w:hAnsi="Times New Roman" w:cs="Times New Roman"/>
          <w:bCs/>
        </w:rPr>
        <w:t>城陵矶至黄盖湖段</w:t>
      </w:r>
      <w:r>
        <w:rPr>
          <w:rFonts w:ascii="Times New Roman" w:hAnsi="Times New Roman" w:cs="Times New Roman"/>
          <w:bCs/>
        </w:rPr>
        <w:t>)</w:t>
      </w:r>
      <w:r>
        <w:rPr>
          <w:rFonts w:hint="eastAsia" w:ascii="Times New Roman" w:hAnsi="Times New Roman" w:cs="Times New Roman"/>
          <w:bCs/>
        </w:rPr>
        <w:t>；</w:t>
      </w:r>
      <w:r>
        <w:rPr>
          <w:rFonts w:ascii="Times New Roman" w:hAnsi="Times New Roman" w:cs="Times New Roman"/>
          <w:bCs/>
        </w:rPr>
        <w:t>本评价地表水水质监测断面见下表。</w:t>
      </w:r>
    </w:p>
    <w:p>
      <w:pPr>
        <w:keepLines/>
        <w:spacing w:line="360" w:lineRule="auto"/>
        <w:ind w:firstLine="482" w:firstLineChars="200"/>
        <w:jc w:val="center"/>
        <w:outlineLvl w:val="4"/>
        <w:rPr>
          <w:rFonts w:ascii="Times New Roman" w:hAnsi="Times New Roman" w:cs="Times New Roman"/>
          <w:b/>
          <w:bCs/>
          <w:szCs w:val="28"/>
        </w:rPr>
      </w:pPr>
      <w:r>
        <w:rPr>
          <w:rFonts w:ascii="Times New Roman" w:hAnsi="Times New Roman" w:cs="Times New Roman"/>
          <w:b/>
          <w:bCs/>
          <w:szCs w:val="28"/>
        </w:rPr>
        <w:t>表9.2-1  地表水水环境监测点位与监测因子</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1"/>
        <w:gridCol w:w="2329"/>
        <w:gridCol w:w="4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24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w:t>
            </w: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232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4107"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片区</w:t>
            </w: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临湘市污水净化中心</w:t>
            </w:r>
            <w:r>
              <w:rPr>
                <w:rFonts w:ascii="Times New Roman" w:hAnsi="Times New Roman" w:eastAsia="宋体" w:cs="Times New Roman"/>
                <w:bCs/>
                <w:sz w:val="21"/>
                <w:szCs w:val="21"/>
              </w:rPr>
              <w:t>排污口上游1000m</w:t>
            </w:r>
          </w:p>
        </w:tc>
        <w:tc>
          <w:tcPr>
            <w:tcW w:w="4107"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pH、悬浮物、溶解氧、化学需氧量、五日生化需氧量、总磷、挥发酚、石油类、氨氮、总氮</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Cu、Pb、Zn、Cd、Hg、As、Ni、Cr6+、氟化物、氰化物、硫化物、动植物油、阴离子表面活性剂LAS、粪大肠菌群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continue"/>
            <w:vAlign w:val="center"/>
          </w:tcPr>
          <w:p>
            <w:pPr>
              <w:jc w:val="center"/>
              <w:rPr>
                <w:rFonts w:ascii="Times New Roman" w:hAnsi="Times New Roman" w:eastAsia="宋体" w:cs="Times New Roman"/>
                <w:bCs/>
                <w:sz w:val="21"/>
                <w:szCs w:val="21"/>
              </w:rPr>
            </w:pP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临湘市污水净化中心</w:t>
            </w:r>
            <w:r>
              <w:rPr>
                <w:rFonts w:ascii="Times New Roman" w:hAnsi="Times New Roman" w:eastAsia="宋体" w:cs="Times New Roman"/>
                <w:bCs/>
                <w:sz w:val="21"/>
                <w:szCs w:val="21"/>
              </w:rPr>
              <w:t>排污口下游500m</w:t>
            </w:r>
          </w:p>
        </w:tc>
        <w:tc>
          <w:tcPr>
            <w:tcW w:w="4107"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continue"/>
            <w:vAlign w:val="center"/>
          </w:tcPr>
          <w:p>
            <w:pPr>
              <w:jc w:val="center"/>
              <w:rPr>
                <w:rFonts w:ascii="Times New Roman" w:hAnsi="Times New Roman" w:eastAsia="宋体" w:cs="Times New Roman"/>
                <w:bCs/>
                <w:sz w:val="21"/>
                <w:szCs w:val="21"/>
              </w:rPr>
            </w:pP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源潭河工业园段上游500m</w:t>
            </w:r>
          </w:p>
        </w:tc>
        <w:tc>
          <w:tcPr>
            <w:tcW w:w="4107"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continue"/>
            <w:vAlign w:val="center"/>
          </w:tcPr>
          <w:p>
            <w:pPr>
              <w:jc w:val="center"/>
              <w:rPr>
                <w:rFonts w:ascii="Times New Roman" w:hAnsi="Times New Roman" w:eastAsia="宋体" w:cs="Times New Roman"/>
                <w:bCs/>
                <w:sz w:val="21"/>
                <w:szCs w:val="21"/>
              </w:rPr>
            </w:pP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源潭河工业园段下游500m</w:t>
            </w:r>
          </w:p>
        </w:tc>
        <w:tc>
          <w:tcPr>
            <w:tcW w:w="4107"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片区</w:t>
            </w: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排污口下游</w:t>
            </w:r>
            <w:r>
              <w:rPr>
                <w:rFonts w:ascii="Times New Roman" w:hAnsi="Times New Roman" w:eastAsia="宋体" w:cs="Times New Roman"/>
                <w:bCs/>
                <w:sz w:val="21"/>
                <w:szCs w:val="21"/>
              </w:rPr>
              <w:t>500m</w:t>
            </w:r>
          </w:p>
        </w:tc>
        <w:tc>
          <w:tcPr>
            <w:tcW w:w="4107"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r>
              <w:rPr>
                <w:rFonts w:hint="eastAsia" w:ascii="Times New Roman" w:hAnsi="Times New Roman" w:eastAsia="宋体" w:cs="Times New Roman"/>
                <w:bCs/>
                <w:sz w:val="21"/>
                <w:szCs w:val="21"/>
              </w:rPr>
              <w:t>、水温、高锰酸盐指数、</w:t>
            </w:r>
            <w:r>
              <w:rPr>
                <w:rFonts w:ascii="Times New Roman" w:hAnsi="Times New Roman" w:eastAsia="宋体" w:cs="Times New Roman"/>
                <w:bCs/>
                <w:sz w:val="21"/>
                <w:szCs w:val="21"/>
              </w:rPr>
              <w:t>DO</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COD</w:t>
            </w:r>
            <w:r>
              <w:rPr>
                <w:rFonts w:hint="eastAsia" w:ascii="Times New Roman" w:hAnsi="Times New Roman" w:eastAsia="宋体" w:cs="Times New Roman"/>
                <w:bCs/>
                <w:sz w:val="21"/>
                <w:szCs w:val="21"/>
              </w:rPr>
              <w:t xml:space="preserve">、 </w:t>
            </w:r>
            <w:r>
              <w:rPr>
                <w:rFonts w:ascii="Times New Roman" w:hAnsi="Times New Roman" w:eastAsia="宋体" w:cs="Times New Roman"/>
                <w:bCs/>
                <w:sz w:val="21"/>
                <w:szCs w:val="21"/>
              </w:rPr>
              <w:t>BOD5</w:t>
            </w:r>
            <w:r>
              <w:rPr>
                <w:rFonts w:hint="eastAsia" w:ascii="Times New Roman" w:hAnsi="Times New Roman" w:eastAsia="宋体" w:cs="Times New Roman"/>
                <w:bCs/>
                <w:sz w:val="21"/>
                <w:szCs w:val="21"/>
              </w:rPr>
              <w:t>、氨氮、总磷、总氮、铜、锌、 氟化物、</w:t>
            </w:r>
            <w:r>
              <w:rPr>
                <w:rFonts w:ascii="Times New Roman" w:hAnsi="Times New Roman" w:eastAsia="宋体" w:cs="Times New Roman"/>
                <w:bCs/>
                <w:sz w:val="21"/>
                <w:szCs w:val="21"/>
              </w:rPr>
              <w:t>As</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Hg</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Cd</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Cr6+</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Pb</w:t>
            </w:r>
            <w:r>
              <w:rPr>
                <w:rFonts w:hint="eastAsia" w:ascii="Times New Roman" w:hAnsi="Times New Roman" w:eastAsia="宋体" w:cs="Times New Roman"/>
                <w:bCs/>
                <w:sz w:val="21"/>
                <w:szCs w:val="21"/>
              </w:rPr>
              <w:t xml:space="preserve">、 </w:t>
            </w:r>
            <w:r>
              <w:rPr>
                <w:rFonts w:ascii="Times New Roman" w:hAnsi="Times New Roman" w:eastAsia="宋体" w:cs="Times New Roman"/>
                <w:bCs/>
                <w:sz w:val="21"/>
                <w:szCs w:val="21"/>
              </w:rPr>
              <w:t>SS</w:t>
            </w:r>
            <w:r>
              <w:rPr>
                <w:rFonts w:hint="eastAsia" w:ascii="Times New Roman" w:hAnsi="Times New Roman" w:eastAsia="宋体" w:cs="Times New Roman"/>
                <w:bCs/>
                <w:sz w:val="21"/>
                <w:szCs w:val="21"/>
              </w:rPr>
              <w:t>、氰化物、挥发酚、阴离子表面活性剂、硫化物、粪大肠菌群、石油类、镍、锡、钴、</w:t>
            </w:r>
            <w:r>
              <w:rPr>
                <w:rFonts w:ascii="Times New Roman" w:hAnsi="Times New Roman" w:eastAsia="宋体" w:cs="Times New Roman"/>
                <w:bCs/>
                <w:sz w:val="21"/>
                <w:szCs w:val="21"/>
              </w:rPr>
              <w:t>Ag</w:t>
            </w:r>
            <w:r>
              <w:rPr>
                <w:rFonts w:hint="eastAsia" w:ascii="Times New Roman" w:hAnsi="Times New Roman" w:eastAsia="宋体" w:cs="Times New Roman"/>
                <w:bCs/>
                <w:sz w:val="21"/>
                <w:szCs w:val="21"/>
              </w:rPr>
              <w:t>、苯胺、滴滴涕、苯和甲苯共</w:t>
            </w:r>
            <w:r>
              <w:rPr>
                <w:rFonts w:ascii="Times New Roman" w:hAnsi="Times New Roman" w:eastAsia="宋体" w:cs="Times New Roman"/>
                <w:bCs/>
                <w:sz w:val="21"/>
                <w:szCs w:val="21"/>
              </w:rPr>
              <w:t>32</w:t>
            </w:r>
            <w:r>
              <w:rPr>
                <w:rFonts w:hint="eastAsia" w:ascii="Times New Roman" w:hAnsi="Times New Roman" w:eastAsia="宋体" w:cs="Times New Roman"/>
                <w:bCs/>
                <w:sz w:val="21"/>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continue"/>
            <w:vAlign w:val="center"/>
          </w:tcPr>
          <w:p>
            <w:pPr>
              <w:jc w:val="center"/>
              <w:rPr>
                <w:rFonts w:ascii="Times New Roman" w:hAnsi="Times New Roman" w:eastAsia="宋体" w:cs="Times New Roman"/>
                <w:bCs/>
                <w:sz w:val="21"/>
                <w:szCs w:val="21"/>
              </w:rPr>
            </w:pP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洋溪湖</w:t>
            </w:r>
          </w:p>
        </w:tc>
        <w:tc>
          <w:tcPr>
            <w:tcW w:w="4107" w:type="dxa"/>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42" w:type="dxa"/>
            <w:vMerge w:val="continue"/>
            <w:vAlign w:val="center"/>
          </w:tcPr>
          <w:p>
            <w:pPr>
              <w:jc w:val="center"/>
              <w:rPr>
                <w:rFonts w:ascii="Times New Roman" w:hAnsi="Times New Roman" w:eastAsia="宋体" w:cs="Times New Roman"/>
                <w:bCs/>
                <w:sz w:val="21"/>
                <w:szCs w:val="21"/>
              </w:rPr>
            </w:pPr>
          </w:p>
        </w:tc>
        <w:tc>
          <w:tcPr>
            <w:tcW w:w="8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232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冶湖</w:t>
            </w:r>
          </w:p>
        </w:tc>
        <w:tc>
          <w:tcPr>
            <w:tcW w:w="4107" w:type="dxa"/>
            <w:vMerge w:val="continue"/>
            <w:vAlign w:val="center"/>
          </w:tcPr>
          <w:p>
            <w:pPr>
              <w:ind w:firstLine="420" w:firstLineChars="200"/>
              <w:jc w:val="center"/>
              <w:rPr>
                <w:rFonts w:ascii="Times New Roman" w:hAnsi="Times New Roman" w:eastAsia="宋体" w:cs="Times New Roman"/>
                <w:sz w:val="21"/>
              </w:rPr>
            </w:pPr>
          </w:p>
        </w:tc>
      </w:tr>
    </w:tbl>
    <w:p>
      <w:pPr>
        <w:spacing w:line="360" w:lineRule="auto"/>
        <w:ind w:firstLine="480" w:firstLineChars="200"/>
        <w:rPr>
          <w:rFonts w:ascii="Times New Roman" w:hAnsi="Times New Roman" w:cs="Times New Roman"/>
        </w:rPr>
      </w:pPr>
      <w:r>
        <w:rPr>
          <w:rFonts w:ascii="Times New Roman" w:hAnsi="Times New Roman" w:cs="Times New Roman"/>
        </w:rPr>
        <w:t>2）监测时段与频次</w:t>
      </w:r>
    </w:p>
    <w:p>
      <w:pPr>
        <w:spacing w:line="360" w:lineRule="auto"/>
        <w:ind w:firstLine="480" w:firstLineChars="200"/>
        <w:rPr>
          <w:rFonts w:ascii="Times New Roman" w:hAnsi="Times New Roman" w:cs="Times New Roman"/>
        </w:rPr>
      </w:pPr>
      <w:r>
        <w:rPr>
          <w:rFonts w:ascii="Times New Roman" w:hAnsi="Times New Roman" w:cs="Times New Roman"/>
        </w:rPr>
        <w:t>每年平水期和枯水期各监测一次，每次连续3d</w:t>
      </w:r>
      <w:r>
        <w:rPr>
          <w:rFonts w:ascii="Times New Roman" w:hAnsi="Times New Roman" w:cs="Times New Roman"/>
          <w:bCs/>
        </w:rPr>
        <w:t>，</w:t>
      </w:r>
      <w:r>
        <w:rPr>
          <w:rFonts w:ascii="Times New Roman" w:hAnsi="Times New Roman" w:cs="Times New Roman"/>
        </w:rPr>
        <w:t>每次取代表样品一个。</w:t>
      </w:r>
    </w:p>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9.2.1.2 地下水水质监测</w:t>
      </w:r>
    </w:p>
    <w:p>
      <w:pPr>
        <w:spacing w:line="360" w:lineRule="auto"/>
        <w:ind w:firstLine="480" w:firstLineChars="200"/>
        <w:rPr>
          <w:rFonts w:ascii="Times New Roman" w:hAnsi="Times New Roman" w:cs="Times New Roman"/>
        </w:rPr>
      </w:pPr>
      <w:r>
        <w:rPr>
          <w:rFonts w:ascii="Times New Roman" w:hAnsi="Times New Roman" w:cs="Times New Roman"/>
        </w:rPr>
        <w:t>1）监测点位布设与监测因子</w:t>
      </w:r>
    </w:p>
    <w:p>
      <w:pPr>
        <w:spacing w:line="360" w:lineRule="auto"/>
        <w:ind w:firstLine="480" w:firstLineChars="200"/>
        <w:rPr>
          <w:rFonts w:ascii="Times New Roman" w:hAnsi="Times New Roman" w:cs="Times New Roman"/>
        </w:rPr>
      </w:pPr>
      <w:r>
        <w:rPr>
          <w:rFonts w:ascii="Times New Roman" w:hAnsi="Times New Roman" w:cs="Times New Roman"/>
        </w:rPr>
        <w:t>地下水水质监测断面见下表。</w:t>
      </w:r>
    </w:p>
    <w:p>
      <w:pPr>
        <w:keepLines/>
        <w:spacing w:line="360" w:lineRule="auto"/>
        <w:ind w:firstLine="482" w:firstLineChars="200"/>
        <w:jc w:val="center"/>
        <w:outlineLvl w:val="4"/>
        <w:rPr>
          <w:rFonts w:ascii="Times New Roman" w:hAnsi="Times New Roman" w:cs="Times New Roman"/>
          <w:b/>
          <w:bCs/>
          <w:szCs w:val="28"/>
        </w:rPr>
      </w:pPr>
      <w:r>
        <w:rPr>
          <w:rFonts w:ascii="Times New Roman" w:hAnsi="Times New Roman" w:cs="Times New Roman"/>
          <w:b/>
          <w:bCs/>
          <w:szCs w:val="28"/>
        </w:rPr>
        <w:t>表9.2-2  地下水水环境监测点位与监测因子</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953"/>
        <w:gridCol w:w="2010"/>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5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2126"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435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片区</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园区内跟踪监测井</w:t>
            </w:r>
          </w:p>
        </w:tc>
        <w:tc>
          <w:tcPr>
            <w:tcW w:w="4359"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pH、氨氮、高锰酸盐指数、总硬度、挥发酚、氟化物、硫化物、汞、铁、锰、镉、铅、砷、六价铬、总大肠菌群、菌落总数、硫酸盐、氯化物、钾离子、钠离子、钙离子、镁离子、碳酸根、碳酸氢根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石塘冲水井</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片区</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泾港村</w:t>
            </w:r>
          </w:p>
        </w:tc>
        <w:tc>
          <w:tcPr>
            <w:tcW w:w="4359"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w:t>
            </w:r>
            <w:r>
              <w:rPr>
                <w:rFonts w:hint="eastAsia" w:ascii="Times New Roman" w:hAnsi="Times New Roman" w:eastAsia="宋体" w:cs="Times New Roman"/>
                <w:bCs/>
                <w:sz w:val="21"/>
                <w:szCs w:val="21"/>
              </w:rPr>
              <w:t>、水温、总硬度、阴离子表面活性剂、耗氧量，硫酸盐、硝酸盐、氯化物、</w:t>
            </w:r>
            <w:r>
              <w:rPr>
                <w:rFonts w:ascii="Times New Roman" w:hAnsi="Times New Roman" w:eastAsia="宋体" w:cs="Times New Roman"/>
                <w:bCs/>
                <w:sz w:val="21"/>
                <w:szCs w:val="21"/>
              </w:rPr>
              <w:t>Pb</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Cd</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Hg</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As</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Cr</w:t>
            </w:r>
            <w:r>
              <w:rPr>
                <w:rFonts w:ascii="Times New Roman" w:hAnsi="Times New Roman" w:eastAsia="宋体" w:cs="Times New Roman"/>
                <w:bCs/>
                <w:sz w:val="21"/>
                <w:szCs w:val="21"/>
                <w:vertAlign w:val="superscript"/>
              </w:rPr>
              <w:t>6+</w:t>
            </w:r>
            <w:r>
              <w:rPr>
                <w:rFonts w:hint="eastAsia" w:ascii="Times New Roman" w:hAnsi="Times New Roman" w:eastAsia="宋体" w:cs="Times New Roman"/>
                <w:bCs/>
                <w:sz w:val="21"/>
                <w:szCs w:val="21"/>
              </w:rPr>
              <w:t>、铜、锌、镍、钴、</w:t>
            </w:r>
            <w:r>
              <w:rPr>
                <w:rFonts w:ascii="Times New Roman" w:hAnsi="Times New Roman" w:eastAsia="宋体" w:cs="Times New Roman"/>
                <w:bCs/>
                <w:sz w:val="21"/>
                <w:szCs w:val="21"/>
              </w:rPr>
              <w:t>Ag</w:t>
            </w:r>
            <w:r>
              <w:rPr>
                <w:rFonts w:hint="eastAsia" w:ascii="Times New Roman" w:hAnsi="Times New Roman" w:eastAsia="宋体" w:cs="Times New Roman"/>
                <w:bCs/>
                <w:sz w:val="21"/>
                <w:szCs w:val="21"/>
              </w:rPr>
              <w:t>、氰化物、氨氮、硫化物、挥发酚、滴滴涕、六六六、</w:t>
            </w:r>
            <w:r>
              <w:rPr>
                <w:rFonts w:ascii="Times New Roman" w:hAnsi="Times New Roman" w:eastAsia="宋体" w:cs="Times New Roman"/>
                <w:bCs/>
                <w:sz w:val="21"/>
                <w:szCs w:val="21"/>
              </w:rPr>
              <w:t>Ag</w:t>
            </w:r>
            <w:r>
              <w:rPr>
                <w:rFonts w:hint="eastAsia" w:ascii="Times New Roman" w:hAnsi="Times New Roman" w:eastAsia="宋体" w:cs="Times New Roman"/>
                <w:bCs/>
                <w:sz w:val="21"/>
                <w:szCs w:val="21"/>
              </w:rPr>
              <w:t>、总大肠菌群、细菌总数共</w:t>
            </w:r>
            <w:r>
              <w:rPr>
                <w:rFonts w:ascii="Times New Roman" w:hAnsi="Times New Roman" w:eastAsia="宋体" w:cs="Times New Roman"/>
                <w:bCs/>
                <w:sz w:val="21"/>
                <w:szCs w:val="21"/>
              </w:rPr>
              <w:t>24</w:t>
            </w:r>
            <w:r>
              <w:rPr>
                <w:rFonts w:hint="eastAsia" w:ascii="Times New Roman" w:hAnsi="Times New Roman" w:eastAsia="宋体" w:cs="Times New Roman"/>
                <w:bCs/>
                <w:sz w:val="21"/>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杨桥村</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鸭栏村</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洋溪村</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绿色建材</w:t>
            </w:r>
            <w:r>
              <w:rPr>
                <w:rFonts w:ascii="Times New Roman" w:hAnsi="Times New Roman" w:eastAsia="宋体" w:cs="Times New Roman"/>
                <w:bCs/>
                <w:sz w:val="21"/>
                <w:szCs w:val="21"/>
              </w:rPr>
              <w:t>产业园</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2126" w:type="dxa"/>
            <w:vAlign w:val="center"/>
          </w:tcPr>
          <w:p>
            <w:pPr>
              <w:jc w:val="center"/>
              <w:rPr>
                <w:rFonts w:ascii="Times New Roman" w:hAnsi="Times New Roman" w:eastAsia="宋体" w:cs="Times New Roman"/>
                <w:bCs/>
                <w:sz w:val="21"/>
                <w:szCs w:val="21"/>
              </w:rPr>
            </w:pPr>
          </w:p>
        </w:tc>
        <w:tc>
          <w:tcPr>
            <w:tcW w:w="4359" w:type="dxa"/>
            <w:vAlign w:val="center"/>
          </w:tcPr>
          <w:p>
            <w:pPr>
              <w:jc w:val="center"/>
              <w:rPr>
                <w:rFonts w:ascii="Times New Roman" w:hAnsi="Times New Roman" w:eastAsia="宋体" w:cs="Times New Roman"/>
                <w:bCs/>
                <w:sz w:val="21"/>
                <w:szCs w:val="21"/>
              </w:rPr>
            </w:pPr>
          </w:p>
        </w:tc>
      </w:tr>
    </w:tbl>
    <w:p>
      <w:pPr>
        <w:spacing w:line="360" w:lineRule="auto"/>
        <w:ind w:firstLine="480" w:firstLineChars="200"/>
        <w:rPr>
          <w:rFonts w:ascii="Times New Roman" w:hAnsi="Times New Roman" w:cs="Times New Roman"/>
        </w:rPr>
      </w:pPr>
      <w:r>
        <w:rPr>
          <w:rFonts w:ascii="Times New Roman" w:hAnsi="Times New Roman" w:cs="Times New Roman"/>
        </w:rPr>
        <w:t>2）监测时段与频次</w:t>
      </w:r>
    </w:p>
    <w:p>
      <w:pPr>
        <w:spacing w:line="360" w:lineRule="auto"/>
        <w:ind w:firstLine="480" w:firstLineChars="200"/>
        <w:rPr>
          <w:rFonts w:ascii="Times New Roman" w:hAnsi="Times New Roman" w:cs="Times New Roman"/>
        </w:rPr>
      </w:pPr>
      <w:r>
        <w:rPr>
          <w:rFonts w:ascii="Times New Roman" w:hAnsi="Times New Roman" w:cs="Times New Roman"/>
        </w:rPr>
        <w:t>每年丰水期、枯水期监测一次，每次1天，每天采样一次。</w:t>
      </w:r>
    </w:p>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9.2.1.3 雨水排口监测</w:t>
      </w:r>
    </w:p>
    <w:p>
      <w:pPr>
        <w:spacing w:line="360" w:lineRule="auto"/>
        <w:ind w:firstLine="480" w:firstLineChars="200"/>
        <w:rPr>
          <w:rFonts w:ascii="Times New Roman" w:hAnsi="Times New Roman" w:cs="Times New Roman"/>
        </w:rPr>
      </w:pPr>
      <w:r>
        <w:rPr>
          <w:rFonts w:ascii="Times New Roman" w:hAnsi="Times New Roman" w:cs="Times New Roman"/>
        </w:rPr>
        <w:t>建议不定期（至少枯水期、丰水期）在雨水排口处有水流时进行检测：监测因子：pH、COD、BOD</w:t>
      </w:r>
      <w:r>
        <w:rPr>
          <w:rFonts w:ascii="Times New Roman" w:hAnsi="Times New Roman" w:cs="Times New Roman"/>
          <w:vertAlign w:val="subscript"/>
        </w:rPr>
        <w:t>5</w:t>
      </w:r>
      <w:r>
        <w:rPr>
          <w:rFonts w:ascii="Times New Roman" w:hAnsi="Times New Roman" w:cs="Times New Roman"/>
        </w:rPr>
        <w:t>、氨氮、总氮、总磷</w:t>
      </w:r>
      <w:r>
        <w:rPr>
          <w:rFonts w:hint="eastAsia" w:ascii="Times New Roman" w:hAnsi="Times New Roman" w:cs="Times New Roman"/>
        </w:rPr>
        <w:t>、镍、钴、锰</w:t>
      </w:r>
      <w:r>
        <w:rPr>
          <w:rFonts w:ascii="Times New Roman" w:hAnsi="Times New Roman" w:cs="Times New Roman"/>
        </w:rPr>
        <w:t>等；</w:t>
      </w:r>
    </w:p>
    <w:p>
      <w:pPr>
        <w:keepNext/>
        <w:keepLines/>
        <w:spacing w:line="360" w:lineRule="auto"/>
        <w:outlineLvl w:val="2"/>
        <w:rPr>
          <w:rFonts w:ascii="Times New Roman" w:hAnsi="Times New Roman" w:cs="Times New Roman"/>
          <w:b/>
          <w:bCs/>
          <w:sz w:val="28"/>
          <w:szCs w:val="32"/>
        </w:rPr>
      </w:pPr>
      <w:bookmarkStart w:id="804" w:name="_Toc146092066"/>
      <w:r>
        <w:rPr>
          <w:rFonts w:ascii="Times New Roman" w:hAnsi="Times New Roman" w:cs="Times New Roman"/>
          <w:b/>
          <w:bCs/>
          <w:sz w:val="28"/>
          <w:szCs w:val="32"/>
        </w:rPr>
        <w:t>9.2.2 大气环境</w:t>
      </w:r>
      <w:bookmarkEnd w:id="804"/>
    </w:p>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9.2.2.1 污染源监测</w:t>
      </w:r>
    </w:p>
    <w:p>
      <w:pPr>
        <w:spacing w:line="360" w:lineRule="auto"/>
        <w:ind w:firstLine="480" w:firstLineChars="200"/>
        <w:rPr>
          <w:rFonts w:ascii="Times New Roman" w:hAnsi="Times New Roman" w:cs="Times New Roman"/>
        </w:rPr>
      </w:pPr>
      <w:r>
        <w:rPr>
          <w:rFonts w:ascii="Times New Roman" w:hAnsi="Times New Roman" w:cs="Times New Roman"/>
        </w:rPr>
        <w:t>1）监测点位置</w:t>
      </w:r>
    </w:p>
    <w:p>
      <w:pPr>
        <w:spacing w:line="360" w:lineRule="auto"/>
        <w:ind w:firstLine="480" w:firstLineChars="200"/>
        <w:rPr>
          <w:rFonts w:ascii="Times New Roman" w:hAnsi="Times New Roman" w:cs="Times New Roman"/>
        </w:rPr>
      </w:pPr>
      <w:r>
        <w:rPr>
          <w:rFonts w:ascii="Times New Roman" w:hAnsi="Times New Roman" w:cs="Times New Roman"/>
        </w:rPr>
        <w:t>a）有组织排放</w:t>
      </w:r>
    </w:p>
    <w:p>
      <w:pPr>
        <w:spacing w:line="360" w:lineRule="auto"/>
        <w:ind w:firstLine="480" w:firstLineChars="200"/>
        <w:rPr>
          <w:rFonts w:ascii="Times New Roman" w:hAnsi="Times New Roman" w:cs="Times New Roman"/>
        </w:rPr>
      </w:pPr>
      <w:r>
        <w:rPr>
          <w:rFonts w:ascii="Times New Roman" w:hAnsi="Times New Roman" w:cs="Times New Roman"/>
        </w:rPr>
        <w:t>有组织排放源按废气排放口设点，有处理设施的应在处理设施进出口测量。在有条件的工业企业应设置在线监测设备，以能够方便及时快捷的反映废气排放情况，同时有利于完善环境管理信息系统。</w:t>
      </w:r>
    </w:p>
    <w:p>
      <w:pPr>
        <w:spacing w:line="360" w:lineRule="auto"/>
        <w:ind w:firstLine="480" w:firstLineChars="200"/>
        <w:rPr>
          <w:rFonts w:ascii="Times New Roman" w:hAnsi="Times New Roman" w:cs="Times New Roman"/>
        </w:rPr>
      </w:pPr>
      <w:r>
        <w:rPr>
          <w:rFonts w:ascii="Times New Roman" w:hAnsi="Times New Roman" w:cs="Times New Roman"/>
        </w:rPr>
        <w:t>b）无组织排放</w:t>
      </w:r>
    </w:p>
    <w:p>
      <w:pPr>
        <w:spacing w:line="360" w:lineRule="auto"/>
        <w:ind w:firstLine="480" w:firstLineChars="200"/>
        <w:rPr>
          <w:rFonts w:ascii="Times New Roman" w:hAnsi="Times New Roman" w:cs="Times New Roman"/>
        </w:rPr>
      </w:pPr>
      <w:r>
        <w:rPr>
          <w:rFonts w:ascii="Times New Roman" w:hAnsi="Times New Roman" w:cs="Times New Roman"/>
        </w:rPr>
        <w:t>在无组织排放源上风向设参照点，下风向设监控点。</w:t>
      </w:r>
    </w:p>
    <w:p>
      <w:pPr>
        <w:spacing w:line="360" w:lineRule="auto"/>
        <w:ind w:firstLine="480" w:firstLineChars="200"/>
        <w:rPr>
          <w:rFonts w:ascii="Times New Roman" w:hAnsi="Times New Roman" w:cs="Times New Roman"/>
        </w:rPr>
      </w:pPr>
      <w:r>
        <w:rPr>
          <w:rFonts w:ascii="Times New Roman" w:hAnsi="Times New Roman" w:cs="Times New Roman"/>
        </w:rPr>
        <w:t>2）监测项目</w:t>
      </w:r>
    </w:p>
    <w:p>
      <w:pPr>
        <w:spacing w:line="360" w:lineRule="auto"/>
        <w:ind w:firstLine="480" w:firstLineChars="200"/>
        <w:rPr>
          <w:rFonts w:ascii="Times New Roman" w:hAnsi="Times New Roman" w:cs="Times New Roman"/>
        </w:rPr>
      </w:pPr>
      <w:r>
        <w:rPr>
          <w:rFonts w:ascii="Times New Roman" w:hAnsi="Times New Roman" w:cs="Times New Roman"/>
        </w:rPr>
        <w:t>a）测量排放口的废气排放量，并注明废气温度、排放高度、气流速度等；统计产生废气的原料、燃料种类、名称、用量、组份。如燃料消耗量、燃料中含硫量等。</w:t>
      </w:r>
    </w:p>
    <w:p>
      <w:pPr>
        <w:spacing w:line="360" w:lineRule="auto"/>
        <w:ind w:firstLine="480" w:firstLineChars="200"/>
        <w:rPr>
          <w:rFonts w:ascii="Times New Roman" w:hAnsi="Times New Roman" w:cs="Times New Roman"/>
        </w:rPr>
      </w:pPr>
      <w:r>
        <w:rPr>
          <w:rFonts w:ascii="Times New Roman" w:hAnsi="Times New Roman" w:cs="Times New Roman"/>
        </w:rPr>
        <w:t>b）对燃烧型污染源测SO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x</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c）对非燃烧型污染源，视具体情况选择有代表性的特征污染物。</w:t>
      </w:r>
    </w:p>
    <w:p>
      <w:pPr>
        <w:spacing w:line="360" w:lineRule="auto"/>
        <w:ind w:firstLine="480" w:firstLineChars="200"/>
        <w:rPr>
          <w:rFonts w:ascii="Times New Roman" w:hAnsi="Times New Roman" w:cs="Times New Roman"/>
        </w:rPr>
      </w:pPr>
      <w:r>
        <w:rPr>
          <w:rFonts w:ascii="Times New Roman" w:hAnsi="Times New Roman" w:cs="Times New Roman"/>
        </w:rPr>
        <w:t>3）监测频率</w:t>
      </w:r>
    </w:p>
    <w:p>
      <w:pPr>
        <w:spacing w:line="360" w:lineRule="auto"/>
        <w:ind w:firstLine="480" w:firstLineChars="200"/>
        <w:rPr>
          <w:rFonts w:ascii="Times New Roman" w:hAnsi="Times New Roman" w:cs="Times New Roman"/>
        </w:rPr>
      </w:pPr>
      <w:r>
        <w:rPr>
          <w:rFonts w:ascii="Times New Roman" w:hAnsi="Times New Roman" w:cs="Times New Roman"/>
        </w:rPr>
        <w:t>正常生产情况下每季一次；非正常生产情况下，视具体情况临时加测。</w:t>
      </w:r>
    </w:p>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9.2.2.2 环境空气质量监测</w:t>
      </w:r>
    </w:p>
    <w:p>
      <w:pPr>
        <w:spacing w:line="360" w:lineRule="auto"/>
        <w:ind w:firstLine="480" w:firstLineChars="200"/>
        <w:rPr>
          <w:rFonts w:ascii="Times New Roman" w:hAnsi="Times New Roman" w:cs="Times New Roman"/>
        </w:rPr>
      </w:pPr>
      <w:r>
        <w:rPr>
          <w:rFonts w:ascii="Times New Roman" w:hAnsi="Times New Roman" w:cs="Times New Roman"/>
        </w:rPr>
        <w:t>1）监测点位布设与监测因子</w:t>
      </w:r>
    </w:p>
    <w:p>
      <w:pPr>
        <w:spacing w:line="360" w:lineRule="auto"/>
        <w:ind w:firstLine="480" w:firstLineChars="200"/>
        <w:rPr>
          <w:rFonts w:ascii="Times New Roman" w:hAnsi="Times New Roman" w:cs="Times New Roman"/>
        </w:rPr>
      </w:pPr>
      <w:r>
        <w:rPr>
          <w:rFonts w:ascii="Times New Roman" w:hAnsi="Times New Roman" w:cs="Times New Roman"/>
        </w:rPr>
        <w:t>环境空气监测点位见下表。</w:t>
      </w:r>
    </w:p>
    <w:p>
      <w:pPr>
        <w:keepLines/>
        <w:spacing w:line="360" w:lineRule="auto"/>
        <w:ind w:firstLine="482" w:firstLineChars="200"/>
        <w:jc w:val="center"/>
        <w:outlineLvl w:val="4"/>
        <w:rPr>
          <w:rFonts w:ascii="Times New Roman" w:hAnsi="Times New Roman" w:cs="Times New Roman"/>
          <w:b/>
          <w:bCs/>
          <w:szCs w:val="28"/>
        </w:rPr>
      </w:pPr>
      <w:r>
        <w:rPr>
          <w:rFonts w:ascii="Times New Roman" w:hAnsi="Times New Roman" w:cs="Times New Roman"/>
          <w:b/>
          <w:bCs/>
          <w:szCs w:val="28"/>
        </w:rPr>
        <w:t>表9.2-3  环境空气监测点位与监测因子</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951"/>
        <w:gridCol w:w="2018"/>
        <w:gridCol w:w="4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5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2126"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435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r>
              <w:rPr>
                <w:rFonts w:hint="eastAsia" w:ascii="Times New Roman" w:hAnsi="Times New Roman" w:eastAsia="宋体" w:cs="Times New Roman"/>
                <w:bCs/>
                <w:sz w:val="21"/>
                <w:szCs w:val="21"/>
              </w:rPr>
              <w:t>与</w:t>
            </w:r>
            <w:r>
              <w:rPr>
                <w:rFonts w:ascii="Times New Roman" w:hAnsi="Times New Roman" w:eastAsia="宋体" w:cs="Times New Roman"/>
                <w:bCs/>
                <w:sz w:val="21"/>
                <w:szCs w:val="21"/>
              </w:rP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片区</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园区管委会（小微站）</w:t>
            </w:r>
          </w:p>
        </w:tc>
        <w:tc>
          <w:tcPr>
            <w:tcW w:w="4359"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、NO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2.5</w:t>
            </w:r>
            <w:r>
              <w:rPr>
                <w:rFonts w:ascii="Times New Roman" w:hAnsi="Times New Roman" w:eastAsia="宋体" w:cs="Times New Roman"/>
                <w:bCs/>
                <w:sz w:val="21"/>
                <w:szCs w:val="21"/>
              </w:rPr>
              <w:t>、CO、O</w:t>
            </w:r>
            <w:r>
              <w:rPr>
                <w:rFonts w:ascii="Times New Roman" w:hAnsi="Times New Roman" w:eastAsia="宋体" w:cs="Times New Roman"/>
                <w:bCs/>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湖南康易达科技有限公司（小微站）</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赵家大屋</w:t>
            </w:r>
          </w:p>
        </w:tc>
        <w:tc>
          <w:tcPr>
            <w:tcW w:w="4359"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TSP、</w:t>
            </w:r>
            <w:r>
              <w:rPr>
                <w:rFonts w:ascii="Times New Roman" w:hAnsi="Times New Roman" w:eastAsia="宋体" w:cs="Times New Roman"/>
                <w:bCs/>
                <w:sz w:val="21"/>
                <w:szCs w:val="21"/>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王禾村</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片区</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儒溪中学</w:t>
            </w:r>
          </w:p>
        </w:tc>
        <w:tc>
          <w:tcPr>
            <w:tcW w:w="4359"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SO</w:t>
            </w:r>
            <w:r>
              <w:rPr>
                <w:rFonts w:ascii="Times New Roman" w:hAnsi="Times New Roman" w:eastAsia="宋体" w:cs="Times New Roman"/>
                <w:bCs/>
                <w:sz w:val="21"/>
                <w:szCs w:val="21"/>
                <w:vertAlign w:val="subscript"/>
              </w:rPr>
              <w:t>2</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NO</w:t>
            </w:r>
            <w:r>
              <w:rPr>
                <w:rFonts w:ascii="Times New Roman" w:hAnsi="Times New Roman" w:eastAsia="宋体" w:cs="Times New Roman"/>
                <w:bCs/>
                <w:sz w:val="21"/>
                <w:szCs w:val="21"/>
                <w:vertAlign w:val="subscript"/>
              </w:rPr>
              <w:t>2</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TSP</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VOCs</w:t>
            </w:r>
            <w:r>
              <w:rPr>
                <w:rFonts w:hint="eastAsia" w:ascii="Times New Roman" w:hAnsi="Times New Roman" w:eastAsia="宋体" w:cs="Times New Roman"/>
                <w:bCs/>
                <w:sz w:val="21"/>
                <w:szCs w:val="21"/>
              </w:rPr>
              <w:t>、非甲烷总烃、氨、硫化氢、氯化氢、甲苯、二甲苯、氯、硫酸雾等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杨桥村</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新港村</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安置区</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6" w:type="dxa"/>
            <w:vMerge w:val="continue"/>
            <w:vAlign w:val="center"/>
          </w:tcPr>
          <w:p>
            <w:pPr>
              <w:jc w:val="center"/>
              <w:rPr>
                <w:rFonts w:ascii="Times New Roman" w:hAnsi="Times New Roman" w:eastAsia="宋体" w:cs="Times New Roman"/>
                <w:bCs/>
                <w:sz w:val="21"/>
                <w:szCs w:val="21"/>
              </w:rPr>
            </w:pP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21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旗杆小区</w:t>
            </w:r>
          </w:p>
        </w:tc>
        <w:tc>
          <w:tcPr>
            <w:tcW w:w="4359"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526"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绿色建材</w:t>
            </w:r>
            <w:r>
              <w:rPr>
                <w:rFonts w:ascii="Times New Roman" w:hAnsi="Times New Roman" w:eastAsia="宋体" w:cs="Times New Roman"/>
                <w:bCs/>
                <w:sz w:val="21"/>
                <w:szCs w:val="21"/>
              </w:rPr>
              <w:t>产业园</w:t>
            </w:r>
          </w:p>
        </w:tc>
        <w:tc>
          <w:tcPr>
            <w:tcW w:w="992"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2126" w:type="dxa"/>
            <w:vAlign w:val="center"/>
          </w:tcPr>
          <w:p>
            <w:pPr>
              <w:jc w:val="center"/>
              <w:rPr>
                <w:rFonts w:ascii="Times New Roman" w:hAnsi="Times New Roman" w:eastAsia="宋体" w:cs="Times New Roman"/>
                <w:bCs/>
                <w:sz w:val="21"/>
                <w:szCs w:val="21"/>
              </w:rPr>
            </w:pPr>
          </w:p>
        </w:tc>
        <w:tc>
          <w:tcPr>
            <w:tcW w:w="435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SO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、NO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10</w:t>
            </w:r>
            <w:r>
              <w:rPr>
                <w:rFonts w:ascii="Times New Roman" w:hAnsi="Times New Roman" w:eastAsia="宋体" w:cs="Times New Roman"/>
                <w:bCs/>
                <w:sz w:val="21"/>
                <w:szCs w:val="21"/>
              </w:rPr>
              <w:t>、PM</w:t>
            </w:r>
            <w:r>
              <w:rPr>
                <w:rFonts w:ascii="Times New Roman" w:hAnsi="Times New Roman" w:eastAsia="宋体" w:cs="Times New Roman"/>
                <w:bCs/>
                <w:sz w:val="21"/>
                <w:szCs w:val="21"/>
                <w:vertAlign w:val="subscript"/>
              </w:rPr>
              <w:t>2.5</w:t>
            </w:r>
            <w:r>
              <w:rPr>
                <w:rFonts w:ascii="Times New Roman" w:hAnsi="Times New Roman" w:eastAsia="宋体" w:cs="Times New Roman"/>
                <w:bCs/>
                <w:sz w:val="21"/>
                <w:szCs w:val="21"/>
              </w:rPr>
              <w:t>、CO、O</w:t>
            </w:r>
            <w:r>
              <w:rPr>
                <w:rFonts w:ascii="Times New Roman" w:hAnsi="Times New Roman" w:eastAsia="宋体" w:cs="Times New Roman"/>
                <w:bCs/>
                <w:sz w:val="21"/>
                <w:szCs w:val="21"/>
                <w:vertAlign w:val="subscript"/>
              </w:rPr>
              <w:t>3</w:t>
            </w:r>
          </w:p>
        </w:tc>
      </w:tr>
    </w:tbl>
    <w:p>
      <w:pPr>
        <w:spacing w:line="360" w:lineRule="auto"/>
        <w:ind w:firstLine="480" w:firstLineChars="200"/>
        <w:rPr>
          <w:rFonts w:ascii="Times New Roman" w:hAnsi="Times New Roman" w:cs="Times New Roman"/>
        </w:rPr>
      </w:pPr>
      <w:r>
        <w:rPr>
          <w:rFonts w:ascii="Times New Roman" w:hAnsi="Times New Roman" w:cs="Times New Roman"/>
        </w:rPr>
        <w:t>2）监测时段与频次</w:t>
      </w:r>
    </w:p>
    <w:p>
      <w:pPr>
        <w:spacing w:line="360" w:lineRule="auto"/>
        <w:ind w:firstLine="480" w:firstLineChars="200"/>
        <w:rPr>
          <w:rFonts w:ascii="Times New Roman" w:hAnsi="Times New Roman" w:cs="Times New Roman"/>
        </w:rPr>
      </w:pPr>
      <w:r>
        <w:rPr>
          <w:rFonts w:ascii="Times New Roman" w:hAnsi="Times New Roman" w:cs="Times New Roman"/>
        </w:rPr>
        <w:t>每年冬季监测一次，每次监测7天。</w:t>
      </w:r>
    </w:p>
    <w:p>
      <w:pPr>
        <w:keepNext/>
        <w:keepLines/>
        <w:spacing w:line="360" w:lineRule="auto"/>
        <w:outlineLvl w:val="2"/>
        <w:rPr>
          <w:rFonts w:ascii="Times New Roman" w:hAnsi="Times New Roman" w:cs="Times New Roman"/>
          <w:b/>
          <w:bCs/>
          <w:sz w:val="28"/>
          <w:szCs w:val="32"/>
        </w:rPr>
      </w:pPr>
      <w:bookmarkStart w:id="805" w:name="_Toc146092067"/>
      <w:r>
        <w:rPr>
          <w:rFonts w:ascii="Times New Roman" w:hAnsi="Times New Roman" w:cs="Times New Roman"/>
          <w:b/>
          <w:bCs/>
          <w:sz w:val="28"/>
          <w:szCs w:val="32"/>
        </w:rPr>
        <w:t>9.2.3 声环境</w:t>
      </w:r>
      <w:bookmarkEnd w:id="805"/>
    </w:p>
    <w:p>
      <w:pPr>
        <w:spacing w:line="360" w:lineRule="auto"/>
        <w:ind w:firstLine="480" w:firstLineChars="200"/>
        <w:rPr>
          <w:rFonts w:ascii="Times New Roman" w:hAnsi="Times New Roman" w:cs="Times New Roman"/>
        </w:rPr>
      </w:pPr>
      <w:r>
        <w:rPr>
          <w:rFonts w:ascii="Times New Roman" w:hAnsi="Times New Roman" w:cs="Times New Roman"/>
        </w:rPr>
        <w:t>布点按环境噪声和交通监测规范进行，定期进行</w:t>
      </w:r>
      <w:r>
        <w:rPr>
          <w:rFonts w:ascii="Times New Roman" w:hAnsi="Times New Roman"/>
        </w:rPr>
        <w:t>临湘高新产业开发区</w:t>
      </w:r>
      <w:r>
        <w:rPr>
          <w:rFonts w:ascii="Times New Roman" w:hAnsi="Times New Roman" w:cs="Times New Roman"/>
        </w:rPr>
        <w:t>的交通噪声和区域声环境监测，监测项目为等效连续A声级，每年监测1~2次，每次两天，每天昼夜各一次。</w:t>
      </w:r>
    </w:p>
    <w:p>
      <w:pPr>
        <w:keepNext/>
        <w:keepLines/>
        <w:spacing w:line="360" w:lineRule="auto"/>
        <w:outlineLvl w:val="2"/>
        <w:rPr>
          <w:rFonts w:ascii="Times New Roman" w:hAnsi="Times New Roman" w:cs="Times New Roman"/>
          <w:b/>
          <w:bCs/>
          <w:sz w:val="28"/>
          <w:szCs w:val="32"/>
        </w:rPr>
      </w:pPr>
      <w:bookmarkStart w:id="806" w:name="_Toc146092068"/>
      <w:r>
        <w:rPr>
          <w:rFonts w:ascii="Times New Roman" w:hAnsi="Times New Roman" w:cs="Times New Roman"/>
          <w:b/>
          <w:bCs/>
          <w:sz w:val="28"/>
          <w:szCs w:val="32"/>
        </w:rPr>
        <w:t>9.2.4 土壤和底泥</w:t>
      </w:r>
      <w:bookmarkEnd w:id="806"/>
    </w:p>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9.2.4.1 土壤</w:t>
      </w:r>
    </w:p>
    <w:p>
      <w:pPr>
        <w:spacing w:line="360" w:lineRule="auto"/>
        <w:ind w:firstLine="480" w:firstLineChars="200"/>
        <w:rPr>
          <w:rFonts w:ascii="Times New Roman" w:hAnsi="Times New Roman" w:cs="Times New Roman"/>
        </w:rPr>
      </w:pPr>
      <w:r>
        <w:rPr>
          <w:rFonts w:ascii="Times New Roman" w:hAnsi="Times New Roman" w:cs="Times New Roman"/>
        </w:rPr>
        <w:t>园区农用地土壤监测点位为</w:t>
      </w:r>
      <w:r>
        <w:rPr>
          <w:rFonts w:hint="eastAsia" w:ascii="Times New Roman" w:hAnsi="Times New Roman" w:cs="Times New Roman"/>
        </w:rPr>
        <w:t>三湾</w:t>
      </w:r>
      <w:r>
        <w:rPr>
          <w:rFonts w:ascii="Times New Roman" w:hAnsi="Times New Roman" w:cs="Times New Roman"/>
        </w:rPr>
        <w:t>片区北部林地</w:t>
      </w:r>
      <w:r>
        <w:rPr>
          <w:rFonts w:hint="eastAsia" w:ascii="Times New Roman" w:hAnsi="Times New Roman" w:cs="Times New Roman"/>
        </w:rPr>
        <w:t>、</w:t>
      </w:r>
      <w:r>
        <w:rPr>
          <w:rFonts w:ascii="Times New Roman" w:hAnsi="Times New Roman" w:cs="Times New Roman"/>
        </w:rPr>
        <w:t>西南农田</w:t>
      </w:r>
      <w:r>
        <w:rPr>
          <w:rFonts w:hint="eastAsia" w:ascii="Times New Roman" w:hAnsi="Times New Roman" w:cs="Times New Roman"/>
        </w:rPr>
        <w:t>，滨江</w:t>
      </w:r>
      <w:r>
        <w:rPr>
          <w:rFonts w:ascii="Times New Roman" w:hAnsi="Times New Roman" w:cs="Times New Roman"/>
        </w:rPr>
        <w:t>片区</w:t>
      </w:r>
      <w:r>
        <w:rPr>
          <w:rFonts w:hint="eastAsia" w:ascii="Times New Roman" w:hAnsi="Times New Roman" w:cs="Times New Roman"/>
        </w:rPr>
        <w:t>杨桥村、旗杆村、濡溪村</w:t>
      </w:r>
      <w:r>
        <w:rPr>
          <w:rFonts w:ascii="Times New Roman" w:hAnsi="Times New Roman" w:cs="Times New Roman"/>
        </w:rPr>
        <w:t>，监测因子：pH、铜、铅、锌、镉、铬、汞、砷、镍，敏感点可适当增加监测点位，每年监测1次。</w:t>
      </w:r>
    </w:p>
    <w:p>
      <w:pPr>
        <w:spacing w:line="360" w:lineRule="auto"/>
        <w:ind w:firstLine="480" w:firstLineChars="200"/>
        <w:rPr>
          <w:rFonts w:ascii="Times New Roman" w:hAnsi="Times New Roman" w:cs="Times New Roman"/>
        </w:rPr>
      </w:pPr>
      <w:r>
        <w:rPr>
          <w:rFonts w:ascii="Times New Roman" w:hAnsi="Times New Roman" w:cs="Times New Roman"/>
        </w:rPr>
        <w:t>建设用地：根据</w:t>
      </w:r>
      <w:r>
        <w:rPr>
          <w:rFonts w:hint="eastAsia" w:ascii="Times New Roman" w:hAnsi="Times New Roman" w:cs="Times New Roman"/>
        </w:rPr>
        <w:t>湖南省生态环境厅</w:t>
      </w:r>
      <w:r>
        <w:rPr>
          <w:rFonts w:ascii="Times New Roman" w:hAnsi="Times New Roman" w:cs="Times New Roman"/>
        </w:rPr>
        <w:t>发布的《</w:t>
      </w:r>
      <w:r>
        <w:rPr>
          <w:rFonts w:hint="eastAsia" w:ascii="Times New Roman" w:hAnsi="Times New Roman" w:cs="Times New Roman"/>
        </w:rPr>
        <w:t>湖南省</w:t>
      </w:r>
      <w:r>
        <w:rPr>
          <w:rFonts w:ascii="Times New Roman" w:hAnsi="Times New Roman" w:cs="Times New Roman"/>
        </w:rPr>
        <w:t>2022年重点排污单位名录》园区内现状</w:t>
      </w:r>
      <w:r>
        <w:rPr>
          <w:rFonts w:hint="eastAsia" w:ascii="Times New Roman" w:hAnsi="Times New Roman" w:cs="Times New Roman"/>
        </w:rPr>
        <w:t>存在</w:t>
      </w:r>
      <w:r>
        <w:rPr>
          <w:rFonts w:ascii="Times New Roman" w:hAnsi="Times New Roman" w:cs="Times New Roman"/>
        </w:rPr>
        <w:t>重点土壤监管企业，在</w:t>
      </w:r>
      <w:r>
        <w:rPr>
          <w:rFonts w:hint="eastAsia" w:ascii="Times New Roman" w:hAnsi="Times New Roman" w:cs="Times New Roman"/>
        </w:rPr>
        <w:t>兆邦陶瓷有限责任公司、湖南凯美陶瓷有限公司、湖南省发达陶瓷有限责任公司、湖南德泽环保科技有限公司</w:t>
      </w:r>
      <w:r>
        <w:rPr>
          <w:rFonts w:ascii="Times New Roman" w:hAnsi="Times New Roman" w:cs="Times New Roman"/>
        </w:rPr>
        <w:t>污水处理设施、罐区附近进行监测，监测因子：《土壤环境质量 建设用地土壤污染风险管控标准（试行）》（GB36600-2018）中的45项监测因子+pH，每年监测1次。</w:t>
      </w:r>
    </w:p>
    <w:p>
      <w:pPr>
        <w:keepLines/>
        <w:spacing w:line="360" w:lineRule="auto"/>
        <w:ind w:firstLine="482" w:firstLineChars="200"/>
        <w:jc w:val="center"/>
        <w:outlineLvl w:val="4"/>
        <w:rPr>
          <w:rFonts w:ascii="Times New Roman" w:hAnsi="Times New Roman"/>
          <w:b/>
          <w:bCs/>
          <w:szCs w:val="28"/>
        </w:rPr>
      </w:pPr>
      <w:r>
        <w:rPr>
          <w:rFonts w:ascii="Times New Roman" w:hAnsi="Times New Roman" w:cs="Times New Roman"/>
          <w:b/>
          <w:bCs/>
          <w:szCs w:val="28"/>
        </w:rPr>
        <w:t>表9.2-4  环境</w:t>
      </w:r>
      <w:r>
        <w:rPr>
          <w:rFonts w:hint="eastAsia" w:ascii="Times New Roman" w:hAnsi="Times New Roman" w:cs="Times New Roman"/>
          <w:b/>
          <w:bCs/>
          <w:szCs w:val="28"/>
        </w:rPr>
        <w:t>土壤</w:t>
      </w:r>
      <w:r>
        <w:rPr>
          <w:rFonts w:ascii="Times New Roman" w:hAnsi="Times New Roman" w:cs="Times New Roman"/>
          <w:b/>
          <w:bCs/>
          <w:szCs w:val="28"/>
        </w:rPr>
        <w:t>监测点位与监测因子</w:t>
      </w:r>
      <w:r>
        <w:rPr>
          <w:rFonts w:ascii="Times New Roman" w:hAnsi="Times New Roman"/>
          <w:b/>
          <w:bCs/>
          <w:szCs w:val="28"/>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954"/>
        <w:gridCol w:w="2239"/>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4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w:t>
            </w: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2239"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w:t>
            </w:r>
          </w:p>
        </w:tc>
        <w:tc>
          <w:tcPr>
            <w:tcW w:w="3885"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监测因子</w:t>
            </w:r>
            <w:r>
              <w:rPr>
                <w:rFonts w:hint="eastAsia" w:ascii="Times New Roman" w:hAnsi="Times New Roman" w:eastAsia="宋体" w:cs="Times New Roman"/>
                <w:bCs/>
                <w:sz w:val="21"/>
                <w:szCs w:val="21"/>
              </w:rPr>
              <w:t>与</w:t>
            </w:r>
            <w:r>
              <w:rPr>
                <w:rFonts w:ascii="Times New Roman" w:hAnsi="Times New Roman" w:eastAsia="宋体" w:cs="Times New Roman"/>
                <w:bCs/>
                <w:sz w:val="21"/>
                <w:szCs w:val="21"/>
              </w:rP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三湾</w:t>
            </w:r>
            <w:r>
              <w:rPr>
                <w:rFonts w:ascii="Times New Roman" w:hAnsi="Times New Roman" w:eastAsia="宋体" w:cs="Times New Roman"/>
                <w:bCs/>
                <w:sz w:val="21"/>
                <w:szCs w:val="21"/>
              </w:rPr>
              <w:t>片区</w:t>
            </w: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兆邦</w:t>
            </w:r>
            <w:r>
              <w:rPr>
                <w:rFonts w:ascii="Times New Roman" w:hAnsi="Times New Roman" w:eastAsia="宋体" w:cs="Times New Roman"/>
                <w:bCs/>
                <w:sz w:val="21"/>
                <w:szCs w:val="21"/>
              </w:rPr>
              <w:t>陶瓷厂界内</w:t>
            </w:r>
          </w:p>
        </w:tc>
        <w:tc>
          <w:tcPr>
            <w:tcW w:w="388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六价铬</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四氯化碳</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氯仿</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顺-1,2-二氯乙烯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反-1,2-二氯乙烯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三氯乙烯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1,2,3-三氯丙烷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氯乙烯、苯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1,4-二氯苯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乙苯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间二甲苯+对二甲苯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邻二甲苯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硝基苯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苯胺</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2-氯酚</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苯并[a]蒽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苯并[a]芘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苯并[b]荧蒽、苯并[k]荧蒽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䓛</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二苯并[a,h]蒽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茚并[1,2,3-cd]芘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continue"/>
            <w:vAlign w:val="center"/>
          </w:tcPr>
          <w:p>
            <w:pPr>
              <w:jc w:val="center"/>
              <w:rPr>
                <w:rFonts w:ascii="Times New Roman" w:hAnsi="Times New Roman" w:eastAsia="宋体" w:cs="Times New Roman"/>
                <w:bCs/>
                <w:sz w:val="21"/>
                <w:szCs w:val="21"/>
              </w:rPr>
            </w:pP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w:t>
            </w:r>
            <w:r>
              <w:rPr>
                <w:rFonts w:ascii="Times New Roman" w:hAnsi="Times New Roman" w:eastAsia="宋体" w:cs="Times New Roman"/>
                <w:bCs/>
                <w:sz w:val="21"/>
                <w:szCs w:val="21"/>
              </w:rPr>
              <w:t>北部林地</w:t>
            </w:r>
          </w:p>
        </w:tc>
        <w:tc>
          <w:tcPr>
            <w:tcW w:w="3885"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pH、铜、铅、锌、镉、</w:t>
            </w:r>
            <w:r>
              <w:rPr>
                <w:rFonts w:hint="eastAsia" w:ascii="Times New Roman" w:hAnsi="Times New Roman" w:eastAsia="宋体" w:cs="Times New Roman"/>
                <w:bCs/>
                <w:sz w:val="21"/>
                <w:szCs w:val="21"/>
              </w:rPr>
              <w:t>六价</w:t>
            </w:r>
            <w:r>
              <w:rPr>
                <w:rFonts w:ascii="Times New Roman" w:hAnsi="Times New Roman" w:eastAsia="宋体" w:cs="Times New Roman"/>
                <w:bCs/>
                <w:sz w:val="21"/>
                <w:szCs w:val="21"/>
              </w:rPr>
              <w:t>铬、汞、砷、镍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continue"/>
            <w:vAlign w:val="center"/>
          </w:tcPr>
          <w:p>
            <w:pPr>
              <w:jc w:val="center"/>
              <w:rPr>
                <w:rFonts w:ascii="Times New Roman" w:hAnsi="Times New Roman" w:eastAsia="宋体" w:cs="Times New Roman"/>
                <w:bCs/>
                <w:sz w:val="21"/>
                <w:szCs w:val="21"/>
              </w:rPr>
            </w:pP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园区</w:t>
            </w:r>
            <w:r>
              <w:rPr>
                <w:rFonts w:ascii="Times New Roman" w:hAnsi="Times New Roman" w:eastAsia="宋体" w:cs="Times New Roman"/>
                <w:bCs/>
                <w:sz w:val="21"/>
                <w:szCs w:val="21"/>
              </w:rPr>
              <w:t>西南农田</w:t>
            </w:r>
          </w:p>
        </w:tc>
        <w:tc>
          <w:tcPr>
            <w:tcW w:w="3885" w:type="dxa"/>
            <w:vMerge w:val="continue"/>
            <w:vAlign w:val="center"/>
          </w:tcPr>
          <w:p>
            <w:pPr>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restart"/>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滨江</w:t>
            </w:r>
            <w:r>
              <w:rPr>
                <w:rFonts w:ascii="Times New Roman" w:hAnsi="Times New Roman" w:eastAsia="宋体" w:cs="Times New Roman"/>
                <w:bCs/>
                <w:sz w:val="21"/>
                <w:szCs w:val="21"/>
              </w:rPr>
              <w:t>片区</w:t>
            </w: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德泽环保科技</w:t>
            </w:r>
            <w:r>
              <w:rPr>
                <w:rFonts w:ascii="Times New Roman" w:hAnsi="Times New Roman" w:eastAsia="宋体" w:cs="Times New Roman"/>
                <w:bCs/>
                <w:sz w:val="21"/>
                <w:szCs w:val="21"/>
              </w:rPr>
              <w:t>厂界内</w:t>
            </w:r>
          </w:p>
        </w:tc>
        <w:tc>
          <w:tcPr>
            <w:tcW w:w="3885"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pH值、砷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镉</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六价铬</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铜</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铅</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汞</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镍</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四氯化碳</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氯仿</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顺-1,2-二氯乙烯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反-1,2-二氯乙烯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二氯甲烷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1,1,2,2-四氯乙烷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四氯乙烯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1,1,1-三氯乙烷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1,1,2-三氯乙烷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三氯乙烯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1,2,3-三氯丙烷</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氯乙烯、苯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1,2-二氯苯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1,4-二氯苯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乙苯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苯乙烯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间二甲苯+对二甲苯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邻二甲苯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硝基苯</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苯胺</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2-氯酚</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苯并[a]蒽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苯并[a]芘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苯并[b]荧蒽、苯并[k]荧蒽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䓛</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二苯并[a,h]蒽</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茚并[1,2,3-cd]芘</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continue"/>
            <w:vAlign w:val="center"/>
          </w:tcPr>
          <w:p>
            <w:pPr>
              <w:jc w:val="center"/>
              <w:rPr>
                <w:rFonts w:ascii="Times New Roman" w:hAnsi="Times New Roman" w:eastAsia="宋体" w:cs="Times New Roman"/>
                <w:bCs/>
                <w:sz w:val="21"/>
                <w:szCs w:val="21"/>
              </w:rPr>
            </w:pP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杨桥村</w:t>
            </w:r>
          </w:p>
        </w:tc>
        <w:tc>
          <w:tcPr>
            <w:tcW w:w="3885"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pH、铜、铅、锌、镉、</w:t>
            </w:r>
            <w:r>
              <w:rPr>
                <w:rFonts w:hint="eastAsia" w:ascii="Times New Roman" w:hAnsi="Times New Roman" w:eastAsia="宋体" w:cs="Times New Roman"/>
                <w:bCs/>
                <w:sz w:val="21"/>
                <w:szCs w:val="21"/>
              </w:rPr>
              <w:t>六价</w:t>
            </w:r>
            <w:r>
              <w:rPr>
                <w:rFonts w:ascii="Times New Roman" w:hAnsi="Times New Roman" w:eastAsia="宋体" w:cs="Times New Roman"/>
                <w:bCs/>
                <w:sz w:val="21"/>
                <w:szCs w:val="21"/>
              </w:rPr>
              <w:t>铬、汞、砷、镍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continue"/>
            <w:vAlign w:val="center"/>
          </w:tcPr>
          <w:p>
            <w:pPr>
              <w:jc w:val="center"/>
              <w:rPr>
                <w:rFonts w:ascii="Times New Roman" w:hAnsi="Times New Roman" w:eastAsia="宋体" w:cs="Times New Roman"/>
                <w:bCs/>
                <w:sz w:val="21"/>
                <w:szCs w:val="21"/>
              </w:rPr>
            </w:pP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旗杆村</w:t>
            </w:r>
          </w:p>
        </w:tc>
        <w:tc>
          <w:tcPr>
            <w:tcW w:w="3885" w:type="dxa"/>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Merge w:val="continue"/>
            <w:vAlign w:val="center"/>
          </w:tcPr>
          <w:p>
            <w:pPr>
              <w:ind w:firstLine="420" w:firstLineChars="200"/>
              <w:jc w:val="center"/>
              <w:rPr>
                <w:rFonts w:ascii="Times New Roman" w:hAnsi="Times New Roman" w:eastAsia="宋体" w:cs="Times New Roman"/>
                <w:sz w:val="21"/>
              </w:rPr>
            </w:pP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2239"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濡溪村</w:t>
            </w:r>
          </w:p>
        </w:tc>
        <w:tc>
          <w:tcPr>
            <w:tcW w:w="3885" w:type="dxa"/>
            <w:vMerge w:val="continue"/>
            <w:vAlign w:val="center"/>
          </w:tcPr>
          <w:p>
            <w:pPr>
              <w:ind w:firstLine="420" w:firstLineChars="20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51"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绿色建材</w:t>
            </w:r>
            <w:r>
              <w:rPr>
                <w:rFonts w:ascii="Times New Roman" w:hAnsi="Times New Roman" w:eastAsia="宋体" w:cs="Times New Roman"/>
                <w:bCs/>
                <w:sz w:val="21"/>
                <w:szCs w:val="21"/>
              </w:rPr>
              <w:t>产业园</w:t>
            </w:r>
          </w:p>
        </w:tc>
        <w:tc>
          <w:tcPr>
            <w:tcW w:w="954" w:type="dxa"/>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c>
          <w:tcPr>
            <w:tcW w:w="2239" w:type="dxa"/>
            <w:vAlign w:val="center"/>
          </w:tcPr>
          <w:p>
            <w:pPr>
              <w:jc w:val="center"/>
              <w:rPr>
                <w:rFonts w:ascii="Times New Roman" w:hAnsi="Times New Roman" w:eastAsia="宋体" w:cs="Times New Roman"/>
                <w:bCs/>
                <w:sz w:val="21"/>
                <w:szCs w:val="21"/>
              </w:rPr>
            </w:pPr>
          </w:p>
        </w:tc>
        <w:tc>
          <w:tcPr>
            <w:tcW w:w="3885" w:type="dxa"/>
            <w:vAlign w:val="center"/>
          </w:tcPr>
          <w:p>
            <w:pPr>
              <w:jc w:val="center"/>
              <w:rPr>
                <w:rFonts w:ascii="Times New Roman" w:hAnsi="Times New Roman" w:eastAsia="宋体" w:cs="Times New Roman"/>
                <w:bCs/>
                <w:sz w:val="21"/>
                <w:szCs w:val="21"/>
              </w:rPr>
            </w:pPr>
          </w:p>
        </w:tc>
      </w:tr>
    </w:tbl>
    <w:p>
      <w:pPr>
        <w:keepNext/>
        <w:keepLines/>
        <w:spacing w:line="360" w:lineRule="auto"/>
        <w:outlineLvl w:val="3"/>
        <w:rPr>
          <w:rFonts w:ascii="Times New Roman" w:hAnsi="Times New Roman" w:cs="Times New Roman" w:eastAsiaTheme="majorEastAsia"/>
          <w:b/>
          <w:bCs/>
          <w:szCs w:val="28"/>
        </w:rPr>
      </w:pPr>
      <w:r>
        <w:rPr>
          <w:rFonts w:ascii="Times New Roman" w:hAnsi="Times New Roman" w:cs="Times New Roman" w:eastAsiaTheme="majorEastAsia"/>
          <w:b/>
          <w:bCs/>
          <w:szCs w:val="28"/>
        </w:rPr>
        <w:t>9.2.4.2 底泥</w:t>
      </w:r>
    </w:p>
    <w:p>
      <w:pPr>
        <w:spacing w:line="360" w:lineRule="auto"/>
        <w:ind w:firstLine="480" w:firstLineChars="200"/>
        <w:rPr>
          <w:rFonts w:ascii="Times New Roman" w:hAnsi="Times New Roman" w:cs="Times New Roman"/>
        </w:rPr>
      </w:pPr>
      <w:r>
        <w:rPr>
          <w:rFonts w:ascii="Times New Roman" w:hAnsi="Times New Roman" w:cs="Times New Roman"/>
        </w:rPr>
        <w:t>底泥：</w:t>
      </w:r>
      <w:r>
        <w:rPr>
          <w:rFonts w:hint="eastAsia" w:ascii="Times New Roman" w:hAnsi="Times New Roman" w:cs="Times New Roman"/>
        </w:rPr>
        <w:t>滨江</w:t>
      </w:r>
      <w:r>
        <w:rPr>
          <w:rFonts w:ascii="Times New Roman" w:hAnsi="Times New Roman" w:cs="Times New Roman"/>
        </w:rPr>
        <w:t>和三湾园区工业污水处理厂排污口上、下游500m处各设1个底泥监测点位，共4个，监测因子：pH、铜、铅、锌、镉、</w:t>
      </w:r>
      <w:r>
        <w:rPr>
          <w:rFonts w:hint="eastAsia" w:ascii="Times New Roman" w:hAnsi="Times New Roman" w:cs="Times New Roman"/>
        </w:rPr>
        <w:t>六价</w:t>
      </w:r>
      <w:r>
        <w:rPr>
          <w:rFonts w:ascii="Times New Roman" w:hAnsi="Times New Roman" w:cs="Times New Roman"/>
        </w:rPr>
        <w:t>铬、汞、砷、镍，每年监测1次。</w:t>
      </w:r>
    </w:p>
    <w:p>
      <w:pPr>
        <w:keepNext/>
        <w:keepLines/>
        <w:spacing w:line="360" w:lineRule="auto"/>
        <w:outlineLvl w:val="2"/>
        <w:rPr>
          <w:rFonts w:ascii="Times New Roman" w:hAnsi="Times New Roman" w:cs="Times New Roman"/>
          <w:b/>
          <w:bCs/>
          <w:sz w:val="28"/>
          <w:szCs w:val="32"/>
        </w:rPr>
      </w:pPr>
      <w:bookmarkStart w:id="807" w:name="_Toc146092069"/>
      <w:r>
        <w:rPr>
          <w:rFonts w:ascii="Times New Roman" w:hAnsi="Times New Roman" w:cs="Times New Roman"/>
          <w:b/>
          <w:bCs/>
          <w:sz w:val="28"/>
          <w:szCs w:val="32"/>
        </w:rPr>
        <w:t>9.2.5 环境监测计划的实施</w:t>
      </w:r>
      <w:bookmarkEnd w:id="807"/>
    </w:p>
    <w:p>
      <w:pPr>
        <w:spacing w:line="360" w:lineRule="auto"/>
        <w:ind w:firstLine="480" w:firstLineChars="200"/>
        <w:rPr>
          <w:rFonts w:ascii="Times New Roman" w:hAnsi="Times New Roman" w:cs="Times New Roman"/>
        </w:rPr>
      </w:pPr>
      <w:r>
        <w:rPr>
          <w:rFonts w:ascii="Times New Roman" w:hAnsi="Times New Roman" w:cs="Times New Roman"/>
        </w:rPr>
        <w:t>环境监测计划应明确实施机构，具体监测任务承担单位应是经国家计量认证，具有资质的专业监测单位。</w:t>
      </w:r>
    </w:p>
    <w:p>
      <w:pPr>
        <w:keepNext/>
        <w:keepLines/>
        <w:spacing w:line="360" w:lineRule="auto"/>
        <w:outlineLvl w:val="2"/>
        <w:rPr>
          <w:rFonts w:ascii="Times New Roman" w:hAnsi="Times New Roman" w:cs="Times New Roman"/>
          <w:b/>
          <w:bCs/>
          <w:sz w:val="28"/>
          <w:szCs w:val="32"/>
        </w:rPr>
      </w:pPr>
      <w:bookmarkStart w:id="808" w:name="_Toc146092070"/>
      <w:r>
        <w:rPr>
          <w:rFonts w:ascii="Times New Roman" w:hAnsi="Times New Roman" w:cs="Times New Roman"/>
          <w:b/>
          <w:bCs/>
          <w:sz w:val="28"/>
          <w:szCs w:val="32"/>
        </w:rPr>
        <w:t>9.2.6 排污口设置及规范化整治</w:t>
      </w:r>
      <w:bookmarkEnd w:id="808"/>
    </w:p>
    <w:p>
      <w:pPr>
        <w:spacing w:line="360" w:lineRule="auto"/>
        <w:ind w:firstLine="480" w:firstLineChars="200"/>
        <w:rPr>
          <w:rFonts w:ascii="Times New Roman" w:hAnsi="Times New Roman" w:cs="Times New Roman"/>
        </w:rPr>
      </w:pPr>
      <w:r>
        <w:rPr>
          <w:rFonts w:ascii="Times New Roman" w:hAnsi="Times New Roman" w:cs="Times New Roman"/>
        </w:rPr>
        <w:t xml:space="preserve">1）对区内所有的废气排放口进行核实，明确排放口的数量、位置及主要污染物种类、名称、排放浓度和排放去向。 </w:t>
      </w:r>
    </w:p>
    <w:p>
      <w:pPr>
        <w:spacing w:line="360" w:lineRule="auto"/>
        <w:ind w:firstLine="480" w:firstLineChars="200"/>
        <w:rPr>
          <w:rFonts w:ascii="Times New Roman" w:hAnsi="Times New Roman" w:cs="Times New Roman"/>
        </w:rPr>
      </w:pPr>
      <w:r>
        <w:rPr>
          <w:rFonts w:ascii="Times New Roman" w:hAnsi="Times New Roman" w:cs="Times New Roman"/>
        </w:rPr>
        <w:t>2）各企业的固体废物临时堆放场地均应按有关要求做好防渗、防漏、防散发等措施。</w:t>
      </w:r>
    </w:p>
    <w:p>
      <w:pPr>
        <w:spacing w:line="360" w:lineRule="auto"/>
        <w:ind w:firstLine="480" w:firstLineChars="200"/>
        <w:rPr>
          <w:rFonts w:ascii="Times New Roman" w:hAnsi="Times New Roman" w:cs="Times New Roman"/>
        </w:rPr>
      </w:pPr>
      <w:r>
        <w:rPr>
          <w:rFonts w:ascii="Times New Roman" w:hAnsi="Times New Roman" w:cs="Times New Roman"/>
        </w:rPr>
        <w:t>3）废气、废水排放口及固体废物堆放场均应根据 《“环境保护图形标志”实施细则》，设置国标化的环保标志牌。并均应在</w:t>
      </w:r>
      <w:r>
        <w:rPr>
          <w:rFonts w:ascii="Times New Roman" w:hAnsi="Times New Roman"/>
        </w:rPr>
        <w:t>临湘高新产业开发区</w:t>
      </w:r>
      <w:r>
        <w:rPr>
          <w:rFonts w:ascii="Times New Roman" w:hAnsi="Times New Roman" w:cs="Times New Roman"/>
        </w:rPr>
        <w:t>环境管理机构注册登记，建立档案，进行统一管理。</w:t>
      </w:r>
    </w:p>
    <w:p>
      <w:pPr>
        <w:keepNext/>
        <w:keepLines/>
        <w:spacing w:line="360" w:lineRule="auto"/>
        <w:outlineLvl w:val="1"/>
        <w:rPr>
          <w:rFonts w:ascii="Times New Roman" w:hAnsi="Times New Roman" w:cs="Times New Roman" w:eastAsiaTheme="majorEastAsia"/>
          <w:b/>
          <w:bCs/>
          <w:sz w:val="30"/>
          <w:szCs w:val="32"/>
        </w:rPr>
      </w:pPr>
      <w:bookmarkStart w:id="809" w:name="_Toc146092071"/>
      <w:r>
        <w:rPr>
          <w:rFonts w:ascii="Times New Roman" w:hAnsi="Times New Roman" w:cs="Times New Roman" w:eastAsiaTheme="majorEastAsia"/>
          <w:b/>
          <w:bCs/>
          <w:sz w:val="30"/>
          <w:szCs w:val="32"/>
        </w:rPr>
        <w:t>9.3 入园建设项目环评简化及深入论证建议</w:t>
      </w:r>
      <w:bookmarkEnd w:id="809"/>
    </w:p>
    <w:p>
      <w:pPr>
        <w:spacing w:line="360" w:lineRule="auto"/>
        <w:ind w:firstLine="480" w:firstLineChars="200"/>
        <w:rPr>
          <w:rFonts w:ascii="Times New Roman" w:hAnsi="Times New Roman" w:cs="Times New Roman"/>
        </w:rPr>
      </w:pPr>
      <w:r>
        <w:rPr>
          <w:rFonts w:ascii="Times New Roman" w:hAnsi="Times New Roman" w:cs="Times New Roman"/>
        </w:rPr>
        <w:t>根据《规划环境影响评价条例》、《关于加强规划环境影响评价与建设项目环境影响评价联动工作的意见》（环发﹝2015﹞178号），重点领域的规划环境影响报告书，应结合具体规划特征和环评工作成果，在环评结论中提出对规划所包含的项目环评的指导意见。对于项目环评可以简化的内容，应提出合理的简化清单；对于需在项目环评阶段深入论证的，应提出论证的重点内容。</w:t>
      </w:r>
    </w:p>
    <w:p>
      <w:pPr>
        <w:spacing w:line="360" w:lineRule="auto"/>
        <w:ind w:firstLine="480" w:firstLineChars="200"/>
        <w:rPr>
          <w:rFonts w:ascii="Times New Roman" w:hAnsi="Times New Roman" w:cs="Times New Roman"/>
        </w:rPr>
      </w:pPr>
      <w:r>
        <w:rPr>
          <w:rFonts w:ascii="Times New Roman" w:hAnsi="Times New Roman" w:cs="Times New Roman"/>
        </w:rPr>
        <w:t>一、简化清单</w:t>
      </w:r>
    </w:p>
    <w:p>
      <w:pPr>
        <w:spacing w:line="360" w:lineRule="auto"/>
        <w:ind w:firstLine="480" w:firstLineChars="200"/>
        <w:rPr>
          <w:rFonts w:ascii="Times New Roman" w:hAnsi="Times New Roman" w:cs="Times New Roman"/>
        </w:rPr>
      </w:pPr>
      <w:r>
        <w:rPr>
          <w:rFonts w:ascii="Times New Roman" w:hAnsi="Times New Roman" w:cs="Times New Roman"/>
        </w:rPr>
        <w:t>（1）简化现状监测，区域环境质量章节近3年内的项目可引用本规划环评的监测数据，补充特征污染物，适当简化环境质量、区域现状章节。建议简化内容包括“建设项目周围地区的环境现状”项下共8类内容——地理位置；地质、地形、地貌和土壤情况，河流、湖泊（水库）的水文情况，气候与气象情况；矿藏、森林、草原、水产和野生动物、野生植物、农作物等情况；自然保护区、风景游览区、名胜古迹、温泉、及疗养区。</w:t>
      </w:r>
    </w:p>
    <w:p>
      <w:pPr>
        <w:spacing w:line="360" w:lineRule="auto"/>
        <w:ind w:firstLine="480" w:firstLineChars="200"/>
        <w:rPr>
          <w:rFonts w:ascii="Times New Roman" w:hAnsi="Times New Roman" w:cs="Times New Roman"/>
        </w:rPr>
      </w:pPr>
      <w:r>
        <w:rPr>
          <w:rFonts w:ascii="Times New Roman" w:hAnsi="Times New Roman" w:cs="Times New Roman"/>
        </w:rPr>
        <w:t>（2）运营期废水经园区集中污水处理厂处理后外排的项目，地表水环境质量现状可简化，地表水环境影响预测可做一般论述，重点分析项目废水外排依托园区集中污水处理厂的可行性。</w:t>
      </w:r>
    </w:p>
    <w:p>
      <w:pPr>
        <w:spacing w:line="360" w:lineRule="auto"/>
        <w:ind w:firstLine="480" w:firstLineChars="200"/>
        <w:rPr>
          <w:rFonts w:ascii="Times New Roman" w:hAnsi="Times New Roman" w:cs="Times New Roman"/>
        </w:rPr>
      </w:pPr>
      <w:r>
        <w:rPr>
          <w:rFonts w:ascii="Times New Roman" w:hAnsi="Times New Roman" w:cs="Times New Roman"/>
        </w:rPr>
        <w:t>（3）不以噪声影响为主且与敏感目标距离较远时（项目边界距离敏感目标边界超过200m时），噪声环境影响分析可定性分析。</w:t>
      </w:r>
    </w:p>
    <w:p>
      <w:pPr>
        <w:spacing w:line="360" w:lineRule="auto"/>
        <w:ind w:firstLine="480" w:firstLineChars="200"/>
        <w:rPr>
          <w:rFonts w:ascii="Times New Roman" w:hAnsi="Times New Roman" w:cs="Times New Roman"/>
        </w:rPr>
      </w:pPr>
      <w:r>
        <w:rPr>
          <w:rFonts w:ascii="Times New Roman" w:hAnsi="Times New Roman" w:cs="Times New Roman"/>
        </w:rPr>
        <w:t>（4）新入园项目生态环境现状及影响分析可直接引用本报告结论。</w:t>
      </w:r>
    </w:p>
    <w:p>
      <w:pPr>
        <w:spacing w:line="360" w:lineRule="auto"/>
        <w:ind w:firstLine="480" w:firstLineChars="200"/>
        <w:rPr>
          <w:rFonts w:ascii="Times New Roman" w:hAnsi="Times New Roman" w:cs="Times New Roman"/>
        </w:rPr>
      </w:pPr>
      <w:r>
        <w:rPr>
          <w:rFonts w:ascii="Times New Roman" w:hAnsi="Times New Roman" w:cs="Times New Roman"/>
        </w:rPr>
        <w:t>二、对规划内的建设项目重点论述内容</w:t>
      </w:r>
    </w:p>
    <w:p>
      <w:pPr>
        <w:spacing w:line="360" w:lineRule="auto"/>
        <w:ind w:firstLine="480" w:firstLineChars="200"/>
        <w:rPr>
          <w:rFonts w:ascii="Times New Roman" w:hAnsi="Times New Roman" w:cs="Times New Roman"/>
        </w:rPr>
      </w:pPr>
      <w:r>
        <w:rPr>
          <w:rFonts w:ascii="Times New Roman" w:hAnsi="Times New Roman" w:cs="Times New Roman"/>
        </w:rPr>
        <w:t>（1）拟入园项目，需重点论证与园区规划及规划环评及其审查意见要求的符合性，是否符合规划布局、环境准入清单。并重点分析项目与区域三线一单的符合性。</w:t>
      </w:r>
    </w:p>
    <w:p>
      <w:pPr>
        <w:spacing w:line="360" w:lineRule="auto"/>
        <w:ind w:firstLine="480" w:firstLineChars="200"/>
        <w:rPr>
          <w:rFonts w:ascii="Times New Roman" w:hAnsi="Times New Roman" w:cs="Times New Roman"/>
        </w:rPr>
      </w:pPr>
      <w:r>
        <w:rPr>
          <w:rFonts w:ascii="Times New Roman" w:hAnsi="Times New Roman" w:cs="Times New Roman"/>
        </w:rPr>
        <w:t>（2）对于拟入区的限制类项目，应重点论证项目选址的合理性，并深入论证项目入区对园区及周围大气、地表水、地下水、土壤的影响，并对项目采用的污染防治措施的技术可行性和经济可行性进行深入论证。排放特征污染物的，质量现状评价应根据相关导则要求，结合规划环评特征污染物现状监测情况，补充相关特征污染物环境质量现状监测，并强化特征污染物的跟踪监测。</w:t>
      </w:r>
    </w:p>
    <w:p>
      <w:pPr>
        <w:spacing w:line="360" w:lineRule="auto"/>
        <w:ind w:firstLine="480" w:firstLineChars="200"/>
        <w:rPr>
          <w:rFonts w:ascii="Times New Roman" w:hAnsi="Times New Roman" w:cs="Times New Roman"/>
        </w:rPr>
      </w:pPr>
      <w:r>
        <w:rPr>
          <w:rFonts w:ascii="Times New Roman" w:hAnsi="Times New Roman" w:cs="Times New Roman"/>
        </w:rPr>
        <w:t>（3）近期（一般为5年内）入园建设项目，在开展环境影响评价时，应重点评价项目实施对环境空气、声环境、土壤环境的影响以及可能产生的环境风险，提出有针对性的环境防护距离的控制要求，强化环境保护措施的落实。</w:t>
      </w:r>
    </w:p>
    <w:p>
      <w:pPr>
        <w:spacing w:line="360" w:lineRule="auto"/>
        <w:ind w:firstLine="480" w:firstLineChars="200"/>
        <w:rPr>
          <w:rFonts w:ascii="Times New Roman" w:hAnsi="Times New Roman" w:cs="Times New Roman"/>
        </w:rPr>
        <w:sectPr>
          <w:pgSz w:w="11907" w:h="16839"/>
          <w:pgMar w:top="1440" w:right="1797" w:bottom="1440" w:left="1797" w:header="851" w:footer="680" w:gutter="0"/>
          <w:cols w:space="425" w:num="1"/>
          <w:docGrid w:linePitch="326" w:charSpace="0"/>
        </w:sectPr>
      </w:pPr>
      <w:r>
        <w:rPr>
          <w:rFonts w:ascii="Times New Roman" w:hAnsi="Times New Roman" w:cs="Times New Roman"/>
        </w:rPr>
        <w:t>（4）涉及危险废物项目，应深入论证危险废物产生、暂存、处理处置、利用等情况，以及排向去向、委托处理的可行性，按照《建设项目危险废物环境影响评价指南》要求进行深入论证。</w:t>
      </w:r>
    </w:p>
    <w:bookmarkEnd w:id="796"/>
    <w:bookmarkEnd w:id="797"/>
    <w:p>
      <w:pPr>
        <w:pStyle w:val="2"/>
        <w:spacing w:before="120" w:after="120"/>
      </w:pPr>
      <w:bookmarkStart w:id="810" w:name="_Toc146092072"/>
      <w:r>
        <w:t>第10章 环境管理与环境准入</w:t>
      </w:r>
      <w:bookmarkEnd w:id="798"/>
      <w:bookmarkEnd w:id="799"/>
      <w:bookmarkEnd w:id="800"/>
      <w:bookmarkEnd w:id="810"/>
    </w:p>
    <w:p>
      <w:pPr>
        <w:pStyle w:val="3"/>
      </w:pPr>
      <w:bookmarkStart w:id="811" w:name="_Toc146092073"/>
      <w:bookmarkStart w:id="812" w:name="_Toc93071920"/>
      <w:bookmarkStart w:id="813" w:name="_Toc131493564"/>
      <w:bookmarkStart w:id="814" w:name="_Toc131493819"/>
      <w:r>
        <w:t>10.1环境管理</w:t>
      </w:r>
      <w:bookmarkEnd w:id="811"/>
      <w:bookmarkEnd w:id="812"/>
      <w:bookmarkEnd w:id="813"/>
      <w:bookmarkEnd w:id="814"/>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环境管理是以保护区域环境，促进经济发展，满足人类物质和文化生活需要为目的，促进经济、社会、环境有序持续发展的重要手段，在环境保护工作中占有重要地位。使用法律、经济和行政手段对损害或破坏自然环境的活动施加影响，保护自然资源和控制环境污染。</w:t>
      </w:r>
    </w:p>
    <w:p>
      <w:pPr>
        <w:pStyle w:val="4"/>
      </w:pPr>
      <w:bookmarkStart w:id="815" w:name="_Toc131493565"/>
      <w:bookmarkStart w:id="816" w:name="_Toc131493820"/>
      <w:bookmarkStart w:id="817" w:name="_Toc1416"/>
      <w:bookmarkStart w:id="818" w:name="_Toc146092074"/>
      <w:r>
        <w:t>10.1.1新建项目的环境管理</w:t>
      </w:r>
      <w:bookmarkEnd w:id="815"/>
      <w:bookmarkEnd w:id="816"/>
      <w:bookmarkEnd w:id="817"/>
      <w:bookmarkEnd w:id="818"/>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（1）“三同时”制度</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三同时”制度规定新建项目要有环境保护设施，并与主体工程同时设计、同时施工、同时投产，同时新建项目在对污水处理时，应严格按照允许进入污水处理厂的水质标准进行治理和管理。对环境空气污染源、噪声排放源的治理及固体废物的处置，则应严格执行“三同时”制度。</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（2）排污收费制度</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根据园区运作的特点，在执行排污收费时，对于水污染收费应按区域污水管理运行要求进行管理和收费，对于空气污染的排污收费应按国家有关法规的要求进行。</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（3）环境影响评价制度</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对所有区域的单个新建项目均应按照国家及湖南省的有关规定，进行环境影响评价。</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（4）建立污染物排放许可证制度和排污申报登记制度</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排污许可证制度以污染物总量控制为基础，规定排污单位许可排放污染物种类、许可污染物的排放量、许可排放去向等。</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排污申报登记制度是所有固定污染源排放污染物的单位，通向环保行政管理部门申报登记所拥有的污染物排放设施、处理设施和正常作业条件下的排污情况。</w:t>
      </w:r>
    </w:p>
    <w:p>
      <w:pPr>
        <w:pStyle w:val="4"/>
      </w:pPr>
      <w:bookmarkStart w:id="819" w:name="_Toc131493821"/>
      <w:bookmarkStart w:id="820" w:name="_Toc20600"/>
      <w:bookmarkStart w:id="821" w:name="_Toc131493566"/>
      <w:bookmarkStart w:id="822" w:name="_Toc146092075"/>
      <w:r>
        <w:t>10.1.2 环境监控预警体系建设</w:t>
      </w:r>
      <w:bookmarkEnd w:id="819"/>
      <w:bookmarkEnd w:id="820"/>
      <w:bookmarkEnd w:id="821"/>
      <w:bookmarkEnd w:id="822"/>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（1）建立重污染天气监测、预警、预报和应急机制。依据重污染天气的预警等级，及时发布预报信息，迅速启动相应的应急预案。</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将企业废水排放口、事故风险源纳入环境监控预警体系。建立完善的监测制度、配备在线监测设备及先进的报警仪表等，并与环境监控预警体系联网，以便及时发现污染、及时发出预警采取有效防范和控制措施。</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（3）制定规划区及企业风险事故应急预案。若发现监测数据异常，特别是报警仪表报警时，须立即启动应急响应，及时处理，确保将环境影响程度降到最低程度。</w:t>
      </w:r>
    </w:p>
    <w:p>
      <w:pPr>
        <w:pStyle w:val="4"/>
      </w:pPr>
      <w:bookmarkStart w:id="823" w:name="_Toc131493567"/>
      <w:bookmarkStart w:id="824" w:name="_Toc131493822"/>
      <w:bookmarkStart w:id="825" w:name="_Toc29018"/>
      <w:bookmarkStart w:id="826" w:name="_Toc146092076"/>
      <w:r>
        <w:t>10.1.3 强化企业环保信息管理</w:t>
      </w:r>
      <w:bookmarkEnd w:id="823"/>
      <w:bookmarkEnd w:id="824"/>
      <w:bookmarkEnd w:id="825"/>
      <w:bookmarkEnd w:id="826"/>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（1）科学筛选入园项目</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严格执行环境准入负面清单，加强入园企业及项目的审查，在符合相关产业政策、园区规划要求及准入条件的基础上，优先选择符合产业链要求和循环经济原则的项目。</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（2）入园企业施工期的环境管理</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园区环境专职管理机构应加强对入园企业施工期的环境管理，以最大限度降低企业施工建设过程中为对园区产生的不利影响。</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（3）环境保护检查</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各企业环境管理机构要做好生产作业现场的环保管理工作，每月进行一次环保现场检查。专职环境管理机构每半年组织一次生产现场环保管理综合检查，对查出的一般环保问题，责令当场整改，对于较严重的问题立即上报生态环境局，并建议下发“环境污染及隐患整改通知单”，责令被检查单位限期整改。经复查仍不合格者，建议依法对其进行处罚，并继续督促限期整改。</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（4）企业融入管理</w:t>
      </w:r>
    </w:p>
    <w:p>
      <w:pPr>
        <w:widowControl/>
        <w:tabs>
          <w:tab w:val="left" w:pos="3557"/>
        </w:tabs>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落实各企业危险废物的处理处置，对产生危险废物的企业实行危险固废转移联单制度，完善、健全园区各企业危废管理制度；新入园企业污水必须实施达标纳管；积极促进企业实行清洁生产，有条件的企业应逐步开展ISO14000环境管理体系的认证工作；未开工项目竣工的环境保护验收由项目建设单位自主验收。</w:t>
      </w:r>
    </w:p>
    <w:p>
      <w:pPr>
        <w:pStyle w:val="3"/>
      </w:pPr>
      <w:bookmarkStart w:id="827" w:name="_Toc131493568"/>
      <w:bookmarkStart w:id="828" w:name="_Toc146092077"/>
      <w:bookmarkStart w:id="829" w:name="_Toc131493823"/>
      <w:bookmarkStart w:id="830" w:name="_Toc93071921"/>
      <w:r>
        <w:t>10.2产业园区环境准入</w:t>
      </w:r>
      <w:bookmarkEnd w:id="827"/>
      <w:bookmarkEnd w:id="828"/>
      <w:bookmarkEnd w:id="829"/>
      <w:bookmarkEnd w:id="830"/>
    </w:p>
    <w:p>
      <w:pPr>
        <w:pStyle w:val="4"/>
      </w:pPr>
      <w:bookmarkStart w:id="831" w:name="_Toc131493569"/>
      <w:bookmarkStart w:id="832" w:name="_Toc7299"/>
      <w:bookmarkStart w:id="833" w:name="_Toc131493824"/>
      <w:bookmarkStart w:id="834" w:name="_Toc146092078"/>
      <w:r>
        <w:t>10.2.1产业园区环境管控分区</w:t>
      </w:r>
      <w:bookmarkEnd w:id="831"/>
      <w:bookmarkEnd w:id="832"/>
      <w:bookmarkEnd w:id="833"/>
      <w:bookmarkEnd w:id="834"/>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结合</w:t>
      </w:r>
      <w:r>
        <w:rPr>
          <w:rFonts w:hint="eastAsia" w:ascii="Times New Roman" w:hAnsi="Times New Roman" w:eastAsia="宋体" w:cs="Times New Roman"/>
          <w:kern w:val="0"/>
          <w:szCs w:val="20"/>
        </w:rPr>
        <w:t>岳阳</w:t>
      </w:r>
      <w:r>
        <w:rPr>
          <w:rFonts w:ascii="Times New Roman" w:hAnsi="Times New Roman" w:eastAsia="宋体" w:cs="Times New Roman"/>
          <w:kern w:val="0"/>
          <w:szCs w:val="20"/>
        </w:rPr>
        <w:t>市“三线一单”分区管控，规划范围涉及娄底市重点管控单元。</w:t>
      </w:r>
    </w:p>
    <w:p>
      <w:pPr>
        <w:jc w:val="center"/>
        <w:rPr>
          <w:rFonts w:ascii="Times New Roman" w:hAnsi="Times New Roman" w:eastAsia="宋体" w:cs="Times New Roman"/>
          <w:kern w:val="0"/>
          <w:szCs w:val="20"/>
        </w:rPr>
      </w:pPr>
    </w:p>
    <w:p>
      <w:pPr>
        <w:pStyle w:val="6"/>
      </w:pPr>
      <w:r>
        <w:t>图</w:t>
      </w:r>
      <w:r>
        <w:rPr>
          <w:rFonts w:hint="eastAsia"/>
        </w:rPr>
        <w:t>10</w:t>
      </w:r>
      <w:r>
        <w:t>.2-1   产业园区环境管控分区图</w:t>
      </w:r>
    </w:p>
    <w:p>
      <w:pPr>
        <w:pStyle w:val="4"/>
      </w:pPr>
      <w:bookmarkStart w:id="835" w:name="_Toc131493825"/>
      <w:bookmarkStart w:id="836" w:name="_Toc131493570"/>
      <w:bookmarkStart w:id="837" w:name="_Toc146092079"/>
      <w:bookmarkStart w:id="838" w:name="_Toc10071"/>
      <w:r>
        <w:t>10.2.2产业园区分区环境管控要求</w:t>
      </w:r>
      <w:bookmarkEnd w:id="835"/>
      <w:bookmarkEnd w:id="836"/>
      <w:bookmarkEnd w:id="837"/>
      <w:bookmarkEnd w:id="838"/>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根据国家现行产业政策、园区的发展定位及区域的环境和资源状况、环境承载力等因素，园区未来发展的项目应有选择地引入。落实区域生态保护红线，以区域资源利用为上线、环境质量为底线，严格落实总量控制要求，控制园区发展规模和投资强度，确保污染物排放总量在可控范围内。以规划环评预测的污染物排放总量为基础，依据区域环境质量状况、污染物治理水平、环保基础设施完善等情况，当地政府或环境保护行政主管部门对区域的总量指标进行调整控制。</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对于国家现行产业政策未禁止或未淘汰的、园区产业链条上不可或缺的污染型入区项目，审批过程中视具体情况有条件地引入，但要严格执行环境影响评价制度，同时根据园区环境容量，把好总量控制关。</w:t>
      </w:r>
    </w:p>
    <w:p>
      <w:pPr>
        <w:widowControl/>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对于国家现行产业政策明令禁止或淘汰的产业及工业，及排污量较大，污染物控制难度大，不符合园区大气污染和水污染总量控制原则的以及不符合产业定位的企业的这类项目，应严格把关，不予审批。</w:t>
      </w:r>
    </w:p>
    <w:p>
      <w:pPr>
        <w:widowControl/>
        <w:spacing w:line="360" w:lineRule="auto"/>
        <w:ind w:firstLine="480" w:firstLineChars="200"/>
        <w:rPr>
          <w:rFonts w:ascii="Times New Roman" w:hAnsi="Times New Roman" w:eastAsia="宋体" w:cs="Times New Roman"/>
          <w:kern w:val="0"/>
        </w:rPr>
      </w:pPr>
      <w:r>
        <w:rPr>
          <w:rFonts w:ascii="Times New Roman" w:hAnsi="Times New Roman" w:eastAsia="宋体" w:cs="Times New Roman"/>
          <w:kern w:val="0"/>
          <w:szCs w:val="20"/>
        </w:rPr>
        <w:t>根据《湖南省人民政府关于实施“三线一单”生态环境分区管控的意见》，我省三线一单实行动态管理原则，省生态环境厅组织对其实行定期评估与动态更新，本次</w:t>
      </w:r>
      <w:r>
        <w:rPr>
          <w:rFonts w:hint="eastAsia" w:ascii="Times New Roman" w:hAnsi="Times New Roman" w:eastAsia="宋体" w:cs="Times New Roman"/>
          <w:kern w:val="0"/>
          <w:szCs w:val="20"/>
        </w:rPr>
        <w:t>调区</w:t>
      </w:r>
      <w:r>
        <w:rPr>
          <w:rFonts w:ascii="Times New Roman" w:hAnsi="Times New Roman" w:eastAsia="宋体" w:cs="Times New Roman"/>
          <w:kern w:val="0"/>
          <w:szCs w:val="20"/>
        </w:rPr>
        <w:t>扩区环评成果，并结合《湖南省“三线一单”生态环境总体管控要求暨省级以上产业园区生态环境准入清单》和《</w:t>
      </w:r>
      <w:r>
        <w:rPr>
          <w:rFonts w:hint="eastAsia" w:ascii="Times New Roman" w:hAnsi="Times New Roman" w:eastAsia="宋体" w:cs="Times New Roman"/>
          <w:kern w:val="0"/>
          <w:szCs w:val="20"/>
        </w:rPr>
        <w:t>岳阳市“三线一单”生态环境分区管控的意见</w:t>
      </w:r>
      <w:r>
        <w:rPr>
          <w:rFonts w:ascii="Times New Roman" w:hAnsi="Times New Roman" w:eastAsia="宋体" w:cs="Times New Roman"/>
          <w:kern w:val="0"/>
        </w:rPr>
        <w:t xml:space="preserve">》的成果，对园区生态环境准入清单提出动态更新建议，详见表10.2-1。 </w:t>
      </w:r>
    </w:p>
    <w:p>
      <w:pPr>
        <w:widowControl/>
        <w:spacing w:line="360" w:lineRule="auto"/>
        <w:ind w:firstLine="480" w:firstLineChars="200"/>
        <w:rPr>
          <w:rFonts w:ascii="Times New Roman" w:hAnsi="Times New Roman" w:eastAsia="宋体" w:cs="Times New Roman"/>
          <w:kern w:val="0"/>
        </w:rPr>
        <w:sectPr>
          <w:pgSz w:w="11907" w:h="16839"/>
          <w:pgMar w:top="1440" w:right="1797" w:bottom="1440" w:left="1797" w:header="851" w:footer="680" w:gutter="0"/>
          <w:cols w:space="425" w:num="1"/>
          <w:docGrid w:linePitch="326" w:charSpace="0"/>
        </w:sectPr>
      </w:pPr>
    </w:p>
    <w:p>
      <w:pPr>
        <w:pStyle w:val="6"/>
        <w:rPr>
          <w:rFonts w:eastAsia="等线"/>
        </w:rPr>
      </w:pPr>
      <w:r>
        <w:t>表10.2-</w:t>
      </w:r>
      <w:r>
        <w:rPr>
          <w:rFonts w:eastAsia="等线"/>
        </w:rPr>
        <w:t>1</w:t>
      </w:r>
      <w:r>
        <w:t xml:space="preserve">  </w:t>
      </w:r>
      <w:r>
        <w:rPr>
          <w:rFonts w:hint="eastAsia"/>
        </w:rPr>
        <w:t>临湘</w:t>
      </w:r>
      <w:r>
        <w:t>高新区环境准入动态更新建议</w:t>
      </w:r>
    </w:p>
    <w:tbl>
      <w:tblPr>
        <w:tblStyle w:val="36"/>
        <w:tblW w:w="139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866"/>
        <w:gridCol w:w="5386"/>
        <w:gridCol w:w="5245"/>
        <w:gridCol w:w="24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0" w:hRule="atLeast"/>
          <w:tblHeader/>
          <w:jc w:val="center"/>
        </w:trPr>
        <w:tc>
          <w:tcPr>
            <w:tcW w:w="866" w:type="dxa"/>
            <w:tcBorders>
              <w:top w:val="single" w:color="auto" w:sz="12" w:space="0"/>
              <w:left w:val="single" w:color="auto" w:sz="12" w:space="0"/>
              <w:bottom w:val="single" w:color="auto" w:sz="6" w:space="0"/>
              <w:right w:val="single" w:color="auto" w:sz="4" w:space="0"/>
            </w:tcBorders>
            <w:vAlign w:val="center"/>
          </w:tcPr>
          <w:p>
            <w:pPr>
              <w:pStyle w:val="63"/>
            </w:pPr>
            <w:r>
              <w:t>管控维度</w:t>
            </w:r>
          </w:p>
        </w:tc>
        <w:tc>
          <w:tcPr>
            <w:tcW w:w="5386" w:type="dxa"/>
            <w:tcBorders>
              <w:top w:val="single" w:color="auto" w:sz="12" w:space="0"/>
              <w:left w:val="single" w:color="auto" w:sz="4" w:space="0"/>
              <w:bottom w:val="single" w:color="auto" w:sz="6" w:space="0"/>
            </w:tcBorders>
            <w:tcMar>
              <w:top w:w="28" w:type="dxa"/>
              <w:left w:w="28" w:type="dxa"/>
              <w:bottom w:w="28" w:type="dxa"/>
              <w:right w:w="28" w:type="dxa"/>
            </w:tcMar>
            <w:vAlign w:val="center"/>
          </w:tcPr>
          <w:p>
            <w:pPr>
              <w:pStyle w:val="63"/>
            </w:pPr>
            <w:r>
              <w:t>管控要求</w:t>
            </w:r>
          </w:p>
          <w:p>
            <w:pPr>
              <w:pStyle w:val="63"/>
            </w:pPr>
            <w:r>
              <w:t>《湖南省“三线一单”生态环境总体管控要求暨省级以上产业园区生态环境准入清单》</w:t>
            </w:r>
          </w:p>
        </w:tc>
        <w:tc>
          <w:tcPr>
            <w:tcW w:w="5245" w:type="dxa"/>
            <w:tcBorders>
              <w:top w:val="single" w:color="auto" w:sz="12" w:space="0"/>
              <w:left w:val="single" w:color="auto" w:sz="4" w:space="0"/>
              <w:bottom w:val="single" w:color="auto" w:sz="6" w:space="0"/>
            </w:tcBorders>
            <w:vAlign w:val="center"/>
          </w:tcPr>
          <w:p>
            <w:pPr>
              <w:pStyle w:val="63"/>
            </w:pPr>
            <w:r>
              <w:t>管控要求</w:t>
            </w:r>
          </w:p>
          <w:p>
            <w:pPr>
              <w:pStyle w:val="63"/>
            </w:pPr>
            <w:r>
              <w:t>本次扩区后</w:t>
            </w:r>
          </w:p>
        </w:tc>
        <w:tc>
          <w:tcPr>
            <w:tcW w:w="2491" w:type="dxa"/>
            <w:tcBorders>
              <w:top w:val="single" w:color="auto" w:sz="12" w:space="0"/>
              <w:left w:val="single" w:color="auto" w:sz="4" w:space="0"/>
              <w:bottom w:val="single" w:color="auto" w:sz="6" w:space="0"/>
            </w:tcBorders>
            <w:vAlign w:val="center"/>
          </w:tcPr>
          <w:p>
            <w:pPr>
              <w:pStyle w:val="63"/>
            </w:pPr>
            <w:r>
              <w:t>变化或更新原因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403" w:hRule="atLeast"/>
          <w:jc w:val="center"/>
        </w:trPr>
        <w:tc>
          <w:tcPr>
            <w:tcW w:w="866" w:type="dxa"/>
            <w:tcBorders>
              <w:top w:val="single" w:color="auto" w:sz="12" w:space="0"/>
              <w:left w:val="single" w:color="auto" w:sz="12" w:space="0"/>
              <w:bottom w:val="single" w:color="auto" w:sz="6" w:space="0"/>
              <w:right w:val="single" w:color="auto" w:sz="4" w:space="0"/>
            </w:tcBorders>
            <w:vAlign w:val="center"/>
          </w:tcPr>
          <w:p>
            <w:pPr>
              <w:pStyle w:val="63"/>
            </w:pPr>
            <w:r>
              <w:t>范围</w:t>
            </w:r>
          </w:p>
        </w:tc>
        <w:tc>
          <w:tcPr>
            <w:tcW w:w="5386" w:type="dxa"/>
            <w:tcBorders>
              <w:top w:val="single" w:color="auto" w:sz="12" w:space="0"/>
              <w:left w:val="single" w:color="auto" w:sz="4" w:space="0"/>
              <w:bottom w:val="single" w:color="auto" w:sz="6" w:space="0"/>
            </w:tcBorders>
            <w:tcMar>
              <w:top w:w="28" w:type="dxa"/>
              <w:left w:w="28" w:type="dxa"/>
              <w:bottom w:w="28" w:type="dxa"/>
              <w:right w:w="28" w:type="dxa"/>
            </w:tcMar>
            <w:vAlign w:val="center"/>
          </w:tcPr>
          <w:p>
            <w:pPr>
              <w:pStyle w:val="63"/>
            </w:pPr>
            <w:r>
              <w:rPr>
                <w:rFonts w:hint="eastAsia"/>
              </w:rPr>
              <w:t>核准范围：</w:t>
            </w:r>
            <w:r>
              <w:t>7</w:t>
            </w:r>
            <w:r>
              <w:rPr>
                <w:rFonts w:hint="eastAsia"/>
              </w:rPr>
              <w:t>.</w:t>
            </w:r>
            <w:r>
              <w:t>7420km</w:t>
            </w:r>
            <w:r>
              <w:rPr>
                <w:vertAlign w:val="superscript"/>
              </w:rPr>
              <w:t>2</w:t>
            </w:r>
          </w:p>
        </w:tc>
        <w:tc>
          <w:tcPr>
            <w:tcW w:w="5245" w:type="dxa"/>
            <w:tcBorders>
              <w:top w:val="single" w:color="auto" w:sz="12" w:space="0"/>
              <w:left w:val="single" w:color="auto" w:sz="4" w:space="0"/>
              <w:bottom w:val="single" w:color="auto" w:sz="6" w:space="0"/>
            </w:tcBorders>
            <w:vAlign w:val="center"/>
          </w:tcPr>
          <w:p>
            <w:pPr>
              <w:pStyle w:val="63"/>
              <w:rPr>
                <w:vertAlign w:val="superscript"/>
              </w:rPr>
            </w:pPr>
            <w:r>
              <w:t>扩区后的总体用地规模为9</w:t>
            </w:r>
            <w:r>
              <w:rPr>
                <w:rFonts w:hint="eastAsia"/>
              </w:rPr>
              <w:t>.</w:t>
            </w:r>
            <w:r>
              <w:t>9230km</w:t>
            </w:r>
            <w:r>
              <w:rPr>
                <w:vertAlign w:val="superscript"/>
              </w:rPr>
              <w:t>2</w:t>
            </w:r>
          </w:p>
          <w:p>
            <w:pPr>
              <w:pStyle w:val="63"/>
            </w:pPr>
            <w:r>
              <w:t>（最终以政府核准面积为准）</w:t>
            </w:r>
          </w:p>
        </w:tc>
        <w:tc>
          <w:tcPr>
            <w:tcW w:w="2491" w:type="dxa"/>
            <w:tcBorders>
              <w:top w:val="single" w:color="auto" w:sz="12" w:space="0"/>
              <w:left w:val="single" w:color="auto" w:sz="4" w:space="0"/>
              <w:bottom w:val="single" w:color="auto" w:sz="6" w:space="0"/>
            </w:tcBorders>
            <w:vAlign w:val="center"/>
          </w:tcPr>
          <w:p>
            <w:pPr>
              <w:pStyle w:val="63"/>
            </w:pPr>
            <w:r>
              <w:t>湘发改园区[2022]601号核定面积7</w:t>
            </w:r>
            <w:r>
              <w:rPr>
                <w:rFonts w:hint="eastAsia"/>
              </w:rPr>
              <w:t>.</w:t>
            </w:r>
            <w:r>
              <w:t>7420km</w:t>
            </w:r>
            <w:r>
              <w:rPr>
                <w:vertAlign w:val="superscript"/>
              </w:rPr>
              <w:t>2</w:t>
            </w:r>
            <w:r>
              <w:t>，本次在此基础上调扩区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403" w:hRule="atLeast"/>
          <w:jc w:val="center"/>
        </w:trPr>
        <w:tc>
          <w:tcPr>
            <w:tcW w:w="866" w:type="dxa"/>
            <w:tcBorders>
              <w:top w:val="single" w:color="auto" w:sz="12" w:space="0"/>
              <w:left w:val="single" w:color="auto" w:sz="12" w:space="0"/>
              <w:bottom w:val="single" w:color="auto" w:sz="6" w:space="0"/>
              <w:right w:val="single" w:color="auto" w:sz="4" w:space="0"/>
            </w:tcBorders>
            <w:vAlign w:val="center"/>
          </w:tcPr>
          <w:p>
            <w:pPr>
              <w:pStyle w:val="63"/>
            </w:pPr>
            <w:r>
              <w:t>涉及乡镇（街道）</w:t>
            </w:r>
          </w:p>
        </w:tc>
        <w:tc>
          <w:tcPr>
            <w:tcW w:w="5386" w:type="dxa"/>
            <w:tcBorders>
              <w:top w:val="single" w:color="auto" w:sz="12" w:space="0"/>
              <w:left w:val="single" w:color="auto" w:sz="4" w:space="0"/>
              <w:bottom w:val="single" w:color="auto" w:sz="6" w:space="0"/>
            </w:tcBorders>
            <w:tcMar>
              <w:top w:w="28" w:type="dxa"/>
              <w:left w:w="28" w:type="dxa"/>
              <w:bottom w:w="28" w:type="dxa"/>
              <w:right w:w="28" w:type="dxa"/>
            </w:tcMar>
            <w:vAlign w:val="center"/>
          </w:tcPr>
          <w:p>
            <w:pPr>
              <w:pStyle w:val="63"/>
            </w:pPr>
            <w:r>
              <w:rPr>
                <w:rFonts w:hint="eastAsia"/>
              </w:rPr>
              <w:t>核准范围（一园两区）：三湾片区涉及云湖街道办事处；滨江产业片区涉及江南镇</w:t>
            </w:r>
          </w:p>
        </w:tc>
        <w:tc>
          <w:tcPr>
            <w:tcW w:w="5245" w:type="dxa"/>
            <w:tcBorders>
              <w:top w:val="single" w:color="auto" w:sz="12" w:space="0"/>
              <w:left w:val="single" w:color="auto" w:sz="4" w:space="0"/>
              <w:bottom w:val="single" w:color="auto" w:sz="6" w:space="0"/>
            </w:tcBorders>
            <w:vAlign w:val="center"/>
          </w:tcPr>
          <w:p>
            <w:pPr>
              <w:pStyle w:val="63"/>
            </w:pPr>
            <w:r>
              <w:rPr>
                <w:rFonts w:hint="eastAsia"/>
              </w:rPr>
              <w:t>三湾片区涉及云湖街道办事处；</w:t>
            </w:r>
          </w:p>
          <w:p>
            <w:pPr>
              <w:pStyle w:val="63"/>
            </w:pPr>
            <w:r>
              <w:rPr>
                <w:rFonts w:hint="eastAsia"/>
              </w:rPr>
              <w:t>绿色建材产业园、滨江片区涉及江南镇</w:t>
            </w:r>
          </w:p>
        </w:tc>
        <w:tc>
          <w:tcPr>
            <w:tcW w:w="2491" w:type="dxa"/>
            <w:tcBorders>
              <w:top w:val="single" w:color="auto" w:sz="12" w:space="0"/>
              <w:left w:val="single" w:color="auto" w:sz="4" w:space="0"/>
              <w:bottom w:val="single" w:color="auto" w:sz="6" w:space="0"/>
            </w:tcBorders>
            <w:vAlign w:val="center"/>
          </w:tcPr>
          <w:p>
            <w:pPr>
              <w:pStyle w:val="63"/>
            </w:pPr>
            <w:r>
              <w:rPr>
                <w:rFonts w:hint="eastAsia"/>
              </w:rPr>
              <w:t>根据湘发改园区[2022]601号将区块六纳入规划范围，针对区块四进行扩区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1471" w:hRule="atLeast"/>
          <w:jc w:val="center"/>
        </w:trPr>
        <w:tc>
          <w:tcPr>
            <w:tcW w:w="866" w:type="dxa"/>
            <w:tcBorders>
              <w:top w:val="single" w:color="auto" w:sz="12" w:space="0"/>
              <w:left w:val="single" w:color="auto" w:sz="12" w:space="0"/>
              <w:right w:val="single" w:color="auto" w:sz="4" w:space="0"/>
            </w:tcBorders>
            <w:vAlign w:val="center"/>
          </w:tcPr>
          <w:p>
            <w:pPr>
              <w:pStyle w:val="63"/>
            </w:pPr>
            <w:r>
              <w:t>主导产业</w:t>
            </w:r>
          </w:p>
        </w:tc>
        <w:tc>
          <w:tcPr>
            <w:tcW w:w="5386" w:type="dxa"/>
            <w:tcBorders>
              <w:top w:val="single" w:color="auto" w:sz="12" w:space="0"/>
              <w:left w:val="single" w:color="auto" w:sz="4" w:space="0"/>
            </w:tcBorders>
            <w:tcMar>
              <w:top w:w="28" w:type="dxa"/>
              <w:left w:w="28" w:type="dxa"/>
              <w:bottom w:w="28" w:type="dxa"/>
              <w:right w:w="28" w:type="dxa"/>
            </w:tcMar>
            <w:vAlign w:val="center"/>
          </w:tcPr>
          <w:p>
            <w:pPr>
              <w:pStyle w:val="63"/>
            </w:pPr>
            <w:r>
              <w:rPr>
                <w:rFonts w:hint="eastAsia"/>
              </w:rPr>
              <w:t>滨江产业区：</w:t>
            </w:r>
          </w:p>
          <w:p>
            <w:pPr>
              <w:pStyle w:val="63"/>
            </w:pPr>
            <w:r>
              <w:rPr>
                <w:rFonts w:hint="eastAsia"/>
              </w:rPr>
              <w:t>湘环评函[2020]1号：以新材料（不含以排放有毒有害污染物废水为主的项目）和电子信息（不含印刷线路板）为主导产业，以机械制造、物流仓储等为辅导产业。</w:t>
            </w:r>
          </w:p>
          <w:p>
            <w:pPr>
              <w:pStyle w:val="63"/>
            </w:pPr>
            <w:r>
              <w:rPr>
                <w:rFonts w:hint="eastAsia"/>
              </w:rPr>
              <w:t>三湾产业区：</w:t>
            </w:r>
          </w:p>
          <w:p>
            <w:pPr>
              <w:pStyle w:val="63"/>
            </w:pPr>
            <w:r>
              <w:rPr>
                <w:rFonts w:hint="eastAsia"/>
              </w:rPr>
              <w:t>湘环评函[2017]30号：逐步退出陶瓷企业，依托区域垂钓文化集约发展浮标产业；</w:t>
            </w:r>
          </w:p>
          <w:p>
            <w:pPr>
              <w:pStyle w:val="63"/>
            </w:pPr>
            <w:r>
              <w:rPr>
                <w:rFonts w:hint="eastAsia"/>
              </w:rPr>
              <w:t>湘政函[2006]79号：医药、纺织、机械制造。</w:t>
            </w:r>
          </w:p>
          <w:p>
            <w:pPr>
              <w:pStyle w:val="63"/>
            </w:pPr>
            <w:r>
              <w:rPr>
                <w:rFonts w:hint="eastAsia"/>
              </w:rPr>
              <w:t>六部委公告2018年第4号：建材、化工、有色冶金。</w:t>
            </w:r>
          </w:p>
          <w:p>
            <w:pPr>
              <w:pStyle w:val="63"/>
              <w:rPr>
                <w:u w:val="single"/>
              </w:rPr>
            </w:pPr>
            <w:r>
              <w:rPr>
                <w:rFonts w:hint="eastAsia"/>
              </w:rPr>
              <w:t>湘发改函[2020]111号：新材料和电子信息产业。</w:t>
            </w:r>
          </w:p>
        </w:tc>
        <w:tc>
          <w:tcPr>
            <w:tcW w:w="5245" w:type="dxa"/>
            <w:tcBorders>
              <w:top w:val="single" w:color="auto" w:sz="12" w:space="0"/>
              <w:left w:val="single" w:color="auto" w:sz="4" w:space="0"/>
            </w:tcBorders>
            <w:vAlign w:val="center"/>
          </w:tcPr>
          <w:p>
            <w:pPr>
              <w:pStyle w:val="63"/>
            </w:pPr>
            <w:r>
              <w:rPr>
                <w:rFonts w:hint="eastAsia"/>
              </w:rPr>
              <w:t>临湘高新技术产业开发区以建设“长江经济带转型升级引领区、中非经贸产业合作先行区、国家级高新技术产业创建区、湘北承接产业转移示范区”为依托，形成以绿色化工为主导产业、以浮标（钓具）及加工制造为特色产业的“一主一特”的产业生态圈。</w:t>
            </w:r>
          </w:p>
          <w:p>
            <w:pPr>
              <w:pStyle w:val="63"/>
            </w:pPr>
            <w:r>
              <w:t>中非工贸产业园</w:t>
            </w:r>
            <w:r>
              <w:rPr>
                <w:rFonts w:hint="eastAsia"/>
              </w:rPr>
              <w:t>：</w:t>
            </w:r>
            <w:r>
              <w:t>重点发展加工制造和对非贸易</w:t>
            </w:r>
          </w:p>
          <w:p>
            <w:pPr>
              <w:pStyle w:val="63"/>
            </w:pPr>
            <w:r>
              <w:t>绿色化工产业园</w:t>
            </w:r>
            <w:r>
              <w:rPr>
                <w:rFonts w:hint="eastAsia"/>
              </w:rPr>
              <w:t>：</w:t>
            </w:r>
            <w:r>
              <w:t>绿色精细化工、先进化工新材料、生物医药</w:t>
            </w:r>
          </w:p>
          <w:p>
            <w:pPr>
              <w:pStyle w:val="63"/>
            </w:pPr>
            <w:r>
              <w:t>加工制造产业园</w:t>
            </w:r>
            <w:r>
              <w:rPr>
                <w:rFonts w:hint="eastAsia"/>
              </w:rPr>
              <w:t>：</w:t>
            </w:r>
            <w:r>
              <w:t>配套加工服务</w:t>
            </w:r>
          </w:p>
          <w:p>
            <w:pPr>
              <w:pStyle w:val="63"/>
            </w:pPr>
            <w:r>
              <w:t>三湾产业园</w:t>
            </w:r>
            <w:r>
              <w:rPr>
                <w:rFonts w:hint="eastAsia"/>
              </w:rPr>
              <w:t>：</w:t>
            </w:r>
            <w:r>
              <w:t>重点建设浮标特色产业园、绿色建材产业园项目</w:t>
            </w:r>
          </w:p>
          <w:p>
            <w:pPr>
              <w:pStyle w:val="63"/>
            </w:pPr>
            <w:r>
              <w:t>绿色建材产业园</w:t>
            </w:r>
            <w:r>
              <w:rPr>
                <w:rFonts w:hint="eastAsia"/>
              </w:rPr>
              <w:t>：依托</w:t>
            </w:r>
            <w:r>
              <w:t>海螺水泥</w:t>
            </w:r>
            <w:r>
              <w:rPr>
                <w:rFonts w:hint="eastAsia"/>
              </w:rPr>
              <w:t>进行水泥窑综合利用项目</w:t>
            </w:r>
          </w:p>
        </w:tc>
        <w:tc>
          <w:tcPr>
            <w:tcW w:w="2491" w:type="dxa"/>
            <w:tcBorders>
              <w:top w:val="single" w:color="auto" w:sz="12" w:space="0"/>
              <w:left w:val="single" w:color="auto" w:sz="4" w:space="0"/>
            </w:tcBorders>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90" w:hRule="atLeast"/>
          <w:jc w:val="center"/>
        </w:trPr>
        <w:tc>
          <w:tcPr>
            <w:tcW w:w="866" w:type="dxa"/>
            <w:tcBorders>
              <w:top w:val="single" w:color="auto" w:sz="12" w:space="0"/>
              <w:left w:val="single" w:color="auto" w:sz="12" w:space="0"/>
              <w:right w:val="single" w:color="auto" w:sz="4" w:space="0"/>
            </w:tcBorders>
            <w:vAlign w:val="center"/>
          </w:tcPr>
          <w:p>
            <w:pPr>
              <w:pStyle w:val="63"/>
            </w:pPr>
            <w:r>
              <w:t>主要环境问题和重要敏感目标</w:t>
            </w:r>
          </w:p>
        </w:tc>
        <w:tc>
          <w:tcPr>
            <w:tcW w:w="5386" w:type="dxa"/>
            <w:tcBorders>
              <w:top w:val="single" w:color="auto" w:sz="12" w:space="0"/>
              <w:left w:val="single" w:color="auto" w:sz="4" w:space="0"/>
            </w:tcBorders>
            <w:tcMar>
              <w:top w:w="28" w:type="dxa"/>
              <w:left w:w="28" w:type="dxa"/>
              <w:bottom w:w="28" w:type="dxa"/>
              <w:right w:w="28" w:type="dxa"/>
            </w:tcMar>
            <w:vAlign w:val="center"/>
          </w:tcPr>
          <w:p>
            <w:pPr>
              <w:pStyle w:val="63"/>
            </w:pPr>
            <w:r>
              <w:rPr>
                <w:rFonts w:hint="eastAsia"/>
              </w:rPr>
              <w:t>三湾产业区：</w:t>
            </w:r>
          </w:p>
          <w:p>
            <w:pPr>
              <w:pStyle w:val="63"/>
            </w:pPr>
            <w:r>
              <w:rPr>
                <w:rFonts w:hint="eastAsia"/>
              </w:rPr>
              <w:t>1、产业园区现状环境管理不完善；</w:t>
            </w:r>
          </w:p>
          <w:p>
            <w:pPr>
              <w:pStyle w:val="63"/>
            </w:pPr>
            <w:r>
              <w:rPr>
                <w:rFonts w:hint="eastAsia"/>
              </w:rPr>
              <w:t>滨江产业区：</w:t>
            </w:r>
          </w:p>
          <w:p>
            <w:pPr>
              <w:pStyle w:val="63"/>
            </w:pPr>
            <w:r>
              <w:rPr>
                <w:rFonts w:hint="eastAsia"/>
              </w:rPr>
              <w:t>2、滨江产业园历史遗留土壤污染，存在污染地块；</w:t>
            </w:r>
          </w:p>
          <w:p>
            <w:pPr>
              <w:pStyle w:val="63"/>
            </w:pPr>
            <w:r>
              <w:rPr>
                <w:rFonts w:hint="eastAsia"/>
              </w:rPr>
              <w:t>3、滨江产业园化工产业片区处于长江岸线1km范围内；</w:t>
            </w:r>
          </w:p>
          <w:p>
            <w:pPr>
              <w:pStyle w:val="63"/>
            </w:pPr>
            <w:r>
              <w:rPr>
                <w:rFonts w:hint="eastAsia"/>
              </w:rPr>
              <w:t>4、产业园区污水厂尾水排放口位于长江新螺段白鱀豚国家级自然保护区实验区内。</w:t>
            </w:r>
          </w:p>
        </w:tc>
        <w:tc>
          <w:tcPr>
            <w:tcW w:w="5245" w:type="dxa"/>
            <w:tcBorders>
              <w:top w:val="single" w:color="auto" w:sz="12" w:space="0"/>
              <w:left w:val="single" w:color="auto" w:sz="4" w:space="0"/>
            </w:tcBorders>
            <w:vAlign w:val="center"/>
          </w:tcPr>
          <w:p>
            <w:pPr>
              <w:pStyle w:val="63"/>
            </w:pPr>
            <w:r>
              <w:rPr>
                <w:rFonts w:hint="eastAsia"/>
              </w:rPr>
              <w:t>1、滨江产业园历史遗留土壤污染，存在污染地块；</w:t>
            </w:r>
          </w:p>
          <w:p>
            <w:pPr>
              <w:pStyle w:val="63"/>
            </w:pPr>
            <w:r>
              <w:rPr>
                <w:rFonts w:hint="eastAsia"/>
              </w:rPr>
              <w:t>2、滨江片区污水厂尾水排放口位于湖北长江新螺段豚类国家级自然保护区实验区内。</w:t>
            </w:r>
          </w:p>
        </w:tc>
        <w:tc>
          <w:tcPr>
            <w:tcW w:w="2491" w:type="dxa"/>
            <w:tcBorders>
              <w:top w:val="single" w:color="auto" w:sz="12" w:space="0"/>
              <w:left w:val="single" w:color="auto" w:sz="4" w:space="0"/>
            </w:tcBorders>
            <w:vAlign w:val="center"/>
          </w:tcPr>
          <w:p>
            <w:pPr>
              <w:pStyle w:val="63"/>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810" w:hRule="atLeast"/>
          <w:jc w:val="center"/>
        </w:trPr>
        <w:tc>
          <w:tcPr>
            <w:tcW w:w="866" w:type="dxa"/>
            <w:tcBorders>
              <w:top w:val="single" w:color="auto" w:sz="12" w:space="0"/>
              <w:left w:val="single" w:color="auto" w:sz="12" w:space="0"/>
              <w:right w:val="single" w:color="auto" w:sz="4" w:space="0"/>
            </w:tcBorders>
            <w:vAlign w:val="center"/>
          </w:tcPr>
          <w:p>
            <w:pPr>
              <w:pStyle w:val="63"/>
            </w:pPr>
            <w:r>
              <w:t>空间布局约束</w:t>
            </w:r>
          </w:p>
        </w:tc>
        <w:tc>
          <w:tcPr>
            <w:tcW w:w="5386" w:type="dxa"/>
            <w:tcBorders>
              <w:top w:val="single" w:color="auto" w:sz="12" w:space="0"/>
              <w:left w:val="single" w:color="auto" w:sz="4" w:space="0"/>
            </w:tcBorders>
            <w:tcMar>
              <w:top w:w="28" w:type="dxa"/>
              <w:left w:w="28" w:type="dxa"/>
              <w:bottom w:w="28" w:type="dxa"/>
              <w:right w:w="28" w:type="dxa"/>
            </w:tcMar>
            <w:vAlign w:val="center"/>
          </w:tcPr>
          <w:p>
            <w:pPr>
              <w:pStyle w:val="63"/>
            </w:pPr>
            <w:r>
              <w:rPr>
                <w:rFonts w:hint="eastAsia"/>
              </w:rPr>
              <w:t>（1.1）三湾产业区：优化园区产业布局，在污染防治措施可靠可控，满足区域环境质量要求的前提下，支持污染小的钓具浮标系列的特色产业发展。园区后续不得再引进三类工业企业建设，现有化工企业必须搬迁至专门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p>
          <w:p>
            <w:pPr>
              <w:pStyle w:val="63"/>
            </w:pPr>
            <w:r>
              <w:rPr>
                <w:rFonts w:hint="eastAsia"/>
              </w:rPr>
              <w:t>（1.2）滨江产业区：严格按照国家、省级关于主体功能区划的环境保护及产业准入相关要求，严格限制与主体功能定位相冲突的产业扩张。沿江1公里范围内不再新建、扩建化工项目，园区已存在的化工产业的保留与退出须严格执行有关政策。园区调扩区范围内禁止新建学校、医院以及集中居住区等环境敏感目标。</w:t>
            </w:r>
          </w:p>
        </w:tc>
        <w:tc>
          <w:tcPr>
            <w:tcW w:w="5245" w:type="dxa"/>
            <w:tcBorders>
              <w:top w:val="single" w:color="auto" w:sz="12" w:space="0"/>
              <w:left w:val="single" w:color="auto" w:sz="4" w:space="0"/>
            </w:tcBorders>
            <w:vAlign w:val="center"/>
          </w:tcPr>
          <w:p>
            <w:pPr>
              <w:pStyle w:val="63"/>
            </w:pPr>
            <w:r>
              <w:rPr>
                <w:rFonts w:hint="eastAsia"/>
              </w:rPr>
              <w:t>（1.1）三湾产业区：优化高新区产业布局，在污染防治措施可靠可控，满足区域环境质量要求的前提下，支持污染小的钓具浮标系列的特色产业发展。后续不得再引进三类工业企业建设，陶瓷企业逐步退出。</w:t>
            </w:r>
          </w:p>
          <w:p>
            <w:pPr>
              <w:pStyle w:val="63"/>
              <w:rPr>
                <w:u w:val="single"/>
              </w:rPr>
            </w:pPr>
            <w:r>
              <w:rPr>
                <w:rFonts w:hint="eastAsia"/>
              </w:rPr>
              <w:t>（1.2）滨江片区：严格按照国家、省级关于主体功能区划的环境保护及产业准入相关要求，严格限制与主体功能定位相冲突的产业扩张。沿江1公里范围内不再新建、扩建化工项目，调扩区范围内禁止新建学校、医院以及集中居住区等环境敏感目标。</w:t>
            </w:r>
          </w:p>
        </w:tc>
        <w:tc>
          <w:tcPr>
            <w:tcW w:w="2491" w:type="dxa"/>
            <w:tcBorders>
              <w:top w:val="single" w:color="auto" w:sz="12" w:space="0"/>
              <w:left w:val="single" w:color="auto" w:sz="4" w:space="0"/>
            </w:tcBorders>
            <w:vAlign w:val="center"/>
          </w:tcPr>
          <w:p>
            <w:pPr>
              <w:pStyle w:val="63"/>
            </w:pPr>
            <w:r>
              <w:rPr>
                <w:rFonts w:hint="eastAsia"/>
              </w:rPr>
              <w:t>（1.1）现有化工企业已搬迁至专门的化工园区，现有企业环保手续已完善，删除相关要求</w:t>
            </w:r>
          </w:p>
          <w:p>
            <w:pPr>
              <w:pStyle w:val="63"/>
            </w:pPr>
            <w:r>
              <w:rPr>
                <w:rFonts w:hint="eastAsia"/>
              </w:rPr>
              <w:t>（1.2）沿江1公里范围内已存在的化工产业企业均已停产搬迁。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258" w:hRule="atLeast"/>
          <w:jc w:val="center"/>
        </w:trPr>
        <w:tc>
          <w:tcPr>
            <w:tcW w:w="866" w:type="dxa"/>
            <w:tcBorders>
              <w:top w:val="single" w:color="auto" w:sz="6" w:space="0"/>
              <w:left w:val="single" w:color="auto" w:sz="12" w:space="0"/>
              <w:bottom w:val="single" w:color="auto" w:sz="6" w:space="0"/>
            </w:tcBorders>
            <w:vAlign w:val="center"/>
          </w:tcPr>
          <w:p>
            <w:pPr>
              <w:pStyle w:val="63"/>
            </w:pPr>
            <w:r>
              <w:t>污染物排放管控</w:t>
            </w:r>
          </w:p>
        </w:tc>
        <w:tc>
          <w:tcPr>
            <w:tcW w:w="5386" w:type="dxa"/>
            <w:tcBorders>
              <w:top w:val="single" w:color="auto" w:sz="6" w:space="0"/>
            </w:tcBorders>
            <w:tcMar>
              <w:top w:w="28" w:type="dxa"/>
              <w:left w:w="28" w:type="dxa"/>
              <w:bottom w:w="28" w:type="dxa"/>
              <w:right w:w="28" w:type="dxa"/>
            </w:tcMar>
            <w:vAlign w:val="center"/>
          </w:tcPr>
          <w:p>
            <w:pPr>
              <w:pStyle w:val="63"/>
              <w:rPr>
                <w:kern w:val="24"/>
              </w:rPr>
            </w:pPr>
            <w:r>
              <w:rPr>
                <w:rFonts w:hint="eastAsia"/>
                <w:kern w:val="24"/>
              </w:rPr>
              <w:t>（2.1）废水：三湾产业区：园区废水经预处理后，全部经市政污水管网送临湘市污水净化中心处理排入长安河，雨水依地势就近排入长安河。滨江产业区：工业废水、生活污水在各自企业内经预处理达标后送至园区污水处理厂进行处理，排往长江；园区新扩区域做好污水管网设施建设，做到废水应收尽收并集中排入园区污水处理厂，管网建设未完成、生产废水未接管之前，相关区域新建涉废水排放的企业不得投产（含试生产）。</w:t>
            </w:r>
          </w:p>
          <w:p>
            <w:pPr>
              <w:pStyle w:val="63"/>
              <w:rPr>
                <w:kern w:val="24"/>
              </w:rPr>
            </w:pPr>
            <w:r>
              <w:rPr>
                <w:rFonts w:hint="eastAsia"/>
                <w:kern w:val="24"/>
              </w:rPr>
              <w:t>（2.2）废气：三湾产业区：全面提升大气环境监控水平，推进重点污染源自动监控体系建设，排气口高度超过45米的高架源，以及包装印刷、工业涂装、家具制造等VOCs排放重点源，纳入重点排污单位名录；滨江产业区：全面提升大气环境监控水平，推进重点污染源自动监控体系建设，排气口高度超过45米的高架源，以及化工等VOCs排放重点源，纳入重点排污单位名录。</w:t>
            </w:r>
          </w:p>
          <w:p>
            <w:pPr>
              <w:pStyle w:val="63"/>
              <w:rPr>
                <w:kern w:val="24"/>
              </w:rPr>
            </w:pPr>
            <w:r>
              <w:rPr>
                <w:rFonts w:hint="eastAsia"/>
                <w:kern w:val="24"/>
              </w:rPr>
              <w:t>（2.3）固废：进一步健全危险废物源头管控、规范化管理和处置等工作机制。做好工业固体废物和生活垃圾的分类收集、转运、综合利用和无害化处理，建立完善的固废管理体系。对各类工业企业产生固体废物特别是危险固废应严格按照国家有关规定综合利用或妥善处置，对危险废物产生企业和经营单位，强化日常环境监管。</w:t>
            </w:r>
          </w:p>
          <w:p>
            <w:pPr>
              <w:pStyle w:val="63"/>
            </w:pPr>
            <w:r>
              <w:rPr>
                <w:rFonts w:hint="eastAsia"/>
                <w:kern w:val="24"/>
              </w:rPr>
              <w:t>（2.4）园区内相关行业及锅炉废气污染物排放标准满足《关于执行污染物特别排放限值（第一批）的公告》中的要求。</w:t>
            </w:r>
          </w:p>
        </w:tc>
        <w:tc>
          <w:tcPr>
            <w:tcW w:w="5245" w:type="dxa"/>
            <w:tcBorders>
              <w:top w:val="single" w:color="auto" w:sz="6" w:space="0"/>
            </w:tcBorders>
            <w:vAlign w:val="center"/>
          </w:tcPr>
          <w:p>
            <w:pPr>
              <w:pStyle w:val="63"/>
              <w:rPr>
                <w:kern w:val="24"/>
              </w:rPr>
            </w:pPr>
            <w:r>
              <w:rPr>
                <w:rFonts w:hint="eastAsia"/>
              </w:rPr>
              <w:t>（2.1）废水：</w:t>
            </w:r>
            <w:r>
              <w:rPr>
                <w:rFonts w:hint="eastAsia"/>
                <w:kern w:val="24"/>
              </w:rPr>
              <w:t>三湾产业区：实行雨污分流制，高新区污水依托临湘市污水处理厂进行处理，达标后排至长安河。雨水依地势就近排入长安河。</w:t>
            </w:r>
            <w:r>
              <w:rPr>
                <w:rFonts w:hint="eastAsia"/>
              </w:rPr>
              <w:t>滨江产业区：实行雨污分流，污污分流，确保高新区各片区生产生活废水应收尽收，集中排入滨江产业区污水处理厂进行处理，达标后排至长江。滨江产业区雨水经管网收集后排至洋溪湖，杨桥片区雨水经管网收集后排至南干渠。</w:t>
            </w:r>
            <w:r>
              <w:rPr>
                <w:rFonts w:hint="eastAsia"/>
                <w:kern w:val="24"/>
              </w:rPr>
              <w:t>园区新扩区域做好污水管网设施建设，做到废水应收尽收并集中排入园区污水处理厂，管网建设未完成、生产废水未接管之前，相关区域新建涉废水排放的企业不得投产（含试生产）。化工企业原则上只设置一个雨水排口，并均需设置初期雨水收集池，受污染初期雨水应收集处理，不可直接将雨水排入污水排放管道以免对集中式污水厂造成冲击负荷。化工片区和企业雨水排放管理需符合所在水功能区水质要求。</w:t>
            </w:r>
          </w:p>
          <w:p>
            <w:pPr>
              <w:pStyle w:val="63"/>
              <w:rPr>
                <w:kern w:val="24"/>
              </w:rPr>
            </w:pPr>
            <w:r>
              <w:rPr>
                <w:rFonts w:hint="eastAsia"/>
                <w:kern w:val="24"/>
              </w:rPr>
              <w:t>（2.2）废气：加强重点行业NOX和VOCs的排放控制。强化重点行业 NOx深度治理。加快推进工业涂装、包装印刷等行业企业VOCs治理，确保达标排放。推进重点行业污染治理及升级改造。根据企业原辅材料使用、污染排放控制设施、无组织排放收集措施、处置装置运行效果等方面，建立涉VOCs企业绩效分级管理机制。全面提升废气收集率，治理设施同步运行率和去除率。对易挥发有机液体储罐实施改造，对浮顶罐推广采用全接液浮盘和高效双重密封技术，对废水系统高浓度废气实施单独收集处理。</w:t>
            </w:r>
          </w:p>
          <w:p>
            <w:pPr>
              <w:pStyle w:val="63"/>
            </w:pPr>
            <w:r>
              <w:rPr>
                <w:rFonts w:hint="eastAsia"/>
                <w:kern w:val="24"/>
              </w:rPr>
              <w:t>（2.3）固废：进一步健全危险废物源头管控、规范化管理和处置等工作机制。做好工业固体废物和生活垃圾的分类收集、转运、综合利用和无害化处理，建立完善的固废管理体系。</w:t>
            </w:r>
            <w:r>
              <w:rPr>
                <w:rFonts w:hint="eastAsia"/>
              </w:rPr>
              <w:t>对各类工业企业产生固体废物特别是危险固废应严格按照国家有关规定综合利用或妥善处置，对危险废物产生企业和经营单位，强化日常环境监管。</w:t>
            </w:r>
          </w:p>
          <w:p>
            <w:pPr>
              <w:pStyle w:val="63"/>
            </w:pPr>
            <w:r>
              <w:rPr>
                <w:rFonts w:hint="eastAsia"/>
                <w:kern w:val="24"/>
              </w:rPr>
              <w:t>（2.4）园区内</w:t>
            </w:r>
            <w:r>
              <w:rPr>
                <w:rFonts w:hint="eastAsia"/>
              </w:rPr>
              <w:t>相关污染物排放标准按照《湖南省生态环境厅关于执行污染物特别排放限值（第一批）的公告》、《湖南省生态环境厅关于执行污染物特别排放限值（第二批）的公告》要求执行。</w:t>
            </w:r>
          </w:p>
        </w:tc>
        <w:tc>
          <w:tcPr>
            <w:tcW w:w="2491" w:type="dxa"/>
            <w:tcBorders>
              <w:top w:val="single" w:color="auto" w:sz="6" w:space="0"/>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90" w:hRule="atLeast"/>
          <w:jc w:val="center"/>
        </w:trPr>
        <w:tc>
          <w:tcPr>
            <w:tcW w:w="866" w:type="dxa"/>
            <w:tcBorders>
              <w:top w:val="single" w:color="auto" w:sz="6" w:space="0"/>
              <w:left w:val="single" w:color="auto" w:sz="12" w:space="0"/>
              <w:bottom w:val="single" w:color="auto" w:sz="6" w:space="0"/>
            </w:tcBorders>
            <w:vAlign w:val="center"/>
          </w:tcPr>
          <w:p>
            <w:pPr>
              <w:pStyle w:val="63"/>
            </w:pPr>
            <w:r>
              <w:t>环境风险防控</w:t>
            </w:r>
          </w:p>
        </w:tc>
        <w:tc>
          <w:tcPr>
            <w:tcW w:w="5386" w:type="dxa"/>
            <w:tcBorders>
              <w:top w:val="single" w:color="auto" w:sz="6" w:space="0"/>
            </w:tcBorders>
            <w:tcMar>
              <w:top w:w="28" w:type="dxa"/>
              <w:left w:w="28" w:type="dxa"/>
              <w:bottom w:w="28" w:type="dxa"/>
              <w:right w:w="28" w:type="dxa"/>
            </w:tcMar>
            <w:vAlign w:val="center"/>
          </w:tcPr>
          <w:p>
            <w:pPr>
              <w:pStyle w:val="63"/>
            </w:pPr>
            <w:r>
              <w:rPr>
                <w:rFonts w:hint="eastAsia"/>
              </w:rPr>
              <w:t>（3.1）园区须建立健全环境风险防控体系，严格落实《临湘工业园区突发环境事件应急预案》的相关要求，严防环境风险事故发生，提高应急处置能力。</w:t>
            </w:r>
          </w:p>
          <w:p>
            <w:pPr>
              <w:pStyle w:val="63"/>
            </w:pPr>
            <w:r>
              <w:rPr>
                <w:rFonts w:hint="eastAsia"/>
              </w:rPr>
              <w:t>（3.2）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p>
            <w:pPr>
              <w:pStyle w:val="63"/>
            </w:pPr>
            <w:r>
              <w:rPr>
                <w:rFonts w:hint="eastAsia"/>
              </w:rPr>
              <w:t>（3.3）建设用地土壤风险防控：将建设用地土壤环境管理要求纳入城市规划和供地管理，土地开发利用必须符合土壤环境质量要求；各类涉及土地利用的规划和可能造成土壤污染的建设项目，依法进行环境影响评价。</w:t>
            </w:r>
          </w:p>
          <w:p>
            <w:pPr>
              <w:pStyle w:val="63"/>
            </w:pPr>
            <w:r>
              <w:rPr>
                <w:rFonts w:hint="eastAsia"/>
              </w:rPr>
              <w:t>（3.4）农用地土壤风险防控：对拟开发为农用地的，应组织开展土壤环境质量状况评估，不符合相应标准的，不得种植食用农产品。滨江产业区中污染地块不得作为住宅、公共管理与公共服务用地。对达到土壤污染风险评估报告确定的风险管控、修复目标的建设用地地块，可申请移出《名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p>
          <w:p>
            <w:pPr>
              <w:pStyle w:val="63"/>
            </w:pPr>
            <w:r>
              <w:rPr>
                <w:rFonts w:hint="eastAsia"/>
              </w:rPr>
              <w:t>（3.5）加强环境风险防控和应急管理。开展全市生态隐患和环境风险调查评估，从严实施环境风险防控措施；深化全市范围内化工、医药等重点企业环境风险评估，提升风险防控和突发环境事件应急处理处置能力。</w:t>
            </w:r>
          </w:p>
          <w:p>
            <w:pPr>
              <w:pStyle w:val="63"/>
            </w:pPr>
            <w:r>
              <w:rPr>
                <w:rFonts w:hint="eastAsia"/>
              </w:rPr>
              <w:t>（3.6）建立健全重污染天气预警和应急机制，提高政府有效应对空气重污染的能力，最大限度降低重污染天气造成的危害，保障环境安全和公众身体健康。</w:t>
            </w:r>
          </w:p>
          <w:p>
            <w:pPr>
              <w:pStyle w:val="63"/>
            </w:pPr>
            <w:r>
              <w:rPr>
                <w:rFonts w:hint="eastAsia"/>
              </w:rPr>
              <w:t>（3.7）园区应推进有毒有害气体预警预报体系建设，提高风险防控能力。</w:t>
            </w:r>
          </w:p>
        </w:tc>
        <w:tc>
          <w:tcPr>
            <w:tcW w:w="5245" w:type="dxa"/>
            <w:tcBorders>
              <w:top w:val="single" w:color="auto" w:sz="6" w:space="0"/>
            </w:tcBorders>
            <w:vAlign w:val="center"/>
          </w:tcPr>
          <w:p>
            <w:pPr>
              <w:pStyle w:val="63"/>
            </w:pPr>
            <w:r>
              <w:rPr>
                <w:rFonts w:hint="eastAsia"/>
              </w:rPr>
              <w:t>（3.1）高新区各区块须建立健全环境风险防控体系，严格落实临湘高新技术产业开发区最新的突发环境事件应急预案的相关要求，严防环境风险事故发生，提高应急处置能力。</w:t>
            </w:r>
          </w:p>
          <w:p>
            <w:pPr>
              <w:pStyle w:val="63"/>
            </w:pPr>
            <w:r>
              <w:rPr>
                <w:rFonts w:hint="eastAsia"/>
              </w:rPr>
              <w:t>（3.2）高新区各区块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63"/>
            </w:pPr>
            <w:r>
              <w:rPr>
                <w:rFonts w:hint="eastAsia"/>
              </w:rPr>
              <w:t>（3.3）建设用地土壤风险防控：有效管控建设用地土壤污染风险。开展重点行业企业用地调查和典型行业周边土壤环境调查，进一步摸清污染地块底数和污染成因。对纳入建设用地土壤污染风险管控和修复名录内的地块，移出名录前，不得核发建设工程规划许可证。对列入优先监管清单的地块，开展土壤污染调查和风险评估，按要求采取风险防控措施。</w:t>
            </w:r>
          </w:p>
        </w:tc>
        <w:tc>
          <w:tcPr>
            <w:tcW w:w="2491" w:type="dxa"/>
            <w:tcBorders>
              <w:top w:val="single" w:color="auto" w:sz="6" w:space="0"/>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866" w:type="dxa"/>
            <w:tcBorders>
              <w:top w:val="single" w:color="auto" w:sz="6" w:space="0"/>
              <w:left w:val="single" w:color="auto" w:sz="12" w:space="0"/>
              <w:bottom w:val="single" w:color="auto" w:sz="12" w:space="0"/>
            </w:tcBorders>
            <w:vAlign w:val="center"/>
          </w:tcPr>
          <w:p>
            <w:pPr>
              <w:pStyle w:val="63"/>
            </w:pPr>
            <w:r>
              <w:t>资源开发效率要求</w:t>
            </w:r>
          </w:p>
        </w:tc>
        <w:tc>
          <w:tcPr>
            <w:tcW w:w="5386" w:type="dxa"/>
            <w:tcBorders>
              <w:top w:val="single" w:color="auto" w:sz="6" w:space="0"/>
              <w:bottom w:val="single" w:color="auto" w:sz="12" w:space="0"/>
            </w:tcBorders>
            <w:tcMar>
              <w:top w:w="28" w:type="dxa"/>
              <w:left w:w="28" w:type="dxa"/>
              <w:bottom w:w="28" w:type="dxa"/>
              <w:right w:w="28" w:type="dxa"/>
            </w:tcMar>
            <w:vAlign w:val="center"/>
          </w:tcPr>
          <w:p>
            <w:pPr>
              <w:pStyle w:val="63"/>
            </w:pPr>
            <w:r>
              <w:rPr>
                <w:rFonts w:hint="eastAsia"/>
              </w:rPr>
              <w:t>（4.1）能源：加快推进清洁能源替代利用,实施能源消耗总量和强度双控行动，推进集中供热和工业余热利用；推行生物质成型燃料锅炉，鼓励发展生物天然气。园区2020年的区域综合能耗消费量预测当量值为608900吨标煤，2020年区域单位GDP能耗预测值为0.400吨标煤/万元，消耗增量当量值控制在18600吨标煤。2025年区域综合能耗消费量预测当量值为710200吨标煤，2025年区域单位GDP能耗预测值为0.326吨标煤/万元。区域十四五期间能耗消耗增量控制在101300吨标煤。</w:t>
            </w:r>
          </w:p>
          <w:p>
            <w:pPr>
              <w:pStyle w:val="63"/>
            </w:pPr>
            <w:r>
              <w:rPr>
                <w:rFonts w:hint="eastAsia"/>
              </w:rPr>
              <w:t>（4.2）水资源：强化工业节水，根据国家统一要求和部署，重点开展化工等行业节水技术改造，逐步淘汰高耗水的落后产能，积极推广工业水循环利用，推进节水型工业园区建设。临湘市2020年万元工业增加值用水量控制指标为31立方米/万元，万元国内生产总值用水量104立方米/万元。</w:t>
            </w:r>
          </w:p>
          <w:p>
            <w:pPr>
              <w:pStyle w:val="63"/>
            </w:pPr>
            <w:r>
              <w:rPr>
                <w:rFonts w:hint="eastAsia"/>
              </w:rPr>
              <w:t>（4.3）土地资源：以国家产业发展政策为导向，合理制定区域产业用地政策，优先保障主导产业发展用地，严禁向禁止类工业项目供地，严格控制限制类工业项目用地，重点支持发展与区域资源环境条件相适应的产业。园区化工新材料产业、浮标钓具及体育用品制造产业、电子信息产业、医药制造产业、建材业土地投资强度标准分别为220万元/亩、200万元/亩、280万元/亩、260万元/亩、170万元/亩。</w:t>
            </w:r>
          </w:p>
        </w:tc>
        <w:tc>
          <w:tcPr>
            <w:tcW w:w="5245" w:type="dxa"/>
            <w:tcBorders>
              <w:top w:val="single" w:color="auto" w:sz="6" w:space="0"/>
              <w:bottom w:val="single" w:color="auto" w:sz="12" w:space="0"/>
            </w:tcBorders>
            <w:vAlign w:val="center"/>
          </w:tcPr>
          <w:p>
            <w:pPr>
              <w:pStyle w:val="63"/>
            </w:pPr>
            <w:r>
              <w:rPr>
                <w:rFonts w:hint="eastAsia"/>
              </w:rPr>
              <w:t>（4.1.1）加快推进清洁能源替代利用，实施能源消耗总量和强度双控行动，推进集中供热和工业余热利用；推行生物质成型燃料锅炉，鼓励发展生物天然气，2025年区域年综合能耗消费量预测当量值为71.02万吨标煤。2025年区域单位GDP能耗预测值为0.326吨标煤/万元。区域“十四五”时期能源消耗增量控制在10.13万吨标煤。</w:t>
            </w:r>
          </w:p>
          <w:p>
            <w:pPr>
              <w:pStyle w:val="63"/>
            </w:pPr>
            <w:r>
              <w:rPr>
                <w:rFonts w:hint="eastAsia"/>
              </w:rPr>
              <w:t>（4.1.2）禁燃区范围内不得新建、改建、扩建燃煤锅炉及高污染燃料燃用设施。</w:t>
            </w:r>
          </w:p>
          <w:p>
            <w:pPr>
              <w:pStyle w:val="63"/>
            </w:pPr>
            <w:r>
              <w:rPr>
                <w:rFonts w:hint="eastAsia"/>
              </w:rPr>
              <w:t>强化生产用水管理，大力推广高效冷却、循环用水等节水工艺和技术，支持企业开展节水技术改造。</w:t>
            </w:r>
          </w:p>
          <w:p>
            <w:pPr>
              <w:pStyle w:val="63"/>
            </w:pPr>
            <w:r>
              <w:rPr>
                <w:rFonts w:hint="eastAsia"/>
              </w:rPr>
              <w:t>（4.2.2）积极推行水循环梯级利用，推动现有企业和高新区开展绿色高质量转型升级和循环化改造，促进企业间串联用水、分质用水，一水多用和循环利用。</w:t>
            </w:r>
          </w:p>
          <w:p>
            <w:pPr>
              <w:pStyle w:val="63"/>
            </w:pPr>
            <w:r>
              <w:rPr>
                <w:rFonts w:hint="eastAsia"/>
              </w:rPr>
              <w:t>（4.2.3）2025年，园区指标应符合相应行政区域的管控要求，临湘市用水总量3.23亿立方米，万元地区生产总值用水量比2020年下降27.07%，万元工业增加值用水量比2020年下降10.12%</w:t>
            </w:r>
          </w:p>
          <w:p>
            <w:pPr>
              <w:pStyle w:val="63"/>
            </w:pPr>
            <w:r>
              <w:rPr>
                <w:rFonts w:hint="eastAsia"/>
              </w:rPr>
              <w:t>（4.3）土地资源：在详细规划编制、用地预审与选址、用地报批、土地出让、规划许可、竣工验收等环节，全面推行工业项目建设用地引导指标和工业项目供地负面清单管理。省级园区工业用地固定资产投入强度达到320万元/亩，工业用地地均税收达到24万元/亩。</w:t>
            </w:r>
          </w:p>
        </w:tc>
        <w:tc>
          <w:tcPr>
            <w:tcW w:w="2491" w:type="dxa"/>
            <w:tcBorders>
              <w:top w:val="single" w:color="auto" w:sz="6" w:space="0"/>
              <w:bottom w:val="single" w:color="auto" w:sz="12" w:space="0"/>
            </w:tcBorders>
            <w:vAlign w:val="center"/>
          </w:tcPr>
          <w:p>
            <w:pPr>
              <w:pStyle w:val="63"/>
            </w:pPr>
          </w:p>
        </w:tc>
      </w:tr>
    </w:tbl>
    <w:p>
      <w:pPr>
        <w:widowControl/>
        <w:spacing w:line="418" w:lineRule="auto"/>
        <w:ind w:left="782" w:right="703" w:firstLine="480" w:firstLineChars="200"/>
        <w:rPr>
          <w:rFonts w:ascii="Times New Roman" w:hAnsi="Times New Roman" w:eastAsia="宋体" w:cs="Times New Roman"/>
          <w:kern w:val="0"/>
          <w:szCs w:val="20"/>
        </w:rPr>
        <w:sectPr>
          <w:pgSz w:w="16839" w:h="11907" w:orient="landscape"/>
          <w:pgMar w:top="1797" w:right="1440" w:bottom="1797" w:left="1440" w:header="851" w:footer="680" w:gutter="0"/>
          <w:cols w:space="425" w:num="1"/>
          <w:docGrid w:linePitch="326" w:charSpace="0"/>
        </w:sectPr>
      </w:pPr>
    </w:p>
    <w:p>
      <w:pPr>
        <w:spacing w:line="360" w:lineRule="auto"/>
        <w:ind w:firstLine="480" w:firstLineChars="200"/>
        <w:rPr>
          <w:rFonts w:ascii="Times New Roman" w:hAnsi="Times New Roman" w:cs="Times New Roman"/>
        </w:rPr>
      </w:pPr>
      <w:r>
        <w:rPr>
          <w:rFonts w:hint="eastAsia" w:ascii="Times New Roman" w:hAnsi="Times New Roman" w:cs="Times New Roman"/>
        </w:rPr>
        <w:t>根据规划，三湾产业园、</w:t>
      </w:r>
      <w:r>
        <w:rPr>
          <w:rFonts w:ascii="Times New Roman" w:hAnsi="Times New Roman" w:cs="Times New Roman"/>
        </w:rPr>
        <w:t>绿色建材产业园</w:t>
      </w:r>
      <w:r>
        <w:rPr>
          <w:rFonts w:hint="eastAsia" w:ascii="Times New Roman" w:hAnsi="Times New Roman" w:cs="Times New Roman"/>
        </w:rPr>
        <w:t>均为已开发完成，后续不在进一步开发，故本次环境准入行业清单主要针对滨江片区进行分析论述。</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（1）禁止类项目</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禁止类入园项目是指国家现行产业政策明令禁止或淘汰的产业及工业，以及排污量较大、污染物控制难度大，不符合园区水污染和大气污染总量控制原则的项目。对于这一类项目，园区管委会招商部门应严格把关、禁止引入，相关生态环境部门不予审批。</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（2）限制类项目</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限制类入园项目主要是指国家现行产业政策未禁止或未淘汰的，工业区产业链上不可或缺的污染型入区项目。对于这一类项目，审批过程中视具体情况有条件地引入，但要严格执行环境影响评价制度。同时根据区域环境容量，把好总量控制关，做到与周边环境相容。</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根据《湖南省“三线一单”生态环境总体管控要求暨省级以上产业园区生态环境准入清单》以及本次环评的成果、园区产业发展规划和</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环境保护综合名录</w:t>
      </w:r>
      <w:r>
        <w:rPr>
          <w:rFonts w:hint="eastAsia" w:ascii="Times New Roman" w:hAnsi="Times New Roman" w:eastAsia="宋体" w:cs="Times New Roman"/>
          <w:kern w:val="0"/>
          <w:szCs w:val="20"/>
        </w:rPr>
        <w:t>（2021年版）》、</w:t>
      </w:r>
      <w:r>
        <w:rPr>
          <w:rFonts w:hint="eastAsia" w:ascii="Times New Roman" w:hAnsi="Times New Roman" w:eastAsia="宋体" w:cs="Times New Roman"/>
          <w:szCs w:val="24"/>
        </w:rPr>
        <w:t>《湖南省两高行业目录》</w:t>
      </w:r>
      <w:r>
        <w:rPr>
          <w:rFonts w:hint="eastAsia" w:ascii="Times New Roman" w:hAnsi="Times New Roman" w:eastAsia="宋体" w:cs="Times New Roman"/>
          <w:kern w:val="0"/>
          <w:szCs w:val="20"/>
        </w:rPr>
        <w:t>以及国家有关“两高”行业相关政策</w:t>
      </w:r>
      <w:r>
        <w:rPr>
          <w:rFonts w:ascii="Times New Roman" w:hAnsi="Times New Roman" w:eastAsia="宋体" w:cs="Times New Roman"/>
          <w:kern w:val="0"/>
          <w:szCs w:val="20"/>
        </w:rPr>
        <w:t>制定园区</w:t>
      </w:r>
      <w:r>
        <w:rPr>
          <w:rFonts w:hint="eastAsia" w:ascii="Times New Roman" w:hAnsi="Times New Roman" w:eastAsia="宋体" w:cs="Times New Roman"/>
          <w:kern w:val="0"/>
          <w:szCs w:val="20"/>
        </w:rPr>
        <w:t>环境准入行业，</w:t>
      </w:r>
      <w:r>
        <w:rPr>
          <w:rFonts w:ascii="Times New Roman" w:hAnsi="Times New Roman" w:eastAsia="宋体" w:cs="Times New Roman"/>
          <w:kern w:val="0"/>
          <w:szCs w:val="20"/>
        </w:rPr>
        <w:t>本次环评从行业列出禁止类和限制类分别列出清单，环境准入行业清单见下表。</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t>园区引入项目总体要求：</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hint="eastAsia" w:ascii="宋体" w:hAnsi="宋体" w:eastAsia="宋体" w:cs="宋体"/>
          <w:kern w:val="0"/>
          <w:szCs w:val="20"/>
        </w:rPr>
        <w:t>①</w:t>
      </w:r>
      <w:r>
        <w:rPr>
          <w:rFonts w:ascii="Times New Roman" w:hAnsi="Times New Roman" w:eastAsia="宋体" w:cs="Times New Roman"/>
          <w:kern w:val="0"/>
          <w:szCs w:val="20"/>
        </w:rPr>
        <w:t>严格执行《长江保护法》、《长江经济带发展负面清单指南（试行）》</w:t>
      </w:r>
      <w:r>
        <w:rPr>
          <w:rFonts w:hint="eastAsia" w:ascii="Times New Roman" w:hAnsi="Times New Roman" w:eastAsia="宋体" w:cs="Times New Roman"/>
          <w:kern w:val="0"/>
          <w:szCs w:val="20"/>
        </w:rPr>
        <w:t>、</w:t>
      </w:r>
      <w:r>
        <w:rPr>
          <w:rFonts w:ascii="Times New Roman" w:hAnsi="Times New Roman" w:eastAsia="宋体" w:cs="Times New Roman"/>
          <w:szCs w:val="24"/>
        </w:rPr>
        <w:t>《湖南省长江经济带发展负面清单实施细则（试行）》</w:t>
      </w:r>
      <w:r>
        <w:rPr>
          <w:rFonts w:hint="eastAsia" w:ascii="Times New Roman" w:hAnsi="Times New Roman" w:eastAsia="宋体" w:cs="Times New Roman"/>
          <w:szCs w:val="24"/>
        </w:rPr>
        <w:t>、《禁止用地目录》</w:t>
      </w:r>
      <w:r>
        <w:rPr>
          <w:rFonts w:ascii="Times New Roman" w:hAnsi="Times New Roman" w:eastAsia="宋体" w:cs="Times New Roman"/>
          <w:kern w:val="0"/>
          <w:szCs w:val="20"/>
        </w:rPr>
        <w:t>等法律法规、政策文件相关禁止性规定。</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hint="eastAsia" w:ascii="宋体" w:hAnsi="宋体" w:eastAsia="宋体" w:cs="宋体"/>
          <w:kern w:val="0"/>
          <w:szCs w:val="20"/>
        </w:rPr>
        <w:t>②</w:t>
      </w:r>
      <w:r>
        <w:rPr>
          <w:rFonts w:ascii="Times New Roman" w:hAnsi="Times New Roman" w:eastAsia="宋体" w:cs="Times New Roman"/>
          <w:kern w:val="0"/>
          <w:szCs w:val="20"/>
        </w:rPr>
        <w:t>符合国家、省、市产业政策要求，禁止引入</w:t>
      </w:r>
      <w:r>
        <w:rPr>
          <w:rFonts w:hint="eastAsia" w:ascii="Times New Roman" w:hAnsi="Times New Roman" w:eastAsia="宋体" w:cs="Times New Roman"/>
          <w:kern w:val="0"/>
          <w:szCs w:val="20"/>
        </w:rPr>
        <w:t>《淘汰落后生产能力、工艺和产品的目录》、</w:t>
      </w:r>
      <w:r>
        <w:rPr>
          <w:rFonts w:hint="eastAsia" w:ascii="Times New Roman" w:hAnsi="Times New Roman" w:eastAsia="宋体" w:cs="Times New Roman"/>
          <w:szCs w:val="24"/>
        </w:rPr>
        <w:t>《限期淘汰产生严重污染环境的工业固体废物的落后生产工艺设备名录》、</w:t>
      </w:r>
      <w:r>
        <w:rPr>
          <w:rFonts w:ascii="Times New Roman" w:hAnsi="Times New Roman" w:eastAsia="宋体" w:cs="Times New Roman"/>
          <w:kern w:val="0"/>
          <w:szCs w:val="20"/>
        </w:rPr>
        <w:t>《产业结构调整指导目录》（以最新版为准）中禁止类和限制类项目</w:t>
      </w:r>
      <w:r>
        <w:rPr>
          <w:rFonts w:hint="eastAsia" w:ascii="Times New Roman" w:hAnsi="Times New Roman" w:eastAsia="宋体" w:cs="Times New Roman"/>
          <w:kern w:val="0"/>
          <w:szCs w:val="20"/>
        </w:rPr>
        <w:t>，禁止新建尿素、磷铵、电石、烧碱、聚氯乙烯、纯碱、黄磷等过剩行业新增产能项目及不符合国家、省市碳达峰、碳中和相关规定的项目</w:t>
      </w:r>
      <w:r>
        <w:rPr>
          <w:rFonts w:ascii="Times New Roman" w:hAnsi="Times New Roman" w:eastAsia="宋体" w:cs="Times New Roman"/>
          <w:kern w:val="0"/>
          <w:szCs w:val="20"/>
        </w:rPr>
        <w:t>。</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hint="eastAsia" w:ascii="宋体" w:hAnsi="宋体" w:eastAsia="宋体" w:cs="宋体"/>
          <w:kern w:val="0"/>
          <w:szCs w:val="20"/>
        </w:rPr>
        <w:t>③</w:t>
      </w:r>
      <w:r>
        <w:rPr>
          <w:rFonts w:ascii="Times New Roman" w:hAnsi="Times New Roman" w:eastAsia="宋体" w:cs="Times New Roman"/>
          <w:kern w:val="0"/>
          <w:szCs w:val="20"/>
        </w:rPr>
        <w:t>禁止引入</w:t>
      </w:r>
      <w:r>
        <w:rPr>
          <w:rFonts w:hint="eastAsia" w:ascii="Times New Roman" w:hAnsi="Times New Roman" w:eastAsia="宋体" w:cs="Times New Roman"/>
          <w:kern w:val="0"/>
          <w:szCs w:val="20"/>
        </w:rPr>
        <w:t>《重点管控新污染物清单(2023年版)》中项目、</w:t>
      </w:r>
      <w:r>
        <w:rPr>
          <w:rFonts w:ascii="Times New Roman" w:hAnsi="Times New Roman" w:eastAsia="宋体" w:cs="Times New Roman"/>
          <w:kern w:val="0"/>
          <w:szCs w:val="20"/>
        </w:rPr>
        <w:t>《关于进一步加强重金属污染防控的意见》（环固体〔2022〕17号）中涉重金属重点行业项目。</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hint="eastAsia" w:ascii="宋体" w:hAnsi="宋体" w:eastAsia="宋体" w:cs="宋体"/>
          <w:kern w:val="0"/>
          <w:szCs w:val="20"/>
        </w:rPr>
        <w:t>④</w:t>
      </w:r>
      <w:r>
        <w:rPr>
          <w:rFonts w:ascii="Times New Roman" w:hAnsi="Times New Roman" w:eastAsia="宋体" w:cs="Times New Roman"/>
          <w:kern w:val="0"/>
          <w:szCs w:val="20"/>
        </w:rPr>
        <w:t>严格控制高耗能、高排放项目，入园项目应遵循清洁生产原则，新建、扩建“两高”项目应采用先进的工艺技术和设备，单位产品物耗、能耗、水耗等达到清洁生产先进水平。</w:t>
      </w:r>
    </w:p>
    <w:p>
      <w:pPr>
        <w:widowControl/>
        <w:adjustRightInd w:val="0"/>
        <w:snapToGrid w:val="0"/>
        <w:spacing w:line="360" w:lineRule="auto"/>
        <w:ind w:firstLine="480" w:firstLineChars="200"/>
        <w:rPr>
          <w:rFonts w:ascii="Times New Roman" w:hAnsi="Times New Roman" w:eastAsia="宋体" w:cs="Times New Roman"/>
          <w:kern w:val="0"/>
          <w:szCs w:val="20"/>
        </w:rPr>
      </w:pPr>
      <w:r>
        <w:rPr>
          <w:rFonts w:ascii="Times New Roman" w:hAnsi="Times New Roman" w:eastAsia="宋体" w:cs="Times New Roman"/>
          <w:kern w:val="0"/>
          <w:szCs w:val="20"/>
        </w:rPr>
        <w:fldChar w:fldCharType="begin"/>
      </w:r>
      <w:r>
        <w:rPr>
          <w:rFonts w:ascii="Times New Roman" w:hAnsi="Times New Roman" w:eastAsia="宋体" w:cs="Times New Roman"/>
          <w:kern w:val="0"/>
          <w:szCs w:val="20"/>
        </w:rPr>
        <w:instrText xml:space="preserve"> = 5 \* GB3 </w:instrText>
      </w:r>
      <w:r>
        <w:rPr>
          <w:rFonts w:ascii="Times New Roman" w:hAnsi="Times New Roman" w:eastAsia="宋体" w:cs="Times New Roman"/>
          <w:kern w:val="0"/>
          <w:szCs w:val="20"/>
        </w:rPr>
        <w:fldChar w:fldCharType="separate"/>
      </w:r>
      <w:r>
        <w:rPr>
          <w:rFonts w:hint="eastAsia" w:ascii="宋体" w:hAnsi="宋体" w:eastAsia="宋体" w:cs="宋体"/>
          <w:kern w:val="0"/>
          <w:szCs w:val="20"/>
        </w:rPr>
        <w:t>⑤</w:t>
      </w:r>
      <w:r>
        <w:rPr>
          <w:rFonts w:ascii="Times New Roman" w:hAnsi="Times New Roman" w:eastAsia="宋体" w:cs="Times New Roman"/>
          <w:kern w:val="0"/>
          <w:szCs w:val="20"/>
        </w:rPr>
        <w:fldChar w:fldCharType="end"/>
      </w:r>
      <w:r>
        <w:rPr>
          <w:rFonts w:ascii="Times New Roman" w:hAnsi="Times New Roman" w:eastAsia="宋体" w:cs="Times New Roman"/>
          <w:kern w:val="0"/>
          <w:szCs w:val="20"/>
        </w:rPr>
        <w:t>不符合国家安全、环保、能耗、质量方面强制性标准，不符合国际环境公约等要求的工艺、技术、产品、装备。</w:t>
      </w:r>
    </w:p>
    <w:p>
      <w:pPr>
        <w:keepLines/>
        <w:spacing w:line="360" w:lineRule="auto"/>
        <w:jc w:val="center"/>
        <w:outlineLvl w:val="6"/>
        <w:rPr>
          <w:rFonts w:ascii="Times New Roman" w:hAnsi="Times New Roman" w:eastAsia="宋体" w:cs="Times New Roman"/>
          <w:b/>
          <w:bCs/>
          <w:szCs w:val="24"/>
        </w:rPr>
        <w:sectPr>
          <w:pgSz w:w="11907" w:h="16839"/>
          <w:pgMar w:top="1440" w:right="1797" w:bottom="1440" w:left="1797" w:header="851" w:footer="992" w:gutter="0"/>
          <w:cols w:space="425" w:num="1"/>
          <w:docGrid w:linePitch="326" w:charSpace="0"/>
        </w:sectPr>
      </w:pPr>
    </w:p>
    <w:p>
      <w:pPr>
        <w:pStyle w:val="6"/>
      </w:pPr>
      <w:r>
        <w:t xml:space="preserve">表10.2-2   </w:t>
      </w:r>
      <w:r>
        <w:rPr>
          <w:rFonts w:hint="eastAsia"/>
        </w:rPr>
        <w:t>临湘</w:t>
      </w:r>
      <w:r>
        <w:t>高新区环境准入行业清单</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126"/>
        <w:gridCol w:w="1420"/>
        <w:gridCol w:w="7561"/>
        <w:gridCol w:w="2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Align w:val="center"/>
          </w:tcPr>
          <w:p>
            <w:pPr>
              <w:pStyle w:val="63"/>
            </w:pPr>
            <w:r>
              <w:rPr>
                <w:rFonts w:hint="eastAsia"/>
              </w:rPr>
              <w:t>片区</w:t>
            </w:r>
          </w:p>
        </w:tc>
        <w:tc>
          <w:tcPr>
            <w:tcW w:w="750" w:type="pct"/>
            <w:vAlign w:val="center"/>
          </w:tcPr>
          <w:p>
            <w:pPr>
              <w:pStyle w:val="63"/>
            </w:pPr>
            <w:r>
              <w:rPr>
                <w:rFonts w:hint="eastAsia"/>
              </w:rPr>
              <w:t>主导及配套产业</w:t>
            </w:r>
          </w:p>
        </w:tc>
        <w:tc>
          <w:tcPr>
            <w:tcW w:w="501" w:type="pct"/>
            <w:vAlign w:val="center"/>
          </w:tcPr>
          <w:p>
            <w:pPr>
              <w:pStyle w:val="63"/>
            </w:pPr>
            <w:r>
              <w:rPr>
                <w:rFonts w:hint="eastAsia"/>
              </w:rPr>
              <w:t>环境准入</w:t>
            </w:r>
          </w:p>
        </w:tc>
        <w:tc>
          <w:tcPr>
            <w:tcW w:w="2667" w:type="pct"/>
            <w:vAlign w:val="center"/>
          </w:tcPr>
          <w:p>
            <w:pPr>
              <w:pStyle w:val="63"/>
            </w:pPr>
            <w:r>
              <w:rPr>
                <w:rFonts w:hint="eastAsia"/>
              </w:rPr>
              <w:t>负面清单</w:t>
            </w:r>
          </w:p>
        </w:tc>
        <w:tc>
          <w:tcPr>
            <w:tcW w:w="794" w:type="pct"/>
            <w:vAlign w:val="center"/>
          </w:tcPr>
          <w:p>
            <w:pPr>
              <w:pStyle w:val="63"/>
            </w:pPr>
            <w:r>
              <w:t>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restart"/>
            <w:vAlign w:val="center"/>
          </w:tcPr>
          <w:p>
            <w:pPr>
              <w:pStyle w:val="63"/>
            </w:pPr>
            <w:r>
              <w:rPr>
                <w:rFonts w:hint="eastAsia"/>
              </w:rPr>
              <w:t>滨江片区中非工贸产业园</w:t>
            </w:r>
          </w:p>
        </w:tc>
        <w:tc>
          <w:tcPr>
            <w:tcW w:w="750" w:type="pct"/>
            <w:vMerge w:val="restart"/>
            <w:vAlign w:val="center"/>
          </w:tcPr>
          <w:p>
            <w:pPr>
              <w:pStyle w:val="63"/>
            </w:pPr>
            <w:r>
              <w:rPr>
                <w:rFonts w:hint="eastAsia"/>
              </w:rPr>
              <w:t>保税仓储物流中心、林木产品加工基地、食用油生产加工基地、牛羊肉（海鲜）加工基地、中非现货易货交易交割中心</w:t>
            </w:r>
          </w:p>
        </w:tc>
        <w:tc>
          <w:tcPr>
            <w:tcW w:w="501" w:type="pct"/>
            <w:vAlign w:val="center"/>
          </w:tcPr>
          <w:p>
            <w:pPr>
              <w:pStyle w:val="63"/>
            </w:pPr>
            <w:r>
              <w:rPr>
                <w:rFonts w:hint="eastAsia"/>
              </w:rPr>
              <w:t>正面清单</w:t>
            </w:r>
          </w:p>
        </w:tc>
        <w:tc>
          <w:tcPr>
            <w:tcW w:w="2667" w:type="pct"/>
            <w:shd w:val="clear" w:color="auto" w:fill="auto"/>
            <w:vAlign w:val="center"/>
          </w:tcPr>
          <w:p>
            <w:pPr>
              <w:pStyle w:val="63"/>
              <w:rPr>
                <w:szCs w:val="21"/>
              </w:rPr>
            </w:pPr>
            <w:r>
              <w:rPr>
                <w:rFonts w:hint="eastAsia"/>
                <w:szCs w:val="21"/>
              </w:rPr>
              <w:t>C13农副食品加工业、C14食品制造业、C20木材加工和木、竹、藤、棕、草制品业、F51批发业</w:t>
            </w:r>
          </w:p>
        </w:tc>
        <w:tc>
          <w:tcPr>
            <w:tcW w:w="794" w:type="pct"/>
            <w:vMerge w:val="restart"/>
            <w:shd w:val="clear" w:color="auto" w:fill="auto"/>
            <w:vAlign w:val="center"/>
          </w:tcPr>
          <w:p>
            <w:pPr>
              <w:pStyle w:val="63"/>
            </w:pPr>
            <w:r>
              <w:rPr>
                <w:rFonts w:hint="eastAsia"/>
              </w:rPr>
              <w:t>《长江保护法》、《长江经济带发展负面清单》、《湖南省长江经济带发展负面清单实施细则（试行）》相关禁止性规定，国家明文禁止的“十五小”和“新五小”项目中的化工项目。严禁引入国家明令淘汰的落后生产能力和不符合国家产业政策的项目以及最新版《产业结构调整指导目录》中限制类和淘汰类项目，以及国家和省市相关规定禁止和限制发展的两高项目、不符合国家、省市碳达峰、碳中和相关规定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vAlign w:val="center"/>
          </w:tcPr>
          <w:p>
            <w:pPr>
              <w:pStyle w:val="63"/>
            </w:pPr>
          </w:p>
        </w:tc>
        <w:tc>
          <w:tcPr>
            <w:tcW w:w="750" w:type="pct"/>
            <w:vMerge w:val="continue"/>
            <w:vAlign w:val="center"/>
          </w:tcPr>
          <w:p>
            <w:pPr>
              <w:pStyle w:val="63"/>
            </w:pPr>
          </w:p>
        </w:tc>
        <w:tc>
          <w:tcPr>
            <w:tcW w:w="501" w:type="pct"/>
            <w:vAlign w:val="center"/>
          </w:tcPr>
          <w:p>
            <w:pPr>
              <w:pStyle w:val="63"/>
            </w:pPr>
            <w:r>
              <w:rPr>
                <w:rFonts w:hint="eastAsia"/>
              </w:rPr>
              <w:t>限制类</w:t>
            </w:r>
          </w:p>
        </w:tc>
        <w:tc>
          <w:tcPr>
            <w:tcW w:w="2667" w:type="pct"/>
            <w:shd w:val="clear" w:color="auto" w:fill="auto"/>
            <w:vAlign w:val="center"/>
          </w:tcPr>
          <w:p>
            <w:pPr>
              <w:pStyle w:val="63"/>
              <w:rPr>
                <w:szCs w:val="21"/>
              </w:rPr>
            </w:pPr>
            <w:r>
              <w:rPr>
                <w:rFonts w:hint="eastAsia"/>
                <w:szCs w:val="21"/>
              </w:rPr>
              <w:t>C145罐头食品制造</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vAlign w:val="center"/>
          </w:tcPr>
          <w:p>
            <w:pPr>
              <w:pStyle w:val="63"/>
            </w:pPr>
          </w:p>
        </w:tc>
        <w:tc>
          <w:tcPr>
            <w:tcW w:w="750" w:type="pct"/>
            <w:vMerge w:val="continue"/>
            <w:vAlign w:val="center"/>
          </w:tcPr>
          <w:p>
            <w:pPr>
              <w:pStyle w:val="63"/>
            </w:pPr>
          </w:p>
        </w:tc>
        <w:tc>
          <w:tcPr>
            <w:tcW w:w="501" w:type="pct"/>
            <w:vAlign w:val="center"/>
          </w:tcPr>
          <w:p>
            <w:pPr>
              <w:pStyle w:val="63"/>
            </w:pPr>
            <w:r>
              <w:t>禁止类</w:t>
            </w:r>
          </w:p>
        </w:tc>
        <w:tc>
          <w:tcPr>
            <w:tcW w:w="2667" w:type="pct"/>
            <w:shd w:val="clear" w:color="auto" w:fill="auto"/>
            <w:vAlign w:val="center"/>
          </w:tcPr>
          <w:p>
            <w:pPr>
              <w:pStyle w:val="63"/>
              <w:rPr>
                <w:szCs w:val="21"/>
              </w:rPr>
            </w:pPr>
            <w:r>
              <w:rPr>
                <w:rFonts w:hint="eastAsia"/>
                <w:szCs w:val="21"/>
              </w:rPr>
              <w:t>C</w:t>
            </w:r>
            <w:r>
              <w:rPr>
                <w:szCs w:val="21"/>
              </w:rPr>
              <w:t>134</w:t>
            </w:r>
            <w:r>
              <w:rPr>
                <w:rFonts w:hint="eastAsia"/>
                <w:szCs w:val="21"/>
              </w:rPr>
              <w:t>制糖业、C</w:t>
            </w:r>
            <w:r>
              <w:rPr>
                <w:szCs w:val="21"/>
              </w:rPr>
              <w:t>135</w:t>
            </w:r>
            <w:r>
              <w:rPr>
                <w:rFonts w:hint="eastAsia"/>
                <w:szCs w:val="21"/>
              </w:rPr>
              <w:t>1牲畜屠宰、C1352禽类屠宰、C</w:t>
            </w:r>
            <w:r>
              <w:rPr>
                <w:szCs w:val="21"/>
              </w:rPr>
              <w:t>146</w:t>
            </w:r>
            <w:r>
              <w:rPr>
                <w:rFonts w:hint="eastAsia"/>
                <w:szCs w:val="21"/>
              </w:rPr>
              <w:t>调味品、发酵制品制造</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restart"/>
            <w:vAlign w:val="center"/>
          </w:tcPr>
          <w:p>
            <w:pPr>
              <w:pStyle w:val="63"/>
            </w:pPr>
            <w:r>
              <w:rPr>
                <w:rFonts w:hint="eastAsia"/>
              </w:rPr>
              <w:t>滨江片区加工制造产业园</w:t>
            </w:r>
          </w:p>
        </w:tc>
        <w:tc>
          <w:tcPr>
            <w:tcW w:w="750" w:type="pct"/>
            <w:vMerge w:val="restart"/>
            <w:vAlign w:val="center"/>
          </w:tcPr>
          <w:p>
            <w:pPr>
              <w:pStyle w:val="63"/>
            </w:pPr>
            <w:r>
              <w:rPr>
                <w:rFonts w:hint="eastAsia"/>
              </w:rPr>
              <w:t>以生活配套用地及已建成电子信息化厂房为主</w:t>
            </w:r>
          </w:p>
        </w:tc>
        <w:tc>
          <w:tcPr>
            <w:tcW w:w="501" w:type="pct"/>
            <w:vAlign w:val="center"/>
          </w:tcPr>
          <w:p>
            <w:pPr>
              <w:pStyle w:val="63"/>
            </w:pPr>
            <w:r>
              <w:rPr>
                <w:rFonts w:hint="eastAsia"/>
              </w:rPr>
              <w:t>正面清单</w:t>
            </w:r>
          </w:p>
        </w:tc>
        <w:tc>
          <w:tcPr>
            <w:tcW w:w="2667" w:type="pct"/>
            <w:shd w:val="clear" w:color="auto" w:fill="auto"/>
            <w:vAlign w:val="center"/>
          </w:tcPr>
          <w:p>
            <w:pPr>
              <w:pStyle w:val="63"/>
              <w:rPr>
                <w:szCs w:val="21"/>
              </w:rPr>
            </w:pPr>
            <w:r>
              <w:rPr>
                <w:rFonts w:hint="eastAsia"/>
                <w:szCs w:val="21"/>
              </w:rPr>
              <w:t>C</w:t>
            </w:r>
            <w:r>
              <w:rPr>
                <w:szCs w:val="21"/>
              </w:rPr>
              <w:t>39</w:t>
            </w:r>
            <w:r>
              <w:rPr>
                <w:rFonts w:hint="eastAsia"/>
                <w:szCs w:val="21"/>
              </w:rPr>
              <w:t>计算机、通信和其他电子设备制造业（仅组装类）</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vAlign w:val="center"/>
          </w:tcPr>
          <w:p>
            <w:pPr>
              <w:pStyle w:val="63"/>
            </w:pPr>
          </w:p>
        </w:tc>
        <w:tc>
          <w:tcPr>
            <w:tcW w:w="750" w:type="pct"/>
            <w:vMerge w:val="continue"/>
            <w:vAlign w:val="center"/>
          </w:tcPr>
          <w:p>
            <w:pPr>
              <w:pStyle w:val="63"/>
            </w:pPr>
          </w:p>
        </w:tc>
        <w:tc>
          <w:tcPr>
            <w:tcW w:w="501" w:type="pct"/>
            <w:vAlign w:val="center"/>
          </w:tcPr>
          <w:p>
            <w:pPr>
              <w:pStyle w:val="63"/>
            </w:pPr>
            <w:r>
              <w:rPr>
                <w:rFonts w:hint="eastAsia"/>
              </w:rPr>
              <w:t>限制类</w:t>
            </w:r>
          </w:p>
        </w:tc>
        <w:tc>
          <w:tcPr>
            <w:tcW w:w="2667" w:type="pct"/>
            <w:shd w:val="clear" w:color="auto" w:fill="auto"/>
            <w:vAlign w:val="center"/>
          </w:tcPr>
          <w:p>
            <w:pPr>
              <w:pStyle w:val="63"/>
              <w:rPr>
                <w:szCs w:val="21"/>
              </w:rPr>
            </w:pPr>
            <w:r>
              <w:rPr>
                <w:rFonts w:hint="eastAsia"/>
                <w:szCs w:val="21"/>
              </w:rPr>
              <w:t>/</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vAlign w:val="center"/>
          </w:tcPr>
          <w:p>
            <w:pPr>
              <w:pStyle w:val="63"/>
            </w:pPr>
          </w:p>
        </w:tc>
        <w:tc>
          <w:tcPr>
            <w:tcW w:w="750" w:type="pct"/>
            <w:vMerge w:val="continue"/>
            <w:vAlign w:val="center"/>
          </w:tcPr>
          <w:p>
            <w:pPr>
              <w:pStyle w:val="63"/>
            </w:pPr>
          </w:p>
        </w:tc>
        <w:tc>
          <w:tcPr>
            <w:tcW w:w="501" w:type="pct"/>
            <w:vAlign w:val="center"/>
          </w:tcPr>
          <w:p>
            <w:pPr>
              <w:pStyle w:val="63"/>
            </w:pPr>
            <w:r>
              <w:t>禁止类</w:t>
            </w:r>
          </w:p>
        </w:tc>
        <w:tc>
          <w:tcPr>
            <w:tcW w:w="2667" w:type="pct"/>
            <w:shd w:val="clear" w:color="auto" w:fill="auto"/>
            <w:vAlign w:val="center"/>
          </w:tcPr>
          <w:p>
            <w:pPr>
              <w:pStyle w:val="63"/>
              <w:rPr>
                <w:szCs w:val="21"/>
              </w:rPr>
            </w:pPr>
            <w:r>
              <w:rPr>
                <w:rFonts w:hint="eastAsia"/>
                <w:szCs w:val="21"/>
              </w:rPr>
              <w:t>/</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restart"/>
            <w:vAlign w:val="center"/>
          </w:tcPr>
          <w:p>
            <w:pPr>
              <w:pStyle w:val="63"/>
            </w:pPr>
            <w:r>
              <w:rPr>
                <w:rFonts w:hint="eastAsia"/>
              </w:rPr>
              <w:t>滨江片区绿色化工产业园</w:t>
            </w:r>
          </w:p>
        </w:tc>
        <w:tc>
          <w:tcPr>
            <w:tcW w:w="750" w:type="pct"/>
            <w:vMerge w:val="restart"/>
            <w:vAlign w:val="center"/>
          </w:tcPr>
          <w:p>
            <w:pPr>
              <w:pStyle w:val="63"/>
            </w:pPr>
            <w:r>
              <w:rPr>
                <w:rFonts w:hint="eastAsia"/>
              </w:rPr>
              <w:t>绿色精细化工、先进化工新材料、生物医药</w:t>
            </w:r>
          </w:p>
        </w:tc>
        <w:tc>
          <w:tcPr>
            <w:tcW w:w="501" w:type="pct"/>
            <w:vAlign w:val="center"/>
          </w:tcPr>
          <w:p>
            <w:pPr>
              <w:pStyle w:val="63"/>
              <w:rPr>
                <w:szCs w:val="21"/>
              </w:rPr>
            </w:pPr>
            <w:r>
              <w:rPr>
                <w:rFonts w:hint="eastAsia"/>
              </w:rPr>
              <w:t>正面清单</w:t>
            </w:r>
          </w:p>
        </w:tc>
        <w:tc>
          <w:tcPr>
            <w:tcW w:w="2667" w:type="pct"/>
            <w:shd w:val="clear" w:color="auto" w:fill="auto"/>
            <w:vAlign w:val="center"/>
          </w:tcPr>
          <w:p>
            <w:pPr>
              <w:pStyle w:val="63"/>
              <w:rPr>
                <w:rFonts w:ascii="宋体" w:hAnsi="宋体"/>
                <w:kern w:val="0"/>
                <w:szCs w:val="21"/>
              </w:rPr>
            </w:pPr>
            <w:r>
              <w:rPr>
                <w:rFonts w:hint="eastAsia"/>
                <w:szCs w:val="21"/>
              </w:rPr>
              <w:t>C26化学原料和化学制品制造业、C27医药制造、C28化学纤维制造业、C29橡胶和塑料制品业</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trPr>
        <w:tc>
          <w:tcPr>
            <w:tcW w:w="288" w:type="pct"/>
            <w:vMerge w:val="continue"/>
            <w:vAlign w:val="center"/>
          </w:tcPr>
          <w:p>
            <w:pPr>
              <w:pStyle w:val="63"/>
            </w:pPr>
          </w:p>
        </w:tc>
        <w:tc>
          <w:tcPr>
            <w:tcW w:w="750" w:type="pct"/>
            <w:vMerge w:val="continue"/>
            <w:vAlign w:val="center"/>
          </w:tcPr>
          <w:p>
            <w:pPr>
              <w:pStyle w:val="63"/>
            </w:pPr>
          </w:p>
        </w:tc>
        <w:tc>
          <w:tcPr>
            <w:tcW w:w="501" w:type="pct"/>
            <w:vAlign w:val="center"/>
          </w:tcPr>
          <w:p>
            <w:pPr>
              <w:pStyle w:val="63"/>
              <w:rPr>
                <w:rFonts w:ascii="Calibri" w:hAnsi="Calibri" w:cs="Calibri"/>
                <w:color w:val="000000"/>
                <w:kern w:val="0"/>
                <w:szCs w:val="21"/>
              </w:rPr>
            </w:pPr>
            <w:r>
              <w:rPr>
                <w:rFonts w:hint="eastAsia"/>
              </w:rPr>
              <w:t>限制类</w:t>
            </w:r>
          </w:p>
        </w:tc>
        <w:tc>
          <w:tcPr>
            <w:tcW w:w="2667" w:type="pct"/>
            <w:shd w:val="clear" w:color="auto" w:fill="auto"/>
            <w:vAlign w:val="center"/>
          </w:tcPr>
          <w:p>
            <w:pPr>
              <w:pStyle w:val="63"/>
              <w:rPr>
                <w:bCs/>
                <w:color w:val="000000"/>
                <w:kern w:val="0"/>
                <w:szCs w:val="21"/>
              </w:rPr>
            </w:pPr>
            <w:r>
              <w:rPr>
                <w:rFonts w:hint="eastAsia"/>
                <w:bCs/>
                <w:color w:val="000000"/>
                <w:kern w:val="0"/>
                <w:szCs w:val="21"/>
              </w:rPr>
              <w:t>/</w:t>
            </w:r>
          </w:p>
        </w:tc>
        <w:tc>
          <w:tcPr>
            <w:tcW w:w="794" w:type="pct"/>
            <w:vMerge w:val="continue"/>
            <w:shd w:val="clear" w:color="auto" w:fill="auto"/>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vAlign w:val="center"/>
          </w:tcPr>
          <w:p>
            <w:pPr>
              <w:pStyle w:val="63"/>
            </w:pPr>
          </w:p>
        </w:tc>
        <w:tc>
          <w:tcPr>
            <w:tcW w:w="750" w:type="pct"/>
            <w:vMerge w:val="continue"/>
            <w:vAlign w:val="center"/>
          </w:tcPr>
          <w:p>
            <w:pPr>
              <w:pStyle w:val="63"/>
            </w:pPr>
          </w:p>
        </w:tc>
        <w:tc>
          <w:tcPr>
            <w:tcW w:w="501" w:type="pct"/>
            <w:vAlign w:val="center"/>
          </w:tcPr>
          <w:p>
            <w:pPr>
              <w:pStyle w:val="63"/>
              <w:rPr>
                <w:rFonts w:ascii="Calibri" w:hAnsi="Calibri" w:cs="Calibri"/>
                <w:bCs/>
                <w:color w:val="000000"/>
                <w:kern w:val="0"/>
                <w:szCs w:val="21"/>
              </w:rPr>
            </w:pPr>
            <w:r>
              <w:t>禁止类</w:t>
            </w:r>
          </w:p>
        </w:tc>
        <w:tc>
          <w:tcPr>
            <w:tcW w:w="2667" w:type="pct"/>
            <w:shd w:val="clear" w:color="auto" w:fill="auto"/>
            <w:vAlign w:val="center"/>
          </w:tcPr>
          <w:p>
            <w:pPr>
              <w:pStyle w:val="63"/>
              <w:rPr>
                <w:rFonts w:ascii="宋体" w:hAnsi="宋体"/>
                <w:kern w:val="0"/>
                <w:szCs w:val="21"/>
              </w:rPr>
            </w:pPr>
            <w:r>
              <w:rPr>
                <w:rFonts w:hint="eastAsia" w:ascii="Calibri" w:hAnsi="Calibri" w:cs="Calibri"/>
                <w:bCs/>
                <w:color w:val="000000"/>
                <w:kern w:val="0"/>
                <w:szCs w:val="21"/>
              </w:rPr>
              <w:t>C262肥料制造（指新建以石油、天然气为原料的氮肥项目）、C263农药制造中涉及重金属及高能耗、高污染的予以禁止、C2645染料制造、C267炸药、火工及焰火产品制造</w:t>
            </w:r>
          </w:p>
        </w:tc>
        <w:tc>
          <w:tcPr>
            <w:tcW w:w="794" w:type="pct"/>
            <w:vMerge w:val="continue"/>
            <w:shd w:val="clear" w:color="auto" w:fill="auto"/>
            <w:vAlign w:val="center"/>
          </w:tcPr>
          <w:p>
            <w:pPr>
              <w:pStyle w:val="63"/>
            </w:pPr>
          </w:p>
        </w:tc>
      </w:tr>
    </w:tbl>
    <w:p>
      <w:pPr>
        <w:widowControl/>
        <w:tabs>
          <w:tab w:val="left" w:pos="3557"/>
        </w:tabs>
        <w:spacing w:line="360" w:lineRule="auto"/>
        <w:ind w:firstLine="480" w:firstLineChars="200"/>
        <w:rPr>
          <w:rFonts w:ascii="Times New Roman" w:hAnsi="Times New Roman" w:eastAsia="宋体" w:cs="Times New Roman"/>
          <w:kern w:val="0"/>
          <w:szCs w:val="20"/>
        </w:rPr>
        <w:sectPr>
          <w:pgSz w:w="16839" w:h="11907" w:orient="landscape"/>
          <w:pgMar w:top="1797" w:right="1440" w:bottom="1797" w:left="1440" w:header="851" w:footer="992" w:gutter="0"/>
          <w:cols w:space="425" w:num="1"/>
          <w:docGrid w:linePitch="326" w:charSpace="0"/>
        </w:sectPr>
      </w:pPr>
    </w:p>
    <w:p>
      <w:pPr>
        <w:pStyle w:val="2"/>
        <w:spacing w:before="120" w:after="120"/>
      </w:pPr>
      <w:bookmarkStart w:id="839" w:name="_Toc146092080"/>
      <w:bookmarkStart w:id="840" w:name="_Toc131493571"/>
      <w:bookmarkStart w:id="841" w:name="_Toc131493826"/>
      <w:r>
        <w:t>第11章 公众参与</w:t>
      </w:r>
      <w:bookmarkEnd w:id="839"/>
      <w:bookmarkEnd w:id="840"/>
      <w:bookmarkEnd w:id="841"/>
    </w:p>
    <w:p>
      <w:pPr>
        <w:pStyle w:val="3"/>
      </w:pPr>
      <w:bookmarkStart w:id="842" w:name="_Toc131493827"/>
      <w:bookmarkStart w:id="843" w:name="_Toc113460892"/>
      <w:bookmarkStart w:id="844" w:name="_Toc146092081"/>
      <w:bookmarkStart w:id="845" w:name="_Toc131493572"/>
      <w:r>
        <w:t>11.1公众参与的目的和作用</w:t>
      </w:r>
      <w:bookmarkEnd w:id="842"/>
      <w:bookmarkEnd w:id="843"/>
      <w:bookmarkEnd w:id="844"/>
      <w:bookmarkEnd w:id="845"/>
    </w:p>
    <w:p>
      <w:pPr>
        <w:widowControl/>
        <w:spacing w:line="360" w:lineRule="auto"/>
        <w:ind w:firstLine="480" w:firstLineChars="200"/>
        <w:rPr>
          <w:rFonts w:ascii="Times New Roman" w:hAnsi="Times New Roman" w:eastAsia="宋体" w:cs="Times New Roman"/>
        </w:rPr>
      </w:pPr>
      <w:r>
        <w:rPr>
          <w:rFonts w:ascii="Times New Roman" w:hAnsi="Times New Roman" w:eastAsia="宋体" w:cs="Times New Roman"/>
        </w:rPr>
        <w:t>国务院第682号令《建设项目环境保护管理条例》第十四条规定：建设单位编制环境影响报告书，应当依照有关法律规定，征求建设项目所在地有关单位和居民的意见；《环境影响评价法》中也提出了公众参与的具体要求；《环境影响评价公众参与办法》（生态环境部令第4号）（2019年1月1日实施）中要求，依法应当编制环境影响报告书的建设项目的环境影响评价公众参与。在项目中引入公众参与，可以让公众更了解项目，了解公众对项目建设的意见、看法和要求，从而使项目的规划更趋完善，达到可持续发展的目的。</w:t>
      </w:r>
    </w:p>
    <w:p>
      <w:pPr>
        <w:widowControl/>
        <w:spacing w:line="360" w:lineRule="auto"/>
        <w:ind w:firstLine="480" w:firstLineChars="200"/>
        <w:rPr>
          <w:rFonts w:ascii="Times New Roman" w:hAnsi="Times New Roman" w:eastAsia="宋体" w:cs="Times New Roman"/>
        </w:rPr>
      </w:pPr>
      <w:r>
        <w:rPr>
          <w:rFonts w:ascii="Times New Roman" w:hAnsi="Times New Roman" w:eastAsia="宋体" w:cs="Times New Roman"/>
        </w:rPr>
        <w:t>为了能够真实反映项目所在地附近的公众对“</w:t>
      </w:r>
      <w:r>
        <w:rPr>
          <w:rFonts w:hint="eastAsia" w:ascii="Times New Roman" w:hAnsi="Times New Roman" w:eastAsia="宋体" w:cs="Times New Roman"/>
        </w:rPr>
        <w:t>临湘高新技术产业开发区调区扩区</w:t>
      </w:r>
      <w:r>
        <w:rPr>
          <w:rFonts w:ascii="Times New Roman" w:hAnsi="Times New Roman" w:eastAsia="宋体" w:cs="Times New Roman"/>
        </w:rPr>
        <w:t>规划环境影响评价工作”项目（以下简称：本项目）的了解、认识和要求，让更多的公众参与关心项目的建设，广泛听取公众在各方面提出的良好建议和宝贵意见。规划实施单位在环境影响评价过程中根据《环境影响评价公众参与办法》（生态环境部令2018年第4号）的有关要求开展了公众参与工作，并对公众参与工作的真实性、客观性做出了承诺。</w:t>
      </w:r>
    </w:p>
    <w:p>
      <w:pPr>
        <w:pStyle w:val="3"/>
      </w:pPr>
      <w:bookmarkStart w:id="846" w:name="_Toc131493828"/>
      <w:bookmarkStart w:id="847" w:name="_Toc131493573"/>
      <w:bookmarkStart w:id="848" w:name="_Toc113460893"/>
      <w:bookmarkStart w:id="849" w:name="_Toc146092082"/>
      <w:r>
        <w:t>11.2第一次环境影响评价信息公开情况</w:t>
      </w:r>
      <w:bookmarkEnd w:id="846"/>
      <w:bookmarkEnd w:id="847"/>
      <w:bookmarkEnd w:id="848"/>
      <w:bookmarkEnd w:id="849"/>
    </w:p>
    <w:p>
      <w:pPr>
        <w:pStyle w:val="4"/>
      </w:pPr>
      <w:bookmarkStart w:id="850" w:name="_Toc131493829"/>
      <w:bookmarkStart w:id="851" w:name="_Toc24634"/>
      <w:bookmarkStart w:id="852" w:name="_Toc146092083"/>
      <w:bookmarkStart w:id="853" w:name="_Toc131493574"/>
      <w:bookmarkStart w:id="854" w:name="_Toc113460894"/>
      <w:r>
        <w:t>11.2.1 公开内容及日期</w:t>
      </w:r>
      <w:bookmarkEnd w:id="850"/>
      <w:bookmarkEnd w:id="851"/>
      <w:bookmarkEnd w:id="852"/>
      <w:bookmarkEnd w:id="853"/>
      <w:bookmarkEnd w:id="854"/>
    </w:p>
    <w:p>
      <w:pPr>
        <w:widowControl/>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szCs w:val="24"/>
        </w:rPr>
        <w:t>202</w:t>
      </w:r>
      <w:r>
        <w:rPr>
          <w:rFonts w:hint="eastAsia" w:ascii="Times New Roman" w:hAnsi="Times New Roman" w:eastAsia="宋体" w:cs="Times New Roman"/>
          <w:szCs w:val="24"/>
        </w:rPr>
        <w:t>3</w:t>
      </w:r>
      <w:r>
        <w:rPr>
          <w:rFonts w:ascii="Times New Roman" w:hAnsi="Times New Roman" w:eastAsia="宋体" w:cs="Times New Roman"/>
          <w:szCs w:val="24"/>
        </w:rPr>
        <w:t>年8月2</w:t>
      </w:r>
      <w:r>
        <w:rPr>
          <w:rFonts w:hint="eastAsia" w:ascii="Times New Roman" w:hAnsi="Times New Roman" w:eastAsia="宋体" w:cs="Times New Roman"/>
          <w:szCs w:val="24"/>
        </w:rPr>
        <w:t>1</w:t>
      </w:r>
      <w:r>
        <w:rPr>
          <w:rFonts w:ascii="Times New Roman" w:hAnsi="Times New Roman" w:eastAsia="宋体" w:cs="Times New Roman"/>
          <w:szCs w:val="24"/>
        </w:rPr>
        <w:t>日，</w:t>
      </w:r>
      <w:r>
        <w:rPr>
          <w:rFonts w:hint="eastAsia" w:ascii="Times New Roman" w:hAnsi="Times New Roman" w:eastAsia="宋体" w:cs="Times New Roman"/>
          <w:szCs w:val="24"/>
        </w:rPr>
        <w:t>临湘市高新技术产业开发区管委会</w:t>
      </w:r>
      <w:r>
        <w:rPr>
          <w:rFonts w:ascii="Times New Roman" w:hAnsi="Times New Roman" w:eastAsia="宋体" w:cs="Times New Roman"/>
          <w:szCs w:val="24"/>
        </w:rPr>
        <w:t>进行本项目第一次环境影响评价信息公示，内容包括：规划名称及概要、规划实施单位与联系方式、</w:t>
      </w:r>
      <w:r>
        <w:rPr>
          <w:rFonts w:ascii="Times New Roman" w:hAnsi="Times New Roman" w:eastAsia="宋体" w:cs="Times New Roman"/>
        </w:rPr>
        <w:t>承担</w:t>
      </w:r>
      <w:r>
        <w:rPr>
          <w:rFonts w:ascii="Times New Roman" w:hAnsi="Times New Roman" w:eastAsia="宋体" w:cs="Times New Roman"/>
          <w:szCs w:val="24"/>
        </w:rPr>
        <w:t>环境影响评价工作的机构名称、征求公众意见的主要事项、公众提出意见的主要方式等。</w:t>
      </w:r>
    </w:p>
    <w:p>
      <w:pPr>
        <w:spacing w:line="360" w:lineRule="auto"/>
        <w:ind w:firstLine="480"/>
        <w:rPr>
          <w:rFonts w:ascii="Times New Roman" w:hAnsi="Times New Roman" w:eastAsia="宋体" w:cs="Times New Roman"/>
          <w:szCs w:val="24"/>
        </w:rPr>
      </w:pPr>
      <w:r>
        <w:rPr>
          <w:rFonts w:ascii="Times New Roman" w:hAnsi="Times New Roman" w:eastAsia="宋体" w:cs="Times New Roman"/>
          <w:szCs w:val="24"/>
        </w:rPr>
        <w:t>根据《环境影响评价公众参与办法》（生态环境部令 第4号）中第九条，“建设单位应当在确定环境影响报告书编制单位后7个工作日内，通过其网站、建设项目所在地公共媒体网站或者建设项目所在地相关政府网站（以下统称网络平台），公开信息”。本项目于202</w:t>
      </w:r>
      <w:r>
        <w:rPr>
          <w:rFonts w:hint="eastAsia" w:ascii="Times New Roman" w:hAnsi="Times New Roman" w:eastAsia="宋体" w:cs="Times New Roman"/>
          <w:szCs w:val="24"/>
        </w:rPr>
        <w:t>3</w:t>
      </w:r>
      <w:r>
        <w:rPr>
          <w:rFonts w:ascii="Times New Roman" w:hAnsi="Times New Roman" w:eastAsia="宋体" w:cs="Times New Roman"/>
          <w:szCs w:val="24"/>
        </w:rPr>
        <w:t>年正式启动，因此本项目环境影响评价首次公示内容及日期上符合《环境影响评价公众参与办法》要求。</w:t>
      </w:r>
    </w:p>
    <w:p>
      <w:pPr>
        <w:pStyle w:val="4"/>
      </w:pPr>
      <w:bookmarkStart w:id="855" w:name="_Toc131493830"/>
      <w:bookmarkStart w:id="856" w:name="_Toc131493575"/>
      <w:bookmarkStart w:id="857" w:name="_Toc6361"/>
      <w:bookmarkStart w:id="858" w:name="_Toc113460895"/>
      <w:bookmarkStart w:id="859" w:name="_Toc146092084"/>
      <w:r>
        <w:t>11.2.2 公开方式</w:t>
      </w:r>
      <w:bookmarkEnd w:id="855"/>
      <w:bookmarkEnd w:id="856"/>
      <w:bookmarkEnd w:id="857"/>
      <w:bookmarkEnd w:id="858"/>
      <w:bookmarkEnd w:id="859"/>
    </w:p>
    <w:p>
      <w:pPr>
        <w:spacing w:line="360" w:lineRule="auto"/>
        <w:ind w:firstLine="480"/>
        <w:rPr>
          <w:rFonts w:ascii="Times New Roman" w:hAnsi="Times New Roman" w:eastAsia="宋体" w:cs="Times New Roman"/>
          <w:szCs w:val="24"/>
        </w:rPr>
      </w:pPr>
      <w:r>
        <w:rPr>
          <w:rFonts w:ascii="Times New Roman" w:hAnsi="Times New Roman" w:eastAsia="宋体" w:cs="Times New Roman"/>
          <w:szCs w:val="24"/>
        </w:rPr>
        <w:t>第一次环境影响评价信息采用网络公示，公示网站为</w:t>
      </w:r>
      <w:r>
        <w:rPr>
          <w:rFonts w:hint="eastAsia" w:ascii="Times New Roman" w:hAnsi="Times New Roman" w:eastAsia="宋体" w:cs="Times New Roman"/>
          <w:szCs w:val="24"/>
        </w:rPr>
        <w:t>临湘</w:t>
      </w:r>
      <w:r>
        <w:rPr>
          <w:rFonts w:ascii="Times New Roman" w:hAnsi="Times New Roman" w:eastAsia="宋体" w:cs="Times New Roman"/>
          <w:szCs w:val="24"/>
        </w:rPr>
        <w:t>市人民政府，本项目首次环境影响评价信息公示选取的网络平台符合要求。规划实施单位于202</w:t>
      </w:r>
      <w:r>
        <w:rPr>
          <w:rFonts w:hint="eastAsia" w:ascii="Times New Roman" w:hAnsi="Times New Roman" w:eastAsia="宋体" w:cs="Times New Roman"/>
          <w:szCs w:val="24"/>
        </w:rPr>
        <w:t>3</w:t>
      </w:r>
      <w:r>
        <w:rPr>
          <w:rFonts w:ascii="Times New Roman" w:hAnsi="Times New Roman" w:eastAsia="宋体" w:cs="Times New Roman"/>
          <w:szCs w:val="24"/>
        </w:rPr>
        <w:t>年8月2</w:t>
      </w:r>
      <w:r>
        <w:rPr>
          <w:rFonts w:hint="eastAsia" w:ascii="Times New Roman" w:hAnsi="Times New Roman" w:eastAsia="宋体" w:cs="Times New Roman"/>
          <w:szCs w:val="24"/>
        </w:rPr>
        <w:t>1</w:t>
      </w:r>
      <w:r>
        <w:rPr>
          <w:rFonts w:ascii="Times New Roman" w:hAnsi="Times New Roman" w:eastAsia="宋体" w:cs="Times New Roman"/>
          <w:szCs w:val="24"/>
        </w:rPr>
        <w:t>日，在http://www.linxiang.gov.cn/24733/24760/24821/25003/27052/default.htm，开展项目第一次网络信息公示，网上公示截图见下图。</w:t>
      </w:r>
    </w:p>
    <w:p>
      <w:pPr>
        <w:jc w:val="center"/>
        <w:rPr>
          <w:rFonts w:ascii="Times New Roman" w:hAnsi="Times New Roman" w:eastAsia="宋体" w:cs="Times New Roman"/>
          <w:sz w:val="21"/>
        </w:rPr>
      </w:pPr>
      <w:r>
        <w:drawing>
          <wp:inline distT="0" distB="0" distL="0" distR="0">
            <wp:extent cx="4561840" cy="22098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62"/>
                    <a:stretch>
                      <a:fillRect/>
                    </a:stretch>
                  </pic:blipFill>
                  <pic:spPr>
                    <a:xfrm>
                      <a:off x="0" y="0"/>
                      <a:ext cx="4572314" cy="2214714"/>
                    </a:xfrm>
                    <a:prstGeom prst="rect">
                      <a:avLst/>
                    </a:prstGeom>
                  </pic:spPr>
                </pic:pic>
              </a:graphicData>
            </a:graphic>
          </wp:inline>
        </w:drawing>
      </w:r>
    </w:p>
    <w:p>
      <w:pPr>
        <w:jc w:val="center"/>
        <w:rPr>
          <w:rFonts w:ascii="Times New Roman" w:hAnsi="Times New Roman" w:eastAsia="宋体" w:cs="Times New Roman"/>
          <w:sz w:val="21"/>
        </w:rPr>
      </w:pPr>
      <w:r>
        <w:drawing>
          <wp:inline distT="0" distB="0" distL="0" distR="0">
            <wp:extent cx="4643120" cy="5001895"/>
            <wp:effectExtent l="0" t="0" r="5080" b="825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63"/>
                    <a:srcRect l="2016"/>
                    <a:stretch>
                      <a:fillRect/>
                    </a:stretch>
                  </pic:blipFill>
                  <pic:spPr>
                    <a:xfrm>
                      <a:off x="0" y="0"/>
                      <a:ext cx="4648948" cy="5007631"/>
                    </a:xfrm>
                    <a:prstGeom prst="rect">
                      <a:avLst/>
                    </a:prstGeom>
                    <a:ln>
                      <a:noFill/>
                    </a:ln>
                  </pic:spPr>
                </pic:pic>
              </a:graphicData>
            </a:graphic>
          </wp:inline>
        </w:drawing>
      </w:r>
    </w:p>
    <w:p>
      <w:pPr>
        <w:pStyle w:val="6"/>
      </w:pPr>
      <w:r>
        <w:t>图11.2-1   第一次网上公示截图</w:t>
      </w:r>
    </w:p>
    <w:p>
      <w:pPr>
        <w:pStyle w:val="4"/>
      </w:pPr>
      <w:bookmarkStart w:id="860" w:name="_Toc131493576"/>
      <w:bookmarkStart w:id="861" w:name="_Toc146092085"/>
      <w:bookmarkStart w:id="862" w:name="_Toc131493831"/>
      <w:bookmarkStart w:id="863" w:name="_Toc5575"/>
      <w:bookmarkStart w:id="864" w:name="_Toc113460896"/>
      <w:r>
        <w:t>11.2.3 公众意见情况</w:t>
      </w:r>
      <w:bookmarkEnd w:id="860"/>
      <w:bookmarkEnd w:id="861"/>
      <w:bookmarkEnd w:id="862"/>
      <w:bookmarkEnd w:id="863"/>
      <w:bookmarkEnd w:id="864"/>
    </w:p>
    <w:p>
      <w:pPr>
        <w:spacing w:line="360" w:lineRule="auto"/>
        <w:ind w:firstLine="480"/>
        <w:rPr>
          <w:rFonts w:ascii="Times New Roman" w:hAnsi="Times New Roman" w:cs="Times New Roman"/>
        </w:rPr>
      </w:pPr>
      <w:r>
        <w:rPr>
          <w:rFonts w:ascii="Times New Roman" w:hAnsi="Times New Roman" w:eastAsia="宋体" w:cs="Times New Roman"/>
          <w:szCs w:val="24"/>
        </w:rPr>
        <w:t>第一次环境影响评价信息公开期间，未收到公众反馈项目环境保护方面的意见和建议。</w:t>
      </w:r>
    </w:p>
    <w:sectPr>
      <w:pgSz w:w="11906" w:h="16838"/>
      <w:pgMar w:top="1440" w:right="1797" w:bottom="1440" w:left="1797" w:header="851" w:footer="992" w:gutter="0"/>
      <w:paperSrc w:first="7" w:other="7"/>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3479632"/>
    </w:sdtPr>
    <w:sdtContent>
      <w:p>
        <w:pPr>
          <w:pStyle w:val="24"/>
          <w:ind w:firstLine="360"/>
          <w:jc w:val="center"/>
        </w:pPr>
        <w:r>
          <w:fldChar w:fldCharType="begin"/>
        </w:r>
        <w:r>
          <w:instrText xml:space="preserve">PAGE   \* MERGEFORMAT</w:instrText>
        </w:r>
        <w:r>
          <w:fldChar w:fldCharType="separate"/>
        </w:r>
        <w:r>
          <w:rPr>
            <w:lang w:val="zh-CN"/>
          </w:rPr>
          <w:t>27</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402</w:t>
    </w:r>
    <w:r>
      <w:rPr>
        <w:rFonts w:ascii="Times New Roman" w:hAnsi="Times New Roman" w:cs="Times New Roman"/>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77"/>
  <w:drawingGridVerticalSpacing w:val="166"/>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iOTA0YjNkMmYzOGRkNDhiOWY5OTUyODkwN2E2ZTUifQ=="/>
  </w:docVars>
  <w:rsids>
    <w:rsidRoot w:val="001B28D7"/>
    <w:rsid w:val="00000E48"/>
    <w:rsid w:val="000015EA"/>
    <w:rsid w:val="00003A2F"/>
    <w:rsid w:val="0000430B"/>
    <w:rsid w:val="000062C4"/>
    <w:rsid w:val="000069DB"/>
    <w:rsid w:val="00010ECF"/>
    <w:rsid w:val="00011272"/>
    <w:rsid w:val="00016832"/>
    <w:rsid w:val="00021C44"/>
    <w:rsid w:val="00023710"/>
    <w:rsid w:val="0002420B"/>
    <w:rsid w:val="00031661"/>
    <w:rsid w:val="000346E8"/>
    <w:rsid w:val="00036B16"/>
    <w:rsid w:val="0004032D"/>
    <w:rsid w:val="0004045E"/>
    <w:rsid w:val="00042AC6"/>
    <w:rsid w:val="00045F5A"/>
    <w:rsid w:val="00046347"/>
    <w:rsid w:val="00047E3B"/>
    <w:rsid w:val="00050254"/>
    <w:rsid w:val="0005338E"/>
    <w:rsid w:val="00055F18"/>
    <w:rsid w:val="00057A9C"/>
    <w:rsid w:val="0006211D"/>
    <w:rsid w:val="000635A2"/>
    <w:rsid w:val="000746BA"/>
    <w:rsid w:val="00076AAC"/>
    <w:rsid w:val="00077862"/>
    <w:rsid w:val="00081845"/>
    <w:rsid w:val="0008213A"/>
    <w:rsid w:val="00083F31"/>
    <w:rsid w:val="00083F9C"/>
    <w:rsid w:val="00090CCE"/>
    <w:rsid w:val="00091761"/>
    <w:rsid w:val="00091F65"/>
    <w:rsid w:val="000949EA"/>
    <w:rsid w:val="000955EC"/>
    <w:rsid w:val="000A0342"/>
    <w:rsid w:val="000A30CB"/>
    <w:rsid w:val="000A341D"/>
    <w:rsid w:val="000A5D03"/>
    <w:rsid w:val="000A649F"/>
    <w:rsid w:val="000B0073"/>
    <w:rsid w:val="000B3420"/>
    <w:rsid w:val="000B3646"/>
    <w:rsid w:val="000B4B86"/>
    <w:rsid w:val="000B54B8"/>
    <w:rsid w:val="000B58EF"/>
    <w:rsid w:val="000B6378"/>
    <w:rsid w:val="000B6A5B"/>
    <w:rsid w:val="000B707F"/>
    <w:rsid w:val="000B7BA6"/>
    <w:rsid w:val="000C07BC"/>
    <w:rsid w:val="000C5344"/>
    <w:rsid w:val="000C6037"/>
    <w:rsid w:val="000C63B4"/>
    <w:rsid w:val="000C651C"/>
    <w:rsid w:val="000D191E"/>
    <w:rsid w:val="000D20B1"/>
    <w:rsid w:val="000D291A"/>
    <w:rsid w:val="000D3381"/>
    <w:rsid w:val="000D33D4"/>
    <w:rsid w:val="000D3C85"/>
    <w:rsid w:val="000D3FD6"/>
    <w:rsid w:val="000D4638"/>
    <w:rsid w:val="000D5692"/>
    <w:rsid w:val="000D64A7"/>
    <w:rsid w:val="000D6A90"/>
    <w:rsid w:val="000D7A1D"/>
    <w:rsid w:val="000E0DC4"/>
    <w:rsid w:val="000E2481"/>
    <w:rsid w:val="000E4A0B"/>
    <w:rsid w:val="000E5232"/>
    <w:rsid w:val="000E57D5"/>
    <w:rsid w:val="000E6702"/>
    <w:rsid w:val="000E694B"/>
    <w:rsid w:val="000E6BE9"/>
    <w:rsid w:val="000F001F"/>
    <w:rsid w:val="000F3D2B"/>
    <w:rsid w:val="000F4076"/>
    <w:rsid w:val="000F68A7"/>
    <w:rsid w:val="000F69D3"/>
    <w:rsid w:val="00102318"/>
    <w:rsid w:val="00102E34"/>
    <w:rsid w:val="00103BC2"/>
    <w:rsid w:val="0011353F"/>
    <w:rsid w:val="001155E0"/>
    <w:rsid w:val="001162BD"/>
    <w:rsid w:val="00117D9A"/>
    <w:rsid w:val="001207CF"/>
    <w:rsid w:val="00120F79"/>
    <w:rsid w:val="001216EE"/>
    <w:rsid w:val="00122F69"/>
    <w:rsid w:val="001257E4"/>
    <w:rsid w:val="00125874"/>
    <w:rsid w:val="00125D0D"/>
    <w:rsid w:val="00125FF9"/>
    <w:rsid w:val="001265E7"/>
    <w:rsid w:val="001328BF"/>
    <w:rsid w:val="001337A8"/>
    <w:rsid w:val="00140821"/>
    <w:rsid w:val="0014602F"/>
    <w:rsid w:val="00151DD9"/>
    <w:rsid w:val="00152CD2"/>
    <w:rsid w:val="00153D06"/>
    <w:rsid w:val="001540FD"/>
    <w:rsid w:val="0015584D"/>
    <w:rsid w:val="00156986"/>
    <w:rsid w:val="00160559"/>
    <w:rsid w:val="00160CD0"/>
    <w:rsid w:val="001632EF"/>
    <w:rsid w:val="00163606"/>
    <w:rsid w:val="00163B83"/>
    <w:rsid w:val="0016438E"/>
    <w:rsid w:val="00167663"/>
    <w:rsid w:val="00172797"/>
    <w:rsid w:val="00172CEE"/>
    <w:rsid w:val="00173675"/>
    <w:rsid w:val="00174118"/>
    <w:rsid w:val="00175CF0"/>
    <w:rsid w:val="0017626E"/>
    <w:rsid w:val="00176F60"/>
    <w:rsid w:val="001773CC"/>
    <w:rsid w:val="001776BA"/>
    <w:rsid w:val="00181558"/>
    <w:rsid w:val="00181C7C"/>
    <w:rsid w:val="00181D9B"/>
    <w:rsid w:val="0018216C"/>
    <w:rsid w:val="00183B71"/>
    <w:rsid w:val="001844A4"/>
    <w:rsid w:val="00186B90"/>
    <w:rsid w:val="00187446"/>
    <w:rsid w:val="00187FE0"/>
    <w:rsid w:val="001902DB"/>
    <w:rsid w:val="00192738"/>
    <w:rsid w:val="001931AB"/>
    <w:rsid w:val="0019345F"/>
    <w:rsid w:val="00193E72"/>
    <w:rsid w:val="001958B8"/>
    <w:rsid w:val="00197727"/>
    <w:rsid w:val="001A01F1"/>
    <w:rsid w:val="001A1270"/>
    <w:rsid w:val="001A186F"/>
    <w:rsid w:val="001A2A84"/>
    <w:rsid w:val="001A34DB"/>
    <w:rsid w:val="001A5398"/>
    <w:rsid w:val="001A7081"/>
    <w:rsid w:val="001B1023"/>
    <w:rsid w:val="001B28D7"/>
    <w:rsid w:val="001B38C0"/>
    <w:rsid w:val="001B44D7"/>
    <w:rsid w:val="001B543B"/>
    <w:rsid w:val="001C302A"/>
    <w:rsid w:val="001C3FEC"/>
    <w:rsid w:val="001C4E53"/>
    <w:rsid w:val="001C5547"/>
    <w:rsid w:val="001C5981"/>
    <w:rsid w:val="001C5CB0"/>
    <w:rsid w:val="001C67A9"/>
    <w:rsid w:val="001D1E24"/>
    <w:rsid w:val="001D4B21"/>
    <w:rsid w:val="001D7315"/>
    <w:rsid w:val="001D7A10"/>
    <w:rsid w:val="001D7D06"/>
    <w:rsid w:val="001E09E4"/>
    <w:rsid w:val="001E4A5A"/>
    <w:rsid w:val="001E4D30"/>
    <w:rsid w:val="001E4E46"/>
    <w:rsid w:val="001E5A92"/>
    <w:rsid w:val="001E5F43"/>
    <w:rsid w:val="001E7A1C"/>
    <w:rsid w:val="001F16E1"/>
    <w:rsid w:val="001F2B50"/>
    <w:rsid w:val="001F3655"/>
    <w:rsid w:val="001F44E0"/>
    <w:rsid w:val="001F4DE0"/>
    <w:rsid w:val="001F53FF"/>
    <w:rsid w:val="001F629E"/>
    <w:rsid w:val="001F7917"/>
    <w:rsid w:val="0020071A"/>
    <w:rsid w:val="0020325F"/>
    <w:rsid w:val="00204CB6"/>
    <w:rsid w:val="00214056"/>
    <w:rsid w:val="002145F6"/>
    <w:rsid w:val="00217538"/>
    <w:rsid w:val="00221539"/>
    <w:rsid w:val="00223A0D"/>
    <w:rsid w:val="00223B17"/>
    <w:rsid w:val="00223FAE"/>
    <w:rsid w:val="00224F81"/>
    <w:rsid w:val="002258C9"/>
    <w:rsid w:val="00230942"/>
    <w:rsid w:val="00233D60"/>
    <w:rsid w:val="00234097"/>
    <w:rsid w:val="002363A0"/>
    <w:rsid w:val="002374EB"/>
    <w:rsid w:val="002378E0"/>
    <w:rsid w:val="00241CC3"/>
    <w:rsid w:val="002435C0"/>
    <w:rsid w:val="00247C0C"/>
    <w:rsid w:val="00252305"/>
    <w:rsid w:val="00252683"/>
    <w:rsid w:val="002550D8"/>
    <w:rsid w:val="00255B3B"/>
    <w:rsid w:val="00260C40"/>
    <w:rsid w:val="00262A0A"/>
    <w:rsid w:val="00262DF3"/>
    <w:rsid w:val="00263B1A"/>
    <w:rsid w:val="00264785"/>
    <w:rsid w:val="0027417A"/>
    <w:rsid w:val="00275A0E"/>
    <w:rsid w:val="00277544"/>
    <w:rsid w:val="00280036"/>
    <w:rsid w:val="00280D64"/>
    <w:rsid w:val="0028457B"/>
    <w:rsid w:val="00290AA5"/>
    <w:rsid w:val="002912F2"/>
    <w:rsid w:val="002938CA"/>
    <w:rsid w:val="0029413E"/>
    <w:rsid w:val="00295DC5"/>
    <w:rsid w:val="00296474"/>
    <w:rsid w:val="00297407"/>
    <w:rsid w:val="00297C63"/>
    <w:rsid w:val="002A0775"/>
    <w:rsid w:val="002A1462"/>
    <w:rsid w:val="002A19F3"/>
    <w:rsid w:val="002A1A49"/>
    <w:rsid w:val="002A2003"/>
    <w:rsid w:val="002A2798"/>
    <w:rsid w:val="002A3706"/>
    <w:rsid w:val="002A5B11"/>
    <w:rsid w:val="002A6A1A"/>
    <w:rsid w:val="002B06FC"/>
    <w:rsid w:val="002B0E30"/>
    <w:rsid w:val="002B16F1"/>
    <w:rsid w:val="002B2530"/>
    <w:rsid w:val="002B30A9"/>
    <w:rsid w:val="002B7769"/>
    <w:rsid w:val="002C05F8"/>
    <w:rsid w:val="002C354C"/>
    <w:rsid w:val="002C41FD"/>
    <w:rsid w:val="002C484C"/>
    <w:rsid w:val="002C5887"/>
    <w:rsid w:val="002C5EE2"/>
    <w:rsid w:val="002C5F06"/>
    <w:rsid w:val="002D2D73"/>
    <w:rsid w:val="002D480E"/>
    <w:rsid w:val="002D4BCE"/>
    <w:rsid w:val="002D7C35"/>
    <w:rsid w:val="002E2884"/>
    <w:rsid w:val="002E5B76"/>
    <w:rsid w:val="002E7A2B"/>
    <w:rsid w:val="002F13BD"/>
    <w:rsid w:val="00300507"/>
    <w:rsid w:val="0030487B"/>
    <w:rsid w:val="00306DCE"/>
    <w:rsid w:val="003219C0"/>
    <w:rsid w:val="00324C1C"/>
    <w:rsid w:val="00324CFE"/>
    <w:rsid w:val="00325939"/>
    <w:rsid w:val="0032627D"/>
    <w:rsid w:val="00326F45"/>
    <w:rsid w:val="00327729"/>
    <w:rsid w:val="0033016C"/>
    <w:rsid w:val="00331E32"/>
    <w:rsid w:val="00332A0A"/>
    <w:rsid w:val="00332ACF"/>
    <w:rsid w:val="0033313F"/>
    <w:rsid w:val="00336914"/>
    <w:rsid w:val="00336931"/>
    <w:rsid w:val="00336DED"/>
    <w:rsid w:val="003370EA"/>
    <w:rsid w:val="003414E3"/>
    <w:rsid w:val="003452D7"/>
    <w:rsid w:val="0034550E"/>
    <w:rsid w:val="00345C00"/>
    <w:rsid w:val="00356D14"/>
    <w:rsid w:val="0035700D"/>
    <w:rsid w:val="003577AE"/>
    <w:rsid w:val="003579DD"/>
    <w:rsid w:val="00363FB2"/>
    <w:rsid w:val="00366233"/>
    <w:rsid w:val="0036733A"/>
    <w:rsid w:val="00367B19"/>
    <w:rsid w:val="003746B6"/>
    <w:rsid w:val="00377F7B"/>
    <w:rsid w:val="00382E1A"/>
    <w:rsid w:val="00382F2D"/>
    <w:rsid w:val="00390757"/>
    <w:rsid w:val="003A0E0B"/>
    <w:rsid w:val="003A2CF3"/>
    <w:rsid w:val="003A46A9"/>
    <w:rsid w:val="003A7702"/>
    <w:rsid w:val="003B5173"/>
    <w:rsid w:val="003B5457"/>
    <w:rsid w:val="003B5AA7"/>
    <w:rsid w:val="003B6CA0"/>
    <w:rsid w:val="003B7F94"/>
    <w:rsid w:val="003C157F"/>
    <w:rsid w:val="003C1E74"/>
    <w:rsid w:val="003C230F"/>
    <w:rsid w:val="003C3B42"/>
    <w:rsid w:val="003D6285"/>
    <w:rsid w:val="003E2602"/>
    <w:rsid w:val="003E31C0"/>
    <w:rsid w:val="003E4D43"/>
    <w:rsid w:val="003E76D9"/>
    <w:rsid w:val="003F15A9"/>
    <w:rsid w:val="003F3789"/>
    <w:rsid w:val="00400BF1"/>
    <w:rsid w:val="00403781"/>
    <w:rsid w:val="0040667A"/>
    <w:rsid w:val="0040677E"/>
    <w:rsid w:val="004068AA"/>
    <w:rsid w:val="00416102"/>
    <w:rsid w:val="004166AA"/>
    <w:rsid w:val="00416BA8"/>
    <w:rsid w:val="0042070F"/>
    <w:rsid w:val="00423371"/>
    <w:rsid w:val="00424308"/>
    <w:rsid w:val="00424FAF"/>
    <w:rsid w:val="00426B2A"/>
    <w:rsid w:val="0042729E"/>
    <w:rsid w:val="0043092E"/>
    <w:rsid w:val="00431AB5"/>
    <w:rsid w:val="00433E13"/>
    <w:rsid w:val="004346C7"/>
    <w:rsid w:val="00435B2E"/>
    <w:rsid w:val="0043612B"/>
    <w:rsid w:val="00440962"/>
    <w:rsid w:val="004506FA"/>
    <w:rsid w:val="004508AF"/>
    <w:rsid w:val="00455853"/>
    <w:rsid w:val="00461711"/>
    <w:rsid w:val="00461945"/>
    <w:rsid w:val="00462251"/>
    <w:rsid w:val="00471473"/>
    <w:rsid w:val="004721AF"/>
    <w:rsid w:val="00472631"/>
    <w:rsid w:val="00473F3A"/>
    <w:rsid w:val="00477869"/>
    <w:rsid w:val="00480DDB"/>
    <w:rsid w:val="00483581"/>
    <w:rsid w:val="004835CE"/>
    <w:rsid w:val="00487DCA"/>
    <w:rsid w:val="00493512"/>
    <w:rsid w:val="0049700E"/>
    <w:rsid w:val="004A1491"/>
    <w:rsid w:val="004A1D69"/>
    <w:rsid w:val="004A24B5"/>
    <w:rsid w:val="004A63ED"/>
    <w:rsid w:val="004B2BD8"/>
    <w:rsid w:val="004B3A0E"/>
    <w:rsid w:val="004B62DF"/>
    <w:rsid w:val="004B69D6"/>
    <w:rsid w:val="004B6B14"/>
    <w:rsid w:val="004B71D2"/>
    <w:rsid w:val="004B7457"/>
    <w:rsid w:val="004B7B7F"/>
    <w:rsid w:val="004B7D9E"/>
    <w:rsid w:val="004C60FB"/>
    <w:rsid w:val="004D03CE"/>
    <w:rsid w:val="004D4051"/>
    <w:rsid w:val="004D4334"/>
    <w:rsid w:val="004D496C"/>
    <w:rsid w:val="004E0C6F"/>
    <w:rsid w:val="004E1C84"/>
    <w:rsid w:val="004E4892"/>
    <w:rsid w:val="004E5198"/>
    <w:rsid w:val="004E5588"/>
    <w:rsid w:val="004F0EB7"/>
    <w:rsid w:val="004F1636"/>
    <w:rsid w:val="004F1CEE"/>
    <w:rsid w:val="004F615B"/>
    <w:rsid w:val="004F6A9E"/>
    <w:rsid w:val="004F7622"/>
    <w:rsid w:val="00501763"/>
    <w:rsid w:val="00504268"/>
    <w:rsid w:val="0050682E"/>
    <w:rsid w:val="00507007"/>
    <w:rsid w:val="005149BD"/>
    <w:rsid w:val="00516CFD"/>
    <w:rsid w:val="00521C45"/>
    <w:rsid w:val="00521E4B"/>
    <w:rsid w:val="00522BA9"/>
    <w:rsid w:val="00523E40"/>
    <w:rsid w:val="00525F15"/>
    <w:rsid w:val="00531EE9"/>
    <w:rsid w:val="00532542"/>
    <w:rsid w:val="005332C9"/>
    <w:rsid w:val="00533412"/>
    <w:rsid w:val="0053370F"/>
    <w:rsid w:val="00536A78"/>
    <w:rsid w:val="00543D01"/>
    <w:rsid w:val="00545E5F"/>
    <w:rsid w:val="005470DC"/>
    <w:rsid w:val="00552B64"/>
    <w:rsid w:val="00552D7A"/>
    <w:rsid w:val="00563B2C"/>
    <w:rsid w:val="0056547B"/>
    <w:rsid w:val="00567046"/>
    <w:rsid w:val="00567A16"/>
    <w:rsid w:val="0057180E"/>
    <w:rsid w:val="00571EA5"/>
    <w:rsid w:val="00573CF2"/>
    <w:rsid w:val="00574E36"/>
    <w:rsid w:val="005757E9"/>
    <w:rsid w:val="0057627C"/>
    <w:rsid w:val="00577150"/>
    <w:rsid w:val="0058128E"/>
    <w:rsid w:val="005830D2"/>
    <w:rsid w:val="00583E69"/>
    <w:rsid w:val="005848DA"/>
    <w:rsid w:val="00585C83"/>
    <w:rsid w:val="00585E09"/>
    <w:rsid w:val="0059056F"/>
    <w:rsid w:val="00591BD6"/>
    <w:rsid w:val="005945F0"/>
    <w:rsid w:val="00595197"/>
    <w:rsid w:val="00595821"/>
    <w:rsid w:val="00596972"/>
    <w:rsid w:val="005A14D4"/>
    <w:rsid w:val="005A1B91"/>
    <w:rsid w:val="005A1FCD"/>
    <w:rsid w:val="005A36BE"/>
    <w:rsid w:val="005A3918"/>
    <w:rsid w:val="005A4FAD"/>
    <w:rsid w:val="005A528A"/>
    <w:rsid w:val="005A5C24"/>
    <w:rsid w:val="005A6BD6"/>
    <w:rsid w:val="005A77BD"/>
    <w:rsid w:val="005B106B"/>
    <w:rsid w:val="005B1A77"/>
    <w:rsid w:val="005B2389"/>
    <w:rsid w:val="005B321F"/>
    <w:rsid w:val="005B386D"/>
    <w:rsid w:val="005C1C99"/>
    <w:rsid w:val="005C20D1"/>
    <w:rsid w:val="005C2915"/>
    <w:rsid w:val="005C35C5"/>
    <w:rsid w:val="005C39E2"/>
    <w:rsid w:val="005C4CC6"/>
    <w:rsid w:val="005C5CF9"/>
    <w:rsid w:val="005C73D9"/>
    <w:rsid w:val="005C7AE1"/>
    <w:rsid w:val="005D0FFA"/>
    <w:rsid w:val="005D26E4"/>
    <w:rsid w:val="005D41A7"/>
    <w:rsid w:val="005D4FD7"/>
    <w:rsid w:val="005D6953"/>
    <w:rsid w:val="005D7562"/>
    <w:rsid w:val="005E1A36"/>
    <w:rsid w:val="005E29AA"/>
    <w:rsid w:val="005E2D62"/>
    <w:rsid w:val="005E3EEF"/>
    <w:rsid w:val="005F122F"/>
    <w:rsid w:val="005F26DB"/>
    <w:rsid w:val="005F2B62"/>
    <w:rsid w:val="005F343A"/>
    <w:rsid w:val="005F3859"/>
    <w:rsid w:val="005F7C2F"/>
    <w:rsid w:val="00602C7C"/>
    <w:rsid w:val="006044C6"/>
    <w:rsid w:val="00605F1B"/>
    <w:rsid w:val="00612782"/>
    <w:rsid w:val="006136CE"/>
    <w:rsid w:val="00616B0D"/>
    <w:rsid w:val="00616E2E"/>
    <w:rsid w:val="006179EC"/>
    <w:rsid w:val="00621C41"/>
    <w:rsid w:val="006271D5"/>
    <w:rsid w:val="00633F5A"/>
    <w:rsid w:val="00636077"/>
    <w:rsid w:val="006372B2"/>
    <w:rsid w:val="00637D53"/>
    <w:rsid w:val="00640DF9"/>
    <w:rsid w:val="00643A41"/>
    <w:rsid w:val="00644405"/>
    <w:rsid w:val="00650798"/>
    <w:rsid w:val="00650A4A"/>
    <w:rsid w:val="00656396"/>
    <w:rsid w:val="00660BD2"/>
    <w:rsid w:val="00662A77"/>
    <w:rsid w:val="00666901"/>
    <w:rsid w:val="00670882"/>
    <w:rsid w:val="00671A7C"/>
    <w:rsid w:val="00671D60"/>
    <w:rsid w:val="00672544"/>
    <w:rsid w:val="00672587"/>
    <w:rsid w:val="0067687A"/>
    <w:rsid w:val="00676EBB"/>
    <w:rsid w:val="00676F8A"/>
    <w:rsid w:val="00677A82"/>
    <w:rsid w:val="00681C8E"/>
    <w:rsid w:val="00681E85"/>
    <w:rsid w:val="00682E62"/>
    <w:rsid w:val="006877D9"/>
    <w:rsid w:val="00690B34"/>
    <w:rsid w:val="006913F6"/>
    <w:rsid w:val="00692277"/>
    <w:rsid w:val="00693550"/>
    <w:rsid w:val="00695B7D"/>
    <w:rsid w:val="0069607D"/>
    <w:rsid w:val="006A0B76"/>
    <w:rsid w:val="006A2BE6"/>
    <w:rsid w:val="006A32FD"/>
    <w:rsid w:val="006A44CA"/>
    <w:rsid w:val="006A55B1"/>
    <w:rsid w:val="006A5CA6"/>
    <w:rsid w:val="006B05C3"/>
    <w:rsid w:val="006B1566"/>
    <w:rsid w:val="006B301B"/>
    <w:rsid w:val="006B4E43"/>
    <w:rsid w:val="006B4EA9"/>
    <w:rsid w:val="006B5069"/>
    <w:rsid w:val="006B5A3A"/>
    <w:rsid w:val="006B5B8E"/>
    <w:rsid w:val="006D12E6"/>
    <w:rsid w:val="006D21F7"/>
    <w:rsid w:val="006D2AAB"/>
    <w:rsid w:val="006D2D29"/>
    <w:rsid w:val="006D3747"/>
    <w:rsid w:val="006D38F1"/>
    <w:rsid w:val="006D3974"/>
    <w:rsid w:val="006D5CCE"/>
    <w:rsid w:val="006D6CA3"/>
    <w:rsid w:val="006D6E4A"/>
    <w:rsid w:val="006D7A3E"/>
    <w:rsid w:val="006D7BD7"/>
    <w:rsid w:val="006E0198"/>
    <w:rsid w:val="006E2796"/>
    <w:rsid w:val="006E422E"/>
    <w:rsid w:val="006E4513"/>
    <w:rsid w:val="006E470E"/>
    <w:rsid w:val="006E51C7"/>
    <w:rsid w:val="006E60A3"/>
    <w:rsid w:val="006F0EB3"/>
    <w:rsid w:val="006F15BC"/>
    <w:rsid w:val="006F6FC9"/>
    <w:rsid w:val="007017C8"/>
    <w:rsid w:val="00702ED3"/>
    <w:rsid w:val="00704DE4"/>
    <w:rsid w:val="007066D1"/>
    <w:rsid w:val="00710097"/>
    <w:rsid w:val="00710281"/>
    <w:rsid w:val="007102B2"/>
    <w:rsid w:val="007103CE"/>
    <w:rsid w:val="007128F8"/>
    <w:rsid w:val="00712DF7"/>
    <w:rsid w:val="00714517"/>
    <w:rsid w:val="00714C4A"/>
    <w:rsid w:val="007175CC"/>
    <w:rsid w:val="00721C1F"/>
    <w:rsid w:val="00722B46"/>
    <w:rsid w:val="00722FA6"/>
    <w:rsid w:val="00734B91"/>
    <w:rsid w:val="007408E0"/>
    <w:rsid w:val="00740CD1"/>
    <w:rsid w:val="007414D5"/>
    <w:rsid w:val="007423FE"/>
    <w:rsid w:val="0074303D"/>
    <w:rsid w:val="0074484D"/>
    <w:rsid w:val="0074573F"/>
    <w:rsid w:val="00753544"/>
    <w:rsid w:val="00755695"/>
    <w:rsid w:val="0075652C"/>
    <w:rsid w:val="00761075"/>
    <w:rsid w:val="00761182"/>
    <w:rsid w:val="00763FA5"/>
    <w:rsid w:val="00765EE1"/>
    <w:rsid w:val="0077112E"/>
    <w:rsid w:val="00771715"/>
    <w:rsid w:val="007729BF"/>
    <w:rsid w:val="007740B7"/>
    <w:rsid w:val="0077657F"/>
    <w:rsid w:val="00776F0B"/>
    <w:rsid w:val="0077781F"/>
    <w:rsid w:val="0078038F"/>
    <w:rsid w:val="00780C68"/>
    <w:rsid w:val="0078205B"/>
    <w:rsid w:val="007840AC"/>
    <w:rsid w:val="00784324"/>
    <w:rsid w:val="007849F5"/>
    <w:rsid w:val="00784F75"/>
    <w:rsid w:val="00787401"/>
    <w:rsid w:val="00791369"/>
    <w:rsid w:val="00792A98"/>
    <w:rsid w:val="007945D2"/>
    <w:rsid w:val="0079792B"/>
    <w:rsid w:val="00797989"/>
    <w:rsid w:val="007A1655"/>
    <w:rsid w:val="007A25E5"/>
    <w:rsid w:val="007A4886"/>
    <w:rsid w:val="007A51FB"/>
    <w:rsid w:val="007A5BFF"/>
    <w:rsid w:val="007A79D0"/>
    <w:rsid w:val="007B07AF"/>
    <w:rsid w:val="007B1D67"/>
    <w:rsid w:val="007B1EAF"/>
    <w:rsid w:val="007B32F8"/>
    <w:rsid w:val="007B3BBB"/>
    <w:rsid w:val="007B3F9C"/>
    <w:rsid w:val="007B4865"/>
    <w:rsid w:val="007B6855"/>
    <w:rsid w:val="007B799E"/>
    <w:rsid w:val="007C0BCE"/>
    <w:rsid w:val="007C10D8"/>
    <w:rsid w:val="007C4685"/>
    <w:rsid w:val="007C4E13"/>
    <w:rsid w:val="007C4FEA"/>
    <w:rsid w:val="007C6DC3"/>
    <w:rsid w:val="007D130E"/>
    <w:rsid w:val="007D68F3"/>
    <w:rsid w:val="007D6DAC"/>
    <w:rsid w:val="007E0A0B"/>
    <w:rsid w:val="007E0E96"/>
    <w:rsid w:val="007E10FD"/>
    <w:rsid w:val="007E1F5D"/>
    <w:rsid w:val="007E2495"/>
    <w:rsid w:val="007E30BE"/>
    <w:rsid w:val="007E323D"/>
    <w:rsid w:val="007E45C1"/>
    <w:rsid w:val="007E56A1"/>
    <w:rsid w:val="007E5FFB"/>
    <w:rsid w:val="007E779D"/>
    <w:rsid w:val="007F4917"/>
    <w:rsid w:val="007F4BE6"/>
    <w:rsid w:val="007F78C2"/>
    <w:rsid w:val="007F78DA"/>
    <w:rsid w:val="00801B99"/>
    <w:rsid w:val="00802633"/>
    <w:rsid w:val="00803281"/>
    <w:rsid w:val="00803FEB"/>
    <w:rsid w:val="00804219"/>
    <w:rsid w:val="0080533F"/>
    <w:rsid w:val="00806809"/>
    <w:rsid w:val="00810122"/>
    <w:rsid w:val="00811AF2"/>
    <w:rsid w:val="008121B1"/>
    <w:rsid w:val="00812CF0"/>
    <w:rsid w:val="008159A0"/>
    <w:rsid w:val="00816E14"/>
    <w:rsid w:val="0081718A"/>
    <w:rsid w:val="008178D7"/>
    <w:rsid w:val="008204D2"/>
    <w:rsid w:val="0082216B"/>
    <w:rsid w:val="00822DC3"/>
    <w:rsid w:val="00831B9E"/>
    <w:rsid w:val="008356DD"/>
    <w:rsid w:val="00836004"/>
    <w:rsid w:val="00837E0B"/>
    <w:rsid w:val="00840003"/>
    <w:rsid w:val="0084117F"/>
    <w:rsid w:val="00843FC3"/>
    <w:rsid w:val="00844393"/>
    <w:rsid w:val="008459A1"/>
    <w:rsid w:val="00845D15"/>
    <w:rsid w:val="00846D00"/>
    <w:rsid w:val="0084775C"/>
    <w:rsid w:val="00850283"/>
    <w:rsid w:val="00850EC1"/>
    <w:rsid w:val="00852ACB"/>
    <w:rsid w:val="00853721"/>
    <w:rsid w:val="00856428"/>
    <w:rsid w:val="00856886"/>
    <w:rsid w:val="008577A3"/>
    <w:rsid w:val="008577F4"/>
    <w:rsid w:val="00861313"/>
    <w:rsid w:val="00861C1E"/>
    <w:rsid w:val="00863900"/>
    <w:rsid w:val="00866FB8"/>
    <w:rsid w:val="0087012C"/>
    <w:rsid w:val="00872E9E"/>
    <w:rsid w:val="00874832"/>
    <w:rsid w:val="00875339"/>
    <w:rsid w:val="008757AA"/>
    <w:rsid w:val="00876EEB"/>
    <w:rsid w:val="00881996"/>
    <w:rsid w:val="00882C50"/>
    <w:rsid w:val="00883153"/>
    <w:rsid w:val="00884109"/>
    <w:rsid w:val="00885879"/>
    <w:rsid w:val="00886531"/>
    <w:rsid w:val="00887B4E"/>
    <w:rsid w:val="00890E1D"/>
    <w:rsid w:val="0089158D"/>
    <w:rsid w:val="00894A2C"/>
    <w:rsid w:val="00895B82"/>
    <w:rsid w:val="008963EB"/>
    <w:rsid w:val="008A674F"/>
    <w:rsid w:val="008A6C65"/>
    <w:rsid w:val="008B154A"/>
    <w:rsid w:val="008C039D"/>
    <w:rsid w:val="008C092E"/>
    <w:rsid w:val="008C0BC4"/>
    <w:rsid w:val="008C1DD2"/>
    <w:rsid w:val="008D1B2B"/>
    <w:rsid w:val="008D5ED3"/>
    <w:rsid w:val="008D6163"/>
    <w:rsid w:val="008D722D"/>
    <w:rsid w:val="008D7AEF"/>
    <w:rsid w:val="008E1207"/>
    <w:rsid w:val="008E2239"/>
    <w:rsid w:val="008E5B8C"/>
    <w:rsid w:val="008E6C46"/>
    <w:rsid w:val="008F2E96"/>
    <w:rsid w:val="008F4CB7"/>
    <w:rsid w:val="008F541B"/>
    <w:rsid w:val="008F74F9"/>
    <w:rsid w:val="008F7E49"/>
    <w:rsid w:val="00901168"/>
    <w:rsid w:val="0090198F"/>
    <w:rsid w:val="00901BA5"/>
    <w:rsid w:val="00904475"/>
    <w:rsid w:val="00905871"/>
    <w:rsid w:val="009069A7"/>
    <w:rsid w:val="00907236"/>
    <w:rsid w:val="00907AE6"/>
    <w:rsid w:val="00907E0C"/>
    <w:rsid w:val="00913447"/>
    <w:rsid w:val="009154C4"/>
    <w:rsid w:val="00915C1A"/>
    <w:rsid w:val="00917081"/>
    <w:rsid w:val="009226C2"/>
    <w:rsid w:val="00924312"/>
    <w:rsid w:val="009257B4"/>
    <w:rsid w:val="009305A0"/>
    <w:rsid w:val="00930F48"/>
    <w:rsid w:val="00931EC0"/>
    <w:rsid w:val="00932EED"/>
    <w:rsid w:val="00934AB5"/>
    <w:rsid w:val="00941CD4"/>
    <w:rsid w:val="00942FCC"/>
    <w:rsid w:val="0094323E"/>
    <w:rsid w:val="00943BB8"/>
    <w:rsid w:val="0094556A"/>
    <w:rsid w:val="00945B01"/>
    <w:rsid w:val="009530D8"/>
    <w:rsid w:val="00953831"/>
    <w:rsid w:val="0095536C"/>
    <w:rsid w:val="00955B1D"/>
    <w:rsid w:val="0095718A"/>
    <w:rsid w:val="00957190"/>
    <w:rsid w:val="00957850"/>
    <w:rsid w:val="009616D7"/>
    <w:rsid w:val="00962DE1"/>
    <w:rsid w:val="00965199"/>
    <w:rsid w:val="00965ACD"/>
    <w:rsid w:val="00965CF2"/>
    <w:rsid w:val="00966C0C"/>
    <w:rsid w:val="009673C8"/>
    <w:rsid w:val="00970449"/>
    <w:rsid w:val="00971A86"/>
    <w:rsid w:val="00971DED"/>
    <w:rsid w:val="009748C3"/>
    <w:rsid w:val="009766FD"/>
    <w:rsid w:val="00977C91"/>
    <w:rsid w:val="0098045E"/>
    <w:rsid w:val="00981049"/>
    <w:rsid w:val="0098145D"/>
    <w:rsid w:val="00983D22"/>
    <w:rsid w:val="00986071"/>
    <w:rsid w:val="00991183"/>
    <w:rsid w:val="00992D6E"/>
    <w:rsid w:val="00993098"/>
    <w:rsid w:val="0099414A"/>
    <w:rsid w:val="00994A87"/>
    <w:rsid w:val="00994DE8"/>
    <w:rsid w:val="009954CC"/>
    <w:rsid w:val="00995F67"/>
    <w:rsid w:val="009972D8"/>
    <w:rsid w:val="009A06F6"/>
    <w:rsid w:val="009A2EFD"/>
    <w:rsid w:val="009A4665"/>
    <w:rsid w:val="009A561C"/>
    <w:rsid w:val="009B2315"/>
    <w:rsid w:val="009B5E01"/>
    <w:rsid w:val="009B6079"/>
    <w:rsid w:val="009B6301"/>
    <w:rsid w:val="009B6739"/>
    <w:rsid w:val="009B7AEA"/>
    <w:rsid w:val="009B7CE0"/>
    <w:rsid w:val="009C63D2"/>
    <w:rsid w:val="009D061E"/>
    <w:rsid w:val="009D0FFA"/>
    <w:rsid w:val="009D13DF"/>
    <w:rsid w:val="009D2681"/>
    <w:rsid w:val="009D6C4F"/>
    <w:rsid w:val="009E0D4F"/>
    <w:rsid w:val="009E1582"/>
    <w:rsid w:val="009E2532"/>
    <w:rsid w:val="009E3A6E"/>
    <w:rsid w:val="009E55D3"/>
    <w:rsid w:val="009E76E6"/>
    <w:rsid w:val="009E798C"/>
    <w:rsid w:val="009F5435"/>
    <w:rsid w:val="00A0107D"/>
    <w:rsid w:val="00A01540"/>
    <w:rsid w:val="00A016B0"/>
    <w:rsid w:val="00A018C8"/>
    <w:rsid w:val="00A02460"/>
    <w:rsid w:val="00A031E5"/>
    <w:rsid w:val="00A036E4"/>
    <w:rsid w:val="00A052C1"/>
    <w:rsid w:val="00A05EDE"/>
    <w:rsid w:val="00A10215"/>
    <w:rsid w:val="00A11B2A"/>
    <w:rsid w:val="00A133B4"/>
    <w:rsid w:val="00A14532"/>
    <w:rsid w:val="00A15E7E"/>
    <w:rsid w:val="00A179A1"/>
    <w:rsid w:val="00A209FA"/>
    <w:rsid w:val="00A220F0"/>
    <w:rsid w:val="00A224CC"/>
    <w:rsid w:val="00A23C9C"/>
    <w:rsid w:val="00A24A91"/>
    <w:rsid w:val="00A308D3"/>
    <w:rsid w:val="00A31972"/>
    <w:rsid w:val="00A33B99"/>
    <w:rsid w:val="00A342F0"/>
    <w:rsid w:val="00A34CE1"/>
    <w:rsid w:val="00A35CAF"/>
    <w:rsid w:val="00A35F57"/>
    <w:rsid w:val="00A37518"/>
    <w:rsid w:val="00A37848"/>
    <w:rsid w:val="00A37CF2"/>
    <w:rsid w:val="00A448F3"/>
    <w:rsid w:val="00A472F3"/>
    <w:rsid w:val="00A473F2"/>
    <w:rsid w:val="00A54298"/>
    <w:rsid w:val="00A54496"/>
    <w:rsid w:val="00A54A0D"/>
    <w:rsid w:val="00A55557"/>
    <w:rsid w:val="00A62F93"/>
    <w:rsid w:val="00A6343C"/>
    <w:rsid w:val="00A63809"/>
    <w:rsid w:val="00A659CC"/>
    <w:rsid w:val="00A6639E"/>
    <w:rsid w:val="00A66711"/>
    <w:rsid w:val="00A7005F"/>
    <w:rsid w:val="00A704D4"/>
    <w:rsid w:val="00A70920"/>
    <w:rsid w:val="00A713D9"/>
    <w:rsid w:val="00A716C7"/>
    <w:rsid w:val="00A71866"/>
    <w:rsid w:val="00A71979"/>
    <w:rsid w:val="00A71EF1"/>
    <w:rsid w:val="00A76851"/>
    <w:rsid w:val="00A80497"/>
    <w:rsid w:val="00A80727"/>
    <w:rsid w:val="00A81176"/>
    <w:rsid w:val="00A851B9"/>
    <w:rsid w:val="00A85E0B"/>
    <w:rsid w:val="00A86D5B"/>
    <w:rsid w:val="00A91598"/>
    <w:rsid w:val="00A9224B"/>
    <w:rsid w:val="00A9304A"/>
    <w:rsid w:val="00AA10B8"/>
    <w:rsid w:val="00AA29EE"/>
    <w:rsid w:val="00AB2B20"/>
    <w:rsid w:val="00AB426F"/>
    <w:rsid w:val="00AB4652"/>
    <w:rsid w:val="00AB4BBD"/>
    <w:rsid w:val="00AC0AA6"/>
    <w:rsid w:val="00AC0CD6"/>
    <w:rsid w:val="00AC26A8"/>
    <w:rsid w:val="00AC42C0"/>
    <w:rsid w:val="00AD5F8B"/>
    <w:rsid w:val="00AD6D0B"/>
    <w:rsid w:val="00AD78C8"/>
    <w:rsid w:val="00AD7F71"/>
    <w:rsid w:val="00AD7FC0"/>
    <w:rsid w:val="00AE024B"/>
    <w:rsid w:val="00AE0EA1"/>
    <w:rsid w:val="00AE28C2"/>
    <w:rsid w:val="00AE417C"/>
    <w:rsid w:val="00AE45AA"/>
    <w:rsid w:val="00AF0309"/>
    <w:rsid w:val="00AF1E5A"/>
    <w:rsid w:val="00AF7953"/>
    <w:rsid w:val="00B003A9"/>
    <w:rsid w:val="00B01929"/>
    <w:rsid w:val="00B0265F"/>
    <w:rsid w:val="00B057E0"/>
    <w:rsid w:val="00B05F67"/>
    <w:rsid w:val="00B06CEB"/>
    <w:rsid w:val="00B0743F"/>
    <w:rsid w:val="00B07F01"/>
    <w:rsid w:val="00B1022A"/>
    <w:rsid w:val="00B131E1"/>
    <w:rsid w:val="00B14BBE"/>
    <w:rsid w:val="00B15625"/>
    <w:rsid w:val="00B15729"/>
    <w:rsid w:val="00B16223"/>
    <w:rsid w:val="00B17E15"/>
    <w:rsid w:val="00B205FB"/>
    <w:rsid w:val="00B22C04"/>
    <w:rsid w:val="00B22C84"/>
    <w:rsid w:val="00B23730"/>
    <w:rsid w:val="00B24471"/>
    <w:rsid w:val="00B245E9"/>
    <w:rsid w:val="00B3092D"/>
    <w:rsid w:val="00B32AFB"/>
    <w:rsid w:val="00B32E8A"/>
    <w:rsid w:val="00B33453"/>
    <w:rsid w:val="00B33AAA"/>
    <w:rsid w:val="00B3486D"/>
    <w:rsid w:val="00B4221A"/>
    <w:rsid w:val="00B42FE9"/>
    <w:rsid w:val="00B436DE"/>
    <w:rsid w:val="00B51209"/>
    <w:rsid w:val="00B531A5"/>
    <w:rsid w:val="00B5413B"/>
    <w:rsid w:val="00B553D1"/>
    <w:rsid w:val="00B563B0"/>
    <w:rsid w:val="00B568B2"/>
    <w:rsid w:val="00B6115F"/>
    <w:rsid w:val="00B62120"/>
    <w:rsid w:val="00B6313B"/>
    <w:rsid w:val="00B63E14"/>
    <w:rsid w:val="00B66F3C"/>
    <w:rsid w:val="00B66FAE"/>
    <w:rsid w:val="00B719D4"/>
    <w:rsid w:val="00B722AD"/>
    <w:rsid w:val="00B727DC"/>
    <w:rsid w:val="00B73248"/>
    <w:rsid w:val="00B76197"/>
    <w:rsid w:val="00B776B2"/>
    <w:rsid w:val="00B777AF"/>
    <w:rsid w:val="00B81036"/>
    <w:rsid w:val="00B823C2"/>
    <w:rsid w:val="00B8389A"/>
    <w:rsid w:val="00B8463A"/>
    <w:rsid w:val="00B864D9"/>
    <w:rsid w:val="00B87BEA"/>
    <w:rsid w:val="00B93CD4"/>
    <w:rsid w:val="00BA10A8"/>
    <w:rsid w:val="00BA22B5"/>
    <w:rsid w:val="00BA315F"/>
    <w:rsid w:val="00BA5339"/>
    <w:rsid w:val="00BA6064"/>
    <w:rsid w:val="00BA6F35"/>
    <w:rsid w:val="00BA75AD"/>
    <w:rsid w:val="00BB3583"/>
    <w:rsid w:val="00BB3A6B"/>
    <w:rsid w:val="00BB58DC"/>
    <w:rsid w:val="00BB67FF"/>
    <w:rsid w:val="00BB68BC"/>
    <w:rsid w:val="00BB6EA0"/>
    <w:rsid w:val="00BC036C"/>
    <w:rsid w:val="00BC0D5B"/>
    <w:rsid w:val="00BC1545"/>
    <w:rsid w:val="00BC22CC"/>
    <w:rsid w:val="00BC4546"/>
    <w:rsid w:val="00BC4BA4"/>
    <w:rsid w:val="00BC5A27"/>
    <w:rsid w:val="00BC75C6"/>
    <w:rsid w:val="00BD0AC5"/>
    <w:rsid w:val="00BD3366"/>
    <w:rsid w:val="00BD498F"/>
    <w:rsid w:val="00BD5D15"/>
    <w:rsid w:val="00BE1F9A"/>
    <w:rsid w:val="00BE228F"/>
    <w:rsid w:val="00BE72FD"/>
    <w:rsid w:val="00BE7A73"/>
    <w:rsid w:val="00BF13A6"/>
    <w:rsid w:val="00BF2CF8"/>
    <w:rsid w:val="00BF32D5"/>
    <w:rsid w:val="00BF337D"/>
    <w:rsid w:val="00BF33F4"/>
    <w:rsid w:val="00BF42BB"/>
    <w:rsid w:val="00BF5CB1"/>
    <w:rsid w:val="00BF6088"/>
    <w:rsid w:val="00C00159"/>
    <w:rsid w:val="00C02A7B"/>
    <w:rsid w:val="00C058AE"/>
    <w:rsid w:val="00C071CF"/>
    <w:rsid w:val="00C0795A"/>
    <w:rsid w:val="00C10351"/>
    <w:rsid w:val="00C10867"/>
    <w:rsid w:val="00C1440A"/>
    <w:rsid w:val="00C147D8"/>
    <w:rsid w:val="00C154E2"/>
    <w:rsid w:val="00C173E5"/>
    <w:rsid w:val="00C17483"/>
    <w:rsid w:val="00C17F33"/>
    <w:rsid w:val="00C22C1C"/>
    <w:rsid w:val="00C25E70"/>
    <w:rsid w:val="00C263C3"/>
    <w:rsid w:val="00C30036"/>
    <w:rsid w:val="00C304F6"/>
    <w:rsid w:val="00C34517"/>
    <w:rsid w:val="00C4023A"/>
    <w:rsid w:val="00C40E8B"/>
    <w:rsid w:val="00C42729"/>
    <w:rsid w:val="00C43BAA"/>
    <w:rsid w:val="00C441C2"/>
    <w:rsid w:val="00C46025"/>
    <w:rsid w:val="00C463D9"/>
    <w:rsid w:val="00C506F4"/>
    <w:rsid w:val="00C5244E"/>
    <w:rsid w:val="00C5297F"/>
    <w:rsid w:val="00C5362E"/>
    <w:rsid w:val="00C63048"/>
    <w:rsid w:val="00C6334B"/>
    <w:rsid w:val="00C6466A"/>
    <w:rsid w:val="00C66104"/>
    <w:rsid w:val="00C701E4"/>
    <w:rsid w:val="00C70737"/>
    <w:rsid w:val="00C70FCD"/>
    <w:rsid w:val="00C721DA"/>
    <w:rsid w:val="00C74250"/>
    <w:rsid w:val="00C74D46"/>
    <w:rsid w:val="00C764E6"/>
    <w:rsid w:val="00C77A98"/>
    <w:rsid w:val="00C807E5"/>
    <w:rsid w:val="00C81DE1"/>
    <w:rsid w:val="00C84434"/>
    <w:rsid w:val="00C85B49"/>
    <w:rsid w:val="00C93540"/>
    <w:rsid w:val="00C93DA8"/>
    <w:rsid w:val="00C94F36"/>
    <w:rsid w:val="00C9574A"/>
    <w:rsid w:val="00C9586E"/>
    <w:rsid w:val="00C96DEB"/>
    <w:rsid w:val="00C97F33"/>
    <w:rsid w:val="00CA0156"/>
    <w:rsid w:val="00CA028E"/>
    <w:rsid w:val="00CA0D60"/>
    <w:rsid w:val="00CA0FB2"/>
    <w:rsid w:val="00CA1E0D"/>
    <w:rsid w:val="00CA3584"/>
    <w:rsid w:val="00CA518D"/>
    <w:rsid w:val="00CA56E5"/>
    <w:rsid w:val="00CA6F32"/>
    <w:rsid w:val="00CA72AA"/>
    <w:rsid w:val="00CA72AF"/>
    <w:rsid w:val="00CB03DD"/>
    <w:rsid w:val="00CB16CC"/>
    <w:rsid w:val="00CB2FDF"/>
    <w:rsid w:val="00CB601E"/>
    <w:rsid w:val="00CC2444"/>
    <w:rsid w:val="00CC32F6"/>
    <w:rsid w:val="00CC413D"/>
    <w:rsid w:val="00CC6044"/>
    <w:rsid w:val="00CC6903"/>
    <w:rsid w:val="00CC6B76"/>
    <w:rsid w:val="00CD01F4"/>
    <w:rsid w:val="00CD0D64"/>
    <w:rsid w:val="00CD3EC4"/>
    <w:rsid w:val="00CD6B00"/>
    <w:rsid w:val="00CE09CF"/>
    <w:rsid w:val="00CE1CD0"/>
    <w:rsid w:val="00CE33A3"/>
    <w:rsid w:val="00CE4F84"/>
    <w:rsid w:val="00CE4FA3"/>
    <w:rsid w:val="00CE59EC"/>
    <w:rsid w:val="00CF03EA"/>
    <w:rsid w:val="00CF1113"/>
    <w:rsid w:val="00CF5D4F"/>
    <w:rsid w:val="00D0061A"/>
    <w:rsid w:val="00D011C4"/>
    <w:rsid w:val="00D027F1"/>
    <w:rsid w:val="00D0414B"/>
    <w:rsid w:val="00D053E8"/>
    <w:rsid w:val="00D07B82"/>
    <w:rsid w:val="00D12A94"/>
    <w:rsid w:val="00D12C05"/>
    <w:rsid w:val="00D138F3"/>
    <w:rsid w:val="00D177AD"/>
    <w:rsid w:val="00D21040"/>
    <w:rsid w:val="00D2214F"/>
    <w:rsid w:val="00D22B30"/>
    <w:rsid w:val="00D23444"/>
    <w:rsid w:val="00D238F8"/>
    <w:rsid w:val="00D34938"/>
    <w:rsid w:val="00D35324"/>
    <w:rsid w:val="00D37C8B"/>
    <w:rsid w:val="00D404B7"/>
    <w:rsid w:val="00D40CE8"/>
    <w:rsid w:val="00D438AA"/>
    <w:rsid w:val="00D44D16"/>
    <w:rsid w:val="00D45893"/>
    <w:rsid w:val="00D460BE"/>
    <w:rsid w:val="00D46CAF"/>
    <w:rsid w:val="00D4797D"/>
    <w:rsid w:val="00D5597D"/>
    <w:rsid w:val="00D55B62"/>
    <w:rsid w:val="00D55D4C"/>
    <w:rsid w:val="00D6675D"/>
    <w:rsid w:val="00D67BFE"/>
    <w:rsid w:val="00D71D29"/>
    <w:rsid w:val="00D73662"/>
    <w:rsid w:val="00D73EDB"/>
    <w:rsid w:val="00D7486D"/>
    <w:rsid w:val="00D74B30"/>
    <w:rsid w:val="00D806F9"/>
    <w:rsid w:val="00D8128D"/>
    <w:rsid w:val="00D81DD0"/>
    <w:rsid w:val="00D82C56"/>
    <w:rsid w:val="00D92023"/>
    <w:rsid w:val="00D92DEF"/>
    <w:rsid w:val="00D939C7"/>
    <w:rsid w:val="00D93F5D"/>
    <w:rsid w:val="00D94C9E"/>
    <w:rsid w:val="00D978DF"/>
    <w:rsid w:val="00D97946"/>
    <w:rsid w:val="00DA088E"/>
    <w:rsid w:val="00DA1AD1"/>
    <w:rsid w:val="00DA3E7C"/>
    <w:rsid w:val="00DB1E02"/>
    <w:rsid w:val="00DB529C"/>
    <w:rsid w:val="00DC0517"/>
    <w:rsid w:val="00DC2077"/>
    <w:rsid w:val="00DC6434"/>
    <w:rsid w:val="00DC742B"/>
    <w:rsid w:val="00DD0239"/>
    <w:rsid w:val="00DD2203"/>
    <w:rsid w:val="00DD2975"/>
    <w:rsid w:val="00DD518F"/>
    <w:rsid w:val="00DE0781"/>
    <w:rsid w:val="00DE337D"/>
    <w:rsid w:val="00DE46DF"/>
    <w:rsid w:val="00DE670D"/>
    <w:rsid w:val="00DE6BE7"/>
    <w:rsid w:val="00DE7A36"/>
    <w:rsid w:val="00DF00D8"/>
    <w:rsid w:val="00DF21F4"/>
    <w:rsid w:val="00DF2A3E"/>
    <w:rsid w:val="00DF42A8"/>
    <w:rsid w:val="00DF4351"/>
    <w:rsid w:val="00DF682C"/>
    <w:rsid w:val="00E0398D"/>
    <w:rsid w:val="00E05641"/>
    <w:rsid w:val="00E05B5B"/>
    <w:rsid w:val="00E071C5"/>
    <w:rsid w:val="00E111B6"/>
    <w:rsid w:val="00E1191F"/>
    <w:rsid w:val="00E125D3"/>
    <w:rsid w:val="00E128DD"/>
    <w:rsid w:val="00E12C3D"/>
    <w:rsid w:val="00E1355A"/>
    <w:rsid w:val="00E1456D"/>
    <w:rsid w:val="00E14F1D"/>
    <w:rsid w:val="00E15B53"/>
    <w:rsid w:val="00E15C07"/>
    <w:rsid w:val="00E17756"/>
    <w:rsid w:val="00E21FAA"/>
    <w:rsid w:val="00E27AC9"/>
    <w:rsid w:val="00E27DCD"/>
    <w:rsid w:val="00E303EE"/>
    <w:rsid w:val="00E310A9"/>
    <w:rsid w:val="00E33781"/>
    <w:rsid w:val="00E34E32"/>
    <w:rsid w:val="00E3553F"/>
    <w:rsid w:val="00E3617F"/>
    <w:rsid w:val="00E36A7A"/>
    <w:rsid w:val="00E37FF2"/>
    <w:rsid w:val="00E40D4B"/>
    <w:rsid w:val="00E46718"/>
    <w:rsid w:val="00E501D5"/>
    <w:rsid w:val="00E50623"/>
    <w:rsid w:val="00E51269"/>
    <w:rsid w:val="00E519A0"/>
    <w:rsid w:val="00E52735"/>
    <w:rsid w:val="00E54251"/>
    <w:rsid w:val="00E54FB4"/>
    <w:rsid w:val="00E5665B"/>
    <w:rsid w:val="00E62482"/>
    <w:rsid w:val="00E64F86"/>
    <w:rsid w:val="00E65B1C"/>
    <w:rsid w:val="00E65DB0"/>
    <w:rsid w:val="00E6645A"/>
    <w:rsid w:val="00E66912"/>
    <w:rsid w:val="00E70E0F"/>
    <w:rsid w:val="00E71861"/>
    <w:rsid w:val="00E728EC"/>
    <w:rsid w:val="00E72CAE"/>
    <w:rsid w:val="00E72F6D"/>
    <w:rsid w:val="00E74B48"/>
    <w:rsid w:val="00E74C64"/>
    <w:rsid w:val="00E7537D"/>
    <w:rsid w:val="00E77D6A"/>
    <w:rsid w:val="00E77FF1"/>
    <w:rsid w:val="00E8176E"/>
    <w:rsid w:val="00E81F22"/>
    <w:rsid w:val="00E8323F"/>
    <w:rsid w:val="00E8325B"/>
    <w:rsid w:val="00E83648"/>
    <w:rsid w:val="00E86CAB"/>
    <w:rsid w:val="00E86EA1"/>
    <w:rsid w:val="00E87D90"/>
    <w:rsid w:val="00E92E61"/>
    <w:rsid w:val="00E9379D"/>
    <w:rsid w:val="00E96D02"/>
    <w:rsid w:val="00E97158"/>
    <w:rsid w:val="00EA362F"/>
    <w:rsid w:val="00EA4EE6"/>
    <w:rsid w:val="00EA4FE1"/>
    <w:rsid w:val="00EA50FC"/>
    <w:rsid w:val="00EB11E1"/>
    <w:rsid w:val="00EB32CE"/>
    <w:rsid w:val="00EB3F34"/>
    <w:rsid w:val="00EB4D6B"/>
    <w:rsid w:val="00EB6386"/>
    <w:rsid w:val="00EB73EA"/>
    <w:rsid w:val="00EB7731"/>
    <w:rsid w:val="00EB7823"/>
    <w:rsid w:val="00EC00CE"/>
    <w:rsid w:val="00EC05DC"/>
    <w:rsid w:val="00EC15DB"/>
    <w:rsid w:val="00EC1D44"/>
    <w:rsid w:val="00EC4483"/>
    <w:rsid w:val="00EC4DBE"/>
    <w:rsid w:val="00EC6863"/>
    <w:rsid w:val="00ED1DAA"/>
    <w:rsid w:val="00ED212B"/>
    <w:rsid w:val="00EE200A"/>
    <w:rsid w:val="00EE372C"/>
    <w:rsid w:val="00EE3E44"/>
    <w:rsid w:val="00EE6168"/>
    <w:rsid w:val="00EE7A3B"/>
    <w:rsid w:val="00EF0BD6"/>
    <w:rsid w:val="00EF0F94"/>
    <w:rsid w:val="00EF318F"/>
    <w:rsid w:val="00EF336B"/>
    <w:rsid w:val="00EF5B58"/>
    <w:rsid w:val="00EF600A"/>
    <w:rsid w:val="00EF7DAA"/>
    <w:rsid w:val="00F01E6B"/>
    <w:rsid w:val="00F036E1"/>
    <w:rsid w:val="00F0456B"/>
    <w:rsid w:val="00F047BE"/>
    <w:rsid w:val="00F05416"/>
    <w:rsid w:val="00F06F70"/>
    <w:rsid w:val="00F10874"/>
    <w:rsid w:val="00F10A35"/>
    <w:rsid w:val="00F11CBC"/>
    <w:rsid w:val="00F1304D"/>
    <w:rsid w:val="00F16A53"/>
    <w:rsid w:val="00F17C06"/>
    <w:rsid w:val="00F212A6"/>
    <w:rsid w:val="00F22FB1"/>
    <w:rsid w:val="00F23DB9"/>
    <w:rsid w:val="00F270F8"/>
    <w:rsid w:val="00F31D74"/>
    <w:rsid w:val="00F33B28"/>
    <w:rsid w:val="00F359AF"/>
    <w:rsid w:val="00F410D3"/>
    <w:rsid w:val="00F41567"/>
    <w:rsid w:val="00F42508"/>
    <w:rsid w:val="00F47DF3"/>
    <w:rsid w:val="00F5180B"/>
    <w:rsid w:val="00F52739"/>
    <w:rsid w:val="00F55320"/>
    <w:rsid w:val="00F60E4D"/>
    <w:rsid w:val="00F62CCF"/>
    <w:rsid w:val="00F63F69"/>
    <w:rsid w:val="00F64F4F"/>
    <w:rsid w:val="00F674D7"/>
    <w:rsid w:val="00F70D2B"/>
    <w:rsid w:val="00F72579"/>
    <w:rsid w:val="00F73F54"/>
    <w:rsid w:val="00F74F08"/>
    <w:rsid w:val="00F75E8A"/>
    <w:rsid w:val="00F77625"/>
    <w:rsid w:val="00F80722"/>
    <w:rsid w:val="00F81DD1"/>
    <w:rsid w:val="00F824E6"/>
    <w:rsid w:val="00F8325F"/>
    <w:rsid w:val="00F844B0"/>
    <w:rsid w:val="00F853F0"/>
    <w:rsid w:val="00F8747A"/>
    <w:rsid w:val="00F90CF2"/>
    <w:rsid w:val="00F915E8"/>
    <w:rsid w:val="00F970E5"/>
    <w:rsid w:val="00FA08F9"/>
    <w:rsid w:val="00FA118E"/>
    <w:rsid w:val="00FA235F"/>
    <w:rsid w:val="00FA2EB9"/>
    <w:rsid w:val="00FA4CF8"/>
    <w:rsid w:val="00FB17BC"/>
    <w:rsid w:val="00FB28AA"/>
    <w:rsid w:val="00FB69D1"/>
    <w:rsid w:val="00FC1547"/>
    <w:rsid w:val="00FC31A3"/>
    <w:rsid w:val="00FC3F50"/>
    <w:rsid w:val="00FC4395"/>
    <w:rsid w:val="00FC57D8"/>
    <w:rsid w:val="00FC6F69"/>
    <w:rsid w:val="00FC760B"/>
    <w:rsid w:val="00FD127E"/>
    <w:rsid w:val="00FD1890"/>
    <w:rsid w:val="00FD1A12"/>
    <w:rsid w:val="00FD2A6D"/>
    <w:rsid w:val="00FD3597"/>
    <w:rsid w:val="00FD3AB8"/>
    <w:rsid w:val="00FD3DC3"/>
    <w:rsid w:val="00FE0C7E"/>
    <w:rsid w:val="00FE13B8"/>
    <w:rsid w:val="00FE34FC"/>
    <w:rsid w:val="00FE4D37"/>
    <w:rsid w:val="00FF1C92"/>
    <w:rsid w:val="0517422F"/>
    <w:rsid w:val="1DFC5133"/>
    <w:rsid w:val="4A3D2913"/>
    <w:rsid w:val="59D968D3"/>
    <w:rsid w:val="5E2E3B8D"/>
    <w:rsid w:val="630D4E50"/>
    <w:rsid w:val="64651C31"/>
    <w:rsid w:val="651671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uiPriority="99" w:semiHidden="0" w:name="header"/>
    <w:lsdException w:uiPriority="99" w:semiHidden="0" w:name="footer"/>
    <w:lsdException w:uiPriority="99" w:name="index heading"/>
    <w:lsdException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nhideWhenUsed="0" w:uiPriority="0" w:semiHidden="0" w:name="List Continue 5"/>
    <w:lsdException w:uiPriority="99" w:name="Message Header"/>
    <w:lsdException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48"/>
    <w:qFormat/>
    <w:uiPriority w:val="9"/>
    <w:pPr>
      <w:keepNext/>
      <w:keepLines/>
      <w:spacing w:before="50" w:beforeLines="50" w:after="50" w:afterLines="50" w:line="360" w:lineRule="auto"/>
      <w:jc w:val="center"/>
      <w:outlineLvl w:val="0"/>
    </w:pPr>
    <w:rPr>
      <w:b/>
      <w:bCs/>
      <w:kern w:val="44"/>
      <w:sz w:val="32"/>
      <w:szCs w:val="44"/>
    </w:rPr>
  </w:style>
  <w:style w:type="paragraph" w:styleId="3">
    <w:name w:val="heading 2"/>
    <w:basedOn w:val="1"/>
    <w:next w:val="1"/>
    <w:link w:val="49"/>
    <w:unhideWhenUsed/>
    <w:qFormat/>
    <w:uiPriority w:val="9"/>
    <w:pPr>
      <w:keepNext/>
      <w:keepLines/>
      <w:spacing w:line="360" w:lineRule="auto"/>
      <w:outlineLvl w:val="1"/>
    </w:pPr>
    <w:rPr>
      <w:rFonts w:asciiTheme="majorHAnsi" w:hAnsiTheme="majorHAnsi" w:eastAsiaTheme="majorEastAsia" w:cstheme="majorBidi"/>
      <w:b/>
      <w:bCs/>
      <w:sz w:val="30"/>
      <w:szCs w:val="32"/>
    </w:rPr>
  </w:style>
  <w:style w:type="paragraph" w:styleId="4">
    <w:name w:val="heading 3"/>
    <w:basedOn w:val="1"/>
    <w:next w:val="1"/>
    <w:link w:val="50"/>
    <w:unhideWhenUsed/>
    <w:qFormat/>
    <w:uiPriority w:val="9"/>
    <w:pPr>
      <w:keepNext/>
      <w:keepLines/>
      <w:spacing w:line="360" w:lineRule="auto"/>
      <w:outlineLvl w:val="2"/>
    </w:pPr>
    <w:rPr>
      <w:b/>
      <w:bCs/>
      <w:sz w:val="28"/>
      <w:szCs w:val="32"/>
    </w:rPr>
  </w:style>
  <w:style w:type="paragraph" w:styleId="5">
    <w:name w:val="heading 4"/>
    <w:basedOn w:val="1"/>
    <w:next w:val="1"/>
    <w:link w:val="58"/>
    <w:unhideWhenUsed/>
    <w:qFormat/>
    <w:uiPriority w:val="9"/>
    <w:pPr>
      <w:keepNext/>
      <w:keepLines/>
      <w:spacing w:line="360" w:lineRule="auto"/>
      <w:ind w:firstLine="200" w:firstLineChars="200"/>
      <w:outlineLvl w:val="3"/>
    </w:pPr>
    <w:rPr>
      <w:rFonts w:asciiTheme="majorHAnsi" w:hAnsiTheme="majorHAnsi" w:eastAsiaTheme="majorEastAsia" w:cstheme="majorBidi"/>
      <w:b/>
      <w:bCs/>
      <w:szCs w:val="28"/>
    </w:rPr>
  </w:style>
  <w:style w:type="paragraph" w:styleId="6">
    <w:name w:val="heading 5"/>
    <w:basedOn w:val="1"/>
    <w:next w:val="1"/>
    <w:link w:val="61"/>
    <w:unhideWhenUsed/>
    <w:qFormat/>
    <w:uiPriority w:val="9"/>
    <w:pPr>
      <w:keepLines/>
      <w:spacing w:line="360" w:lineRule="auto"/>
      <w:jc w:val="center"/>
      <w:outlineLvl w:val="4"/>
    </w:pPr>
    <w:rPr>
      <w:b/>
      <w:bCs/>
      <w:szCs w:val="28"/>
    </w:rPr>
  </w:style>
  <w:style w:type="paragraph" w:styleId="7">
    <w:name w:val="heading 6"/>
    <w:basedOn w:val="1"/>
    <w:next w:val="1"/>
    <w:link w:val="62"/>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64"/>
    <w:unhideWhenUsed/>
    <w:qFormat/>
    <w:uiPriority w:val="9"/>
    <w:pPr>
      <w:keepNext/>
      <w:keepLines/>
      <w:spacing w:before="240" w:after="64" w:line="320" w:lineRule="auto"/>
      <w:outlineLvl w:val="6"/>
    </w:pPr>
    <w:rPr>
      <w:b/>
      <w:bCs/>
      <w:szCs w:val="24"/>
    </w:rPr>
  </w:style>
  <w:style w:type="paragraph" w:styleId="9">
    <w:name w:val="heading 8"/>
    <w:basedOn w:val="1"/>
    <w:next w:val="1"/>
    <w:link w:val="66"/>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character" w:default="1" w:styleId="38">
    <w:name w:val="Default Paragraph Font"/>
    <w:semiHidden/>
    <w:unhideWhenUsed/>
    <w:qFormat/>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10">
    <w:name w:val="toc 7"/>
    <w:basedOn w:val="1"/>
    <w:next w:val="1"/>
    <w:unhideWhenUsed/>
    <w:qFormat/>
    <w:uiPriority w:val="39"/>
    <w:pPr>
      <w:ind w:left="2520" w:leftChars="1200"/>
    </w:pPr>
    <w:rPr>
      <w:sz w:val="21"/>
    </w:rPr>
  </w:style>
  <w:style w:type="paragraph" w:styleId="11">
    <w:name w:val="caption"/>
    <w:basedOn w:val="1"/>
    <w:next w:val="1"/>
    <w:unhideWhenUsed/>
    <w:uiPriority w:val="35"/>
    <w:rPr>
      <w:rFonts w:eastAsia="黑体" w:asciiTheme="majorHAnsi" w:hAnsiTheme="majorHAnsi" w:cstheme="majorBidi"/>
      <w:sz w:val="20"/>
      <w:szCs w:val="20"/>
    </w:rPr>
  </w:style>
  <w:style w:type="paragraph" w:styleId="12">
    <w:name w:val="annotation text"/>
    <w:basedOn w:val="1"/>
    <w:link w:val="69"/>
    <w:unhideWhenUsed/>
    <w:qFormat/>
    <w:uiPriority w:val="99"/>
    <w:pPr>
      <w:spacing w:line="360" w:lineRule="auto"/>
      <w:ind w:firstLine="200" w:firstLineChars="200"/>
      <w:jc w:val="left"/>
    </w:pPr>
    <w:rPr>
      <w:rFonts w:ascii="Times New Roman" w:hAnsi="Times New Roman" w:eastAsia="宋体" w:cs="Times New Roman"/>
      <w:szCs w:val="24"/>
    </w:rPr>
  </w:style>
  <w:style w:type="paragraph" w:styleId="13">
    <w:name w:val="Body Text 3"/>
    <w:basedOn w:val="1"/>
    <w:link w:val="96"/>
    <w:semiHidden/>
    <w:unhideWhenUsed/>
    <w:qFormat/>
    <w:uiPriority w:val="99"/>
    <w:pPr>
      <w:spacing w:after="120"/>
    </w:pPr>
    <w:rPr>
      <w:sz w:val="16"/>
      <w:szCs w:val="16"/>
    </w:rPr>
  </w:style>
  <w:style w:type="paragraph" w:styleId="14">
    <w:name w:val="List Bullet 3"/>
    <w:basedOn w:val="1"/>
    <w:semiHidden/>
    <w:qFormat/>
    <w:uiPriority w:val="0"/>
    <w:pPr>
      <w:tabs>
        <w:tab w:val="left" w:pos="1200"/>
      </w:tabs>
      <w:overflowPunct w:val="0"/>
      <w:autoSpaceDE w:val="0"/>
      <w:autoSpaceDN w:val="0"/>
      <w:adjustRightInd w:val="0"/>
      <w:ind w:left="1200" w:hanging="360"/>
      <w:textAlignment w:val="baseline"/>
    </w:pPr>
    <w:rPr>
      <w:rFonts w:ascii="Times New Roman" w:hAnsi="Times New Roman" w:eastAsia="仿宋_GB2312" w:cs="Times New Roman"/>
      <w:kern w:val="0"/>
      <w:sz w:val="28"/>
      <w:szCs w:val="20"/>
    </w:rPr>
  </w:style>
  <w:style w:type="paragraph" w:styleId="15">
    <w:name w:val="Body Text"/>
    <w:basedOn w:val="1"/>
    <w:next w:val="1"/>
    <w:link w:val="53"/>
    <w:qFormat/>
    <w:uiPriority w:val="0"/>
    <w:rPr>
      <w:rFonts w:ascii="宋体" w:hAnsi="Times New Roman" w:eastAsia="宋体" w:cs="Times New Roman"/>
      <w:sz w:val="18"/>
      <w:szCs w:val="20"/>
    </w:rPr>
  </w:style>
  <w:style w:type="paragraph" w:styleId="16">
    <w:name w:val="Body Text Indent"/>
    <w:basedOn w:val="1"/>
    <w:link w:val="101"/>
    <w:semiHidden/>
    <w:unhideWhenUsed/>
    <w:qFormat/>
    <w:uiPriority w:val="99"/>
    <w:pPr>
      <w:spacing w:after="120" w:line="360" w:lineRule="auto"/>
      <w:ind w:left="420" w:leftChars="200" w:firstLine="200" w:firstLineChars="200"/>
    </w:pPr>
  </w:style>
  <w:style w:type="paragraph" w:styleId="17">
    <w:name w:val="toc 5"/>
    <w:basedOn w:val="1"/>
    <w:next w:val="1"/>
    <w:unhideWhenUsed/>
    <w:uiPriority w:val="39"/>
    <w:pPr>
      <w:ind w:left="1680" w:leftChars="800"/>
    </w:pPr>
    <w:rPr>
      <w:sz w:val="21"/>
    </w:rPr>
  </w:style>
  <w:style w:type="paragraph" w:styleId="18">
    <w:name w:val="toc 3"/>
    <w:basedOn w:val="1"/>
    <w:next w:val="1"/>
    <w:unhideWhenUsed/>
    <w:qFormat/>
    <w:uiPriority w:val="39"/>
    <w:pPr>
      <w:ind w:left="840" w:leftChars="400"/>
    </w:pPr>
  </w:style>
  <w:style w:type="paragraph" w:styleId="19">
    <w:name w:val="Plain Text"/>
    <w:basedOn w:val="1"/>
    <w:link w:val="59"/>
    <w:unhideWhenUsed/>
    <w:qFormat/>
    <w:uiPriority w:val="99"/>
    <w:rPr>
      <w:rFonts w:ascii="宋体" w:hAnsi="Courier New" w:eastAsia="宋体" w:cs="Courier New"/>
      <w:sz w:val="21"/>
      <w:szCs w:val="21"/>
    </w:rPr>
  </w:style>
  <w:style w:type="paragraph" w:styleId="20">
    <w:name w:val="toc 8"/>
    <w:basedOn w:val="1"/>
    <w:next w:val="1"/>
    <w:unhideWhenUsed/>
    <w:uiPriority w:val="39"/>
    <w:pPr>
      <w:ind w:left="2940" w:leftChars="1400"/>
    </w:pPr>
    <w:rPr>
      <w:sz w:val="21"/>
    </w:rPr>
  </w:style>
  <w:style w:type="paragraph" w:styleId="21">
    <w:name w:val="Date"/>
    <w:basedOn w:val="1"/>
    <w:next w:val="1"/>
    <w:link w:val="91"/>
    <w:semiHidden/>
    <w:unhideWhenUsed/>
    <w:uiPriority w:val="99"/>
    <w:pPr>
      <w:ind w:left="100" w:leftChars="2500"/>
    </w:pPr>
  </w:style>
  <w:style w:type="paragraph" w:styleId="22">
    <w:name w:val="List Continue 5"/>
    <w:basedOn w:val="1"/>
    <w:uiPriority w:val="0"/>
    <w:pPr>
      <w:spacing w:before="260" w:after="120" w:line="360" w:lineRule="auto"/>
      <w:ind w:left="2100" w:leftChars="1000" w:hanging="425" w:firstLineChars="200"/>
    </w:pPr>
    <w:rPr>
      <w:rFonts w:ascii="Times New Roman" w:hAnsi="Times New Roman" w:eastAsia="宋体" w:cs="Times New Roman"/>
      <w:sz w:val="21"/>
      <w:szCs w:val="24"/>
    </w:rPr>
  </w:style>
  <w:style w:type="paragraph" w:styleId="23">
    <w:name w:val="Balloon Text"/>
    <w:basedOn w:val="1"/>
    <w:link w:val="47"/>
    <w:semiHidden/>
    <w:unhideWhenUsed/>
    <w:qFormat/>
    <w:uiPriority w:val="99"/>
    <w:rPr>
      <w:sz w:val="18"/>
      <w:szCs w:val="18"/>
    </w:rPr>
  </w:style>
  <w:style w:type="paragraph" w:styleId="24">
    <w:name w:val="footer"/>
    <w:basedOn w:val="1"/>
    <w:link w:val="42"/>
    <w:unhideWhenUsed/>
    <w:uiPriority w:val="99"/>
    <w:pPr>
      <w:tabs>
        <w:tab w:val="center" w:pos="4153"/>
        <w:tab w:val="right" w:pos="8306"/>
      </w:tabs>
      <w:snapToGrid w:val="0"/>
      <w:jc w:val="left"/>
    </w:pPr>
    <w:rPr>
      <w:sz w:val="18"/>
      <w:szCs w:val="18"/>
    </w:rPr>
  </w:style>
  <w:style w:type="paragraph" w:styleId="25">
    <w:name w:val="header"/>
    <w:basedOn w:val="1"/>
    <w:link w:val="41"/>
    <w:unhideWhenUsed/>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style>
  <w:style w:type="paragraph" w:styleId="27">
    <w:name w:val="toc 4"/>
    <w:basedOn w:val="1"/>
    <w:next w:val="1"/>
    <w:unhideWhenUsed/>
    <w:qFormat/>
    <w:uiPriority w:val="39"/>
    <w:pPr>
      <w:ind w:left="1260" w:leftChars="600"/>
    </w:pPr>
    <w:rPr>
      <w:sz w:val="21"/>
    </w:rPr>
  </w:style>
  <w:style w:type="paragraph" w:styleId="28">
    <w:name w:val="toc 6"/>
    <w:basedOn w:val="1"/>
    <w:next w:val="1"/>
    <w:unhideWhenUsed/>
    <w:qFormat/>
    <w:uiPriority w:val="39"/>
    <w:pPr>
      <w:ind w:left="2100" w:leftChars="1000"/>
    </w:pPr>
    <w:rPr>
      <w:sz w:val="21"/>
    </w:rPr>
  </w:style>
  <w:style w:type="paragraph" w:styleId="29">
    <w:name w:val="toc 2"/>
    <w:basedOn w:val="1"/>
    <w:next w:val="1"/>
    <w:unhideWhenUsed/>
    <w:qFormat/>
    <w:uiPriority w:val="39"/>
    <w:pPr>
      <w:ind w:left="420" w:leftChars="200"/>
    </w:pPr>
  </w:style>
  <w:style w:type="paragraph" w:styleId="30">
    <w:name w:val="toc 9"/>
    <w:basedOn w:val="1"/>
    <w:next w:val="1"/>
    <w:unhideWhenUsed/>
    <w:qFormat/>
    <w:uiPriority w:val="39"/>
    <w:pPr>
      <w:ind w:left="3360" w:leftChars="1600"/>
    </w:pPr>
    <w:rPr>
      <w:sz w:val="21"/>
    </w:rPr>
  </w:style>
  <w:style w:type="paragraph" w:styleId="31">
    <w:name w:val="Normal (Web)"/>
    <w:basedOn w:val="1"/>
    <w:uiPriority w:val="99"/>
    <w:pPr>
      <w:widowControl/>
      <w:spacing w:before="100" w:beforeAutospacing="1" w:after="100" w:afterAutospacing="1"/>
      <w:jc w:val="left"/>
    </w:pPr>
    <w:rPr>
      <w:rFonts w:ascii="Cambria Math" w:hAnsi="Cambria Math" w:eastAsia="宋体" w:cs="Courier New"/>
      <w:kern w:val="0"/>
      <w:szCs w:val="24"/>
    </w:rPr>
  </w:style>
  <w:style w:type="paragraph" w:styleId="32">
    <w:name w:val="index 1"/>
    <w:basedOn w:val="1"/>
    <w:next w:val="1"/>
    <w:semiHidden/>
    <w:unhideWhenUsed/>
    <w:uiPriority w:val="99"/>
    <w:pPr>
      <w:spacing w:line="360" w:lineRule="auto"/>
      <w:ind w:firstLine="200" w:firstLineChars="200"/>
    </w:pPr>
  </w:style>
  <w:style w:type="paragraph" w:styleId="33">
    <w:name w:val="annotation subject"/>
    <w:basedOn w:val="12"/>
    <w:next w:val="12"/>
    <w:link w:val="79"/>
    <w:semiHidden/>
    <w:unhideWhenUsed/>
    <w:qFormat/>
    <w:uiPriority w:val="99"/>
    <w:pPr>
      <w:spacing w:line="240" w:lineRule="auto"/>
      <w:ind w:firstLine="0" w:firstLineChars="0"/>
    </w:pPr>
    <w:rPr>
      <w:rFonts w:asciiTheme="minorHAnsi" w:hAnsiTheme="minorHAnsi" w:eastAsiaTheme="minorEastAsia" w:cstheme="minorBidi"/>
      <w:b/>
      <w:bCs/>
      <w:szCs w:val="22"/>
    </w:rPr>
  </w:style>
  <w:style w:type="paragraph" w:styleId="34">
    <w:name w:val="Body Text First Indent"/>
    <w:basedOn w:val="15"/>
    <w:link w:val="60"/>
    <w:semiHidden/>
    <w:unhideWhenUsed/>
    <w:qFormat/>
    <w:uiPriority w:val="99"/>
    <w:pPr>
      <w:spacing w:after="120"/>
      <w:ind w:firstLine="420" w:firstLineChars="100"/>
    </w:pPr>
    <w:rPr>
      <w:rFonts w:asciiTheme="minorHAnsi" w:hAnsiTheme="minorHAnsi" w:eastAsiaTheme="minorEastAsia" w:cstheme="minorBidi"/>
      <w:sz w:val="24"/>
      <w:szCs w:val="22"/>
    </w:rPr>
  </w:style>
  <w:style w:type="paragraph" w:styleId="35">
    <w:name w:val="Body Text First Indent 2"/>
    <w:basedOn w:val="16"/>
    <w:link w:val="102"/>
    <w:semiHidden/>
    <w:unhideWhenUsed/>
    <w:uiPriority w:val="99"/>
    <w:pPr>
      <w:ind w:firstLine="420"/>
    </w:p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Hyperlink"/>
    <w:basedOn w:val="38"/>
    <w:unhideWhenUsed/>
    <w:uiPriority w:val="99"/>
    <w:rPr>
      <w:color w:val="0000FF" w:themeColor="hyperlink"/>
      <w:u w:val="single"/>
      <w14:textFill>
        <w14:solidFill>
          <w14:schemeClr w14:val="hlink"/>
        </w14:solidFill>
      </w14:textFill>
    </w:rPr>
  </w:style>
  <w:style w:type="character" w:styleId="40">
    <w:name w:val="annotation reference"/>
    <w:basedOn w:val="38"/>
    <w:semiHidden/>
    <w:unhideWhenUsed/>
    <w:qFormat/>
    <w:uiPriority w:val="99"/>
    <w:rPr>
      <w:sz w:val="21"/>
      <w:szCs w:val="21"/>
    </w:rPr>
  </w:style>
  <w:style w:type="character" w:customStyle="1" w:styleId="41">
    <w:name w:val="页眉 Char"/>
    <w:basedOn w:val="38"/>
    <w:link w:val="25"/>
    <w:qFormat/>
    <w:uiPriority w:val="99"/>
    <w:rPr>
      <w:sz w:val="18"/>
      <w:szCs w:val="18"/>
    </w:rPr>
  </w:style>
  <w:style w:type="character" w:customStyle="1" w:styleId="42">
    <w:name w:val="页脚 Char"/>
    <w:basedOn w:val="38"/>
    <w:link w:val="24"/>
    <w:qFormat/>
    <w:uiPriority w:val="99"/>
    <w:rPr>
      <w:sz w:val="18"/>
      <w:szCs w:val="18"/>
    </w:rPr>
  </w:style>
  <w:style w:type="paragraph" w:styleId="43">
    <w:name w:val="No Spacing"/>
    <w:link w:val="44"/>
    <w:qFormat/>
    <w:uiPriority w:val="99"/>
    <w:pPr>
      <w:widowControl w:val="0"/>
      <w:jc w:val="center"/>
    </w:pPr>
    <w:rPr>
      <w:rFonts w:ascii="Times New Roman" w:hAnsi="Times New Roman" w:eastAsia="宋体" w:cs="Times New Roman"/>
      <w:kern w:val="2"/>
      <w:sz w:val="21"/>
      <w:szCs w:val="22"/>
      <w:lang w:val="en-US" w:eastAsia="zh-CN" w:bidi="ar-SA"/>
    </w:rPr>
  </w:style>
  <w:style w:type="character" w:customStyle="1" w:styleId="44">
    <w:name w:val="无间隔 Char"/>
    <w:link w:val="43"/>
    <w:qFormat/>
    <w:uiPriority w:val="99"/>
    <w:rPr>
      <w:rFonts w:ascii="Times New Roman" w:hAnsi="Times New Roman" w:eastAsia="宋体" w:cs="Times New Roman"/>
    </w:rPr>
  </w:style>
  <w:style w:type="paragraph" w:customStyle="1" w:styleId="45">
    <w:name w:val="_Style 3"/>
    <w:qFormat/>
    <w:uiPriority w:val="1"/>
    <w:pPr>
      <w:widowControl w:val="0"/>
      <w:jc w:val="center"/>
    </w:pPr>
    <w:rPr>
      <w:rFonts w:ascii="Calibri" w:hAnsi="Calibri" w:eastAsia="仿宋" w:cs="Times New Roman"/>
      <w:kern w:val="2"/>
      <w:sz w:val="21"/>
      <w:szCs w:val="22"/>
      <w:lang w:val="en-US" w:eastAsia="zh-CN" w:bidi="ar-SA"/>
    </w:rPr>
  </w:style>
  <w:style w:type="paragraph" w:customStyle="1" w:styleId="46">
    <w:name w:val="正文魏"/>
    <w:basedOn w:val="1"/>
    <w:uiPriority w:val="0"/>
    <w:pPr>
      <w:spacing w:line="360" w:lineRule="auto"/>
      <w:ind w:firstLine="200" w:firstLineChars="200"/>
    </w:pPr>
    <w:rPr>
      <w:rFonts w:ascii="等线" w:hAnsi="等线" w:eastAsia="宋体" w:cs="Times New Roman"/>
      <w:szCs w:val="24"/>
    </w:rPr>
  </w:style>
  <w:style w:type="character" w:customStyle="1" w:styleId="47">
    <w:name w:val="批注框文本 Char"/>
    <w:basedOn w:val="38"/>
    <w:link w:val="23"/>
    <w:semiHidden/>
    <w:qFormat/>
    <w:uiPriority w:val="99"/>
    <w:rPr>
      <w:sz w:val="18"/>
      <w:szCs w:val="18"/>
    </w:rPr>
  </w:style>
  <w:style w:type="character" w:customStyle="1" w:styleId="48">
    <w:name w:val="标题 1 Char"/>
    <w:basedOn w:val="38"/>
    <w:link w:val="2"/>
    <w:qFormat/>
    <w:uiPriority w:val="9"/>
    <w:rPr>
      <w:b/>
      <w:bCs/>
      <w:kern w:val="44"/>
      <w:sz w:val="32"/>
      <w:szCs w:val="44"/>
    </w:rPr>
  </w:style>
  <w:style w:type="character" w:customStyle="1" w:styleId="49">
    <w:name w:val="标题 2 Char"/>
    <w:basedOn w:val="38"/>
    <w:link w:val="3"/>
    <w:qFormat/>
    <w:uiPriority w:val="9"/>
    <w:rPr>
      <w:rFonts w:asciiTheme="majorHAnsi" w:hAnsiTheme="majorHAnsi" w:eastAsiaTheme="majorEastAsia" w:cstheme="majorBidi"/>
      <w:b/>
      <w:bCs/>
      <w:sz w:val="30"/>
      <w:szCs w:val="32"/>
    </w:rPr>
  </w:style>
  <w:style w:type="character" w:customStyle="1" w:styleId="50">
    <w:name w:val="标题 3 Char"/>
    <w:basedOn w:val="38"/>
    <w:link w:val="4"/>
    <w:qFormat/>
    <w:uiPriority w:val="9"/>
    <w:rPr>
      <w:b/>
      <w:bCs/>
      <w:sz w:val="28"/>
      <w:szCs w:val="32"/>
    </w:rPr>
  </w:style>
  <w:style w:type="paragraph" w:customStyle="1" w:styleId="51">
    <w:name w:val="图表名"/>
    <w:basedOn w:val="1"/>
    <w:next w:val="1"/>
    <w:qFormat/>
    <w:uiPriority w:val="0"/>
    <w:pPr>
      <w:spacing w:before="50" w:beforeLines="50" w:after="50" w:afterLines="50" w:line="360" w:lineRule="auto"/>
      <w:jc w:val="center"/>
    </w:pPr>
    <w:rPr>
      <w:b/>
      <w:szCs w:val="28"/>
    </w:rPr>
  </w:style>
  <w:style w:type="paragraph" w:customStyle="1" w:styleId="52">
    <w:name w:val="p0"/>
    <w:basedOn w:val="1"/>
    <w:qFormat/>
    <w:uiPriority w:val="0"/>
    <w:pPr>
      <w:widowControl/>
      <w:snapToGrid w:val="0"/>
    </w:pPr>
    <w:rPr>
      <w:rFonts w:ascii="等线" w:hAnsi="等线" w:eastAsia="宋体" w:cs="Courier New"/>
      <w:kern w:val="0"/>
      <w:sz w:val="28"/>
      <w:szCs w:val="28"/>
    </w:rPr>
  </w:style>
  <w:style w:type="character" w:customStyle="1" w:styleId="53">
    <w:name w:val="正文文本 Char"/>
    <w:basedOn w:val="38"/>
    <w:link w:val="15"/>
    <w:qFormat/>
    <w:uiPriority w:val="0"/>
    <w:rPr>
      <w:rFonts w:ascii="宋体" w:hAnsi="Times New Roman" w:eastAsia="宋体" w:cs="Times New Roman"/>
      <w:sz w:val="18"/>
      <w:szCs w:val="20"/>
    </w:rPr>
  </w:style>
  <w:style w:type="character" w:customStyle="1" w:styleId="54">
    <w:name w:val="font31"/>
    <w:basedOn w:val="38"/>
    <w:qFormat/>
    <w:uiPriority w:val="0"/>
    <w:rPr>
      <w:rFonts w:ascii="Times New Roman" w:hAnsi="Times New Roman" w:cs="Times New Roman"/>
      <w:color w:val="000000"/>
      <w:sz w:val="20"/>
      <w:szCs w:val="20"/>
      <w:u w:val="none"/>
      <w:lang w:bidi="ar-SA"/>
    </w:rPr>
  </w:style>
  <w:style w:type="character" w:customStyle="1" w:styleId="55">
    <w:name w:val="font11"/>
    <w:basedOn w:val="38"/>
    <w:qFormat/>
    <w:uiPriority w:val="0"/>
    <w:rPr>
      <w:rFonts w:ascii="宋体" w:eastAsia="宋体" w:cs="宋体"/>
      <w:color w:val="000000"/>
      <w:sz w:val="20"/>
      <w:szCs w:val="20"/>
      <w:u w:val="none"/>
      <w:lang w:bidi="ar-SA"/>
    </w:rPr>
  </w:style>
  <w:style w:type="character" w:customStyle="1" w:styleId="56">
    <w:name w:val="font41"/>
    <w:basedOn w:val="38"/>
    <w:uiPriority w:val="0"/>
    <w:rPr>
      <w:rFonts w:ascii="宋体" w:eastAsia="宋体" w:cs="宋体"/>
      <w:color w:val="000000"/>
      <w:sz w:val="20"/>
      <w:szCs w:val="20"/>
      <w:u w:val="none"/>
      <w:lang w:bidi="ar-SA"/>
    </w:rPr>
  </w:style>
  <w:style w:type="character" w:styleId="57">
    <w:name w:val="Placeholder Text"/>
    <w:basedOn w:val="38"/>
    <w:semiHidden/>
    <w:qFormat/>
    <w:uiPriority w:val="99"/>
    <w:rPr>
      <w:color w:val="808080"/>
    </w:rPr>
  </w:style>
  <w:style w:type="character" w:customStyle="1" w:styleId="58">
    <w:name w:val="标题 4 Char"/>
    <w:basedOn w:val="38"/>
    <w:link w:val="5"/>
    <w:qFormat/>
    <w:uiPriority w:val="9"/>
    <w:rPr>
      <w:rFonts w:asciiTheme="majorHAnsi" w:hAnsiTheme="majorHAnsi" w:eastAsiaTheme="majorEastAsia" w:cstheme="majorBidi"/>
      <w:b/>
      <w:bCs/>
      <w:sz w:val="24"/>
      <w:szCs w:val="28"/>
    </w:rPr>
  </w:style>
  <w:style w:type="character" w:customStyle="1" w:styleId="59">
    <w:name w:val="纯文本 Char"/>
    <w:basedOn w:val="38"/>
    <w:link w:val="19"/>
    <w:qFormat/>
    <w:uiPriority w:val="99"/>
    <w:rPr>
      <w:rFonts w:ascii="宋体" w:hAnsi="Courier New" w:eastAsia="宋体" w:cs="Courier New"/>
      <w:szCs w:val="21"/>
    </w:rPr>
  </w:style>
  <w:style w:type="character" w:customStyle="1" w:styleId="60">
    <w:name w:val="正文首行缩进 Char"/>
    <w:basedOn w:val="53"/>
    <w:link w:val="34"/>
    <w:semiHidden/>
    <w:qFormat/>
    <w:uiPriority w:val="99"/>
    <w:rPr>
      <w:rFonts w:ascii="宋体" w:hAnsi="Times New Roman" w:eastAsia="宋体" w:cs="Times New Roman"/>
      <w:sz w:val="24"/>
      <w:szCs w:val="20"/>
    </w:rPr>
  </w:style>
  <w:style w:type="character" w:customStyle="1" w:styleId="61">
    <w:name w:val="标题 5 Char"/>
    <w:basedOn w:val="38"/>
    <w:link w:val="6"/>
    <w:uiPriority w:val="9"/>
    <w:rPr>
      <w:b/>
      <w:bCs/>
      <w:sz w:val="24"/>
      <w:szCs w:val="28"/>
    </w:rPr>
  </w:style>
  <w:style w:type="character" w:customStyle="1" w:styleId="62">
    <w:name w:val="标题 6 Char"/>
    <w:basedOn w:val="38"/>
    <w:link w:val="7"/>
    <w:uiPriority w:val="9"/>
    <w:rPr>
      <w:rFonts w:asciiTheme="majorHAnsi" w:hAnsiTheme="majorHAnsi" w:eastAsiaTheme="majorEastAsia" w:cstheme="majorBidi"/>
      <w:b/>
      <w:bCs/>
      <w:sz w:val="24"/>
      <w:szCs w:val="24"/>
    </w:rPr>
  </w:style>
  <w:style w:type="paragraph" w:customStyle="1" w:styleId="63">
    <w:name w:val="表"/>
    <w:basedOn w:val="1"/>
    <w:link w:val="65"/>
    <w:qFormat/>
    <w:uiPriority w:val="0"/>
    <w:pPr>
      <w:jc w:val="center"/>
    </w:pPr>
    <w:rPr>
      <w:rFonts w:ascii="Times New Roman" w:hAnsi="Times New Roman" w:eastAsia="宋体" w:cs="Times New Roman"/>
      <w:sz w:val="21"/>
    </w:rPr>
  </w:style>
  <w:style w:type="character" w:customStyle="1" w:styleId="64">
    <w:name w:val="标题 7 Char"/>
    <w:basedOn w:val="38"/>
    <w:link w:val="8"/>
    <w:qFormat/>
    <w:uiPriority w:val="9"/>
    <w:rPr>
      <w:b/>
      <w:bCs/>
      <w:sz w:val="24"/>
      <w:szCs w:val="24"/>
    </w:rPr>
  </w:style>
  <w:style w:type="character" w:customStyle="1" w:styleId="65">
    <w:name w:val="表 Char"/>
    <w:link w:val="63"/>
    <w:qFormat/>
    <w:locked/>
    <w:uiPriority w:val="0"/>
    <w:rPr>
      <w:rFonts w:ascii="Times New Roman" w:hAnsi="Times New Roman" w:eastAsia="宋体" w:cs="Times New Roman"/>
    </w:rPr>
  </w:style>
  <w:style w:type="character" w:customStyle="1" w:styleId="66">
    <w:name w:val="标题 8 Char"/>
    <w:basedOn w:val="38"/>
    <w:link w:val="9"/>
    <w:semiHidden/>
    <w:uiPriority w:val="9"/>
    <w:rPr>
      <w:rFonts w:asciiTheme="majorHAnsi" w:hAnsiTheme="majorHAnsi" w:eastAsiaTheme="majorEastAsia" w:cstheme="majorBidi"/>
      <w:sz w:val="24"/>
      <w:szCs w:val="24"/>
    </w:rPr>
  </w:style>
  <w:style w:type="paragraph" w:customStyle="1" w:styleId="67">
    <w:name w:val="7表格文字"/>
    <w:basedOn w:val="1"/>
    <w:link w:val="68"/>
    <w:qFormat/>
    <w:uiPriority w:val="0"/>
    <w:pPr>
      <w:jc w:val="center"/>
    </w:pPr>
    <w:rPr>
      <w:rFonts w:ascii="Times New Roman" w:hAnsi="Times New Roman" w:eastAsia="宋体" w:cs="Times New Roman"/>
      <w:sz w:val="21"/>
      <w:szCs w:val="24"/>
    </w:rPr>
  </w:style>
  <w:style w:type="character" w:customStyle="1" w:styleId="68">
    <w:name w:val="7表格文字 Char"/>
    <w:link w:val="67"/>
    <w:qFormat/>
    <w:uiPriority w:val="0"/>
    <w:rPr>
      <w:rFonts w:ascii="Times New Roman" w:hAnsi="Times New Roman" w:eastAsia="宋体" w:cs="Times New Roman"/>
      <w:szCs w:val="24"/>
    </w:rPr>
  </w:style>
  <w:style w:type="character" w:customStyle="1" w:styleId="69">
    <w:name w:val="批注文字 Char"/>
    <w:basedOn w:val="38"/>
    <w:link w:val="12"/>
    <w:uiPriority w:val="99"/>
    <w:rPr>
      <w:rFonts w:ascii="Times New Roman" w:hAnsi="Times New Roman" w:eastAsia="宋体" w:cs="Times New Roman"/>
      <w:sz w:val="24"/>
      <w:szCs w:val="24"/>
    </w:rPr>
  </w:style>
  <w:style w:type="paragraph" w:customStyle="1" w:styleId="70">
    <w:name w:val="图表"/>
    <w:basedOn w:val="1"/>
    <w:link w:val="71"/>
    <w:semiHidden/>
    <w:qFormat/>
    <w:uiPriority w:val="0"/>
    <w:pPr>
      <w:widowControl/>
      <w:jc w:val="center"/>
    </w:pPr>
    <w:rPr>
      <w:rFonts w:ascii="Times New Roman" w:hAnsi="Times New Roman" w:eastAsia="宋体" w:cs="Times New Roman"/>
      <w:kern w:val="0"/>
      <w:szCs w:val="20"/>
    </w:rPr>
  </w:style>
  <w:style w:type="character" w:customStyle="1" w:styleId="71">
    <w:name w:val="图表 字符"/>
    <w:basedOn w:val="38"/>
    <w:link w:val="70"/>
    <w:semiHidden/>
    <w:qFormat/>
    <w:uiPriority w:val="0"/>
    <w:rPr>
      <w:rFonts w:ascii="Times New Roman" w:hAnsi="Times New Roman" w:eastAsia="宋体" w:cs="Times New Roman"/>
      <w:kern w:val="0"/>
      <w:sz w:val="24"/>
      <w:szCs w:val="20"/>
    </w:rPr>
  </w:style>
  <w:style w:type="character" w:customStyle="1" w:styleId="72">
    <w:name w:val="fontstyle01"/>
    <w:basedOn w:val="38"/>
    <w:qFormat/>
    <w:uiPriority w:val="0"/>
    <w:rPr>
      <w:rFonts w:hint="default" w:ascii="仿宋" w:hAnsi="仿宋"/>
      <w:color w:val="000000"/>
      <w:sz w:val="22"/>
      <w:szCs w:val="22"/>
    </w:rPr>
  </w:style>
  <w:style w:type="paragraph" w:customStyle="1" w:styleId="73">
    <w:name w:val="报告书正文"/>
    <w:basedOn w:val="1"/>
    <w:link w:val="74"/>
    <w:uiPriority w:val="99"/>
    <w:pPr>
      <w:autoSpaceDE w:val="0"/>
      <w:autoSpaceDN w:val="0"/>
      <w:adjustRightInd w:val="0"/>
      <w:spacing w:line="460" w:lineRule="exact"/>
      <w:ind w:firstLine="200" w:firstLineChars="200"/>
    </w:pPr>
    <w:rPr>
      <w:rFonts w:ascii="Times New Roman" w:hAnsi="Times New Roman" w:eastAsia="宋体" w:cs="Times New Roman"/>
      <w:kern w:val="0"/>
      <w:szCs w:val="24"/>
      <w:u w:color="000000"/>
    </w:rPr>
  </w:style>
  <w:style w:type="character" w:customStyle="1" w:styleId="74">
    <w:name w:val="报告书正文 Char"/>
    <w:link w:val="73"/>
    <w:qFormat/>
    <w:uiPriority w:val="99"/>
    <w:rPr>
      <w:sz w:val="24"/>
      <w:szCs w:val="24"/>
      <w:u w:color="000000"/>
    </w:rPr>
  </w:style>
  <w:style w:type="paragraph" w:customStyle="1" w:styleId="75">
    <w:name w:val="11正文"/>
    <w:basedOn w:val="1"/>
    <w:uiPriority w:val="0"/>
    <w:pPr>
      <w:spacing w:line="360" w:lineRule="auto"/>
      <w:ind w:firstLine="200" w:firstLineChars="200"/>
    </w:pPr>
    <w:rPr>
      <w:rFonts w:ascii="Times New Roman" w:hAnsi="Times New Roman" w:eastAsia="宋体" w:cs="Times New Roman"/>
      <w:szCs w:val="24"/>
    </w:rPr>
  </w:style>
  <w:style w:type="character" w:customStyle="1" w:styleId="76">
    <w:name w:val="批注文字 字符1"/>
    <w:uiPriority w:val="99"/>
    <w:rPr>
      <w:rFonts w:ascii="Times New Roman" w:hAnsi="Times New Roman" w:eastAsia="宋体" w:cs="Times New Roman"/>
      <w:szCs w:val="24"/>
    </w:rPr>
  </w:style>
  <w:style w:type="paragraph" w:customStyle="1" w:styleId="77">
    <w:name w:val="1正文段落"/>
    <w:basedOn w:val="1"/>
    <w:link w:val="78"/>
    <w:qFormat/>
    <w:uiPriority w:val="0"/>
    <w:pPr>
      <w:spacing w:line="360" w:lineRule="auto"/>
      <w:ind w:firstLine="480" w:firstLineChars="200"/>
    </w:pPr>
    <w:rPr>
      <w:rFonts w:ascii="Times New Roman" w:hAnsi="Times New Roman" w:eastAsia="宋体" w:cs="Times New Roman"/>
      <w:snapToGrid w:val="0"/>
      <w:kern w:val="0"/>
      <w:szCs w:val="24"/>
    </w:rPr>
  </w:style>
  <w:style w:type="character" w:customStyle="1" w:styleId="78">
    <w:name w:val="1正文段落 Char"/>
    <w:link w:val="77"/>
    <w:qFormat/>
    <w:uiPriority w:val="0"/>
    <w:rPr>
      <w:snapToGrid w:val="0"/>
      <w:sz w:val="24"/>
      <w:szCs w:val="24"/>
    </w:rPr>
  </w:style>
  <w:style w:type="character" w:customStyle="1" w:styleId="79">
    <w:name w:val="批注主题 Char"/>
    <w:basedOn w:val="69"/>
    <w:link w:val="33"/>
    <w:semiHidden/>
    <w:qFormat/>
    <w:uiPriority w:val="99"/>
    <w:rPr>
      <w:rFonts w:asciiTheme="minorHAnsi" w:hAnsiTheme="minorHAnsi" w:eastAsiaTheme="minorEastAsia" w:cstheme="minorBidi"/>
      <w:b/>
      <w:bCs/>
      <w:kern w:val="2"/>
      <w:sz w:val="24"/>
      <w:szCs w:val="22"/>
    </w:rPr>
  </w:style>
  <w:style w:type="table" w:customStyle="1" w:styleId="80">
    <w:name w:val="网格型2"/>
    <w:basedOn w:val="36"/>
    <w:uiPriority w:val="39"/>
    <w:rPr>
      <w:rFonts w:ascii="Calibri" w:hAnsi="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网格型1"/>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网格型21"/>
    <w:basedOn w:val="36"/>
    <w:qFormat/>
    <w:uiPriority w:val="39"/>
    <w:rPr>
      <w:rFonts w:ascii="Calibri" w:hAnsi="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网格型39"/>
    <w:basedOn w:val="36"/>
    <w:uiPriority w:val="39"/>
    <w:rPr>
      <w:rFonts w:asciiTheme="minorHAnsi" w:hAnsiTheme="minorHAnsi" w:eastAsiaTheme="minorEastAsia" w:cstheme="minorBidi"/>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4">
    <w:name w:val="表格文字"/>
    <w:basedOn w:val="15"/>
    <w:link w:val="97"/>
    <w:qFormat/>
    <w:uiPriority w:val="0"/>
    <w:pPr>
      <w:spacing w:after="120"/>
      <w:jc w:val="center"/>
    </w:pPr>
    <w:rPr>
      <w:rFonts w:asciiTheme="minorHAnsi" w:hAnsiTheme="minorHAnsi" w:eastAsiaTheme="minorEastAsia"/>
      <w:bCs/>
      <w:sz w:val="21"/>
      <w:szCs w:val="24"/>
    </w:rPr>
  </w:style>
  <w:style w:type="paragraph" w:customStyle="1" w:styleId="85">
    <w:name w:val="Revision"/>
    <w:hidden/>
    <w:semiHidden/>
    <w:qFormat/>
    <w:uiPriority w:val="99"/>
    <w:rPr>
      <w:rFonts w:asciiTheme="minorHAnsi" w:hAnsiTheme="minorHAnsi" w:eastAsiaTheme="minorEastAsia" w:cstheme="minorBidi"/>
      <w:kern w:val="2"/>
      <w:sz w:val="24"/>
      <w:szCs w:val="22"/>
      <w:lang w:val="en-US" w:eastAsia="zh-CN" w:bidi="ar-SA"/>
    </w:rPr>
  </w:style>
  <w:style w:type="table" w:customStyle="1" w:styleId="86">
    <w:name w:val="网格型4"/>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
    <w:name w:val="网格型3"/>
    <w:basedOn w:val="36"/>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
    <w:name w:val="网格型5"/>
    <w:basedOn w:val="36"/>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网格型11"/>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91">
    <w:name w:val="日期 Char"/>
    <w:basedOn w:val="38"/>
    <w:link w:val="21"/>
    <w:semiHidden/>
    <w:uiPriority w:val="99"/>
    <w:rPr>
      <w:rFonts w:asciiTheme="minorHAnsi" w:hAnsiTheme="minorHAnsi" w:eastAsiaTheme="minorEastAsia" w:cstheme="minorBidi"/>
      <w:kern w:val="2"/>
      <w:sz w:val="24"/>
      <w:szCs w:val="22"/>
    </w:rPr>
  </w:style>
  <w:style w:type="character" w:customStyle="1" w:styleId="92">
    <w:name w:val="报告正文 Char Char"/>
    <w:link w:val="93"/>
    <w:uiPriority w:val="0"/>
    <w:rPr>
      <w:kern w:val="2"/>
      <w:sz w:val="24"/>
      <w:szCs w:val="24"/>
    </w:rPr>
  </w:style>
  <w:style w:type="paragraph" w:customStyle="1" w:styleId="93">
    <w:name w:val="报告正文"/>
    <w:basedOn w:val="1"/>
    <w:link w:val="92"/>
    <w:qFormat/>
    <w:uiPriority w:val="0"/>
    <w:pPr>
      <w:spacing w:line="360" w:lineRule="auto"/>
      <w:ind w:firstLine="200" w:firstLineChars="200"/>
      <w:jc w:val="left"/>
    </w:pPr>
    <w:rPr>
      <w:rFonts w:ascii="Times New Roman" w:hAnsi="Times New Roman" w:eastAsia="宋体" w:cs="Times New Roman"/>
      <w:szCs w:val="24"/>
    </w:rPr>
  </w:style>
  <w:style w:type="paragraph" w:customStyle="1" w:styleId="94">
    <w:name w:val="表格"/>
    <w:basedOn w:val="1"/>
    <w:uiPriority w:val="0"/>
    <w:pPr>
      <w:jc w:val="center"/>
    </w:pPr>
    <w:rPr>
      <w:rFonts w:hint="eastAsia" w:ascii="Times New Roman" w:hAnsi="Times New Roman" w:eastAsia="宋体" w:cs="Times New Roman"/>
      <w:sz w:val="21"/>
      <w:szCs w:val="21"/>
    </w:rPr>
  </w:style>
  <w:style w:type="character" w:customStyle="1" w:styleId="95">
    <w:name w:val="hover64"/>
    <w:qFormat/>
    <w:uiPriority w:val="0"/>
    <w:rPr>
      <w:shd w:val="clear" w:color="auto" w:fill="1B78BF"/>
    </w:rPr>
  </w:style>
  <w:style w:type="character" w:customStyle="1" w:styleId="96">
    <w:name w:val="正文文本 3 Char"/>
    <w:basedOn w:val="38"/>
    <w:link w:val="13"/>
    <w:semiHidden/>
    <w:qFormat/>
    <w:uiPriority w:val="99"/>
    <w:rPr>
      <w:rFonts w:asciiTheme="minorHAnsi" w:hAnsiTheme="minorHAnsi" w:eastAsiaTheme="minorEastAsia" w:cstheme="minorBidi"/>
      <w:kern w:val="2"/>
      <w:sz w:val="16"/>
      <w:szCs w:val="16"/>
    </w:rPr>
  </w:style>
  <w:style w:type="character" w:customStyle="1" w:styleId="97">
    <w:name w:val="表格文字 Char"/>
    <w:link w:val="84"/>
    <w:qFormat/>
    <w:uiPriority w:val="0"/>
    <w:rPr>
      <w:rFonts w:asciiTheme="minorHAnsi" w:hAnsiTheme="minorHAnsi" w:eastAsiaTheme="minorEastAsia"/>
      <w:bCs/>
      <w:kern w:val="2"/>
      <w:sz w:val="21"/>
      <w:szCs w:val="24"/>
    </w:rPr>
  </w:style>
  <w:style w:type="paragraph" w:customStyle="1" w:styleId="98">
    <w:name w:val="Default"/>
    <w:link w:val="9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9">
    <w:name w:val="Default Char"/>
    <w:link w:val="98"/>
    <w:qFormat/>
    <w:uiPriority w:val="0"/>
    <w:rPr>
      <w:rFonts w:ascii="宋体" w:cs="宋体"/>
      <w:color w:val="000000"/>
      <w:sz w:val="24"/>
      <w:szCs w:val="24"/>
    </w:rPr>
  </w:style>
  <w:style w:type="table" w:customStyle="1" w:styleId="100">
    <w:name w:val="网格型36"/>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
    <w:name w:val="正文文本缩进 Char"/>
    <w:basedOn w:val="38"/>
    <w:link w:val="16"/>
    <w:semiHidden/>
    <w:uiPriority w:val="99"/>
    <w:rPr>
      <w:rFonts w:asciiTheme="minorHAnsi" w:hAnsiTheme="minorHAnsi" w:eastAsiaTheme="minorEastAsia" w:cstheme="minorBidi"/>
      <w:kern w:val="2"/>
      <w:sz w:val="24"/>
      <w:szCs w:val="22"/>
    </w:rPr>
  </w:style>
  <w:style w:type="character" w:customStyle="1" w:styleId="102">
    <w:name w:val="正文首行缩进 2 Char"/>
    <w:basedOn w:val="101"/>
    <w:link w:val="35"/>
    <w:semiHidden/>
    <w:qFormat/>
    <w:uiPriority w:val="99"/>
    <w:rPr>
      <w:rFonts w:asciiTheme="minorHAnsi" w:hAnsiTheme="minorHAnsi" w:eastAsiaTheme="minorEastAsia" w:cstheme="minorBidi"/>
      <w:kern w:val="2"/>
      <w:sz w:val="24"/>
      <w:szCs w:val="22"/>
    </w:rPr>
  </w:style>
  <w:style w:type="character" w:customStyle="1" w:styleId="103">
    <w:name w:val="fontstyle21"/>
    <w:basedOn w:val="38"/>
    <w:qFormat/>
    <w:uiPriority w:val="0"/>
    <w:rPr>
      <w:rFonts w:hint="eastAsia" w:ascii="宋体" w:hAnsi="宋体" w:eastAsia="宋体"/>
      <w:color w:val="000000"/>
      <w:sz w:val="24"/>
      <w:szCs w:val="24"/>
    </w:rPr>
  </w:style>
  <w:style w:type="paragraph" w:customStyle="1" w:styleId="104">
    <w:name w:val="表文字1"/>
    <w:basedOn w:val="1"/>
    <w:next w:val="1"/>
    <w:qFormat/>
    <w:uiPriority w:val="0"/>
    <w:pPr>
      <w:spacing w:line="360" w:lineRule="auto"/>
      <w:ind w:firstLine="200" w:firstLineChars="200"/>
      <w:jc w:val="center"/>
    </w:pPr>
    <w:rPr>
      <w:rFonts w:ascii="Times New Roman" w:hAnsi="Times New Roman" w:eastAsia="宋体" w:cs="Times New Roman"/>
      <w:color w:val="000000"/>
      <w:sz w:val="21"/>
      <w:szCs w:val="24"/>
    </w:rPr>
  </w:style>
  <w:style w:type="paragraph" w:customStyle="1" w:styleId="105">
    <w:name w:val="3标题"/>
    <w:basedOn w:val="1"/>
    <w:qFormat/>
    <w:uiPriority w:val="0"/>
    <w:pPr>
      <w:tabs>
        <w:tab w:val="left" w:pos="709"/>
      </w:tabs>
      <w:spacing w:before="156" w:beforeLines="50" w:after="156" w:afterLines="50" w:line="400" w:lineRule="exact"/>
      <w:ind w:firstLine="200" w:firstLineChars="200"/>
      <w:jc w:val="left"/>
      <w:outlineLvl w:val="2"/>
    </w:pPr>
    <w:rPr>
      <w:rFonts w:ascii="Times New Roman" w:hAnsi="Times New Roman" w:eastAsia="宋体" w:cs="Times New Roman"/>
      <w:b/>
      <w:sz w:val="28"/>
      <w:szCs w:val="28"/>
    </w:rPr>
  </w:style>
  <w:style w:type="character" w:customStyle="1" w:styleId="106">
    <w:name w:val="表文字 Char"/>
    <w:link w:val="107"/>
    <w:uiPriority w:val="0"/>
    <w:rPr>
      <w:rFonts w:eastAsia="Cambria Math"/>
      <w:sz w:val="21"/>
      <w:szCs w:val="21"/>
      <w:lang w:val="zh-CN"/>
    </w:rPr>
  </w:style>
  <w:style w:type="paragraph" w:customStyle="1" w:styleId="107">
    <w:name w:val="表文字"/>
    <w:basedOn w:val="1"/>
    <w:link w:val="106"/>
    <w:uiPriority w:val="0"/>
    <w:pPr>
      <w:tabs>
        <w:tab w:val="left" w:pos="1021"/>
      </w:tabs>
      <w:overflowPunct w:val="0"/>
      <w:autoSpaceDE w:val="0"/>
      <w:autoSpaceDN w:val="0"/>
      <w:adjustRightInd w:val="0"/>
      <w:spacing w:line="240" w:lineRule="atLeast"/>
      <w:ind w:firstLine="200" w:firstLineChars="200"/>
      <w:jc w:val="center"/>
      <w:textAlignment w:val="baseline"/>
    </w:pPr>
    <w:rPr>
      <w:rFonts w:ascii="Times New Roman" w:hAnsi="Times New Roman" w:eastAsia="Cambria Math" w:cs="Times New Roman"/>
      <w:kern w:val="0"/>
      <w:sz w:val="21"/>
      <w:szCs w:val="21"/>
      <w:lang w:val="zh-CN"/>
    </w:rPr>
  </w:style>
  <w:style w:type="paragraph" w:customStyle="1" w:styleId="108">
    <w:name w:val="表头文字"/>
    <w:basedOn w:val="32"/>
    <w:uiPriority w:val="0"/>
    <w:pPr>
      <w:overflowPunct w:val="0"/>
      <w:autoSpaceDE w:val="0"/>
      <w:autoSpaceDN w:val="0"/>
      <w:adjustRightInd w:val="0"/>
      <w:spacing w:line="600" w:lineRule="exact"/>
      <w:ind w:firstLine="0" w:firstLineChars="0"/>
      <w:jc w:val="center"/>
      <w:textAlignment w:val="baseline"/>
    </w:pPr>
    <w:rPr>
      <w:rFonts w:ascii="黑体" w:hAnsi="Times New Roman" w:eastAsia="黑体" w:cs="Times New Roman"/>
      <w:b/>
      <w:kern w:val="0"/>
      <w:sz w:val="28"/>
      <w:szCs w:val="20"/>
    </w:rPr>
  </w:style>
  <w:style w:type="character" w:customStyle="1" w:styleId="109">
    <w:name w:val="cf01"/>
    <w:basedOn w:val="38"/>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customXml" Target="../customXml/item1.xml"/><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wmf"/><Relationship Id="rId60" Type="http://schemas.openxmlformats.org/officeDocument/2006/relationships/oleObject" Target="embeddings/oleObject2.bin"/><Relationship Id="rId6" Type="http://schemas.openxmlformats.org/officeDocument/2006/relationships/header" Target="header3.xml"/><Relationship Id="rId59" Type="http://schemas.openxmlformats.org/officeDocument/2006/relationships/image" Target="media/image29.wmf"/><Relationship Id="rId58" Type="http://schemas.openxmlformats.org/officeDocument/2006/relationships/oleObject" Target="embeddings/oleObject1.bin"/><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header" Target="header2.xml"/><Relationship Id="rId49" Type="http://schemas.openxmlformats.org/officeDocument/2006/relationships/image" Target="media/image20.png"/><Relationship Id="rId48" Type="http://schemas.openxmlformats.org/officeDocument/2006/relationships/image" Target="media/image19.wmf"/><Relationship Id="rId47" Type="http://schemas.openxmlformats.org/officeDocument/2006/relationships/image" Target="media/image18.wmf"/><Relationship Id="rId46" Type="http://schemas.openxmlformats.org/officeDocument/2006/relationships/image" Target="media/image17.wmf"/><Relationship Id="rId45" Type="http://schemas.openxmlformats.org/officeDocument/2006/relationships/image" Target="media/image16.wmf"/><Relationship Id="rId44" Type="http://schemas.openxmlformats.org/officeDocument/2006/relationships/image" Target="media/image15.wmf"/><Relationship Id="rId43" Type="http://schemas.openxmlformats.org/officeDocument/2006/relationships/image" Target="media/image14.wmf"/><Relationship Id="rId42" Type="http://schemas.openxmlformats.org/officeDocument/2006/relationships/image" Target="media/image13.wmf"/><Relationship Id="rId41" Type="http://schemas.openxmlformats.org/officeDocument/2006/relationships/image" Target="media/image12.wmf"/><Relationship Id="rId40" Type="http://schemas.openxmlformats.org/officeDocument/2006/relationships/image" Target="media/image11.wmf"/><Relationship Id="rId4" Type="http://schemas.openxmlformats.org/officeDocument/2006/relationships/header" Target="header1.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jpe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jpe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10.xml"/><Relationship Id="rId27" Type="http://schemas.openxmlformats.org/officeDocument/2006/relationships/header" Target="header16.xml"/><Relationship Id="rId26" Type="http://schemas.openxmlformats.org/officeDocument/2006/relationships/footer" Target="footer9.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footer" Target="footer8.xml"/><Relationship Id="rId22" Type="http://schemas.openxmlformats.org/officeDocument/2006/relationships/footer" Target="footer7.xml"/><Relationship Id="rId21" Type="http://schemas.openxmlformats.org/officeDocument/2006/relationships/footer" Target="footer6.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E602BF-BC9C-4A7C-88C7-9207F5CD376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402</Pages>
  <Words>48440</Words>
  <Characters>276114</Characters>
  <Lines>2300</Lines>
  <Paragraphs>647</Paragraphs>
  <TotalTime>13</TotalTime>
  <ScaleCrop>false</ScaleCrop>
  <LinksUpToDate>false</LinksUpToDate>
  <CharactersWithSpaces>323907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2023-09-18T01:49:00Z</dcterms:created>
  <dc:creator>Administrator</dc:creator>
  <cp:lastModifiedBy>WpsUser</cp:lastModifiedBy>
  <cp:lastPrinted>2023-05-17T01:58:00Z</cp:lastPrinted>
  <dcterms:modified xsi:type="dcterms:W3CDTF">2023-10-08T02:15:51Z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E7AF904ABA284E459F9502A400B7DA88</vt:lpwstr>
  </property>
</Properties>
</file>