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right"/>
        <w:outlineLvl w:val="0"/>
        <w:rPr>
          <w:rFonts w:hint="eastAsia" w:ascii="宋体"/>
          <w:bCs/>
          <w:color w:val="000000"/>
          <w:sz w:val="28"/>
        </w:rPr>
      </w:pPr>
    </w:p>
    <w:p>
      <w:pPr>
        <w:wordWrap w:val="0"/>
        <w:jc w:val="right"/>
        <w:outlineLvl w:val="0"/>
        <w:rPr>
          <w:rFonts w:hint="eastAsia" w:ascii="宋体"/>
          <w:bCs/>
          <w:color w:val="000000"/>
          <w:sz w:val="28"/>
        </w:rPr>
      </w:pPr>
    </w:p>
    <w:p>
      <w:pPr>
        <w:wordWrap w:val="0"/>
        <w:jc w:val="right"/>
        <w:outlineLvl w:val="0"/>
        <w:rPr>
          <w:rFonts w:hint="eastAsia" w:ascii="宋体"/>
          <w:bCs/>
          <w:color w:val="000000"/>
          <w:sz w:val="28"/>
          <w:lang w:val="en-US" w:eastAsia="zh-CN"/>
        </w:rPr>
      </w:pPr>
      <w:r>
        <w:rPr>
          <w:rFonts w:hint="eastAsia" w:ascii="宋体"/>
          <w:bCs/>
          <w:color w:val="000000"/>
          <w:sz w:val="28"/>
        </w:rPr>
        <w:t>临环验字[</w:t>
      </w:r>
      <w:r>
        <w:rPr>
          <w:rFonts w:hint="eastAsia" w:ascii="宋体"/>
          <w:bCs/>
          <w:color w:val="000000"/>
          <w:sz w:val="28"/>
          <w:lang w:val="en-US" w:eastAsia="zh-CN"/>
        </w:rPr>
        <w:t>2017</w:t>
      </w:r>
      <w:r>
        <w:rPr>
          <w:rFonts w:hint="eastAsia" w:ascii="宋体"/>
          <w:bCs/>
          <w:color w:val="000000"/>
          <w:sz w:val="28"/>
        </w:rPr>
        <w:t>]</w:t>
      </w:r>
      <w:r>
        <w:rPr>
          <w:rFonts w:hint="eastAsia" w:ascii="宋体"/>
          <w:bCs/>
          <w:color w:val="000000"/>
          <w:sz w:val="28"/>
          <w:lang w:val="en-US" w:eastAsia="zh-CN"/>
        </w:rPr>
        <w:t xml:space="preserve">011号    </w:t>
      </w:r>
    </w:p>
    <w:p>
      <w:pPr>
        <w:wordWrap/>
        <w:jc w:val="center"/>
        <w:outlineLvl w:val="0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岳阳洞庭传奇食品有限公司年产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1.5万吨风味鱼制品建设</w:t>
      </w:r>
      <w:r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环境保护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竣工验收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的批复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tabs>
          <w:tab w:val="left" w:pos="900"/>
          <w:tab w:val="left" w:pos="1620"/>
        </w:tabs>
        <w:spacing w:line="360" w:lineRule="auto"/>
        <w:ind w:left="57" w:leftChars="27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岳阳洞庭传奇食品有限公司：</w:t>
      </w:r>
      <w:bookmarkStart w:id="0" w:name="_GoBack"/>
      <w:bookmarkEnd w:id="0"/>
    </w:p>
    <w:p>
      <w:pPr>
        <w:tabs>
          <w:tab w:val="center" w:pos="4561"/>
          <w:tab w:val="left" w:pos="7770"/>
        </w:tabs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根据你单位的申请及提交的《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岳阳洞庭传奇食品有限公司年产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1.5万吨风味鱼制品建设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竣工环境保护验收监测报告表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</w:rPr>
        <w:t>等资料，我局于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日主持召开了该项目竣工环境保护验收会，经研究，批复如下：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360" w:lineRule="auto"/>
        <w:ind w:firstLine="64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一、项目基本情况</w:t>
      </w:r>
    </w:p>
    <w:p>
      <w:pPr>
        <w:spacing w:line="360" w:lineRule="auto"/>
        <w:ind w:firstLine="642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本项目位于临湘市乘风乡横河堤养殖场粮站。项目占地面积约10778m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，总建筑面积9516.19m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该项目属于补办环评手续。其主要建设内容包括主体工程（冷冻、解冻加工车间、卤制车间、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2t/h锅炉房等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）、公用工程（办公区、接待区、食堂宿舍）、环保工程等。主要产品为卤制鱼和油炸鱼，主要生产工艺为剖洗、腌制、预煮、晾干、烘干、分解、卤制（或油炸）、拌料、灌装、杀菌、入库。</w:t>
      </w:r>
    </w:p>
    <w:p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二、环境保护执行情况</w:t>
      </w:r>
    </w:p>
    <w:p>
      <w:pPr>
        <w:ind w:firstLine="48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该工程根据国家有关规定的要求，</w:t>
      </w:r>
      <w:r>
        <w:rPr>
          <w:rFonts w:hint="eastAsia" w:ascii="仿宋" w:hAnsi="仿宋" w:eastAsia="仿宋" w:cs="仿宋"/>
          <w:sz w:val="32"/>
          <w:szCs w:val="32"/>
        </w:rPr>
        <w:t>2015年8月，常德市双赢环境咨询服务有限公司完成了年产1.5万吨风味鱼制品建设项目环境影响报告表的编写。2015年9月7日，临湘市环境保护局对岳阳洞庭传奇食品有限公司年产1.5万吨风味鱼制品建设项目环境影响报告表进行了批复，批复文号为“临环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</w:t>
      </w:r>
      <w:r>
        <w:rPr>
          <w:rFonts w:hint="eastAsia" w:ascii="仿宋" w:hAnsi="仿宋" w:eastAsia="仿宋" w:cs="仿宋"/>
          <w:sz w:val="32"/>
          <w:szCs w:val="32"/>
        </w:rPr>
        <w:t>[2015]42号”。2016年9月25日，岳阳洞庭传奇食品有限公司提交了年产1.5万吨风味鱼制品建设项目竣工环境保护验收的申请报告。2016年11月，岳阳洞庭传奇食品有限公司委托岳阳市衡润检测有限公司对年产1.5万吨风味鱼制品建设项目进行竣工环保验收监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该项目于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2016年已纳入临湘市人民政府加强违规建设项目清理整治的范围内。</w:t>
      </w:r>
    </w:p>
    <w:p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三、验收监测结果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项目废气主要为锅炉废气，卤制废气，油炸废气，烘干废气，食堂油烟废气以及污水处理站废气。其中锅炉废气、卤制废气，油炸废气，食堂油烟废气为有组织排放，污水处理站污泥废气为无组织排放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烟尘、SO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、NO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bscript"/>
        </w:rPr>
        <w:t>X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均符合《锅炉大气污染物综合排放标准》（GB13271－2014）表2中燃煤锅炉标准限值。</w:t>
      </w:r>
    </w:p>
    <w:p>
      <w:pPr>
        <w:ind w:firstLine="48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项目产生的废水主要是鱼制品生产废水，设备、地面冲洗废水，锅炉麻石水膜除尘水以及员工生活废水。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废水总排口废水pH、SS、CODcr、BOD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bscript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、NH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bscript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-N、TP、动植物油日均值均符合《污水综合排放标准》（GB8978－1996）表4中的一级标准限值。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项目噪声主要为烘干机、油炸机和拌料机等机械设备产生的噪声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昼间厂界噪声符合《工业企业厂界环境噪声排放标准》（GB12348-2008）2类标准限值，西侧居民敏感点环境噪声符合《声环境质量标准》（GB3096－2008）中2类声环境功能区标准。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项目固体废物主要为解剖固废、不合格品、废卤渣、油炸工序废渣、废油、废包装材料、污水处理系统污泥、锅炉灰渣、员工生活垃圾。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固废处置符合环保要求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四、验收结论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岳阳洞庭传奇食品有限公司年产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1.5万吨风味鱼制品建设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项目环保手续齐全，环评提出的污染防治措施基本得到落实，主要污染物达标排放，符合环保设施竣工验收条件。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其它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项目验收投入生产时应加强内部管理，严格落实污染防治措施，做到稳定达标排放。</w:t>
      </w:r>
    </w:p>
    <w:p>
      <w:pPr>
        <w:spacing w:line="360" w:lineRule="auto"/>
        <w:ind w:right="48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right="48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right="48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临湘市环境保护局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　</w:t>
      </w:r>
    </w:p>
    <w:p>
      <w:pPr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360" w:lineRule="auto"/>
        <w:ind w:right="480"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宋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dvEPSTIM-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·s²Ó©úÅé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onotype Sorts">
    <w:altName w:val="MT Extra"/>
    <w:panose1 w:val="01010601010101010101"/>
    <w:charset w:val="02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黑天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decorative"/>
    <w:pitch w:val="default"/>
    <w:sig w:usb0="00000287" w:usb1="00000000" w:usb2="00000000" w:usb3="00000000" w:csb0="2000009F" w:csb1="DFD7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utura Bk BT">
    <w:altName w:val="Lucida Sans Unicode"/>
    <w:panose1 w:val="020B0502020204020303"/>
    <w:charset w:val="00"/>
    <w:family w:val="swiss"/>
    <w:pitch w:val="default"/>
    <w:sig w:usb0="00000000" w:usb1="00000000" w:usb2="00000000" w:usb3="00000000" w:csb0="0000001B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宋?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 Identity 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D9AF"/>
    <w:multiLevelType w:val="singleLevel"/>
    <w:tmpl w:val="5987D9A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117E"/>
    <w:rsid w:val="124A2B20"/>
    <w:rsid w:val="19EF3D40"/>
    <w:rsid w:val="1F0F5C6D"/>
    <w:rsid w:val="2ABC5B06"/>
    <w:rsid w:val="3C8D481F"/>
    <w:rsid w:val="4D09117E"/>
    <w:rsid w:val="7A6D4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报告正文"/>
    <w:basedOn w:val="1"/>
    <w:qFormat/>
    <w:uiPriority w:val="0"/>
    <w:pPr>
      <w:adjustRightInd w:val="0"/>
      <w:snapToGrid w:val="0"/>
      <w:ind w:firstLine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2017-08-07T01:39:00Z</dcterms:created>
  <dc:creator>Administrator</dc:creator>
  <cp:lastModifiedBy>Administrator</cp:lastModifiedBy>
  <cp:lastPrinted>2017-08-07T02:48:00Z</cp:lastPrinted>
  <dcterms:modified xsi:type="dcterms:W3CDTF">2017-08-07T03:04:02Z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