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仿宋_GB2312" w:hAnsi="仿宋_GB2312" w:eastAsia="仿宋_GB2312" w:cs="仿宋_GB2312"/>
          <w:sz w:val="32"/>
          <w:szCs w:val="32"/>
        </w:rPr>
      </w:pPr>
    </w:p>
    <w:p>
      <w:pPr>
        <w:spacing w:line="480" w:lineRule="exact"/>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临湘市2018年基层农技推广体系改革</w:t>
      </w:r>
    </w:p>
    <w:p>
      <w:pPr>
        <w:jc w:val="center"/>
        <w:rPr>
          <w:rFonts w:hint="eastAsia" w:ascii="仿宋_GB2312" w:hAnsi="仿宋_GB2312" w:eastAsia="仿宋_GB2312" w:cs="仿宋_GB2312"/>
          <w:b/>
          <w:bCs/>
          <w:sz w:val="10"/>
          <w:szCs w:val="10"/>
        </w:rPr>
      </w:pPr>
      <w:r>
        <w:rPr>
          <w:rFonts w:hint="eastAsia" w:ascii="仿宋_GB2312" w:hAnsi="仿宋_GB2312" w:eastAsia="仿宋_GB2312" w:cs="仿宋_GB2312"/>
          <w:b/>
          <w:bCs/>
          <w:sz w:val="44"/>
          <w:szCs w:val="44"/>
        </w:rPr>
        <w:t>与建设项目实施方案</w:t>
      </w:r>
    </w:p>
    <w:p>
      <w:pPr>
        <w:jc w:val="center"/>
        <w:rPr>
          <w:rFonts w:hint="eastAsia" w:ascii="仿宋_GB2312" w:hAnsi="仿宋_GB2312" w:eastAsia="仿宋_GB2312" w:cs="仿宋_GB2312"/>
          <w:b/>
          <w:bCs/>
          <w:sz w:val="10"/>
          <w:szCs w:val="10"/>
        </w:rPr>
      </w:pPr>
    </w:p>
    <w:p>
      <w:pPr>
        <w:shd w:val="clear" w:color="auto" w:fill="FFFFFF"/>
        <w:ind w:firstLine="800" w:firstLineChars="25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根据《农业农村部  财政部关于做好2018年农业生产发展等项目实施工作的通知》(农财发〔2018〕13号)和《农业农村部办公厅关于做好2018年基层农技推广体系改革与建设项目组织实施工作的通知》(农办科〔2018〕13号)有关要求，</w:t>
      </w:r>
      <w:r>
        <w:rPr>
          <w:rFonts w:hint="eastAsia" w:ascii="仿宋_GB2312" w:hAnsi="仿宋_GB2312" w:eastAsia="仿宋_GB2312" w:cs="仿宋_GB2312"/>
          <w:color w:val="000000"/>
          <w:sz w:val="32"/>
          <w:szCs w:val="32"/>
        </w:rPr>
        <w:t>充分发挥资金使用效率，强化农技推广体系公共服务能力，提升服务效果，结合实际，特制定本实施方案。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ko-KR"/>
        </w:rPr>
        <w:t>ᅳ、</w:t>
      </w:r>
      <w:r>
        <w:rPr>
          <w:rFonts w:hint="eastAsia" w:ascii="仿宋_GB2312" w:hAnsi="仿宋_GB2312" w:eastAsia="仿宋_GB2312" w:cs="仿宋_GB2312"/>
          <w:sz w:val="32"/>
          <w:szCs w:val="32"/>
        </w:rPr>
        <w:t>总体要求</w:t>
      </w:r>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实施乡村振兴战略的新任务和农业高质量发展的新要求,以支撑质量兴农、效益兴农、绿色兴农和推进农业供给侧结构性改革为主线,以提高农技推广服务供给的质量和效率为主攻方向,统筹兼顾新型农业经营主体和小农户的服务需求,坚持深化改革增活力、创新机制提效能,培育精干专业推广队伍,打造科技示范服务平台,推广优质绿色高效技术模式,为实施乡村振兴战略、加快农业农村现代化步伐、决胜全面建成小康社会提供强有力的科技支撑和人才保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二、主要目标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(一)、基层农技推广服务水平明显提高。农业科技示范主体抽样满意度超过95%,农业技术推广公共服务对象抽样满意度超过70%。基层农技人员开展技术指导服务时间超过100个工作日。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(ニ)、优质绿色高放技术快速进村入户。一批支撑农业优势特色产业发展的质量安全、节本增效、生态环保的优质绿色高效技术模式广泛应用于农业生产,全省农业主推技术到位率超过95%。</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(三)、农业科技示范服务平台基本健全。我市建设4个示范带动效果明显、长期稳定的农业科技示范基地,使其成为集示范展示、技术指导、农民培训等多功能、综合性的农业科技示范服务平合</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(四)、农技推广信息化实现重大突破。基层农技入员普遍应用信息化手段进行学习交流和业务指导,使用中国农技推广APP比例超过80%。农技推广补助项目实现任务安排网络化、推广服务信息化、绩效考核电子化。</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(五)、农技推广队伍业务能力稳步提升。全市14个镇(街道办)的基层农技人员接受连续5天以上的脱产业务培训,培育一批知识全面、技能过硬、服务优良的基层农技推广骨干人才。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基层农技推广体系改革扎实推进。基层农技推广机构人员在岗率超过90%,探索开展农技人员提供增值服务合理取酬、公益性与经营性农技推广服务融合发展、农技入员创新创业等,并形成一批行之有效的做法经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三、重点任务</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ー)、推进基层农技推广体系改革创新。一是扎实开展基层农技推广机构星级服务创建,创新农技推广方式方法,提高农技推广人员的在岗率和农技服务效果。二是探索农技服务増值取酬有效路径,允许基层农技人员通过为家庭农场、合作社、农业企业提供技术承包、技术转让、技术咨询等形式的增值服务获取合理报酬。三是完善融合发展机制,发挥公益性推广机构在多元化推广体系中的枢纽作用,通过派驻人员、共建平台、合署办公等方式,实现公益性推广机构与经营性服务组织信息共享、优勢互补、协同发展。四是引导扶持社会化服务组织发展,满足农业生产经营者的多层次、多样化、个性化的服务需求。</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二)、提升基层农技推广队伍服务能力。选拔学历水平和专业技能符合岗位职责要求的人员进入基层农技推广队伍。完善基层农技人员分级分类培训机制。根据种植业岗位需求,全市组织71名在编基层农技人员接受连续不少于5天的脱产业务培训。其中:省级农技推广骨干人才开展异地(出县)培训31人,本市组织到岳阳大荆实用人才培训基地培训40人。继续开展学历提升,全省支持4名基层农技人员进行高升专、2名进行专升本,支持1名基层农技推广骨干攻读农业硕士。</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三)、建设长期稳定的农业科技示范基地。围绕优勢农产品和特色产业发展,通过合作方式,建立规模适度、长期稳定、农机农艺结合、绿色生态种植、绿色健康养殖、种养综合示范的农业科技示范基地,分别为：桃林镇再生稻示范基地；江南镇“稻十虾”示范基地；聂市镇千亩再生稻示范片；坦渡镇30亩新品种示范。依托基地开展集成示范、推广应用、教育培训等,将基地打造成农业优质绿色高效技术的展示窗和辐射源、基层农技人员开展指导服务的综合平台。规范农业科技示范基地运行管理,明确年度任务和考核指标,建立技术示范展示档案,并进行考核验收。基地统一竖立“全国基层农技推广体系改革与建设补助项目农业科技示范基地”标牌,标明示范内容、技术负责人、实施单位等信息。</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四)、示范推广农业优质绿色高效技术。一是引导农民应用先进适用技术。各项目县要因地制宜,结合农业部和省农委发布的年度农业主推技术、当地农业主导产业发展要求和农民技术需求,遴选发布主推技术,组建技术指导团队,形成技术操作规范,依托示范基地、示范主体等开展展示推广,组织农技人员进村入户开展指导服务。重点推广5项符合资源节约、增产增效生态环保、质量安全等要求的优质绿色高效技术模式,如再生稻高效栽培模式、稻田综合种养技术模式、秸秆高效还田技术模式、水稻全程机械化生产模式、畜禽粪污资源化利用技术模式等。二是创新技术推广方式。按照《湖南省农业委员会办公室关于印发く湖南省农民田间学校规范化建设方案〉的通知》(湘农办农技「2017」32号)要求,创办农民田间学校示范校,开展互动式、参与式培训,帮助服务对象解决农业生产中的实际问题和关键技术难题。三是与其它项目结合推进。共同搞好本地的技术服务,促进产业发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五)、培育农业科技示范主体。遴选一批能力较强、乐于助人的新型农业经营主体带头人、种养大户、乡土专家等作为农业科技示范主体,全市共遴选200个。通过指导服务、技术培训、建档培育等方式,组织基层农技人员在农业生产的重要时节和关键环节,对示范主体开展手把手、面对面的技术指导和咨询服务。提高示范主体的自我发展能力和对周边农户特别是小农户的辐射带动能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六)、加强农技推广服务信息化建设。鼓励和推动专家教授、农技人员、经营性服务组织等通过农技推广信息化平合开展在线学习、互动交流、技术普及等活动,为广大农民和新型农业经营主体提供精准实时的指导服务。发动组织农技人员广泛应用中国农技推广APP、临湘农业、临湘电视台、临湘科普等信息化平台和手段开展农技推广服务。将基层农技人员培训、示范基地建设、示范主体培育等农技推广补助项目实施情况进行线上动态展示和绩效管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四、经费安排和使用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主要用于以下三个方面:</w:t>
      </w:r>
    </w:p>
    <w:p>
      <w:pPr>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一是技术推广服务补助(占经费总量的35%左右,下同)28万元。其中:用于基层技人员进村入户开展技术服务的补助（20%左右）16万元。完成农业技术推广重大任务的绩效奖励、星级服务创建、农民田间学校等（10%左右）8万元、技术资料印刷、制度建设及工作考评等（5%左右）4万元。</w:t>
      </w:r>
    </w:p>
    <w:p>
      <w:pPr>
        <w:pStyle w:val="2"/>
        <w:ind w:firstLine="640"/>
        <w:rPr>
          <w:rFonts w:hint="eastAsia" w:ascii="仿宋_GB2312" w:hAnsi="仿宋_GB2312" w:eastAsia="仿宋_GB2312" w:cs="仿宋_GB2312"/>
          <w:b/>
        </w:rPr>
      </w:pPr>
      <w:r>
        <w:rPr>
          <w:rFonts w:hint="eastAsia" w:ascii="仿宋_GB2312" w:hAnsi="仿宋_GB2312" w:eastAsia="仿宋_GB2312" w:cs="仿宋_GB2312"/>
        </w:rPr>
        <w:t>二是农业科技示范补助(35%)28万元。主要用于农业科技示范基地开展新品种新技术试验、示范及培训等(15%)12万元;用于农业科技示范主体采用新品种、新技术的种子、和苗、肥料、农药、兽药等物化技术补助(15%)12万元。培训科技示范主体所需的费用等(5%)4万元。</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三是农技人员能力建设补助(30%)24万元。主要用于支持基层农技人员参加培训和学历提升等方面的支出;支持应用农技推广服务云平台等信息化服务手段的通讯流量补助。</w:t>
      </w:r>
    </w:p>
    <w:p>
      <w:pPr>
        <w:pStyle w:val="2"/>
        <w:ind w:firstLine="0" w:firstLineChars="0"/>
        <w:rPr>
          <w:rFonts w:hint="eastAsia" w:ascii="仿宋_GB2312" w:hAnsi="仿宋_GB2312" w:eastAsia="仿宋_GB2312" w:cs="仿宋_GB2312"/>
        </w:rPr>
      </w:pPr>
      <w:r>
        <w:rPr>
          <w:rFonts w:hint="eastAsia" w:ascii="仿宋_GB2312" w:hAnsi="仿宋_GB2312" w:eastAsia="仿宋_GB2312" w:cs="仿宋_GB2312"/>
        </w:rPr>
        <w:t>五、实施步骤</w:t>
      </w:r>
    </w:p>
    <w:p>
      <w:pPr>
        <w:pStyle w:val="2"/>
        <w:ind w:firstLine="640" w:firstLineChars="200"/>
        <w:rPr>
          <w:rFonts w:hint="eastAsia" w:ascii="仿宋_GB2312" w:hAnsi="仿宋_GB2312" w:eastAsia="仿宋_GB2312" w:cs="仿宋_GB2312"/>
        </w:rPr>
      </w:pPr>
      <w:r>
        <w:rPr>
          <w:rFonts w:hint="eastAsia" w:ascii="仿宋_GB2312" w:hAnsi="仿宋_GB2312" w:eastAsia="仿宋_GB2312" w:cs="仿宋_GB2312"/>
        </w:rPr>
        <w:t>一是制定具体实施方案。</w:t>
      </w:r>
    </w:p>
    <w:p>
      <w:pPr>
        <w:pStyle w:val="4"/>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农业局制定种植业具体实施方案后报省农业技术推广总站，同时报电子版。</w:t>
      </w:r>
    </w:p>
    <w:p>
      <w:pPr>
        <w:pStyle w:val="4"/>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二是组织实施进程。</w:t>
      </w:r>
    </w:p>
    <w:p>
      <w:pPr>
        <w:tabs>
          <w:tab w:val="left" w:pos="749"/>
          <w:tab w:val="left" w:pos="945"/>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1、指导员和科技示范主体的遴选：2018年</w:t>
      </w:r>
      <w:bookmarkStart w:id="0" w:name="OLE_LINK22"/>
      <w:bookmarkStart w:id="1" w:name="OLE_LINK21"/>
      <w:r>
        <w:rPr>
          <w:rFonts w:hint="eastAsia" w:ascii="仿宋_GB2312" w:hAnsi="仿宋_GB2312" w:eastAsia="仿宋_GB2312" w:cs="仿宋_GB2312"/>
          <w:sz w:val="32"/>
          <w:szCs w:val="32"/>
        </w:rPr>
        <w:t>2一一3月</w:t>
      </w:r>
      <w:bookmarkEnd w:id="0"/>
      <w:bookmarkEnd w:id="1"/>
      <w:r>
        <w:rPr>
          <w:rFonts w:hint="eastAsia" w:ascii="仿宋_GB2312" w:hAnsi="仿宋_GB2312" w:eastAsia="仿宋_GB2312" w:cs="仿宋_GB2312"/>
          <w:sz w:val="32"/>
          <w:szCs w:val="32"/>
        </w:rPr>
        <w:t>。</w:t>
      </w:r>
    </w:p>
    <w:p>
      <w:pPr>
        <w:tabs>
          <w:tab w:val="left" w:pos="749"/>
          <w:tab w:val="left" w:pos="945"/>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2、技术培训：2一一3月分别开展农业科技示范主体及农技人员技术培训，2一一12月派农技骨干人员、新型职业农民、种田大户、家庭农场主等参加农业部、省农业农村厅、岳阳市农委组织的相关业务培训。</w:t>
      </w:r>
    </w:p>
    <w:p>
      <w:pPr>
        <w:tabs>
          <w:tab w:val="left" w:pos="749"/>
          <w:tab w:val="left" w:pos="945"/>
        </w:tabs>
        <w:ind w:firstLine="640" w:firstLineChars="200"/>
        <w:rPr>
          <w:rFonts w:hint="eastAsia" w:ascii="仿宋_GB2312" w:hAnsi="仿宋_GB2312" w:eastAsia="仿宋_GB2312" w:cs="仿宋_GB2312"/>
          <w:sz w:val="32"/>
          <w:szCs w:val="32"/>
        </w:rPr>
      </w:pPr>
      <w:bookmarkStart w:id="2" w:name="OLE_LINK23"/>
      <w:bookmarkStart w:id="3" w:name="OLE_LINK24"/>
      <w:r>
        <w:rPr>
          <w:rFonts w:hint="eastAsia" w:ascii="仿宋_GB2312" w:hAnsi="仿宋_GB2312" w:eastAsia="仿宋_GB2312" w:cs="仿宋_GB2312"/>
          <w:sz w:val="32"/>
          <w:szCs w:val="32"/>
        </w:rPr>
        <w:t>3、农业科技示范</w:t>
      </w:r>
      <w:bookmarkEnd w:id="2"/>
      <w:bookmarkEnd w:id="3"/>
      <w:r>
        <w:rPr>
          <w:rFonts w:hint="eastAsia" w:ascii="仿宋_GB2312" w:hAnsi="仿宋_GB2312" w:eastAsia="仿宋_GB2312" w:cs="仿宋_GB2312"/>
          <w:sz w:val="32"/>
          <w:szCs w:val="32"/>
        </w:rPr>
        <w:t>基地选定和开展：3月选定示范基地后再具体开展示范内容，至11月底结束。</w:t>
      </w:r>
    </w:p>
    <w:p>
      <w:pPr>
        <w:tabs>
          <w:tab w:val="left" w:pos="749"/>
          <w:tab w:val="left" w:pos="945"/>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4、农业科技示范主体物化补助发放：3月底一11月底。</w:t>
      </w:r>
    </w:p>
    <w:p>
      <w:pPr>
        <w:tabs>
          <w:tab w:val="left" w:pos="749"/>
          <w:tab w:val="left" w:pos="945"/>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5、农民田间学校开展：3一一12月上旬</w:t>
      </w:r>
    </w:p>
    <w:p>
      <w:pPr>
        <w:pStyle w:val="4"/>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三是考评总结。</w:t>
      </w:r>
    </w:p>
    <w:p>
      <w:pPr>
        <w:pStyle w:val="4"/>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12月中旬开展绩效评价和总结，形成总结报告，制作影像资料上传中国农技推广信息服务平台和省推广总站。</w:t>
      </w:r>
    </w:p>
    <w:p>
      <w:pPr>
        <w:pStyle w:val="2"/>
        <w:ind w:firstLine="0" w:firstLineChars="0"/>
        <w:rPr>
          <w:rFonts w:hint="eastAsia" w:ascii="仿宋_GB2312" w:hAnsi="仿宋_GB2312" w:eastAsia="仿宋_GB2312" w:cs="仿宋_GB2312"/>
        </w:rPr>
      </w:pPr>
      <w:r>
        <w:rPr>
          <w:rFonts w:hint="eastAsia" w:ascii="仿宋_GB2312" w:hAnsi="仿宋_GB2312" w:eastAsia="仿宋_GB2312" w:cs="仿宋_GB2312"/>
        </w:rPr>
        <w:t>六、保障措施</w:t>
      </w:r>
    </w:p>
    <w:p>
      <w:pPr>
        <w:pStyle w:val="3"/>
        <w:rPr>
          <w:rFonts w:hint="eastAsia" w:ascii="仿宋_GB2312" w:hAnsi="仿宋_GB2312" w:eastAsia="仿宋_GB2312" w:cs="仿宋_GB2312"/>
          <w:b w:val="0"/>
        </w:rPr>
      </w:pPr>
      <w:r>
        <w:rPr>
          <w:rFonts w:hint="eastAsia" w:ascii="仿宋_GB2312" w:hAnsi="仿宋_GB2312" w:eastAsia="仿宋_GB2312" w:cs="仿宋_GB2312"/>
          <w:b w:val="0"/>
        </w:rPr>
        <w:t>（一）加强组织领导</w:t>
      </w:r>
    </w:p>
    <w:p>
      <w:pPr>
        <w:pStyle w:val="3"/>
        <w:ind w:firstLine="640"/>
        <w:rPr>
          <w:rFonts w:hint="eastAsia" w:ascii="仿宋_GB2312" w:hAnsi="仿宋_GB2312" w:eastAsia="仿宋_GB2312" w:cs="仿宋_GB2312"/>
          <w:b w:val="0"/>
        </w:rPr>
      </w:pPr>
      <w:r>
        <w:rPr>
          <w:rFonts w:hint="eastAsia" w:ascii="仿宋_GB2312" w:hAnsi="仿宋_GB2312" w:eastAsia="仿宋_GB2312" w:cs="仿宋_GB2312"/>
          <w:b w:val="0"/>
        </w:rPr>
        <w:t>一是成立由主管副市长张国辉同志任组长，农业局局长汪洋同志、财政局局长吴天星同志、发改局局长周伏同志、畜牧水产局局长李正勇同志为成员的市级工作</w:t>
      </w:r>
      <w:bookmarkStart w:id="4" w:name="OLE_LINK16"/>
      <w:bookmarkStart w:id="5" w:name="OLE_LINK17"/>
      <w:r>
        <w:rPr>
          <w:rFonts w:hint="eastAsia" w:ascii="仿宋_GB2312" w:hAnsi="仿宋_GB2312" w:eastAsia="仿宋_GB2312" w:cs="仿宋_GB2312"/>
          <w:b w:val="0"/>
        </w:rPr>
        <w:t>实施领导小组</w:t>
      </w:r>
      <w:bookmarkEnd w:id="4"/>
      <w:bookmarkEnd w:id="5"/>
      <w:r>
        <w:rPr>
          <w:rFonts w:hint="eastAsia" w:ascii="仿宋_GB2312" w:hAnsi="仿宋_GB2312" w:eastAsia="仿宋_GB2312" w:cs="仿宋_GB2312"/>
          <w:b w:val="0"/>
        </w:rPr>
        <w:t>，领导小组办公室设农业局；二是成立种植业专家指导组。农业技术推广中心具体组织实施，负责协调管理、工作推进、绩效考评和总结等。</w:t>
      </w:r>
    </w:p>
    <w:p>
      <w:pPr>
        <w:pStyle w:val="3"/>
        <w:ind w:firstLine="640" w:firstLineChars="200"/>
        <w:rPr>
          <w:rFonts w:hint="eastAsia" w:ascii="仿宋_GB2312" w:hAnsi="仿宋_GB2312" w:eastAsia="仿宋_GB2312" w:cs="仿宋_GB2312"/>
          <w:b w:val="0"/>
        </w:rPr>
      </w:pPr>
      <w:r>
        <w:rPr>
          <w:rFonts w:hint="eastAsia" w:ascii="仿宋_GB2312" w:hAnsi="仿宋_GB2312" w:eastAsia="仿宋_GB2312" w:cs="仿宋_GB2312"/>
          <w:b w:val="0"/>
        </w:rPr>
        <w:t>（二）强化绩效考评</w:t>
      </w:r>
    </w:p>
    <w:p>
      <w:pPr>
        <w:pStyle w:val="4"/>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根据《农业农村部  财政部关于做好2018年农业生产发展等项目实施工作的通知》(农财发〔2018〕13号)和《农业农村部办公厅关于做好2018年基层农技推广体系改革与建设项目组织实施工作的通知》(农办科〔2018〕13号)有关要求，建立联动绩效考评机制，采取定量考评与定性考评相结合、线下考评与线上考评相结合、平时考评与年度考评相结合、全面督查与检查各项工作完成情况，找出缺点和问题，客观地评价工作落实情况，为下年度工作改进提供参考依据。</w:t>
      </w:r>
    </w:p>
    <w:p>
      <w:pPr>
        <w:pStyle w:val="4"/>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（三）规范资金管理</w:t>
      </w:r>
    </w:p>
    <w:p>
      <w:pPr>
        <w:pStyle w:val="4"/>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 xml:space="preserve">加大对农业技术推广、农民科技培训、农技推广人员知识更新培训等工作的支持力度。对项目资金严格参照《农业农村部  财政部关于做好2018年农业生产发展等项目实施工作的通知》(农财发〔2018〕13号)及有关财务规章制度，细化支出范围，明确资金使用用途，做到专款专用。将社会化服务主体、农业科技示范主体、科技示范基地经费补助标准向全市公开，接受社会监督。绝不弄虚作假、擅自改变资金用途和挪用挤占该项资金。                                                                                                                                                                                                                                                                                                                                                                                                                                                                                                                                                                                                                                                                                                                                                                                                                                                                                                                                                                       </w:t>
      </w:r>
    </w:p>
    <w:p>
      <w:pPr>
        <w:pStyle w:val="3"/>
        <w:ind w:left="0" w:leftChars="0" w:firstLine="640" w:firstLineChars="200"/>
        <w:rPr>
          <w:rFonts w:hint="eastAsia" w:ascii="仿宋_GB2312" w:hAnsi="仿宋_GB2312" w:eastAsia="仿宋_GB2312" w:cs="仿宋_GB2312"/>
          <w:b w:val="0"/>
        </w:rPr>
      </w:pPr>
      <w:r>
        <w:rPr>
          <w:rFonts w:hint="eastAsia" w:ascii="仿宋_GB2312" w:hAnsi="仿宋_GB2312" w:eastAsia="仿宋_GB2312" w:cs="仿宋_GB2312"/>
          <w:b w:val="0"/>
        </w:rPr>
        <w:t>（四）加大总结宣传力度</w:t>
      </w:r>
    </w:p>
    <w:p>
      <w:pPr>
        <w:pStyle w:val="4"/>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各部门加强总结宣传，充分挖掘基层农技推广体系改革与建设的成功经验和典型模式，大力宣传基层农技人员的先进事迹和发挥的重要作用，扩大影响，为基层农技推广体系改革与建设营造良好的发展环境。汇总通报信息管理员，及时向中国农业推广网、湖南农业信息网和湖南农技推广网等媒体报送农技推广工作动态信息。认真总结项目实施过程中的经验和问题，于2018年12月30日前将总结报告报送省农业技术推广总站。</w:t>
      </w:r>
    </w:p>
    <w:p>
      <w:pPr>
        <w:tabs>
          <w:tab w:val="left" w:pos="1417"/>
        </w:tabs>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ind w:firstLine="5600" w:firstLineChars="175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临湘市</w:t>
      </w:r>
      <w:r>
        <w:rPr>
          <w:rFonts w:hint="eastAsia" w:ascii="仿宋_GB2312" w:hAnsi="仿宋_GB2312" w:eastAsia="仿宋_GB2312" w:cs="仿宋_GB2312"/>
          <w:sz w:val="32"/>
          <w:szCs w:val="32"/>
          <w:lang w:eastAsia="zh-CN"/>
        </w:rPr>
        <w:t>农业局</w:t>
      </w:r>
      <w:bookmarkStart w:id="6" w:name="_GoBack"/>
      <w:bookmarkEnd w:id="6"/>
    </w:p>
    <w:p>
      <w:pPr>
        <w:ind w:firstLine="5280" w:firstLineChars="1650"/>
        <w:rPr>
          <w:rFonts w:ascii="仿宋" w:hAnsi="仿宋" w:eastAsia="仿宋" w:cs="仿宋_GB2312"/>
          <w:sz w:val="32"/>
          <w:szCs w:val="32"/>
        </w:rPr>
      </w:pPr>
      <w:r>
        <w:rPr>
          <w:rFonts w:hint="eastAsia" w:ascii="仿宋_GB2312" w:hAnsi="仿宋_GB2312" w:eastAsia="仿宋_GB2312" w:cs="仿宋_GB2312"/>
          <w:sz w:val="32"/>
          <w:szCs w:val="32"/>
        </w:rPr>
        <w:t>2018年12月15日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altName w:val="Times New Roman"/>
    <w:panose1 w:val="00000000000000000000"/>
    <w:charset w:val="00"/>
    <w:family w:val="roman"/>
    <w:pitch w:val="default"/>
    <w:sig w:usb0="00000000" w:usb1="00000000" w:usb2="00000000" w:usb3="00000000" w:csb0="00000000" w:csb1="00000000"/>
  </w:font>
  <w:font w:name="仿宋">
    <w:altName w:val="微软雅黑"/>
    <w:panose1 w:val="02010609060101010101"/>
    <w:charset w:val="86"/>
    <w:family w:val="modern"/>
    <w:pitch w:val="default"/>
    <w:sig w:usb0="00000000" w:usb1="00000000" w:usb2="00000016" w:usb3="00000000" w:csb0="00040001" w:csb1="00000000"/>
  </w:font>
  <w:font w:name="Century Gothic">
    <w:panose1 w:val="020B0502020202020204"/>
    <w:charset w:val="00"/>
    <w:family w:val="auto"/>
    <w:pitch w:val="default"/>
    <w:sig w:usb0="00000287" w:usb1="00000000" w:usb2="00000000" w:usb3="00000000" w:csb0="2000009F" w:csb1="DFD7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776A22"/>
    <w:rsid w:val="00061AB1"/>
    <w:rsid w:val="0013276D"/>
    <w:rsid w:val="00192F64"/>
    <w:rsid w:val="001D4BB6"/>
    <w:rsid w:val="001D633D"/>
    <w:rsid w:val="00382789"/>
    <w:rsid w:val="00396633"/>
    <w:rsid w:val="003A3FDD"/>
    <w:rsid w:val="0046105F"/>
    <w:rsid w:val="004A76C1"/>
    <w:rsid w:val="00550B80"/>
    <w:rsid w:val="005801B9"/>
    <w:rsid w:val="0058629C"/>
    <w:rsid w:val="005C43AF"/>
    <w:rsid w:val="005F44C0"/>
    <w:rsid w:val="006271DB"/>
    <w:rsid w:val="00682652"/>
    <w:rsid w:val="006B5290"/>
    <w:rsid w:val="006C7FC5"/>
    <w:rsid w:val="006D0A07"/>
    <w:rsid w:val="006F559A"/>
    <w:rsid w:val="007202AD"/>
    <w:rsid w:val="007259B6"/>
    <w:rsid w:val="007E4B8F"/>
    <w:rsid w:val="008C5D6B"/>
    <w:rsid w:val="00967728"/>
    <w:rsid w:val="00974A4C"/>
    <w:rsid w:val="009A6372"/>
    <w:rsid w:val="00A00555"/>
    <w:rsid w:val="00A01EC3"/>
    <w:rsid w:val="00B27792"/>
    <w:rsid w:val="00B51DEA"/>
    <w:rsid w:val="00B973D3"/>
    <w:rsid w:val="00C90082"/>
    <w:rsid w:val="00CE2CCA"/>
    <w:rsid w:val="00E80365"/>
    <w:rsid w:val="00EC315B"/>
    <w:rsid w:val="34776A22"/>
    <w:rsid w:val="347C6DFC"/>
    <w:rsid w:val="4CA208A9"/>
    <w:rsid w:val="55713AA0"/>
    <w:rsid w:val="6D535020"/>
    <w:rsid w:val="7E312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2"/>
    <w:qFormat/>
    <w:uiPriority w:val="0"/>
    <w:pPr>
      <w:keepNext/>
      <w:keepLines/>
      <w:adjustRightInd w:val="0"/>
      <w:snapToGrid w:val="0"/>
      <w:spacing w:line="579" w:lineRule="atLeast"/>
      <w:ind w:firstLine="200" w:firstLineChars="200"/>
      <w:outlineLvl w:val="1"/>
    </w:pPr>
    <w:rPr>
      <w:rFonts w:ascii="Times New Roman" w:hAnsi="Times New Roman" w:eastAsia="黑体" w:cs="Times New Roman"/>
      <w:bCs/>
      <w:sz w:val="32"/>
      <w:szCs w:val="32"/>
    </w:rPr>
  </w:style>
  <w:style w:type="paragraph" w:styleId="3">
    <w:name w:val="heading 3"/>
    <w:basedOn w:val="1"/>
    <w:next w:val="1"/>
    <w:link w:val="13"/>
    <w:qFormat/>
    <w:uiPriority w:val="0"/>
    <w:pPr>
      <w:keepNext/>
      <w:keepLines/>
      <w:adjustRightInd w:val="0"/>
      <w:snapToGrid w:val="0"/>
      <w:spacing w:line="579" w:lineRule="atLeast"/>
      <w:ind w:firstLine="200" w:firstLineChars="200"/>
      <w:outlineLvl w:val="2"/>
    </w:pPr>
    <w:rPr>
      <w:rFonts w:ascii="Times New Roman" w:hAnsi="Times New Roman" w:eastAsia="楷体_GB2312" w:cs="Times New Roman"/>
      <w:b/>
      <w:bCs/>
      <w:sz w:val="32"/>
      <w:szCs w:val="32"/>
    </w:rPr>
  </w:style>
  <w:style w:type="paragraph" w:styleId="4">
    <w:name w:val="heading 4"/>
    <w:basedOn w:val="1"/>
    <w:next w:val="1"/>
    <w:link w:val="14"/>
    <w:qFormat/>
    <w:uiPriority w:val="0"/>
    <w:pPr>
      <w:adjustRightInd w:val="0"/>
      <w:snapToGrid w:val="0"/>
      <w:spacing w:line="579" w:lineRule="atLeast"/>
      <w:ind w:firstLine="200" w:firstLineChars="200"/>
      <w:outlineLvl w:val="3"/>
    </w:pPr>
    <w:rPr>
      <w:rFonts w:ascii="Times New Roman" w:hAnsi="Times New Roman" w:eastAsia="仿宋_GB2312" w:cs="Times New Roman"/>
      <w:bCs/>
      <w:sz w:val="32"/>
      <w:szCs w:val="28"/>
    </w:rPr>
  </w:style>
  <w:style w:type="character" w:default="1" w:styleId="8">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5"/>
    <w:qFormat/>
    <w:uiPriority w:val="0"/>
    <w:pPr>
      <w:spacing w:before="240" w:after="60"/>
      <w:jc w:val="center"/>
      <w:outlineLvl w:val="0"/>
    </w:pPr>
    <w:rPr>
      <w:rFonts w:eastAsia="宋体" w:asciiTheme="majorHAnsi" w:hAnsiTheme="majorHAnsi" w:cstheme="majorBidi"/>
      <w:b/>
      <w:bCs/>
      <w:sz w:val="32"/>
      <w:szCs w:val="32"/>
    </w:rPr>
  </w:style>
  <w:style w:type="character" w:customStyle="1" w:styleId="10">
    <w:name w:val="页眉 Char"/>
    <w:basedOn w:val="8"/>
    <w:link w:val="6"/>
    <w:qFormat/>
    <w:uiPriority w:val="0"/>
    <w:rPr>
      <w:rFonts w:asciiTheme="minorHAnsi" w:hAnsiTheme="minorHAnsi" w:eastAsiaTheme="minorEastAsia" w:cstheme="minorBidi"/>
      <w:kern w:val="2"/>
      <w:sz w:val="18"/>
      <w:szCs w:val="18"/>
    </w:rPr>
  </w:style>
  <w:style w:type="character" w:customStyle="1" w:styleId="11">
    <w:name w:val="页脚 Char"/>
    <w:basedOn w:val="8"/>
    <w:link w:val="5"/>
    <w:uiPriority w:val="0"/>
    <w:rPr>
      <w:rFonts w:asciiTheme="minorHAnsi" w:hAnsiTheme="minorHAnsi" w:eastAsiaTheme="minorEastAsia" w:cstheme="minorBidi"/>
      <w:kern w:val="2"/>
      <w:sz w:val="18"/>
      <w:szCs w:val="18"/>
    </w:rPr>
  </w:style>
  <w:style w:type="character" w:customStyle="1" w:styleId="12">
    <w:name w:val="标题 2 Char"/>
    <w:basedOn w:val="8"/>
    <w:link w:val="2"/>
    <w:uiPriority w:val="0"/>
    <w:rPr>
      <w:rFonts w:eastAsia="黑体"/>
      <w:bCs/>
      <w:kern w:val="2"/>
      <w:sz w:val="32"/>
      <w:szCs w:val="32"/>
    </w:rPr>
  </w:style>
  <w:style w:type="character" w:customStyle="1" w:styleId="13">
    <w:name w:val="标题 3 Char"/>
    <w:basedOn w:val="8"/>
    <w:link w:val="3"/>
    <w:uiPriority w:val="0"/>
    <w:rPr>
      <w:rFonts w:eastAsia="楷体_GB2312"/>
      <w:b/>
      <w:bCs/>
      <w:kern w:val="2"/>
      <w:sz w:val="32"/>
      <w:szCs w:val="32"/>
    </w:rPr>
  </w:style>
  <w:style w:type="character" w:customStyle="1" w:styleId="14">
    <w:name w:val="标题 4 Char"/>
    <w:basedOn w:val="8"/>
    <w:link w:val="4"/>
    <w:uiPriority w:val="0"/>
    <w:rPr>
      <w:rFonts w:eastAsia="仿宋_GB2312"/>
      <w:bCs/>
      <w:kern w:val="2"/>
      <w:sz w:val="32"/>
      <w:szCs w:val="28"/>
    </w:rPr>
  </w:style>
  <w:style w:type="character" w:customStyle="1" w:styleId="15">
    <w:name w:val="标题 Char"/>
    <w:basedOn w:val="8"/>
    <w:link w:val="7"/>
    <w:uiPriority w:val="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9</Pages>
  <Words>755</Words>
  <Characters>4306</Characters>
  <Lines>35</Lines>
  <Paragraphs>10</Paragraphs>
  <TotalTime>48</TotalTime>
  <ScaleCrop>false</ScaleCrop>
  <LinksUpToDate>false</LinksUpToDate>
  <CharactersWithSpaces>5051</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2018-12-12T02:28:00Z</dcterms:created>
  <dc:creator>桃子</dc:creator>
  <cp:lastModifiedBy>桃子</cp:lastModifiedBy>
  <cp:lastPrinted>2018-12-18T06:35:00Z</cp:lastPrinted>
  <dcterms:modified xsi:type="dcterms:W3CDTF">2018-12-19T07:15:25Z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