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2018年度百片千园万民工程—现代农业特色产业园省级示范园奖补专项资金</w:t>
      </w: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90"/>
          <w:szCs w:val="9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90"/>
          <w:szCs w:val="90"/>
          <w:lang w:val="en-US" w:eastAsia="zh-CN"/>
        </w:rPr>
        <w:t>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90"/>
          <w:szCs w:val="9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90"/>
          <w:szCs w:val="90"/>
          <w:lang w:val="en-US" w:eastAsia="zh-CN"/>
        </w:rPr>
        <w:t>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90"/>
          <w:szCs w:val="9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90"/>
          <w:szCs w:val="90"/>
          <w:lang w:val="en-US" w:eastAsia="zh-CN"/>
        </w:rPr>
        <w:t>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90"/>
          <w:szCs w:val="9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90"/>
          <w:szCs w:val="90"/>
          <w:lang w:val="en-US" w:eastAsia="zh-CN"/>
        </w:rPr>
        <w:t>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90"/>
          <w:szCs w:val="9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90"/>
          <w:szCs w:val="90"/>
          <w:lang w:val="en-US" w:eastAsia="zh-CN"/>
        </w:rPr>
        <w:t>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90"/>
          <w:szCs w:val="9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90"/>
          <w:szCs w:val="90"/>
          <w:lang w:val="en-US" w:eastAsia="zh-CN"/>
        </w:rPr>
        <w:t>料</w:t>
      </w:r>
    </w:p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1822450</wp:posOffset>
            </wp:positionH>
            <wp:positionV relativeFrom="paragraph">
              <wp:posOffset>43180</wp:posOffset>
            </wp:positionV>
            <wp:extent cx="1657985" cy="1612265"/>
            <wp:effectExtent l="0" t="0" r="18415" b="6985"/>
            <wp:wrapNone/>
            <wp:docPr id="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湖南家乐粮油有限公司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2019年5月9日</w:t>
      </w:r>
      <w:r>
        <w:rPr>
          <w:rFonts w:hint="eastAsia"/>
          <w:b/>
          <w:bCs/>
          <w:sz w:val="44"/>
          <w:szCs w:val="44"/>
          <w:lang w:val="en-US" w:eastAsia="zh-CN"/>
        </w:rPr>
        <w:br w:type="page"/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2018年度现代农业特色产业园省级示范园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奖补专项资金绩效评价资料目录</w:t>
      </w: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一、2018年度省级专项资金绩效目标自评表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二、2018年度省级专项资金支出绩效自评报告（附绩效自评报告计分表）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三、企业营业执照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四、省级龙头企业证书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五、专项资金下达文件及资金到账凭证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六、管理制度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七、项目及专项资金支出凭证及合同</w:t>
      </w:r>
    </w:p>
    <w:p>
      <w:pPr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br w:type="page"/>
      </w:r>
    </w:p>
    <w:p>
      <w:pPr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2018年度省级专项资金绩效目标自评表</w:t>
      </w:r>
    </w:p>
    <w:tbl>
      <w:tblPr>
        <w:tblStyle w:val="4"/>
        <w:tblW w:w="9525" w:type="dxa"/>
        <w:tblInd w:w="-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53"/>
        <w:gridCol w:w="1631"/>
        <w:gridCol w:w="2644"/>
        <w:gridCol w:w="1285"/>
        <w:gridCol w:w="871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专项资金名称</w:t>
            </w:r>
          </w:p>
        </w:tc>
        <w:tc>
          <w:tcPr>
            <w:tcW w:w="42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百片千园万民工程—现代农业特色产业园省级示范园奖补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负责人及电话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李玉吾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15115010208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省级主管部门</w:t>
            </w:r>
          </w:p>
        </w:tc>
        <w:tc>
          <w:tcPr>
            <w:tcW w:w="793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湖南省农业农村厅—发展规划处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地方主管部门</w:t>
            </w:r>
          </w:p>
        </w:tc>
        <w:tc>
          <w:tcPr>
            <w:tcW w:w="42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临湘市农业农村局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实施单位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湖南家乐粮油有限公司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9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项目资金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全年预算数（A）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全年执行数（B）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执行率（B/A）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9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年度资金总额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9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其中：中央补助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9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省级资金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9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其他资金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4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年度总体目标</w:t>
            </w:r>
          </w:p>
        </w:tc>
        <w:tc>
          <w:tcPr>
            <w:tcW w:w="512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年初设定目标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全年实际完成情况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建成生态稻虾种养产业园1200亩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完成1200亩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绩效指标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三级指标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年度指标值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全年完成值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未完成原因和改进措施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产出指标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数量指标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奖补省级示范产业园个数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效益指标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社会效益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解决就业人数（人）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经济效益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带动对全省现代农业特色产业园投资（万元）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产业园区农业总收入（万元）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562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576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产业园区农业总收入增量（万元）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73.5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87.5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带动相关产业产值增长额（万元）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2200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园区农民平均收入增长量（元）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1500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1800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服务对象满意度指标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奖补产业园满意度（%）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  <w:tc>
          <w:tcPr>
            <w:tcW w:w="8784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请在此处简要说明各级监督检查中发现的问题及其所涉及的金额，如没有请填无</w:t>
            </w:r>
          </w:p>
        </w:tc>
      </w:tr>
    </w:tbl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注：1、其他资金包括和中央补助、地方财政资金共同投入到同一项目的自有资金、社会资金，以及以前年度的结转结余资金等。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2018年度省级专项资金支出</w:t>
      </w:r>
    </w:p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绩效自评报告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ind w:left="0" w:leftChars="0" w:firstLine="838" w:firstLineChars="262"/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专项名称：</w:t>
      </w:r>
      <w:r>
        <w:rPr>
          <w:rFonts w:hint="eastAsia"/>
          <w:sz w:val="32"/>
          <w:szCs w:val="32"/>
          <w:vertAlign w:val="baseline"/>
          <w:lang w:val="en-US" w:eastAsia="zh-CN"/>
        </w:rPr>
        <w:t>百片千园万民工程</w:t>
      </w:r>
    </w:p>
    <w:p>
      <w:pPr>
        <w:ind w:left="0" w:leftChars="0" w:firstLine="2428" w:firstLineChars="759"/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—现代农业特色产业园省级示范园奖补</w:t>
      </w:r>
    </w:p>
    <w:p>
      <w:pPr>
        <w:ind w:left="0" w:leftChars="0" w:firstLine="838" w:firstLineChars="262"/>
        <w:rPr>
          <w:rFonts w:hint="eastAsia" w:eastAsiaTheme="minorEastAsia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使用方向：现代农业特色产业园</w:t>
      </w:r>
    </w:p>
    <w:p>
      <w:pPr>
        <w:rPr>
          <w:rFonts w:hint="eastAsia"/>
          <w:sz w:val="21"/>
          <w:szCs w:val="21"/>
          <w:vertAlign w:val="baseline"/>
          <w:lang w:val="en-US" w:eastAsia="zh-CN"/>
        </w:rPr>
      </w:pPr>
    </w:p>
    <w:p>
      <w:pPr>
        <w:rPr>
          <w:rFonts w:hint="eastAsia"/>
          <w:sz w:val="21"/>
          <w:szCs w:val="21"/>
          <w:vertAlign w:val="baseline"/>
          <w:lang w:val="en-US" w:eastAsia="zh-CN"/>
        </w:rPr>
      </w:pPr>
    </w:p>
    <w:p>
      <w:pPr>
        <w:rPr>
          <w:rFonts w:hint="eastAsia"/>
          <w:sz w:val="21"/>
          <w:szCs w:val="21"/>
          <w:vertAlign w:val="baseline"/>
          <w:lang w:val="en-US" w:eastAsia="zh-CN"/>
        </w:rPr>
      </w:pPr>
    </w:p>
    <w:p>
      <w:pPr>
        <w:rPr>
          <w:rFonts w:hint="eastAsia"/>
          <w:sz w:val="21"/>
          <w:szCs w:val="21"/>
          <w:vertAlign w:val="baseline"/>
          <w:lang w:val="en-US" w:eastAsia="zh-CN"/>
        </w:rPr>
      </w:pPr>
    </w:p>
    <w:p>
      <w:pPr>
        <w:rPr>
          <w:rFonts w:hint="eastAsia"/>
          <w:sz w:val="21"/>
          <w:szCs w:val="21"/>
          <w:vertAlign w:val="baseline"/>
          <w:lang w:val="en-US" w:eastAsia="zh-CN"/>
        </w:rPr>
      </w:pP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122555</wp:posOffset>
            </wp:positionV>
            <wp:extent cx="1657985" cy="1612265"/>
            <wp:effectExtent l="0" t="0" r="18415" b="6985"/>
            <wp:wrapNone/>
            <wp:docPr id="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sz w:val="21"/>
          <w:szCs w:val="21"/>
          <w:vertAlign w:val="baseline"/>
          <w:lang w:val="en-US" w:eastAsia="zh-CN"/>
        </w:rPr>
      </w:pPr>
    </w:p>
    <w:p>
      <w:pPr>
        <w:rPr>
          <w:rFonts w:hint="eastAsia"/>
          <w:sz w:val="21"/>
          <w:szCs w:val="21"/>
          <w:vertAlign w:val="baseline"/>
          <w:lang w:val="en-US" w:eastAsia="zh-CN"/>
        </w:rPr>
      </w:pPr>
    </w:p>
    <w:p>
      <w:pPr>
        <w:rPr>
          <w:rFonts w:hint="eastAsia"/>
          <w:sz w:val="21"/>
          <w:szCs w:val="21"/>
          <w:vertAlign w:val="baseli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  <w:t>湖南家乐粮油有限公司</w:t>
      </w:r>
    </w:p>
    <w:p>
      <w:pP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  <w:t>2018年度省级专项资金支出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  <w:t>绩效自评报告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一、项目实施单位基本情况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湖南家乐粮油有限公司成立于2014年1月，注册资本金2000万元，主要从事粮食产品的烘干、收储、加工、销售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及生态稻虾综合种养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等经营项目，是一家民营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有限责任公司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公司总部设临湘市三湾工业园，占地面积65亩，厂房及科研用房1.2万平方米，已建成自动化大米加工生产线一条，统糠生产线二条，稻谷烘干设备20组，原材料存放仓容量1.5万吨。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公司创办的生态稻虾综合种养特色产业园规划面积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3200亩，建成面积1200亩，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企业固定资产总投资3500多万元。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2018年湖南省人民政府授予公司农业产业化龙头企业称号。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二、专项资金安排和管理情况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2018年度省级专项资金分配安排情况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1、2018年12月10日湖南省财政厅湘财指[2018]160号下达2018年现代农业特色产业园创建奖补资金100万元。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2、2019年1月24日临湘市财政局拨付专项资金60万元。1月31日拨付10万元，两次共拨付我公司70万元。</w:t>
      </w:r>
    </w:p>
    <w:p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（二）专项资金使用管理情况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1、专项资金使用情况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专项资金主要支出项目如下：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2019年1月7日支付稻虾生态种养特色产业园购置、安装水泵4台及水泵房4座，付款52.73万元；2019年1月支付小龙虾养殖沟开挖及防逃设施工程款42万元；2019年1月支付生态大米销售网点装修工程款8万元；2019年1月支付稻虾生态种养产业园路基拓宽及砂石铺张工程款10万元；2019年1月支付购买小龙虾优良种苗款12.5万元；2019年3月支付稻虾生态种养产业园专变及高低压线路安装款35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合计已支付160.23万元，还有专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变及高低压线路工程及养殖设备添置等资金60多万元正在结算中。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2、专项资金管理情况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（1）制订了严密的资金使用方案，并严格按审批后的方案执行。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（2）制订了专项资金管理办法。对专项资金和项目配套资金的使用范围，管理机构，监督机制，使用申报流程及追责机制都在办法中作了详细规定，并自始至终贯彻执行。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3）建立了严格的财务管理制度。除了专项资金管理办法，公司还建立了严格的财务管理制度，对公司的财务机构、财务部门职能、会计凭证和账簿、内部稽核机制、现金管理、收支审批程序都进行了制度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（4）对专项资金实行了专账核算，专人管理。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（5）对专项工程的各个项目均进行了严格的质量把关和验收，确保了专项资金的高效使用。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三、专项资金支出绩效情况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（一）绩效目标完成情况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设定2018年度建成生态稻虾种养产业园1200亩，实际完成1200亩，占设定目标的100%，为实现目标，按计划完成的工作量包括：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安装专变1台；2、架设高低压线路7800米；3、安装抽水泵4台及建设泵房4座；4、产业园环形路基拓宽及路面砂石铺张1200米；5、稻田挖小龙虾养殖沟32300米；6、购置充氧设备40台；7、购买和投放优质小龙虾品种2500公斤；8、建成产品销售网点1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（二）产出和效益情况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1、社会效益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（1）解决就业人员11人；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（2）带动周边农民开展生态稻虾种养260户，培训周边农民280人次，带动全市近万亩农田开展稻虾综合种养；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（3）有效改善了当地交通、灌溉、用电等基础设施；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（4）减少了农业污水排放量，有利园区生态环境；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（5）为城乡居民提供了优质可靠食品；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2、经济效益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2017年园区基地面积1000亩，共生产优质稻404吨，小龙虾86.2吨，其中虾苗10吨，销售总收入488.54万元，实现利润302.67万元。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2018年园区基地面积1200亩，共生产优质稻540吨，其中有机稻260吨；生产小龙虾98吨，销售总收入576万元，比年初预定的计划562万元增加14万元，增长2.5%；比2017年增收87.5万元，增长17.9%；实现利润334万元，比2017年增加31.3万元，增长10.3%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由于特色产业园成为当地的带动企业，附近的农民有260多户加入稻虾综合种养。目前，全市稻虾生态综合种养面积已突破万亩，带动相关产业增长量近3000万元。在园区的农民人平增收1800元。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四、存在的主要问题及改进措施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在项目实施过程中还存在如下3个方面的问题：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1、制订计划时调查不细，导致部分项目预算不准。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2、宣传发动工作缺乏力度，导致产业园区除公司1200亩核心基地集中连片外，园区大范围内还存在少部分农户没有加入生态稻虾综合种养项目，形成插花式生产形式。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3、有机大米的产品宣传工作有待进一步加强，园区生产的有机米虽然品质优良，但外界知名度较低，市场份额有待扩大。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为了顺利推进产业园建设，决定采取如下改进措施：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（1）严格执行园区建设规划，确保2020建成生态稻虾综合种养特色产业园3200亩。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（2）加大宣传力度，动员园区农民全部加入稻虾综合种养行列，充分发挥园区的带动作用，带动农民增收。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（3）加大产品品牌建设，园区内产品统一使用注册品牌及商标对外销售；有机大米实行品牌和认证销售。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（4）加大产品宣传力度，尽快建立电商平台，使园区优质农产品及时销售到用户手中。</w:t>
      </w:r>
    </w:p>
    <w:p>
      <w:pPr>
        <w:spacing w:line="560" w:lineRule="exact"/>
        <w:ind w:firstLine="42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3862070</wp:posOffset>
            </wp:positionH>
            <wp:positionV relativeFrom="paragraph">
              <wp:posOffset>39370</wp:posOffset>
            </wp:positionV>
            <wp:extent cx="1657985" cy="1612265"/>
            <wp:effectExtent l="0" t="0" r="18415" b="6985"/>
            <wp:wrapNone/>
            <wp:docPr id="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right"/>
        <w:rPr>
          <w:rFonts w:hint="default"/>
          <w:sz w:val="21"/>
          <w:szCs w:val="21"/>
          <w:vertAlign w:val="baseli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2019年5月9日</w:t>
      </w:r>
    </w:p>
    <w:p>
      <w:pPr>
        <w:rPr>
          <w:rFonts w:hint="default"/>
          <w:sz w:val="21"/>
          <w:szCs w:val="21"/>
          <w:vertAlign w:val="baseline"/>
          <w:lang w:val="en-US" w:eastAsia="zh-CN"/>
        </w:rPr>
        <w:sectPr>
          <w:footerReference r:id="rId3" w:type="default"/>
          <w:pgSz w:w="11906" w:h="16838"/>
          <w:pgMar w:top="1984" w:right="1701" w:bottom="1701" w:left="1701" w:header="851" w:footer="992" w:gutter="0"/>
          <w:cols w:space="0" w:num="1"/>
          <w:rtlGutter w:val="0"/>
          <w:docGrid w:type="lines" w:linePitch="312" w:charSpace="0"/>
        </w:sectPr>
      </w:pPr>
    </w:p>
    <w:p>
      <w:pPr>
        <w:rPr>
          <w:rFonts w:hint="default"/>
          <w:sz w:val="21"/>
          <w:szCs w:val="21"/>
          <w:vertAlign w:val="baseline"/>
          <w:lang w:val="en-US" w:eastAsia="zh-CN"/>
        </w:rPr>
        <w:sectPr>
          <w:pgSz w:w="16838" w:h="11906" w:orient="landscape"/>
          <w:pgMar w:top="1701" w:right="1984" w:bottom="1701" w:left="1701" w:header="851" w:footer="992" w:gutter="0"/>
          <w:cols w:space="0" w:num="1"/>
          <w:rtlGutter w:val="0"/>
          <w:docGrid w:type="lines" w:linePitch="314" w:charSpace="0"/>
        </w:sectPr>
      </w:pPr>
    </w:p>
    <w:tbl>
      <w:tblPr>
        <w:tblStyle w:val="3"/>
        <w:tblW w:w="1360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5"/>
        <w:gridCol w:w="658"/>
        <w:gridCol w:w="630"/>
        <w:gridCol w:w="588"/>
        <w:gridCol w:w="980"/>
        <w:gridCol w:w="560"/>
        <w:gridCol w:w="4467"/>
        <w:gridCol w:w="4330"/>
        <w:gridCol w:w="7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24" w:hRule="atLeast"/>
          <w:tblHeader/>
          <w:jc w:val="center"/>
        </w:trPr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具体指标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评价标准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项目决策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项目目标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目标内容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是否设立了项目绩效目标，目标是否明确、细化、量化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设有目标（1分）、目标明确（1分）、目标细化（1分）、目标量化（1分）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决策过程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决策依据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项目是否符合</w:t>
            </w:r>
            <w:r>
              <w:rPr>
                <w:rFonts w:hint="eastAsia"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《关于2018-2020年全省现代农业特色产业园创建工作的通知》（湘农联【2015】107号）的要求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项目符合</w:t>
            </w:r>
            <w:r>
              <w:rPr>
                <w:rFonts w:hint="eastAsia"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（湘农联【2018】107号）的要求</w:t>
            </w: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（2分），能解决问题、满足需求（1分）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决策程序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项目是否符合申报条件；申报、评审、立项批准程序是否符合相关管理办法；项目变更是否履行相应手续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项目符合申报条件（2分），申报、评审、立项批准程序符合相关管理办法（2分），项目变更履行相应手续（1分）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资金分配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分配方法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是否根据需要制定相关资金管理办法，并在管理办法中明确资金分配办法；资金分配因素是否全面、合理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有相应的资金管理办法（1分），办法健全、规范（1分），因素选择全面、合理（1分）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78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分配结果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资金分配符合相关项目管理办法；分配结果是否科学合理。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符合相关项目管理办法（2分）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分配科学合理（3分）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项目管理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资金到位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到位率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实际到位/计划到位*100%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根据项目实际到位资金占计划的比重计算得分（2分）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到位时效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资金是否及时到位；若未及时到位，是否影响项目进度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eastAsia="方正仿宋_GBK"/>
                <w:color w:val="000000" w:themeColor="text1"/>
                <w:spacing w:val="4"/>
                <w:sz w:val="24"/>
                <w14:textFill>
                  <w14:solidFill>
                    <w14:schemeClr w14:val="tx1"/>
                  </w14:solidFill>
                </w14:textFill>
              </w:rPr>
              <w:t>时到位（2分），未及时到位但未影响项目进度（1.5分），未及时到位并影响项目进度（0-1分）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1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资金管理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资金使用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是否存在支出依据不合规，虚列项目支出的情况；是否存在截留、挤占、挪用项目资金情况；是否存在超标准开支情况；是否存在超预算情况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虚列（套取）扣4-6分，支出依据不合规扣2分，截留、挪用、挤占项目资金扣2-5超标准开支扣2-5分，超预算扣2-3分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资金管理、费用支出等制度是否健全，是否严格执行；会计核算是否规范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财务制度健全，严格执行制度（1分），会计核算规范（1分）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组织实施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组织机构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机构是否健全、分工是否明确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机构健全、分工明确（1分）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项目实施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项目是否按计划开始；是否按计划进度开展；是否按计划完成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按计划开始（1分），按计划进度开展（1分），按计划完成（1分）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管理制度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是否建立健全项目管理制度；是否严格执行相关管理制度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建立健全项目管理制度（1分），严格执行相关管理制度（3分）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项目绩效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项目产出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产出数量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项目数量是否达到绩效目标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按照年度绩效目标进行评价（6分）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产出质量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产品是否达到“有机”或“绿色”产品</w:t>
            </w: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要求。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按照</w:t>
            </w:r>
            <w:r>
              <w:rPr>
                <w:rFonts w:hint="eastAsia"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产品质量</w:t>
            </w: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进行评价（6分）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产出时效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项目是否按计划进度完成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按照项目</w:t>
            </w:r>
            <w:r>
              <w:rPr>
                <w:rFonts w:hint="eastAsia"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进展</w:t>
            </w: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进行评价（4分）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产出成本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项目成本是否按绩效目标控制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按照项目经费管理办法进行评价（4分）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项目效益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经济效益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通过实施项目</w:t>
            </w: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，促进了经济效益提升。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根据项目结题提供的数据进行评价。80%的结题项目数据显示经济效益得到提升（4分），每提高一个百分点加1分。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通过实</w:t>
            </w:r>
            <w:r>
              <w:rPr>
                <w:rFonts w:hint="eastAsia"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施</w:t>
            </w: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项目，产生良好的社会效益。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根据项目结题提供的数据进行评价。80%的结题项目数据显示取得良好社会效益（4分），每提高一个百分点加1分。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环境效益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通过实施项目，促进了资源节约和环境保护。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根据项目结题提供的数据进行评价。80%的相关结题项目数据显示取得良好环境效益（4分），每提高一个百分点加1分。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可持续影响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制定项目是否能得到实施，作用能否持续有效发挥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能得到实施（4分）；作用能持续有效发挥（4分）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服务对象满意度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项目预期服务对象对项目实施的满意度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公开项目征集程序，并对项目结果应用的相关方进行满意度调查，满意度大于90%。（8分）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</w:tr>
    </w:tbl>
    <w:p>
      <w:pPr>
        <w:rPr>
          <w:rFonts w:hint="default"/>
          <w:sz w:val="21"/>
          <w:szCs w:val="21"/>
          <w:vertAlign w:val="baseline"/>
          <w:lang w:val="en-US" w:eastAsia="zh-CN"/>
        </w:rPr>
        <w:sectPr>
          <w:pgSz w:w="16838" w:h="11906" w:orient="landscape"/>
          <w:pgMar w:top="1701" w:right="1984" w:bottom="1701" w:left="1701" w:header="851" w:footer="992" w:gutter="0"/>
          <w:cols w:space="0" w:num="1"/>
          <w:rtlGutter w:val="0"/>
          <w:docGrid w:type="lines" w:linePitch="314" w:charSpace="0"/>
        </w:sectPr>
      </w:pPr>
      <w:r>
        <w:rPr>
          <w:rFonts w:hint="default"/>
          <w:sz w:val="21"/>
          <w:szCs w:val="21"/>
          <w:vertAlign w:val="baseline"/>
          <w:lang w:val="en-US" w:eastAsia="zh-CN"/>
        </w:rPr>
        <w:br w:type="page"/>
      </w:r>
    </w:p>
    <w:p/>
    <w:sectPr>
      <w:pgSz w:w="16838" w:h="11906" w:orient="landscape"/>
      <w:pgMar w:top="1701" w:right="1984" w:bottom="1701" w:left="1701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AJBwgVAgAAFQQAAA4AAABkcnMvZTJvRG9jLnhtbK1Ty47TMBTdI/EP&#10;lvc0aRlGVdV0VGZUhFQxIxXE2nWcJpJfst0m5QPgD1ixYc939Ts4dpoOmmGF2NjX933PPZ7fdEqS&#10;g3C+Mbqg41FOidDclI3eFfTTx9WrKSU+MF0yabQo6FF4erN4+WLe2pmYmNrIUjiCJNrPWlvQOgQ7&#10;yzLPa6GYHxkrNIyVcYoFPN0uKx1rkV3JbJLn11lrXGmd4cJ7aO96I12k/FUleLivKi8CkQVFbyGd&#10;Lp3beGaLOZvtHLN1w89tsH/oQrFGo+gl1R0LjOxd8yyVargz3lRhxI3KTFU1XKQZMM04fzLNpmZW&#10;pFkAjrcXmPz/S8s/HB4cacqCXl1RopnCjk7fv51+/Dr9/EqgA0Ct9TP4bSw8Q/fWdFj0oPdQxrm7&#10;yql4YyICO6A+XuAVXSA8Bk0n02kOE4dteCB/9hhunQ/vhFEkCgV12F+ClR3WPvSug0usps2qkTLt&#10;UGrSFvT69Zs8BVwsSC41asQh+majFLptd55sa8ojBnOm54a3fNWg+Jr58MAcyICGQfBwj6OSBkXM&#10;WaKkNu7L3/TRHzuClZIW5CqoBvspke81dhd5OAhuELaDoPfq1oCtY3wcy5OIABfkIFbOqM9g/TLW&#10;gIlpjkoFDYN4G3qC49dwsVwmp711za7uA8A8y8JabyyPZSKQ3i73AWAmjCNAPSpn3MC9tKXzP4nk&#10;/vO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AJBwg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73481"/>
    <w:rsid w:val="030D0989"/>
    <w:rsid w:val="088D2C2D"/>
    <w:rsid w:val="12784262"/>
    <w:rsid w:val="19D17049"/>
    <w:rsid w:val="3CB15945"/>
    <w:rsid w:val="47E81E18"/>
    <w:rsid w:val="4E636F86"/>
    <w:rsid w:val="55873481"/>
    <w:rsid w:val="5F3D405C"/>
    <w:rsid w:val="680675B8"/>
    <w:rsid w:val="681E6283"/>
    <w:rsid w:val="7DAD6F1F"/>
    <w:rsid w:val="7DB15ED3"/>
    <w:rsid w:val="7F5D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2019-05-16T05:58:00Z</dcterms:created>
  <dc:creator>Administrator</dc:creator>
  <cp:lastModifiedBy>Administrator</cp:lastModifiedBy>
  <cp:lastPrinted>2019-05-17T03:10:04Z</cp:lastPrinted>
  <dcterms:modified xsi:type="dcterms:W3CDTF">2019-05-17T03:24:49Z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