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jc w:val="both"/>
        <w:rPr>
          <w:rFonts w:hint="eastAsia" w:ascii="宋体" w:hAnsi="宋体" w:eastAsia="宋体" w:cs="宋体"/>
          <w:b/>
          <w:bCs/>
          <w:i w:val="0"/>
          <w:caps w:val="0"/>
          <w:color w:val="000000" w:themeColor="text1"/>
          <w:spacing w:val="0"/>
          <w:sz w:val="36"/>
          <w:szCs w:val="36"/>
          <w:shd w:val="clear" w:color="auto" w:fill="FFFFFF"/>
          <w:lang w:val="en-US" w:eastAsia="zh-CN"/>
          <w14:textFill>
            <w14:solidFill>
              <w14:schemeClr w14:val="tx1"/>
            </w14:solidFill>
          </w14:textFill>
        </w:rPr>
      </w:pPr>
      <w:r>
        <w:rPr>
          <w:rFonts w:hint="eastAsia" w:ascii="宋体" w:hAnsi="宋体" w:eastAsia="宋体" w:cs="宋体"/>
          <w:b/>
          <w:bCs/>
          <w:i w:val="0"/>
          <w:caps w:val="0"/>
          <w:color w:val="000000" w:themeColor="text1"/>
          <w:spacing w:val="0"/>
          <w:sz w:val="36"/>
          <w:szCs w:val="36"/>
          <w:shd w:val="clear" w:color="auto" w:fill="FFFFFF"/>
          <w:lang w:val="en-US" w:eastAsia="zh-CN"/>
          <w14:textFill>
            <w14:solidFill>
              <w14:schemeClr w14:val="tx1"/>
            </w14:solidFill>
          </w14:textFill>
        </w:rPr>
        <w:t>2020年临湘市国民经济和社会发展统计公报</w:t>
      </w:r>
    </w:p>
    <w:p>
      <w:pPr>
        <w:ind w:firstLine="2880" w:firstLineChars="900"/>
        <w:jc w:val="both"/>
        <w:rPr>
          <w:rFonts w:hint="eastAsia" w:ascii="楷体" w:hAnsi="楷体" w:eastAsia="楷体" w:cs="楷体"/>
          <w:b w:val="0"/>
          <w:bCs w:val="0"/>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楷体" w:hAnsi="楷体" w:eastAsia="楷体" w:cs="楷体"/>
          <w:b w:val="0"/>
          <w:bCs w:val="0"/>
          <w:i w:val="0"/>
          <w:caps w:val="0"/>
          <w:color w:val="000000" w:themeColor="text1"/>
          <w:spacing w:val="0"/>
          <w:sz w:val="32"/>
          <w:szCs w:val="32"/>
          <w:shd w:val="clear" w:color="auto" w:fill="FFFFFF"/>
          <w:lang w:val="en-US" w:eastAsia="zh-CN"/>
          <w14:textFill>
            <w14:solidFill>
              <w14:schemeClr w14:val="tx1"/>
            </w14:solidFill>
          </w14:textFill>
        </w:rPr>
        <w:t>（2021年3月）</w:t>
      </w:r>
    </w:p>
    <w:p>
      <w:pPr>
        <w:ind w:firstLine="640"/>
        <w:jc w:val="both"/>
        <w:rPr>
          <w:rFonts w:hint="eastAsia" w:ascii="仿宋" w:hAnsi="仿宋" w:eastAsia="仿宋" w:cs="仿宋"/>
          <w:i w:val="0"/>
          <w:caps w:val="0"/>
          <w:color w:val="000000" w:themeColor="text1"/>
          <w:spacing w:val="0"/>
          <w:sz w:val="32"/>
          <w:szCs w:val="32"/>
          <w:shd w:val="clear" w:color="auto" w:fill="FFFFFF"/>
          <w:lang w:val="en-US" w:eastAsia="zh-CN"/>
          <w14:textFill>
            <w14:solidFill>
              <w14:schemeClr w14:val="tx1"/>
            </w14:solidFill>
          </w14:textFill>
        </w:rPr>
      </w:pPr>
    </w:p>
    <w:p>
      <w:pPr>
        <w:ind w:firstLine="640"/>
        <w:jc w:val="both"/>
        <w:rPr>
          <w:rFonts w:hint="eastAsia" w:ascii="仿宋" w:hAnsi="仿宋" w:eastAsia="仿宋" w:cs="仿宋"/>
          <w:i w:val="0"/>
          <w:caps w:val="0"/>
          <w:color w:val="000000" w:themeColor="text1"/>
          <w:spacing w:val="0"/>
          <w:sz w:val="30"/>
          <w:szCs w:val="30"/>
          <w:shd w:val="clear" w:fill="FFFFFF"/>
          <w14:textFill>
            <w14:solidFill>
              <w14:schemeClr w14:val="tx1"/>
            </w14:solidFill>
          </w14:textFill>
        </w:rPr>
      </w:pPr>
      <w:r>
        <w:rPr>
          <w:rFonts w:hint="eastAsia" w:ascii="仿宋" w:hAnsi="仿宋" w:eastAsia="仿宋" w:cs="仿宋"/>
          <w:i w:val="0"/>
          <w:caps w:val="0"/>
          <w:color w:val="000000" w:themeColor="text1"/>
          <w:spacing w:val="0"/>
          <w:sz w:val="30"/>
          <w:szCs w:val="30"/>
          <w:shd w:val="clear" w:color="auto" w:fill="FFFFFF"/>
          <w:lang w:val="en-US" w:eastAsia="zh-CN"/>
          <w14:textFill>
            <w14:solidFill>
              <w14:schemeClr w14:val="tx1"/>
            </w14:solidFill>
          </w14:textFill>
        </w:rPr>
        <w:t>2020年</w:t>
      </w:r>
      <w:r>
        <w:rPr>
          <w:rFonts w:hint="eastAsia" w:ascii="仿宋" w:hAnsi="仿宋" w:eastAsia="仿宋" w:cs="仿宋"/>
          <w:i w:val="0"/>
          <w:caps w:val="0"/>
          <w:color w:val="000000" w:themeColor="text1"/>
          <w:spacing w:val="0"/>
          <w:sz w:val="30"/>
          <w:szCs w:val="30"/>
          <w:shd w:val="clear" w:color="auto" w:fill="FFFFFF"/>
          <w14:textFill>
            <w14:solidFill>
              <w14:schemeClr w14:val="tx1"/>
            </w14:solidFill>
          </w14:textFill>
        </w:rPr>
        <w:t>，在</w:t>
      </w:r>
      <w:r>
        <w:rPr>
          <w:rFonts w:hint="eastAsia" w:ascii="仿宋" w:hAnsi="仿宋" w:eastAsia="仿宋" w:cs="仿宋"/>
          <w:i w:val="0"/>
          <w:caps w:val="0"/>
          <w:color w:val="000000" w:themeColor="text1"/>
          <w:spacing w:val="0"/>
          <w:sz w:val="30"/>
          <w:szCs w:val="30"/>
          <w:shd w:val="clear" w:color="auto" w:fill="FFFFFF"/>
          <w:lang w:val="en-US" w:eastAsia="zh-CN"/>
          <w14:textFill>
            <w14:solidFill>
              <w14:schemeClr w14:val="tx1"/>
            </w14:solidFill>
          </w14:textFill>
        </w:rPr>
        <w:t>市委市</w:t>
      </w:r>
      <w:r>
        <w:rPr>
          <w:rFonts w:hint="eastAsia" w:ascii="仿宋" w:hAnsi="仿宋" w:eastAsia="仿宋" w:cs="仿宋"/>
          <w:i w:val="0"/>
          <w:caps w:val="0"/>
          <w:color w:val="000000" w:themeColor="text1"/>
          <w:spacing w:val="0"/>
          <w:sz w:val="30"/>
          <w:szCs w:val="30"/>
          <w:shd w:val="clear" w:color="auto" w:fill="FFFFFF"/>
          <w14:textFill>
            <w14:solidFill>
              <w14:schemeClr w14:val="tx1"/>
            </w14:solidFill>
          </w14:textFill>
        </w:rPr>
        <w:t>政府的坚强领导下，</w:t>
      </w:r>
      <w:r>
        <w:rPr>
          <w:rFonts w:hint="eastAsia" w:ascii="仿宋" w:hAnsi="仿宋" w:eastAsia="仿宋" w:cs="仿宋"/>
          <w:i w:val="0"/>
          <w:caps w:val="0"/>
          <w:color w:val="000000" w:themeColor="text1"/>
          <w:spacing w:val="0"/>
          <w:sz w:val="30"/>
          <w:szCs w:val="30"/>
          <w:shd w:val="clear" w:color="auto" w:fill="FFFFFF"/>
          <w:lang w:val="en-US" w:eastAsia="zh-CN"/>
          <w14:textFill>
            <w14:solidFill>
              <w14:schemeClr w14:val="tx1"/>
            </w14:solidFill>
          </w14:textFill>
        </w:rPr>
        <w:t>全市</w:t>
      </w:r>
      <w:r>
        <w:rPr>
          <w:rFonts w:hint="eastAsia" w:ascii="仿宋" w:hAnsi="仿宋" w:eastAsia="仿宋" w:cs="仿宋"/>
          <w:i w:val="0"/>
          <w:caps w:val="0"/>
          <w:color w:val="000000" w:themeColor="text1"/>
          <w:spacing w:val="0"/>
          <w:sz w:val="30"/>
          <w:szCs w:val="30"/>
          <w:shd w:val="clear" w:color="auto" w:fill="FFFFFF"/>
          <w14:textFill>
            <w14:solidFill>
              <w14:schemeClr w14:val="tx1"/>
            </w14:solidFill>
          </w14:textFill>
        </w:rPr>
        <w:t>上下</w:t>
      </w:r>
      <w:r>
        <w:rPr>
          <w:rFonts w:hint="eastAsia" w:ascii="仿宋" w:hAnsi="仿宋" w:eastAsia="仿宋" w:cs="仿宋"/>
          <w:i w:val="0"/>
          <w:caps w:val="0"/>
          <w:color w:val="000000" w:themeColor="text1"/>
          <w:spacing w:val="0"/>
          <w:sz w:val="30"/>
          <w:szCs w:val="30"/>
          <w:shd w:val="clear" w:fill="FFFFFF"/>
          <w14:textFill>
            <w14:solidFill>
              <w14:schemeClr w14:val="tx1"/>
            </w14:solidFill>
          </w14:textFill>
        </w:rPr>
        <w:t>坚持以习近平新时代中国特色社会主义思想为指导，全面贯彻党的十九大和十九届二中、三中、四中、五中全会精神，</w:t>
      </w:r>
      <w:r>
        <w:rPr>
          <w:rFonts w:hint="eastAsia" w:ascii="仿宋" w:hAnsi="仿宋" w:eastAsia="仿宋" w:cs="仿宋"/>
          <w:i w:val="0"/>
          <w:caps w:val="0"/>
          <w:color w:val="000000" w:themeColor="text1"/>
          <w:spacing w:val="0"/>
          <w:sz w:val="30"/>
          <w:szCs w:val="30"/>
          <w:shd w:val="clear" w:color="auto" w:fill="FFFFFF"/>
          <w14:textFill>
            <w14:solidFill>
              <w14:schemeClr w14:val="tx1"/>
            </w14:solidFill>
          </w14:textFill>
        </w:rPr>
        <w:t>统筹疫情防控和经济社会发展，扎实做好“六稳” 工作，全面落实“六保”任务，</w:t>
      </w:r>
      <w:r>
        <w:rPr>
          <w:rFonts w:hint="eastAsia" w:ascii="仿宋" w:hAnsi="仿宋" w:eastAsia="仿宋" w:cs="仿宋"/>
          <w:i w:val="0"/>
          <w:caps w:val="0"/>
          <w:color w:val="000000" w:themeColor="text1"/>
          <w:spacing w:val="0"/>
          <w:sz w:val="30"/>
          <w:szCs w:val="30"/>
          <w:shd w:val="clear" w:fill="FFFFFF"/>
          <w14:textFill>
            <w14:solidFill>
              <w14:schemeClr w14:val="tx1"/>
            </w14:solidFill>
          </w14:textFill>
        </w:rPr>
        <w:t>经济发展稳定向好，社会大局和谐稳定，“十三五”规划圆满收官。</w:t>
      </w:r>
    </w:p>
    <w:p>
      <w:pPr>
        <w:ind w:firstLine="600" w:firstLineChars="200"/>
        <w:rPr>
          <w:rFonts w:hint="eastAsia" w:ascii="黑体" w:eastAsia="黑体" w:cs="宋体"/>
          <w:b w:val="0"/>
          <w:bCs/>
          <w:color w:val="000000"/>
          <w:kern w:val="0"/>
          <w:sz w:val="30"/>
          <w:szCs w:val="30"/>
          <w:lang w:val="zh-CN"/>
        </w:rPr>
      </w:pPr>
      <w:r>
        <w:rPr>
          <w:rFonts w:hint="eastAsia" w:ascii="黑体" w:eastAsia="黑体" w:cs="宋体"/>
          <w:b w:val="0"/>
          <w:bCs/>
          <w:color w:val="000000"/>
          <w:kern w:val="0"/>
          <w:sz w:val="30"/>
          <w:szCs w:val="30"/>
          <w:lang w:val="zh-CN"/>
        </w:rPr>
        <w:t xml:space="preserve">一、综合   </w:t>
      </w:r>
    </w:p>
    <w:p>
      <w:pPr>
        <w:ind w:firstLine="600" w:firstLineChars="200"/>
        <w:rPr>
          <w:rFonts w:hint="eastAsia" w:ascii="仿宋" w:hAnsi="仿宋" w:eastAsia="仿宋" w:cs="宋体"/>
          <w:snapToGrid w:val="0"/>
          <w:color w:val="000000"/>
          <w:kern w:val="0"/>
          <w:sz w:val="30"/>
          <w:szCs w:val="30"/>
          <w:lang w:val="zh-CN"/>
        </w:rPr>
      </w:pPr>
      <w:r>
        <w:rPr>
          <w:rFonts w:hint="eastAsia" w:ascii="仿宋" w:hAnsi="仿宋" w:eastAsia="仿宋" w:cs="宋体"/>
          <w:color w:val="000000"/>
          <w:kern w:val="0"/>
          <w:sz w:val="30"/>
          <w:szCs w:val="30"/>
          <w:lang w:val="zh-CN"/>
        </w:rPr>
        <w:t>初步核算，全市地区生产总值</w:t>
      </w:r>
      <w:r>
        <w:rPr>
          <w:rFonts w:hint="eastAsia" w:ascii="仿宋" w:hAnsi="仿宋" w:eastAsia="仿宋" w:cs="宋体"/>
          <w:color w:val="000000"/>
          <w:kern w:val="0"/>
          <w:sz w:val="30"/>
          <w:szCs w:val="30"/>
          <w:lang w:val="en-US" w:eastAsia="zh-CN"/>
        </w:rPr>
        <w:t>305.06</w:t>
      </w:r>
      <w:r>
        <w:rPr>
          <w:rFonts w:hint="eastAsia" w:ascii="仿宋" w:hAnsi="仿宋" w:eastAsia="仿宋" w:cs="宋体"/>
          <w:color w:val="000000"/>
          <w:kern w:val="0"/>
          <w:sz w:val="30"/>
          <w:szCs w:val="30"/>
          <w:lang w:val="zh-CN"/>
        </w:rPr>
        <w:t>亿元，比上年增长</w:t>
      </w:r>
      <w:r>
        <w:rPr>
          <w:rFonts w:hint="eastAsia" w:ascii="仿宋" w:hAnsi="仿宋" w:eastAsia="仿宋" w:cs="宋体"/>
          <w:color w:val="000000"/>
          <w:kern w:val="0"/>
          <w:sz w:val="30"/>
          <w:szCs w:val="30"/>
          <w:lang w:val="en-US" w:eastAsia="zh-CN"/>
        </w:rPr>
        <w:t>3.6</w:t>
      </w:r>
      <w:r>
        <w:rPr>
          <w:rFonts w:hint="eastAsia" w:ascii="仿宋" w:hAnsi="仿宋" w:eastAsia="仿宋" w:cs="宋体"/>
          <w:color w:val="000000"/>
          <w:kern w:val="0"/>
          <w:sz w:val="30"/>
          <w:szCs w:val="30"/>
          <w:lang w:val="zh-CN"/>
        </w:rPr>
        <w:t>%。其中，第一产业增加值</w:t>
      </w:r>
      <w:r>
        <w:rPr>
          <w:rFonts w:hint="eastAsia" w:ascii="仿宋" w:hAnsi="仿宋" w:eastAsia="仿宋" w:cs="宋体"/>
          <w:color w:val="000000"/>
          <w:kern w:val="0"/>
          <w:sz w:val="30"/>
          <w:szCs w:val="30"/>
          <w:lang w:val="en-US" w:eastAsia="zh-CN"/>
        </w:rPr>
        <w:t>41.65</w:t>
      </w:r>
      <w:r>
        <w:rPr>
          <w:rFonts w:hint="eastAsia" w:ascii="仿宋" w:hAnsi="仿宋" w:eastAsia="仿宋" w:cs="宋体"/>
          <w:color w:val="000000"/>
          <w:kern w:val="0"/>
          <w:sz w:val="30"/>
          <w:szCs w:val="30"/>
          <w:lang w:val="zh-CN"/>
        </w:rPr>
        <w:t>亿元，增长</w:t>
      </w:r>
      <w:r>
        <w:rPr>
          <w:rFonts w:hint="eastAsia" w:ascii="仿宋" w:hAnsi="仿宋" w:eastAsia="仿宋" w:cs="宋体"/>
          <w:color w:val="000000"/>
          <w:kern w:val="0"/>
          <w:sz w:val="30"/>
          <w:szCs w:val="30"/>
          <w:lang w:val="en-US" w:eastAsia="zh-CN"/>
        </w:rPr>
        <w:t>4.2</w:t>
      </w:r>
      <w:r>
        <w:rPr>
          <w:rFonts w:hint="eastAsia" w:ascii="仿宋" w:hAnsi="仿宋" w:eastAsia="仿宋" w:cs="宋体"/>
          <w:color w:val="000000"/>
          <w:kern w:val="0"/>
          <w:sz w:val="30"/>
          <w:szCs w:val="30"/>
          <w:lang w:val="zh-CN"/>
        </w:rPr>
        <w:t>%；第二产业增加值</w:t>
      </w:r>
      <w:r>
        <w:rPr>
          <w:rFonts w:hint="eastAsia" w:ascii="仿宋" w:hAnsi="仿宋" w:eastAsia="仿宋" w:cs="宋体"/>
          <w:color w:val="000000"/>
          <w:kern w:val="0"/>
          <w:sz w:val="30"/>
          <w:szCs w:val="30"/>
          <w:lang w:val="en-US" w:eastAsia="zh-CN"/>
        </w:rPr>
        <w:t>129.96</w:t>
      </w:r>
      <w:r>
        <w:rPr>
          <w:rFonts w:hint="eastAsia" w:ascii="仿宋" w:hAnsi="仿宋" w:eastAsia="仿宋" w:cs="宋体"/>
          <w:color w:val="000000"/>
          <w:kern w:val="0"/>
          <w:sz w:val="30"/>
          <w:szCs w:val="30"/>
          <w:lang w:val="zh-CN"/>
        </w:rPr>
        <w:t>亿元，增长</w:t>
      </w:r>
      <w:r>
        <w:rPr>
          <w:rFonts w:hint="eastAsia" w:ascii="仿宋" w:hAnsi="仿宋" w:eastAsia="仿宋" w:cs="宋体"/>
          <w:color w:val="000000"/>
          <w:kern w:val="0"/>
          <w:sz w:val="30"/>
          <w:szCs w:val="30"/>
          <w:lang w:val="en-US" w:eastAsia="zh-CN"/>
        </w:rPr>
        <w:t>3.7</w:t>
      </w:r>
      <w:r>
        <w:rPr>
          <w:rFonts w:hint="eastAsia" w:ascii="仿宋" w:hAnsi="仿宋" w:eastAsia="仿宋" w:cs="宋体"/>
          <w:color w:val="000000"/>
          <w:kern w:val="0"/>
          <w:sz w:val="30"/>
          <w:szCs w:val="30"/>
          <w:lang w:val="zh-CN"/>
        </w:rPr>
        <w:t>%；第三产业增加值</w:t>
      </w:r>
      <w:r>
        <w:rPr>
          <w:rFonts w:hint="eastAsia" w:ascii="仿宋" w:hAnsi="仿宋" w:eastAsia="仿宋" w:cs="宋体"/>
          <w:color w:val="000000"/>
          <w:kern w:val="0"/>
          <w:sz w:val="30"/>
          <w:szCs w:val="30"/>
          <w:lang w:val="en-US" w:eastAsia="zh-CN"/>
        </w:rPr>
        <w:t>133.46</w:t>
      </w:r>
      <w:r>
        <w:rPr>
          <w:rFonts w:hint="eastAsia" w:ascii="仿宋" w:hAnsi="仿宋" w:eastAsia="仿宋" w:cs="宋体"/>
          <w:color w:val="000000"/>
          <w:kern w:val="0"/>
          <w:sz w:val="30"/>
          <w:szCs w:val="30"/>
          <w:lang w:val="zh-CN"/>
        </w:rPr>
        <w:t>亿元，增长</w:t>
      </w:r>
      <w:r>
        <w:rPr>
          <w:rFonts w:hint="eastAsia" w:ascii="仿宋" w:hAnsi="仿宋" w:eastAsia="仿宋" w:cs="宋体"/>
          <w:color w:val="000000"/>
          <w:kern w:val="0"/>
          <w:sz w:val="30"/>
          <w:szCs w:val="30"/>
          <w:lang w:val="en-US" w:eastAsia="zh-CN"/>
        </w:rPr>
        <w:t>3.9</w:t>
      </w:r>
      <w:r>
        <w:rPr>
          <w:rFonts w:hint="eastAsia" w:ascii="仿宋" w:hAnsi="仿宋" w:eastAsia="仿宋" w:cs="宋体"/>
          <w:color w:val="000000"/>
          <w:kern w:val="0"/>
          <w:sz w:val="30"/>
          <w:szCs w:val="30"/>
          <w:lang w:val="zh-CN"/>
        </w:rPr>
        <w:t>%</w:t>
      </w:r>
      <w:r>
        <w:rPr>
          <w:rFonts w:hint="eastAsia" w:ascii="仿宋" w:hAnsi="仿宋" w:eastAsia="仿宋" w:cs="宋体"/>
          <w:color w:val="000000"/>
          <w:kern w:val="0"/>
          <w:sz w:val="30"/>
          <w:szCs w:val="30"/>
          <w:lang w:val="zh-CN" w:eastAsia="zh-CN"/>
        </w:rPr>
        <w:t>。</w:t>
      </w:r>
      <w:r>
        <w:rPr>
          <w:rFonts w:hint="eastAsia" w:ascii="仿宋" w:hAnsi="仿宋" w:eastAsia="仿宋" w:cs="宋体"/>
          <w:snapToGrid w:val="0"/>
          <w:color w:val="000000"/>
          <w:kern w:val="0"/>
          <w:sz w:val="30"/>
          <w:szCs w:val="30"/>
          <w:lang w:val="zh-CN"/>
        </w:rPr>
        <w:t>全市三次产业结构比为</w:t>
      </w:r>
      <w:r>
        <w:rPr>
          <w:rFonts w:hint="eastAsia" w:ascii="仿宋" w:hAnsi="仿宋" w:eastAsia="仿宋" w:cs="宋体"/>
          <w:snapToGrid w:val="0"/>
          <w:color w:val="000000"/>
          <w:kern w:val="0"/>
          <w:sz w:val="30"/>
          <w:szCs w:val="30"/>
          <w:lang w:val="en-US" w:eastAsia="zh-CN"/>
        </w:rPr>
        <w:t>13.7</w:t>
      </w:r>
      <w:r>
        <w:rPr>
          <w:rFonts w:hint="eastAsia" w:ascii="仿宋" w:hAnsi="仿宋" w:eastAsia="仿宋" w:cs="宋体"/>
          <w:snapToGrid w:val="0"/>
          <w:color w:val="000000"/>
          <w:kern w:val="0"/>
          <w:sz w:val="30"/>
          <w:szCs w:val="30"/>
          <w:lang w:val="zh-CN"/>
        </w:rPr>
        <w:t>:</w:t>
      </w:r>
      <w:r>
        <w:rPr>
          <w:rFonts w:hint="eastAsia" w:ascii="仿宋" w:hAnsi="仿宋" w:eastAsia="仿宋" w:cs="宋体"/>
          <w:snapToGrid w:val="0"/>
          <w:color w:val="000000"/>
          <w:kern w:val="0"/>
          <w:sz w:val="30"/>
          <w:szCs w:val="30"/>
          <w:lang w:val="en-US" w:eastAsia="zh-CN"/>
        </w:rPr>
        <w:t>42.6</w:t>
      </w:r>
      <w:r>
        <w:rPr>
          <w:rFonts w:hint="eastAsia" w:ascii="仿宋" w:hAnsi="仿宋" w:eastAsia="仿宋" w:cs="宋体"/>
          <w:snapToGrid w:val="0"/>
          <w:color w:val="000000"/>
          <w:kern w:val="0"/>
          <w:sz w:val="30"/>
          <w:szCs w:val="30"/>
          <w:lang w:val="zh-CN"/>
        </w:rPr>
        <w:t>:</w:t>
      </w:r>
      <w:r>
        <w:rPr>
          <w:rFonts w:hint="eastAsia" w:ascii="仿宋" w:hAnsi="仿宋" w:eastAsia="仿宋" w:cs="宋体"/>
          <w:snapToGrid w:val="0"/>
          <w:color w:val="000000"/>
          <w:kern w:val="0"/>
          <w:sz w:val="30"/>
          <w:szCs w:val="30"/>
          <w:lang w:val="en-US" w:eastAsia="zh-CN"/>
        </w:rPr>
        <w:t>43.7</w:t>
      </w:r>
      <w:r>
        <w:rPr>
          <w:rFonts w:hint="eastAsia" w:ascii="仿宋" w:hAnsi="仿宋" w:eastAsia="仿宋" w:cs="宋体"/>
          <w:snapToGrid w:val="0"/>
          <w:color w:val="000000"/>
          <w:kern w:val="0"/>
          <w:sz w:val="30"/>
          <w:szCs w:val="30"/>
          <w:lang w:val="zh-CN"/>
        </w:rPr>
        <w:t>。</w:t>
      </w:r>
    </w:p>
    <w:p>
      <w:pPr>
        <w:rPr>
          <w:rFonts w:hint="eastAsia" w:ascii="仿宋" w:hAnsi="仿宋" w:eastAsia="仿宋" w:cs="宋体"/>
          <w:snapToGrid w:val="0"/>
          <w:color w:val="000000"/>
          <w:kern w:val="0"/>
          <w:sz w:val="32"/>
          <w:szCs w:val="32"/>
          <w:lang w:val="zh-CN"/>
        </w:rPr>
      </w:pPr>
      <w:r>
        <w:rPr>
          <w:rFonts w:hint="eastAsia"/>
          <w:lang w:val="en-US" w:eastAsia="zh-CN"/>
        </w:rPr>
        <w:t xml:space="preserve"> </w:t>
      </w:r>
      <w:r>
        <w:drawing>
          <wp:inline distT="0" distB="0" distL="114300" distR="114300">
            <wp:extent cx="5063490" cy="2336165"/>
            <wp:effectExtent l="4445" t="4445" r="18415" b="21590"/>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ind w:firstLine="600" w:firstLineChars="200"/>
        <w:rPr>
          <w:rFonts w:hint="eastAsia" w:ascii="仿宋" w:hAnsi="仿宋" w:eastAsia="仿宋" w:cs="宋体"/>
          <w:color w:val="000000"/>
          <w:kern w:val="0"/>
          <w:sz w:val="30"/>
          <w:szCs w:val="30"/>
          <w:lang w:val="en-US" w:eastAsia="zh-CN"/>
        </w:rPr>
      </w:pPr>
      <w:r>
        <w:rPr>
          <w:rFonts w:hint="eastAsia" w:ascii="仿宋" w:hAnsi="仿宋" w:eastAsia="仿宋" w:cs="宋体"/>
          <w:color w:val="000000"/>
          <w:kern w:val="0"/>
          <w:sz w:val="30"/>
          <w:szCs w:val="30"/>
          <w:lang w:val="en-US" w:eastAsia="zh-CN"/>
        </w:rPr>
        <w:t>全年一般公共预算收入12.76亿元，同比增长8.2%；一般公共预算地方收入7.55亿元，同比增长18.2%。</w:t>
      </w:r>
    </w:p>
    <w:p>
      <w:pP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r>
        <w:drawing>
          <wp:inline distT="0" distB="0" distL="114300" distR="114300">
            <wp:extent cx="5206365" cy="2332990"/>
            <wp:effectExtent l="4445" t="4445" r="8890" b="571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ind w:left="13" w:leftChars="6" w:firstLine="597" w:firstLineChars="199"/>
        <w:rPr>
          <w:rFonts w:hint="eastAsia" w:ascii="仿宋" w:hAnsi="仿宋" w:eastAsia="仿宋" w:cs="宋体"/>
          <w:color w:val="000000" w:themeColor="text1"/>
          <w:kern w:val="0"/>
          <w:sz w:val="30"/>
          <w:szCs w:val="30"/>
          <w:lang w:val="zh-CN"/>
          <w14:textFill>
            <w14:solidFill>
              <w14:schemeClr w14:val="tx1"/>
            </w14:solidFill>
          </w14:textFill>
        </w:rPr>
      </w:pPr>
      <w:r>
        <w:rPr>
          <w:rFonts w:hint="eastAsia" w:ascii="仿宋" w:hAnsi="仿宋" w:eastAsia="仿宋" w:cs="宋体"/>
          <w:color w:val="000000" w:themeColor="text1"/>
          <w:kern w:val="0"/>
          <w:sz w:val="30"/>
          <w:szCs w:val="30"/>
          <w:lang w:val="zh-CN"/>
          <w14:textFill>
            <w14:solidFill>
              <w14:schemeClr w14:val="tx1"/>
            </w14:solidFill>
          </w14:textFill>
        </w:rPr>
        <w:t>年末全市总人口</w:t>
      </w:r>
      <w:r>
        <w:rPr>
          <w:rFonts w:hint="eastAsia" w:ascii="仿宋" w:hAnsi="仿宋" w:eastAsia="仿宋" w:cs="宋体"/>
          <w:color w:val="000000" w:themeColor="text1"/>
          <w:kern w:val="0"/>
          <w:sz w:val="30"/>
          <w:szCs w:val="30"/>
          <w:lang w:val="en-US" w:eastAsia="zh-CN"/>
          <w14:textFill>
            <w14:solidFill>
              <w14:schemeClr w14:val="tx1"/>
            </w14:solidFill>
          </w14:textFill>
        </w:rPr>
        <w:t>541864</w:t>
      </w:r>
      <w:r>
        <w:rPr>
          <w:rFonts w:hint="eastAsia" w:ascii="仿宋" w:hAnsi="仿宋" w:eastAsia="仿宋" w:cs="宋体"/>
          <w:color w:val="000000" w:themeColor="text1"/>
          <w:kern w:val="0"/>
          <w:sz w:val="30"/>
          <w:szCs w:val="30"/>
          <w:lang w:val="zh-CN"/>
          <w14:textFill>
            <w14:solidFill>
              <w14:schemeClr w14:val="tx1"/>
            </w14:solidFill>
          </w14:textFill>
        </w:rPr>
        <w:t>人，比上年</w:t>
      </w:r>
      <w:r>
        <w:rPr>
          <w:rFonts w:hint="eastAsia" w:ascii="仿宋" w:hAnsi="仿宋" w:eastAsia="仿宋" w:cs="宋体"/>
          <w:color w:val="000000" w:themeColor="text1"/>
          <w:kern w:val="0"/>
          <w:sz w:val="30"/>
          <w:szCs w:val="30"/>
          <w:lang w:val="en-US" w:eastAsia="zh-CN"/>
          <w14:textFill>
            <w14:solidFill>
              <w14:schemeClr w14:val="tx1"/>
            </w14:solidFill>
          </w14:textFill>
        </w:rPr>
        <w:t>减少1104</w:t>
      </w:r>
      <w:r>
        <w:rPr>
          <w:rFonts w:hint="eastAsia" w:ascii="仿宋" w:hAnsi="仿宋" w:eastAsia="仿宋" w:cs="宋体"/>
          <w:color w:val="000000" w:themeColor="text1"/>
          <w:kern w:val="0"/>
          <w:sz w:val="30"/>
          <w:szCs w:val="30"/>
          <w:lang w:val="zh-CN"/>
          <w14:textFill>
            <w14:solidFill>
              <w14:schemeClr w14:val="tx1"/>
            </w14:solidFill>
          </w14:textFill>
        </w:rPr>
        <w:t>人，其中城镇人口</w:t>
      </w:r>
      <w:r>
        <w:rPr>
          <w:rFonts w:hint="eastAsia" w:ascii="仿宋" w:hAnsi="仿宋" w:eastAsia="仿宋" w:cs="宋体"/>
          <w:color w:val="000000" w:themeColor="text1"/>
          <w:kern w:val="0"/>
          <w:sz w:val="30"/>
          <w:szCs w:val="30"/>
          <w:lang w:val="en-US" w:eastAsia="zh-CN"/>
          <w14:textFill>
            <w14:solidFill>
              <w14:schemeClr w14:val="tx1"/>
            </w14:solidFill>
          </w14:textFill>
        </w:rPr>
        <w:t>199650</w:t>
      </w:r>
      <w:r>
        <w:rPr>
          <w:rFonts w:hint="eastAsia" w:ascii="仿宋" w:hAnsi="仿宋" w:eastAsia="仿宋" w:cs="宋体"/>
          <w:color w:val="000000" w:themeColor="text1"/>
          <w:kern w:val="0"/>
          <w:sz w:val="30"/>
          <w:szCs w:val="30"/>
          <w:lang w:val="zh-CN"/>
          <w14:textFill>
            <w14:solidFill>
              <w14:schemeClr w14:val="tx1"/>
            </w14:solidFill>
          </w14:textFill>
        </w:rPr>
        <w:t>人，农业人口</w:t>
      </w:r>
      <w:r>
        <w:rPr>
          <w:rFonts w:hint="eastAsia" w:ascii="仿宋" w:hAnsi="仿宋" w:eastAsia="仿宋" w:cs="宋体"/>
          <w:color w:val="000000" w:themeColor="text1"/>
          <w:kern w:val="0"/>
          <w:sz w:val="30"/>
          <w:szCs w:val="30"/>
          <w:lang w:val="en-US" w:eastAsia="zh-CN"/>
          <w14:textFill>
            <w14:solidFill>
              <w14:schemeClr w14:val="tx1"/>
            </w14:solidFill>
          </w14:textFill>
        </w:rPr>
        <w:t>342214</w:t>
      </w:r>
      <w:r>
        <w:rPr>
          <w:rFonts w:hint="eastAsia" w:ascii="仿宋" w:hAnsi="仿宋" w:eastAsia="仿宋" w:cs="宋体"/>
          <w:color w:val="000000" w:themeColor="text1"/>
          <w:kern w:val="0"/>
          <w:sz w:val="30"/>
          <w:szCs w:val="30"/>
          <w:lang w:val="zh-CN"/>
          <w14:textFill>
            <w14:solidFill>
              <w14:schemeClr w14:val="tx1"/>
            </w14:solidFill>
          </w14:textFill>
        </w:rPr>
        <w:t>人，户籍人口城镇化率</w:t>
      </w:r>
      <w:r>
        <w:rPr>
          <w:rFonts w:hint="eastAsia" w:ascii="仿宋" w:hAnsi="仿宋" w:eastAsia="仿宋" w:cs="宋体"/>
          <w:color w:val="000000" w:themeColor="text1"/>
          <w:kern w:val="0"/>
          <w:sz w:val="30"/>
          <w:szCs w:val="30"/>
          <w:lang w:val="en-US" w:eastAsia="zh-CN"/>
          <w14:textFill>
            <w14:solidFill>
              <w14:schemeClr w14:val="tx1"/>
            </w14:solidFill>
          </w14:textFill>
        </w:rPr>
        <w:t>36.85</w:t>
      </w:r>
      <w:r>
        <w:rPr>
          <w:rFonts w:hint="eastAsia" w:ascii="仿宋" w:hAnsi="仿宋" w:eastAsia="仿宋" w:cs="宋体"/>
          <w:color w:val="000000" w:themeColor="text1"/>
          <w:kern w:val="0"/>
          <w:sz w:val="30"/>
          <w:szCs w:val="30"/>
          <w:lang w:val="zh-CN"/>
          <w14:textFill>
            <w14:solidFill>
              <w14:schemeClr w14:val="tx1"/>
            </w14:solidFill>
          </w14:textFill>
        </w:rPr>
        <w:t>%，比上年提升</w:t>
      </w:r>
      <w:r>
        <w:rPr>
          <w:rFonts w:hint="eastAsia" w:ascii="仿宋" w:hAnsi="仿宋" w:eastAsia="仿宋" w:cs="宋体"/>
          <w:color w:val="000000" w:themeColor="text1"/>
          <w:kern w:val="0"/>
          <w:sz w:val="30"/>
          <w:szCs w:val="30"/>
          <w:lang w:val="en-US" w:eastAsia="zh-CN"/>
          <w14:textFill>
            <w14:solidFill>
              <w14:schemeClr w14:val="tx1"/>
            </w14:solidFill>
          </w14:textFill>
        </w:rPr>
        <w:t>0.42个百分点。</w:t>
      </w:r>
      <w:r>
        <w:rPr>
          <w:rFonts w:hint="eastAsia" w:ascii="仿宋" w:hAnsi="仿宋" w:eastAsia="仿宋" w:cs="宋体"/>
          <w:color w:val="000000" w:themeColor="text1"/>
          <w:kern w:val="0"/>
          <w:sz w:val="30"/>
          <w:szCs w:val="30"/>
          <w:lang w:val="zh-CN"/>
          <w14:textFill>
            <w14:solidFill>
              <w14:schemeClr w14:val="tx1"/>
            </w14:solidFill>
          </w14:textFill>
        </w:rPr>
        <w:t>全年人口出生人数</w:t>
      </w:r>
      <w:r>
        <w:rPr>
          <w:rFonts w:hint="eastAsia" w:ascii="仿宋" w:hAnsi="仿宋" w:eastAsia="仿宋" w:cs="宋体"/>
          <w:color w:val="000000" w:themeColor="text1"/>
          <w:kern w:val="0"/>
          <w:sz w:val="30"/>
          <w:szCs w:val="30"/>
          <w:lang w:val="en-US" w:eastAsia="zh-CN"/>
          <w14:textFill>
            <w14:solidFill>
              <w14:schemeClr w14:val="tx1"/>
            </w14:solidFill>
          </w14:textFill>
        </w:rPr>
        <w:t>4796</w:t>
      </w:r>
      <w:r>
        <w:rPr>
          <w:rFonts w:hint="eastAsia" w:ascii="仿宋" w:hAnsi="仿宋" w:eastAsia="仿宋" w:cs="宋体"/>
          <w:color w:val="000000" w:themeColor="text1"/>
          <w:kern w:val="0"/>
          <w:sz w:val="30"/>
          <w:szCs w:val="30"/>
          <w:lang w:val="zh-CN"/>
          <w14:textFill>
            <w14:solidFill>
              <w14:schemeClr w14:val="tx1"/>
            </w14:solidFill>
          </w14:textFill>
        </w:rPr>
        <w:t>人，死亡人口</w:t>
      </w:r>
      <w:r>
        <w:rPr>
          <w:rFonts w:hint="eastAsia" w:ascii="仿宋" w:hAnsi="仿宋" w:eastAsia="仿宋" w:cs="宋体"/>
          <w:color w:val="000000" w:themeColor="text1"/>
          <w:kern w:val="0"/>
          <w:sz w:val="30"/>
          <w:szCs w:val="30"/>
          <w:lang w:val="en-US" w:eastAsia="zh-CN"/>
          <w14:textFill>
            <w14:solidFill>
              <w14:schemeClr w14:val="tx1"/>
            </w14:solidFill>
          </w14:textFill>
        </w:rPr>
        <w:t>2761人</w:t>
      </w:r>
      <w:r>
        <w:rPr>
          <w:rFonts w:hint="eastAsia" w:ascii="仿宋" w:hAnsi="仿宋" w:eastAsia="仿宋" w:cs="宋体"/>
          <w:color w:val="000000" w:themeColor="text1"/>
          <w:kern w:val="0"/>
          <w:sz w:val="30"/>
          <w:szCs w:val="30"/>
          <w:lang w:val="zh-CN"/>
          <w14:textFill>
            <w14:solidFill>
              <w14:schemeClr w14:val="tx1"/>
            </w14:solidFill>
          </w14:textFill>
        </w:rPr>
        <w:t>。</w:t>
      </w:r>
    </w:p>
    <w:tbl>
      <w:tblPr>
        <w:tblStyle w:val="5"/>
        <w:tblpPr w:leftFromText="180" w:rightFromText="180" w:vertAnchor="text" w:horzAnchor="page" w:tblpX="2149" w:tblpY="625"/>
        <w:tblOverlap w:val="never"/>
        <w:tblW w:w="7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8"/>
        <w:gridCol w:w="2462"/>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2738" w:type="dxa"/>
            <w:tcBorders>
              <w:left w:val="nil"/>
            </w:tcBorders>
            <w:noWrap w:val="0"/>
            <w:vAlign w:val="center"/>
          </w:tcPr>
          <w:p>
            <w:pPr>
              <w:jc w:val="center"/>
              <w:rPr>
                <w:rFonts w:hint="eastAsia" w:ascii="宋体" w:hAnsi="宋体" w:eastAsia="宋体" w:cs="宋体"/>
                <w:b/>
                <w:bCs/>
                <w:color w:val="000000"/>
                <w:kern w:val="0"/>
                <w:sz w:val="24"/>
                <w:szCs w:val="24"/>
                <w:vertAlign w:val="baseline"/>
                <w:lang w:val="zh-CN"/>
              </w:rPr>
            </w:pPr>
            <w:r>
              <w:rPr>
                <w:rFonts w:hint="eastAsia" w:ascii="宋体" w:hAnsi="宋体" w:eastAsia="宋体" w:cs="宋体"/>
                <w:b/>
                <w:bCs/>
                <w:color w:val="000000"/>
                <w:kern w:val="0"/>
                <w:sz w:val="24"/>
                <w:szCs w:val="24"/>
                <w:vertAlign w:val="baseline"/>
                <w:lang w:val="zh-CN"/>
              </w:rPr>
              <w:t>指</w:t>
            </w:r>
            <w:r>
              <w:rPr>
                <w:rFonts w:hint="eastAsia" w:ascii="宋体" w:hAnsi="宋体" w:eastAsia="宋体" w:cs="宋体"/>
                <w:b/>
                <w:bCs/>
                <w:color w:val="000000"/>
                <w:kern w:val="0"/>
                <w:sz w:val="24"/>
                <w:szCs w:val="24"/>
                <w:vertAlign w:val="baseline"/>
                <w:lang w:val="en-US" w:eastAsia="zh-CN"/>
              </w:rPr>
              <w:t xml:space="preserve">  </w:t>
            </w:r>
            <w:r>
              <w:rPr>
                <w:rFonts w:hint="eastAsia" w:ascii="宋体" w:hAnsi="宋体" w:eastAsia="宋体" w:cs="宋体"/>
                <w:b/>
                <w:bCs/>
                <w:color w:val="000000"/>
                <w:kern w:val="0"/>
                <w:sz w:val="24"/>
                <w:szCs w:val="24"/>
                <w:vertAlign w:val="baseline"/>
                <w:lang w:val="zh-CN"/>
              </w:rPr>
              <w:t>标</w:t>
            </w:r>
          </w:p>
        </w:tc>
        <w:tc>
          <w:tcPr>
            <w:tcW w:w="2462" w:type="dxa"/>
            <w:noWrap w:val="0"/>
            <w:vAlign w:val="center"/>
          </w:tcPr>
          <w:p>
            <w:pPr>
              <w:jc w:val="center"/>
              <w:rPr>
                <w:rFonts w:hint="eastAsia" w:ascii="宋体" w:hAnsi="宋体" w:eastAsia="宋体" w:cs="宋体"/>
                <w:b/>
                <w:bCs/>
                <w:color w:val="000000"/>
                <w:kern w:val="0"/>
                <w:sz w:val="24"/>
                <w:szCs w:val="24"/>
                <w:vertAlign w:val="baseline"/>
                <w:lang w:val="zh-CN"/>
              </w:rPr>
            </w:pPr>
            <w:r>
              <w:rPr>
                <w:rFonts w:hint="eastAsia" w:ascii="宋体" w:hAnsi="宋体" w:eastAsia="宋体" w:cs="宋体"/>
                <w:b/>
                <w:bCs/>
                <w:color w:val="000000"/>
                <w:kern w:val="0"/>
                <w:sz w:val="24"/>
                <w:szCs w:val="24"/>
                <w:vertAlign w:val="baseline"/>
                <w:lang w:val="zh-CN"/>
              </w:rPr>
              <w:t>年末数（人）</w:t>
            </w:r>
          </w:p>
        </w:tc>
        <w:tc>
          <w:tcPr>
            <w:tcW w:w="2360" w:type="dxa"/>
            <w:tcBorders>
              <w:right w:val="nil"/>
            </w:tcBorders>
            <w:noWrap w:val="0"/>
            <w:vAlign w:val="center"/>
          </w:tcPr>
          <w:p>
            <w:pPr>
              <w:jc w:val="center"/>
              <w:rPr>
                <w:rFonts w:hint="eastAsia" w:ascii="宋体" w:hAnsi="宋体" w:eastAsia="宋体" w:cs="宋体"/>
                <w:b/>
                <w:bCs/>
                <w:color w:val="000000"/>
                <w:kern w:val="0"/>
                <w:sz w:val="24"/>
                <w:szCs w:val="24"/>
                <w:vertAlign w:val="baseline"/>
                <w:lang w:val="en-US" w:eastAsia="zh-CN"/>
              </w:rPr>
            </w:pPr>
            <w:r>
              <w:rPr>
                <w:rFonts w:hint="eastAsia" w:ascii="宋体" w:hAnsi="宋体" w:eastAsia="宋体" w:cs="宋体"/>
                <w:b/>
                <w:bCs/>
                <w:color w:val="000000"/>
                <w:kern w:val="0"/>
                <w:sz w:val="24"/>
                <w:szCs w:val="24"/>
                <w:vertAlign w:val="baseline"/>
                <w:lang w:val="zh-CN"/>
              </w:rPr>
              <w:t>比重（</w:t>
            </w:r>
            <w:r>
              <w:rPr>
                <w:rFonts w:hint="eastAsia" w:ascii="宋体" w:hAnsi="宋体" w:eastAsia="宋体" w:cs="宋体"/>
                <w:b/>
                <w:bCs/>
                <w:color w:val="000000"/>
                <w:kern w:val="0"/>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1" w:hRule="atLeast"/>
        </w:trPr>
        <w:tc>
          <w:tcPr>
            <w:tcW w:w="2738" w:type="dxa"/>
            <w:tcBorders>
              <w:left w:val="nil"/>
            </w:tcBorders>
            <w:noWrap w:val="0"/>
            <w:vAlign w:val="top"/>
          </w:tcPr>
          <w:p>
            <w:pPr>
              <w:ind w:firstLine="480" w:firstLineChars="200"/>
              <w:rPr>
                <w:rFonts w:hint="eastAsia" w:ascii="宋体" w:hAnsi="宋体" w:eastAsia="宋体" w:cs="宋体"/>
                <w:color w:val="000000"/>
                <w:kern w:val="0"/>
                <w:sz w:val="24"/>
                <w:szCs w:val="24"/>
                <w:vertAlign w:val="baseline"/>
                <w:lang w:val="zh-CN"/>
              </w:rPr>
            </w:pPr>
            <w:r>
              <w:rPr>
                <w:rFonts w:hint="eastAsia" w:ascii="宋体" w:hAnsi="宋体" w:eastAsia="宋体" w:cs="宋体"/>
                <w:color w:val="000000"/>
                <w:kern w:val="0"/>
                <w:sz w:val="24"/>
                <w:szCs w:val="24"/>
                <w:vertAlign w:val="baseline"/>
                <w:lang w:val="zh-CN"/>
              </w:rPr>
              <w:t>总人口</w:t>
            </w:r>
          </w:p>
          <w:p>
            <w:pPr>
              <w:ind w:firstLine="720" w:firstLineChars="300"/>
              <w:rPr>
                <w:rFonts w:hint="eastAsia" w:ascii="宋体" w:hAnsi="宋体" w:eastAsia="宋体" w:cs="宋体"/>
                <w:color w:val="000000"/>
                <w:kern w:val="0"/>
                <w:sz w:val="24"/>
                <w:szCs w:val="24"/>
                <w:vertAlign w:val="baseline"/>
                <w:lang w:val="zh-CN"/>
              </w:rPr>
            </w:pPr>
            <w:r>
              <w:rPr>
                <w:rFonts w:hint="eastAsia" w:ascii="宋体" w:hAnsi="宋体" w:eastAsia="宋体" w:cs="宋体"/>
                <w:color w:val="000000"/>
                <w:kern w:val="0"/>
                <w:sz w:val="24"/>
                <w:szCs w:val="24"/>
                <w:vertAlign w:val="baseline"/>
                <w:lang w:val="zh-CN"/>
              </w:rPr>
              <w:t>城镇</w:t>
            </w:r>
          </w:p>
          <w:p>
            <w:pPr>
              <w:ind w:firstLine="720" w:firstLineChars="300"/>
              <w:rPr>
                <w:rFonts w:hint="eastAsia" w:ascii="宋体" w:hAnsi="宋体" w:eastAsia="宋体" w:cs="宋体"/>
                <w:color w:val="000000"/>
                <w:kern w:val="0"/>
                <w:sz w:val="24"/>
                <w:szCs w:val="24"/>
                <w:vertAlign w:val="baseline"/>
                <w:lang w:val="zh-CN"/>
              </w:rPr>
            </w:pPr>
            <w:r>
              <w:rPr>
                <w:rFonts w:hint="eastAsia" w:ascii="宋体" w:hAnsi="宋体" w:eastAsia="宋体" w:cs="宋体"/>
                <w:color w:val="000000"/>
                <w:kern w:val="0"/>
                <w:sz w:val="24"/>
                <w:szCs w:val="24"/>
                <w:vertAlign w:val="baseline"/>
                <w:lang w:val="zh-CN"/>
              </w:rPr>
              <w:t>农业</w:t>
            </w:r>
          </w:p>
          <w:p>
            <w:pPr>
              <w:ind w:firstLine="720" w:firstLineChars="300"/>
              <w:rPr>
                <w:rFonts w:hint="eastAsia" w:ascii="宋体" w:hAnsi="宋体" w:eastAsia="宋体" w:cs="宋体"/>
                <w:color w:val="000000"/>
                <w:kern w:val="0"/>
                <w:sz w:val="24"/>
                <w:szCs w:val="24"/>
                <w:vertAlign w:val="baseline"/>
                <w:lang w:val="zh-CN"/>
              </w:rPr>
            </w:pPr>
            <w:r>
              <w:rPr>
                <w:rFonts w:hint="eastAsia" w:ascii="宋体" w:hAnsi="宋体" w:eastAsia="宋体" w:cs="宋体"/>
                <w:color w:val="000000"/>
                <w:kern w:val="0"/>
                <w:sz w:val="24"/>
                <w:szCs w:val="24"/>
                <w:vertAlign w:val="baseline"/>
                <w:lang w:val="zh-CN"/>
              </w:rPr>
              <w:t>男性</w:t>
            </w:r>
          </w:p>
          <w:p>
            <w:pPr>
              <w:ind w:firstLine="720" w:firstLineChars="300"/>
              <w:rPr>
                <w:rFonts w:hint="eastAsia" w:ascii="宋体" w:hAnsi="宋体" w:eastAsia="宋体" w:cs="宋体"/>
                <w:color w:val="000000"/>
                <w:kern w:val="0"/>
                <w:sz w:val="24"/>
                <w:szCs w:val="24"/>
                <w:vertAlign w:val="baseline"/>
                <w:lang w:val="zh-CN"/>
              </w:rPr>
            </w:pPr>
            <w:r>
              <w:rPr>
                <w:rFonts w:hint="eastAsia" w:ascii="宋体" w:hAnsi="宋体" w:eastAsia="宋体" w:cs="宋体"/>
                <w:color w:val="000000"/>
                <w:kern w:val="0"/>
                <w:sz w:val="24"/>
                <w:szCs w:val="24"/>
                <w:vertAlign w:val="baseline"/>
                <w:lang w:val="zh-CN"/>
              </w:rPr>
              <w:t>女性</w:t>
            </w:r>
          </w:p>
          <w:p>
            <w:pPr>
              <w:ind w:firstLine="720" w:firstLineChars="300"/>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0-17岁</w:t>
            </w:r>
          </w:p>
          <w:p>
            <w:pPr>
              <w:ind w:firstLine="720" w:firstLineChars="300"/>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18-34岁</w:t>
            </w:r>
          </w:p>
          <w:p>
            <w:pPr>
              <w:ind w:firstLine="720" w:firstLineChars="300"/>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35-59岁</w:t>
            </w:r>
          </w:p>
          <w:p>
            <w:pPr>
              <w:ind w:firstLine="720" w:firstLineChars="300"/>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60岁及以上</w:t>
            </w:r>
          </w:p>
        </w:tc>
        <w:tc>
          <w:tcPr>
            <w:tcW w:w="2462" w:type="dxa"/>
            <w:noWrap w:val="0"/>
            <w:vAlign w:val="top"/>
          </w:tcPr>
          <w:p>
            <w:pPr>
              <w:ind w:firstLine="960" w:firstLineChars="400"/>
              <w:jc w:val="both"/>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lang w:val="en-US" w:eastAsia="zh-CN"/>
              </w:rPr>
              <w:t>541864</w:t>
            </w:r>
          </w:p>
          <w:p>
            <w:pPr>
              <w:ind w:firstLine="960" w:firstLineChars="4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199650</w:t>
            </w:r>
          </w:p>
          <w:p>
            <w:pPr>
              <w:ind w:firstLine="960" w:firstLineChars="4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342214</w:t>
            </w:r>
          </w:p>
          <w:p>
            <w:pPr>
              <w:ind w:firstLine="960" w:firstLineChars="400"/>
              <w:jc w:val="both"/>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286773</w:t>
            </w:r>
          </w:p>
          <w:p>
            <w:pPr>
              <w:ind w:firstLine="960" w:firstLineChars="400"/>
              <w:jc w:val="both"/>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255091</w:t>
            </w:r>
          </w:p>
          <w:p>
            <w:pPr>
              <w:ind w:firstLine="960" w:firstLineChars="400"/>
              <w:jc w:val="both"/>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122141</w:t>
            </w:r>
          </w:p>
          <w:p>
            <w:pPr>
              <w:ind w:firstLine="960" w:firstLineChars="400"/>
              <w:jc w:val="both"/>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113209</w:t>
            </w:r>
          </w:p>
          <w:p>
            <w:pPr>
              <w:ind w:firstLine="960" w:firstLineChars="400"/>
              <w:jc w:val="both"/>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207965</w:t>
            </w:r>
          </w:p>
          <w:p>
            <w:pPr>
              <w:jc w:val="center"/>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 xml:space="preserve">    98549</w:t>
            </w:r>
          </w:p>
        </w:tc>
        <w:tc>
          <w:tcPr>
            <w:tcW w:w="2360" w:type="dxa"/>
            <w:tcBorders>
              <w:right w:val="nil"/>
            </w:tcBorders>
            <w:noWrap w:val="0"/>
            <w:vAlign w:val="top"/>
          </w:tcPr>
          <w:p>
            <w:pPr>
              <w:ind w:firstLine="960" w:firstLineChars="400"/>
              <w:jc w:val="both"/>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100</w:t>
            </w:r>
          </w:p>
          <w:p>
            <w:pPr>
              <w:ind w:firstLine="960" w:firstLineChars="400"/>
              <w:jc w:val="both"/>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36.8</w:t>
            </w:r>
          </w:p>
          <w:p>
            <w:pPr>
              <w:ind w:firstLine="960" w:firstLineChars="400"/>
              <w:jc w:val="both"/>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63.2</w:t>
            </w:r>
          </w:p>
          <w:p>
            <w:pPr>
              <w:ind w:firstLine="960" w:firstLineChars="400"/>
              <w:jc w:val="both"/>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52.9</w:t>
            </w:r>
          </w:p>
          <w:p>
            <w:pPr>
              <w:ind w:firstLine="960" w:firstLineChars="400"/>
              <w:jc w:val="both"/>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47.1</w:t>
            </w:r>
          </w:p>
          <w:p>
            <w:pPr>
              <w:ind w:firstLine="960" w:firstLineChars="400"/>
              <w:jc w:val="both"/>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22.5</w:t>
            </w:r>
          </w:p>
          <w:p>
            <w:pPr>
              <w:ind w:firstLine="960" w:firstLineChars="400"/>
              <w:jc w:val="both"/>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20.9</w:t>
            </w:r>
          </w:p>
          <w:p>
            <w:pPr>
              <w:ind w:firstLine="960" w:firstLineChars="400"/>
              <w:jc w:val="both"/>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38.4</w:t>
            </w:r>
          </w:p>
          <w:p>
            <w:pPr>
              <w:ind w:firstLine="960" w:firstLineChars="400"/>
              <w:jc w:val="both"/>
              <w:rPr>
                <w:rFonts w:hint="default"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18.2</w:t>
            </w:r>
          </w:p>
          <w:p>
            <w:pPr>
              <w:jc w:val="center"/>
              <w:rPr>
                <w:rFonts w:hint="eastAsia" w:ascii="宋体" w:hAnsi="宋体" w:eastAsia="宋体" w:cs="宋体"/>
                <w:color w:val="000000"/>
                <w:kern w:val="0"/>
                <w:sz w:val="24"/>
                <w:szCs w:val="24"/>
                <w:vertAlign w:val="baseline"/>
                <w:lang w:val="en-US" w:eastAsia="zh-CN"/>
              </w:rPr>
            </w:pPr>
          </w:p>
        </w:tc>
      </w:tr>
    </w:tbl>
    <w:p>
      <w:pPr>
        <w:ind w:firstLine="2249" w:firstLineChars="800"/>
        <w:rPr>
          <w:rFonts w:hint="default" w:ascii="黑体" w:hAnsi="黑体" w:eastAsia="黑体" w:cs="黑体"/>
          <w:sz w:val="30"/>
          <w:szCs w:val="30"/>
          <w:lang w:val="en-US" w:eastAsia="zh-CN"/>
        </w:rPr>
      </w:pPr>
      <w:r>
        <w:rPr>
          <w:rFonts w:hint="eastAsia" w:ascii="宋体" w:hAnsi="宋体" w:eastAsia="宋体" w:cs="宋体"/>
          <w:b/>
          <w:bCs/>
          <w:color w:val="000000"/>
          <w:kern w:val="0"/>
          <w:sz w:val="28"/>
          <w:szCs w:val="28"/>
          <w:lang w:val="en-US" w:eastAsia="zh-CN"/>
        </w:rPr>
        <w:t>2020年年末人口数及其构成</w:t>
      </w:r>
    </w:p>
    <w:p>
      <w:pPr>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二、农业</w:t>
      </w:r>
    </w:p>
    <w:p>
      <w:pPr>
        <w:ind w:firstLine="600" w:firstLineChars="200"/>
        <w:rPr>
          <w:rFonts w:hint="eastAsia" w:ascii="仿宋" w:hAnsi="仿宋" w:eastAsia="仿宋" w:cs="仿宋"/>
          <w:sz w:val="32"/>
          <w:szCs w:val="32"/>
        </w:rPr>
      </w:pPr>
      <w:r>
        <w:rPr>
          <w:rFonts w:hint="eastAsia" w:ascii="仿宋" w:hAnsi="仿宋" w:eastAsia="仿宋" w:cs="仿宋"/>
          <w:sz w:val="30"/>
          <w:szCs w:val="30"/>
        </w:rPr>
        <w:t>全年实现农林牧渔业总产值69.73亿元，可比价同比增长4.41%。其中农业产值24.88亿元，可比价同比增长5.54%；林业产值2.83亿元，可比价同比增长8.1%；牧业产值28.3亿元，可比价同比增长1.45%；渔业产值10.23亿元，可比价同比增长4.96%；农林牧渔服务业产值3.49亿元，同比增长7.5%。</w:t>
      </w:r>
      <w:r>
        <w:rPr>
          <w:rFonts w:hint="eastAsia" w:ascii="仿宋" w:hAnsi="仿宋" w:eastAsia="仿宋" w:cs="仿宋"/>
          <w:sz w:val="30"/>
          <w:szCs w:val="30"/>
        </w:rPr>
        <w:br w:type="textWrapping"/>
      </w:r>
      <w:r>
        <w:rPr>
          <w:rFonts w:hint="eastAsia" w:ascii="仿宋" w:hAnsi="仿宋" w:eastAsia="仿宋" w:cs="仿宋"/>
          <w:sz w:val="30"/>
          <w:szCs w:val="30"/>
        </w:rPr>
        <w:t>       主要农产品产量稳定增长。全年粮食总产量34.62万吨，增长7.2%；粮油产量2.64万吨，增长11.86%；蔬菜产量24.1万吨，茶产量0.47万吨。</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全年出栏生猪47.3万头，肉牛8900头，山羊3.74万只，家禽196</w:t>
      </w:r>
      <w:r>
        <w:rPr>
          <w:rFonts w:hint="eastAsia" w:ascii="仿宋" w:hAnsi="仿宋" w:eastAsia="仿宋" w:cs="仿宋"/>
          <w:sz w:val="30"/>
          <w:szCs w:val="30"/>
          <w:lang w:val="en-US" w:eastAsia="zh-CN"/>
        </w:rPr>
        <w:t>.</w:t>
      </w:r>
      <w:r>
        <w:rPr>
          <w:rFonts w:hint="eastAsia" w:ascii="仿宋" w:hAnsi="仿宋" w:eastAsia="仿宋" w:cs="仿宋"/>
          <w:sz w:val="30"/>
          <w:szCs w:val="30"/>
        </w:rPr>
        <w:t>72万羽。水产总产量4.26万吨。</w:t>
      </w:r>
    </w:p>
    <w:p>
      <w:pPr>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三、工业和建筑业</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全年规模以上工业企业173家，全年完成规模以上工业总产值563.94亿元，同比增长6.8%。完成规模工业增加值129.27亿元，同比增长4.1%。园区规模工业增加值完成100.31亿元，占</w:t>
      </w:r>
      <w:r>
        <w:rPr>
          <w:rFonts w:hint="eastAsia" w:ascii="仿宋" w:hAnsi="仿宋" w:eastAsia="仿宋" w:cs="仿宋"/>
          <w:sz w:val="30"/>
          <w:szCs w:val="30"/>
          <w:lang w:val="en-US" w:eastAsia="zh-CN"/>
        </w:rPr>
        <w:t>规模工业增加值的</w:t>
      </w:r>
      <w:r>
        <w:rPr>
          <w:rFonts w:hint="eastAsia" w:ascii="仿宋" w:hAnsi="仿宋" w:eastAsia="仿宋" w:cs="仿宋"/>
          <w:sz w:val="30"/>
          <w:szCs w:val="30"/>
        </w:rPr>
        <w:t>比</w:t>
      </w:r>
      <w:r>
        <w:rPr>
          <w:rFonts w:hint="eastAsia" w:ascii="仿宋" w:hAnsi="仿宋" w:eastAsia="仿宋" w:cs="仿宋"/>
          <w:sz w:val="30"/>
          <w:szCs w:val="30"/>
          <w:lang w:val="en-US" w:eastAsia="zh-CN"/>
        </w:rPr>
        <w:t>重</w:t>
      </w:r>
      <w:r>
        <w:rPr>
          <w:rFonts w:hint="eastAsia" w:ascii="仿宋" w:hAnsi="仿宋" w:eastAsia="仿宋" w:cs="仿宋"/>
          <w:sz w:val="30"/>
          <w:szCs w:val="30"/>
        </w:rPr>
        <w:t>77.6 %。</w:t>
      </w:r>
    </w:p>
    <w:p>
      <w:pPr>
        <w:ind w:firstLine="420" w:firstLineChars="200"/>
        <w:rPr>
          <w:rFonts w:hint="eastAsia" w:ascii="仿宋" w:hAnsi="仿宋" w:eastAsia="仿宋" w:cs="仿宋"/>
          <w:sz w:val="32"/>
          <w:szCs w:val="32"/>
        </w:rPr>
      </w:pPr>
      <w:r>
        <w:drawing>
          <wp:inline distT="0" distB="0" distL="114300" distR="114300">
            <wp:extent cx="4864735" cy="2165350"/>
            <wp:effectExtent l="5080" t="4445" r="6985" b="2095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rPr>
          <w:rFonts w:hint="eastAsia" w:ascii="黑体" w:hAnsi="黑体" w:eastAsia="黑体" w:cs="黑体"/>
          <w:sz w:val="32"/>
          <w:szCs w:val="32"/>
          <w:lang w:val="en-US" w:eastAsia="zh-CN"/>
        </w:rPr>
      </w:pPr>
      <w:r>
        <w:rPr>
          <w:rFonts w:hint="eastAsia" w:ascii="仿宋" w:hAnsi="仿宋" w:eastAsia="仿宋"/>
          <w:color w:val="000000"/>
          <w:sz w:val="32"/>
          <w:szCs w:val="32"/>
        </w:rPr>
        <w:t>全年全社会建筑业增加值</w:t>
      </w:r>
      <w:r>
        <w:rPr>
          <w:rFonts w:hint="eastAsia" w:ascii="仿宋" w:hAnsi="仿宋" w:eastAsia="仿宋"/>
          <w:color w:val="000000"/>
          <w:sz w:val="32"/>
          <w:szCs w:val="32"/>
          <w:lang w:val="en-US" w:eastAsia="zh-CN"/>
        </w:rPr>
        <w:t>7.8</w:t>
      </w:r>
      <w:r>
        <w:rPr>
          <w:rFonts w:hint="eastAsia" w:ascii="仿宋" w:hAnsi="仿宋" w:eastAsia="仿宋"/>
          <w:color w:val="000000"/>
          <w:sz w:val="32"/>
          <w:szCs w:val="32"/>
        </w:rPr>
        <w:t>亿元，同比增长</w:t>
      </w:r>
      <w:r>
        <w:rPr>
          <w:rFonts w:hint="eastAsia" w:ascii="仿宋" w:hAnsi="仿宋" w:eastAsia="仿宋"/>
          <w:color w:val="000000"/>
          <w:sz w:val="32"/>
          <w:szCs w:val="32"/>
          <w:lang w:val="en-US" w:eastAsia="zh-CN"/>
        </w:rPr>
        <w:t>4.5</w:t>
      </w:r>
      <w:r>
        <w:rPr>
          <w:rFonts w:hint="eastAsia" w:ascii="仿宋" w:hAnsi="仿宋" w:eastAsia="仿宋"/>
          <w:color w:val="000000"/>
          <w:sz w:val="32"/>
          <w:szCs w:val="32"/>
        </w:rPr>
        <w:t>%。</w:t>
      </w:r>
    </w:p>
    <w:p>
      <w:pPr>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四、固定资产投资</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全年全社会固定资产投资完成198.99亿元，同比增长8.8%。其中，第一产业完成投资额27.22亿元，同比增长63.2%；第二产业完成投资额80.49亿元，同比下降21.6%；第三产业完成投资额91.28亿元，同比增长70.4%。全年共有5千万以上项目120个，完成投资额137.21亿元，同比增长78.9%，占投资总额的69%。房地产开发项目23个，完成房地产投资总额6.78亿元，同比增长13.9%；完成商品房销售面积58.21万平方米，同比增长4.4%。</w:t>
      </w:r>
    </w:p>
    <w:p>
      <w:pPr>
        <w:ind w:firstLine="420" w:firstLineChars="200"/>
        <w:rPr>
          <w:rFonts w:hint="eastAsia"/>
        </w:rPr>
      </w:pPr>
      <w:r>
        <w:drawing>
          <wp:inline distT="0" distB="0" distL="114300" distR="114300">
            <wp:extent cx="4784725" cy="2186940"/>
            <wp:effectExtent l="4445" t="5080" r="11430" b="177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Style w:val="4"/>
        <w:tblW w:w="8400" w:type="dxa"/>
        <w:tblInd w:w="0" w:type="dxa"/>
        <w:tblLayout w:type="fixed"/>
        <w:tblCellMar>
          <w:top w:w="0" w:type="dxa"/>
          <w:left w:w="0" w:type="dxa"/>
          <w:bottom w:w="0" w:type="dxa"/>
          <w:right w:w="0" w:type="dxa"/>
        </w:tblCellMar>
      </w:tblPr>
      <w:tblGrid>
        <w:gridCol w:w="4007"/>
        <w:gridCol w:w="2172"/>
        <w:gridCol w:w="2020"/>
        <w:gridCol w:w="201"/>
      </w:tblGrid>
      <w:tr>
        <w:tblPrEx>
          <w:tblLayout w:type="fixed"/>
          <w:tblCellMar>
            <w:top w:w="0" w:type="dxa"/>
            <w:left w:w="0" w:type="dxa"/>
            <w:bottom w:w="0" w:type="dxa"/>
            <w:right w:w="0" w:type="dxa"/>
          </w:tblCellMar>
        </w:tblPrEx>
        <w:trPr>
          <w:gridAfter w:val="1"/>
          <w:wAfter w:w="201" w:type="dxa"/>
          <w:trHeight w:val="583" w:hRule="exact"/>
        </w:trPr>
        <w:tc>
          <w:tcPr>
            <w:tcW w:w="8199" w:type="dxa"/>
            <w:gridSpan w:val="3"/>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cs="宋体"/>
                <w:b/>
                <w:i w:val="0"/>
                <w:color w:val="000000"/>
                <w:kern w:val="0"/>
                <w:sz w:val="28"/>
                <w:szCs w:val="28"/>
                <w:u w:val="none"/>
                <w:lang w:val="en-US" w:eastAsia="zh-CN" w:bidi="ar"/>
              </w:rPr>
              <w:t>2020</w:t>
            </w:r>
            <w:r>
              <w:rPr>
                <w:rFonts w:hint="eastAsia" w:ascii="宋体" w:hAnsi="宋体" w:eastAsia="宋体" w:cs="宋体"/>
                <w:b/>
                <w:i w:val="0"/>
                <w:color w:val="000000"/>
                <w:kern w:val="0"/>
                <w:sz w:val="28"/>
                <w:szCs w:val="28"/>
                <w:u w:val="none"/>
                <w:lang w:val="en-US" w:eastAsia="zh-CN" w:bidi="ar"/>
              </w:rPr>
              <w:t>商品房建设与销售完成情况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6" w:hRule="atLeast"/>
        </w:trPr>
        <w:tc>
          <w:tcPr>
            <w:tcW w:w="400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       标</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本年累计完成</w:t>
            </w:r>
          </w:p>
        </w:tc>
        <w:tc>
          <w:tcPr>
            <w:tcW w:w="222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6" w:hRule="atLeast"/>
        </w:trPr>
        <w:tc>
          <w:tcPr>
            <w:tcW w:w="4007" w:type="dxa"/>
            <w:tcBorders>
              <w:top w:val="nil"/>
              <w:left w:val="nil"/>
              <w:bottom w:val="nil"/>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1、房地产投资总额(万元)</w:t>
            </w:r>
          </w:p>
        </w:tc>
        <w:tc>
          <w:tcPr>
            <w:tcW w:w="2172" w:type="dxa"/>
            <w:tcBorders>
              <w:top w:val="nil"/>
              <w:left w:val="single" w:color="000000" w:sz="4" w:space="0"/>
              <w:bottom w:val="nil"/>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67788</w:t>
            </w:r>
          </w:p>
        </w:tc>
        <w:tc>
          <w:tcPr>
            <w:tcW w:w="2221" w:type="dxa"/>
            <w:gridSpan w:val="2"/>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7" w:hRule="atLeast"/>
        </w:trPr>
        <w:tc>
          <w:tcPr>
            <w:tcW w:w="4007" w:type="dxa"/>
            <w:tcBorders>
              <w:top w:val="nil"/>
              <w:left w:val="nil"/>
              <w:bottom w:val="nil"/>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2、房屋施工面积(万平方米)</w:t>
            </w:r>
          </w:p>
        </w:tc>
        <w:tc>
          <w:tcPr>
            <w:tcW w:w="2172" w:type="dxa"/>
            <w:tcBorders>
              <w:top w:val="nil"/>
              <w:left w:val="single" w:color="000000" w:sz="4" w:space="0"/>
              <w:bottom w:val="nil"/>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95.48</w:t>
            </w:r>
          </w:p>
        </w:tc>
        <w:tc>
          <w:tcPr>
            <w:tcW w:w="2221" w:type="dxa"/>
            <w:gridSpan w:val="2"/>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7" w:hRule="atLeast"/>
        </w:trPr>
        <w:tc>
          <w:tcPr>
            <w:tcW w:w="4007" w:type="dxa"/>
            <w:tcBorders>
              <w:top w:val="nil"/>
              <w:left w:val="nil"/>
              <w:bottom w:val="nil"/>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其中：住宅</w:t>
            </w:r>
          </w:p>
        </w:tc>
        <w:tc>
          <w:tcPr>
            <w:tcW w:w="2172" w:type="dxa"/>
            <w:tcBorders>
              <w:top w:val="nil"/>
              <w:left w:val="single" w:color="000000" w:sz="4" w:space="0"/>
              <w:bottom w:val="nil"/>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68.62</w:t>
            </w:r>
          </w:p>
        </w:tc>
        <w:tc>
          <w:tcPr>
            <w:tcW w:w="2221" w:type="dxa"/>
            <w:gridSpan w:val="2"/>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7" w:hRule="atLeast"/>
        </w:trPr>
        <w:tc>
          <w:tcPr>
            <w:tcW w:w="4007" w:type="dxa"/>
            <w:tcBorders>
              <w:top w:val="nil"/>
              <w:left w:val="nil"/>
              <w:bottom w:val="nil"/>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商业营业用房</w:t>
            </w:r>
          </w:p>
        </w:tc>
        <w:tc>
          <w:tcPr>
            <w:tcW w:w="2172" w:type="dxa"/>
            <w:tcBorders>
              <w:top w:val="nil"/>
              <w:left w:val="single" w:color="000000" w:sz="4" w:space="0"/>
              <w:bottom w:val="nil"/>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17.13</w:t>
            </w:r>
          </w:p>
        </w:tc>
        <w:tc>
          <w:tcPr>
            <w:tcW w:w="2221" w:type="dxa"/>
            <w:gridSpan w:val="2"/>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7" w:hRule="atLeast"/>
        </w:trPr>
        <w:tc>
          <w:tcPr>
            <w:tcW w:w="4007" w:type="dxa"/>
            <w:tcBorders>
              <w:top w:val="nil"/>
              <w:left w:val="nil"/>
              <w:bottom w:val="nil"/>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3、房屋竣工面积(万平方米)</w:t>
            </w:r>
          </w:p>
        </w:tc>
        <w:tc>
          <w:tcPr>
            <w:tcW w:w="2172" w:type="dxa"/>
            <w:tcBorders>
              <w:top w:val="nil"/>
              <w:left w:val="single" w:color="000000" w:sz="4" w:space="0"/>
              <w:bottom w:val="nil"/>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26.75</w:t>
            </w:r>
          </w:p>
        </w:tc>
        <w:tc>
          <w:tcPr>
            <w:tcW w:w="2221" w:type="dxa"/>
            <w:gridSpan w:val="2"/>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7" w:hRule="atLeast"/>
        </w:trPr>
        <w:tc>
          <w:tcPr>
            <w:tcW w:w="4007" w:type="dxa"/>
            <w:tcBorders>
              <w:top w:val="nil"/>
              <w:left w:val="nil"/>
              <w:bottom w:val="nil"/>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其中：住宅</w:t>
            </w:r>
          </w:p>
        </w:tc>
        <w:tc>
          <w:tcPr>
            <w:tcW w:w="2172" w:type="dxa"/>
            <w:tcBorders>
              <w:top w:val="nil"/>
              <w:left w:val="single" w:color="000000" w:sz="4" w:space="0"/>
              <w:bottom w:val="nil"/>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23.19</w:t>
            </w:r>
          </w:p>
        </w:tc>
        <w:tc>
          <w:tcPr>
            <w:tcW w:w="2221" w:type="dxa"/>
            <w:gridSpan w:val="2"/>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7" w:hRule="atLeast"/>
        </w:trPr>
        <w:tc>
          <w:tcPr>
            <w:tcW w:w="4007" w:type="dxa"/>
            <w:tcBorders>
              <w:top w:val="nil"/>
              <w:left w:val="nil"/>
              <w:bottom w:val="nil"/>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商业营业用房</w:t>
            </w:r>
          </w:p>
        </w:tc>
        <w:tc>
          <w:tcPr>
            <w:tcW w:w="2172" w:type="dxa"/>
            <w:tcBorders>
              <w:top w:val="nil"/>
              <w:left w:val="single" w:color="000000" w:sz="4" w:space="0"/>
              <w:bottom w:val="nil"/>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2.44</w:t>
            </w:r>
          </w:p>
        </w:tc>
        <w:tc>
          <w:tcPr>
            <w:tcW w:w="2221" w:type="dxa"/>
            <w:gridSpan w:val="2"/>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7" w:hRule="atLeast"/>
        </w:trPr>
        <w:tc>
          <w:tcPr>
            <w:tcW w:w="4007" w:type="dxa"/>
            <w:tcBorders>
              <w:top w:val="nil"/>
              <w:left w:val="nil"/>
              <w:bottom w:val="nil"/>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4、商品房销售面积(万平方米)</w:t>
            </w:r>
          </w:p>
        </w:tc>
        <w:tc>
          <w:tcPr>
            <w:tcW w:w="2172" w:type="dxa"/>
            <w:tcBorders>
              <w:top w:val="nil"/>
              <w:left w:val="single" w:color="000000" w:sz="4" w:space="0"/>
              <w:bottom w:val="nil"/>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58.21</w:t>
            </w:r>
          </w:p>
        </w:tc>
        <w:tc>
          <w:tcPr>
            <w:tcW w:w="2221" w:type="dxa"/>
            <w:gridSpan w:val="2"/>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7" w:hRule="atLeast"/>
        </w:trPr>
        <w:tc>
          <w:tcPr>
            <w:tcW w:w="4007" w:type="dxa"/>
            <w:tcBorders>
              <w:top w:val="nil"/>
              <w:left w:val="nil"/>
              <w:bottom w:val="nil"/>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现房销售面积</w:t>
            </w:r>
          </w:p>
        </w:tc>
        <w:tc>
          <w:tcPr>
            <w:tcW w:w="2172" w:type="dxa"/>
            <w:tcBorders>
              <w:top w:val="nil"/>
              <w:left w:val="single" w:color="000000" w:sz="4" w:space="0"/>
              <w:bottom w:val="nil"/>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6.94</w:t>
            </w:r>
          </w:p>
        </w:tc>
        <w:tc>
          <w:tcPr>
            <w:tcW w:w="2221" w:type="dxa"/>
            <w:gridSpan w:val="2"/>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73.9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7" w:hRule="atLeast"/>
        </w:trPr>
        <w:tc>
          <w:tcPr>
            <w:tcW w:w="4007" w:type="dxa"/>
            <w:tcBorders>
              <w:top w:val="nil"/>
              <w:left w:val="nil"/>
              <w:bottom w:val="nil"/>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期房销售面积</w:t>
            </w:r>
          </w:p>
        </w:tc>
        <w:tc>
          <w:tcPr>
            <w:tcW w:w="2172" w:type="dxa"/>
            <w:tcBorders>
              <w:top w:val="nil"/>
              <w:left w:val="single" w:color="000000" w:sz="4" w:space="0"/>
              <w:bottom w:val="nil"/>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51.27</w:t>
            </w:r>
          </w:p>
        </w:tc>
        <w:tc>
          <w:tcPr>
            <w:tcW w:w="2221" w:type="dxa"/>
            <w:gridSpan w:val="2"/>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6" w:hRule="atLeast"/>
        </w:trPr>
        <w:tc>
          <w:tcPr>
            <w:tcW w:w="40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5、房地产开发项目个数(个)</w:t>
            </w:r>
          </w:p>
        </w:tc>
        <w:tc>
          <w:tcPr>
            <w:tcW w:w="21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2221" w:type="dxa"/>
            <w:gridSpan w:val="2"/>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-20.7 </w:t>
            </w:r>
          </w:p>
        </w:tc>
      </w:tr>
    </w:tbl>
    <w:p>
      <w:pPr>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五、国内贸易</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全年实现社会消费品零售总额92.68亿元，同比</w:t>
      </w:r>
      <w:r>
        <w:rPr>
          <w:rFonts w:hint="eastAsia" w:ascii="仿宋" w:hAnsi="仿宋" w:eastAsia="仿宋" w:cs="仿宋"/>
          <w:sz w:val="30"/>
          <w:szCs w:val="30"/>
          <w:lang w:val="en-US" w:eastAsia="zh-CN"/>
        </w:rPr>
        <w:t>下降</w:t>
      </w:r>
      <w:bookmarkStart w:id="0" w:name="_GoBack"/>
      <w:bookmarkEnd w:id="0"/>
      <w:r>
        <w:rPr>
          <w:rFonts w:hint="eastAsia" w:ascii="仿宋" w:hAnsi="仿宋" w:eastAsia="仿宋" w:cs="仿宋"/>
          <w:sz w:val="30"/>
          <w:szCs w:val="30"/>
        </w:rPr>
        <w:t>2.2%。按城乡分，城镇消费品零售额78.17亿元，同比负1.9%；乡村消费品零售额14.51亿元，同比负2.5%。按行业分，批发业零售额5.82亿元，同比负3.1%；零售业零售额75.46亿元，同比负1.9%；住宿业零售额4.47亿元，同比负9.8%；餐饮业零售额6.94亿元，同比负4.3%。</w:t>
      </w:r>
    </w:p>
    <w:p>
      <w:pPr>
        <w:ind w:firstLine="420" w:firstLineChars="200"/>
        <w:rPr>
          <w:rFonts w:hint="eastAsia" w:ascii="黑体" w:hAnsi="黑体" w:eastAsia="黑体" w:cs="黑体"/>
          <w:b/>
          <w:bCs/>
          <w:color w:val="000000" w:themeColor="text1"/>
          <w:sz w:val="30"/>
          <w:szCs w:val="30"/>
          <w14:textFill>
            <w14:solidFill>
              <w14:schemeClr w14:val="tx1"/>
            </w14:solidFill>
          </w14:textFill>
        </w:rPr>
      </w:pPr>
      <w:r>
        <w:drawing>
          <wp:inline distT="0" distB="0" distL="114300" distR="114300">
            <wp:extent cx="4754245" cy="2227580"/>
            <wp:effectExtent l="4445" t="4445" r="22860" b="1587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02" w:firstLineChars="200"/>
        <w:rPr>
          <w:rFonts w:hint="eastAsia" w:ascii="黑体" w:hAnsi="黑体" w:eastAsia="黑体" w:cs="黑体"/>
          <w:b/>
          <w:bCs/>
          <w:color w:val="000000" w:themeColor="text1"/>
          <w:sz w:val="30"/>
          <w:szCs w:val="30"/>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六、对外经济</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全年进出口总额2805万美元，比上年增长5%。其中，出口2805万美元，增长10%。分商品类别看，医药、农药、化工产品出口2471万美元，增长2.4%；茶叶产品出口103万美元，同比增长0.5%；服装、鞋子出口231万美元，增长2.1%。</w:t>
      </w:r>
    </w:p>
    <w:p>
      <w:pPr>
        <w:ind w:firstLine="602" w:firstLineChars="200"/>
        <w:rPr>
          <w:rFonts w:hint="eastAsia" w:ascii="黑体" w:eastAsia="黑体" w:cs="宋体"/>
          <w:b/>
          <w:color w:val="000000" w:themeColor="text1"/>
          <w:kern w:val="0"/>
          <w:sz w:val="30"/>
          <w:szCs w:val="30"/>
          <w:lang w:val="zh-CN"/>
          <w14:textFill>
            <w14:solidFill>
              <w14:schemeClr w14:val="tx1"/>
            </w14:solidFill>
          </w14:textFill>
        </w:rPr>
      </w:pPr>
      <w:r>
        <w:rPr>
          <w:rFonts w:hint="eastAsia" w:ascii="黑体" w:eastAsia="黑体" w:cs="宋体"/>
          <w:b/>
          <w:color w:val="000000" w:themeColor="text1"/>
          <w:kern w:val="0"/>
          <w:sz w:val="30"/>
          <w:szCs w:val="30"/>
          <w:lang w:val="zh-CN"/>
          <w14:textFill>
            <w14:solidFill>
              <w14:schemeClr w14:val="tx1"/>
            </w14:solidFill>
          </w14:textFill>
        </w:rPr>
        <w:t>七、交通、邮电和旅游</w:t>
      </w:r>
    </w:p>
    <w:p>
      <w:pPr>
        <w:ind w:firstLine="600" w:firstLineChars="200"/>
        <w:rPr>
          <w:rFonts w:hint="eastAsia" w:ascii="仿宋" w:hAnsi="仿宋" w:eastAsia="仿宋" w:cs="宋体"/>
          <w:color w:val="000000" w:themeColor="text1"/>
          <w:sz w:val="30"/>
          <w:szCs w:val="30"/>
          <w:lang w:val="zh-CN"/>
          <w14:textFill>
            <w14:solidFill>
              <w14:schemeClr w14:val="tx1"/>
            </w14:solidFill>
          </w14:textFill>
        </w:rPr>
      </w:pPr>
      <w:r>
        <w:rPr>
          <w:rFonts w:hint="eastAsia" w:ascii="仿宋" w:hAnsi="仿宋" w:eastAsia="仿宋" w:cs="宋体"/>
          <w:color w:val="000000" w:themeColor="text1"/>
          <w:sz w:val="30"/>
          <w:szCs w:val="30"/>
          <w:lang w:val="zh-CN"/>
          <w14:textFill>
            <w14:solidFill>
              <w14:schemeClr w14:val="tx1"/>
            </w14:solidFill>
          </w14:textFill>
        </w:rPr>
        <w:t>年末全市共有客车253台（含去年城乡客运增加30台，今年再增加45台），公交车90台，出租车234台（大地飞鹰131台，龙骧公司103台），校车197台。完成农村公路提质改造73.4公里、危桥改造22座、农村客运招呼站40个，实施危桥改造22座，5个工班标准化改造，县、乡、村道好路率分别达到 96.5 %、88.32 %和 89.36 %。</w:t>
      </w:r>
    </w:p>
    <w:p>
      <w:pPr>
        <w:ind w:firstLine="600" w:firstLineChars="200"/>
        <w:rPr>
          <w:rFonts w:hint="eastAsia" w:ascii="仿宋" w:hAnsi="仿宋" w:eastAsia="仿宋" w:cs="宋体"/>
          <w:color w:val="000000" w:themeColor="text1"/>
          <w:kern w:val="0"/>
          <w:sz w:val="30"/>
          <w:szCs w:val="30"/>
          <w:lang w:val="zh-CN"/>
          <w14:textFill>
            <w14:solidFill>
              <w14:schemeClr w14:val="tx1"/>
            </w14:solidFill>
          </w14:textFill>
        </w:rPr>
      </w:pPr>
      <w:r>
        <w:rPr>
          <w:rFonts w:hint="eastAsia" w:ascii="仿宋" w:hAnsi="仿宋" w:eastAsia="仿宋" w:cs="宋体"/>
          <w:color w:val="000000" w:themeColor="text1"/>
          <w:sz w:val="30"/>
          <w:szCs w:val="30"/>
          <w:lang w:val="zh-CN"/>
          <w14:textFill>
            <w14:solidFill>
              <w14:schemeClr w14:val="tx1"/>
            </w14:solidFill>
          </w14:textFill>
        </w:rPr>
        <w:t>全年完成邮政业务总量</w:t>
      </w:r>
      <w:r>
        <w:rPr>
          <w:rFonts w:hint="eastAsia" w:ascii="仿宋" w:hAnsi="仿宋" w:eastAsia="仿宋" w:cs="宋体"/>
          <w:color w:val="000000" w:themeColor="text1"/>
          <w:sz w:val="30"/>
          <w:szCs w:val="30"/>
          <w:lang w:val="en-US" w:eastAsia="zh-CN"/>
          <w14:textFill>
            <w14:solidFill>
              <w14:schemeClr w14:val="tx1"/>
            </w14:solidFill>
          </w14:textFill>
        </w:rPr>
        <w:t>6981</w:t>
      </w:r>
      <w:r>
        <w:rPr>
          <w:rFonts w:hint="eastAsia" w:ascii="仿宋" w:hAnsi="仿宋" w:eastAsia="仿宋" w:cs="宋体"/>
          <w:color w:val="000000" w:themeColor="text1"/>
          <w:sz w:val="30"/>
          <w:szCs w:val="30"/>
          <w:lang w:val="zh-CN"/>
          <w14:textFill>
            <w14:solidFill>
              <w14:schemeClr w14:val="tx1"/>
            </w14:solidFill>
          </w14:textFill>
        </w:rPr>
        <w:t>万元</w:t>
      </w:r>
      <w:r>
        <w:rPr>
          <w:rFonts w:hint="eastAsia" w:ascii="仿宋" w:hAnsi="仿宋" w:eastAsia="仿宋" w:cs="宋体"/>
          <w:color w:val="000000" w:themeColor="text1"/>
          <w:kern w:val="0"/>
          <w:sz w:val="30"/>
          <w:szCs w:val="30"/>
          <w:lang w:val="zh-CN"/>
          <w14:textFill>
            <w14:solidFill>
              <w14:schemeClr w14:val="tx1"/>
            </w14:solidFill>
          </w14:textFill>
        </w:rPr>
        <w:t>，电信业务总量</w:t>
      </w:r>
      <w:r>
        <w:rPr>
          <w:rFonts w:hint="eastAsia" w:ascii="仿宋" w:hAnsi="仿宋" w:eastAsia="仿宋" w:cs="宋体"/>
          <w:color w:val="000000" w:themeColor="text1"/>
          <w:kern w:val="0"/>
          <w:sz w:val="30"/>
          <w:szCs w:val="30"/>
          <w:lang w:val="en-US" w:eastAsia="zh-CN"/>
          <w14:textFill>
            <w14:solidFill>
              <w14:schemeClr w14:val="tx1"/>
            </w14:solidFill>
          </w14:textFill>
        </w:rPr>
        <w:t>7180</w:t>
      </w:r>
      <w:r>
        <w:rPr>
          <w:rFonts w:hint="eastAsia" w:ascii="仿宋" w:hAnsi="仿宋" w:eastAsia="仿宋" w:cs="宋体"/>
          <w:color w:val="000000" w:themeColor="text1"/>
          <w:kern w:val="0"/>
          <w:sz w:val="30"/>
          <w:szCs w:val="30"/>
          <w:lang w:val="zh-CN"/>
          <w14:textFill>
            <w14:solidFill>
              <w14:schemeClr w14:val="tx1"/>
            </w14:solidFill>
          </w14:textFill>
        </w:rPr>
        <w:t>万元。年末，</w:t>
      </w:r>
      <w:r>
        <w:rPr>
          <w:rFonts w:hint="eastAsia" w:ascii="仿宋" w:hAnsi="仿宋" w:eastAsia="仿宋" w:cs="宋体"/>
          <w:color w:val="000000" w:themeColor="text1"/>
          <w:kern w:val="0"/>
          <w:sz w:val="30"/>
          <w:szCs w:val="30"/>
          <w:lang w:val="en-US" w:eastAsia="zh-CN"/>
          <w14:textFill>
            <w14:solidFill>
              <w14:schemeClr w14:val="tx1"/>
            </w14:solidFill>
          </w14:textFill>
        </w:rPr>
        <w:t>全市移动电话用户42.29万户。其中，</w:t>
      </w:r>
      <w:r>
        <w:rPr>
          <w:rFonts w:hint="eastAsia" w:ascii="仿宋" w:hAnsi="仿宋" w:eastAsia="仿宋" w:cs="宋体"/>
          <w:color w:val="000000" w:themeColor="text1"/>
          <w:sz w:val="30"/>
          <w:szCs w:val="30"/>
          <w:lang w:val="zh-CN" w:eastAsia="zh-CN"/>
          <w14:textFill>
            <w14:solidFill>
              <w14:schemeClr w14:val="tx1"/>
            </w14:solidFill>
          </w14:textFill>
        </w:rPr>
        <w:t>电信、移动和联通移动电话用户分别为</w:t>
      </w:r>
      <w:r>
        <w:rPr>
          <w:rFonts w:hint="eastAsia" w:ascii="仿宋" w:hAnsi="仿宋" w:eastAsia="仿宋" w:cs="宋体"/>
          <w:color w:val="000000" w:themeColor="text1"/>
          <w:sz w:val="30"/>
          <w:szCs w:val="30"/>
          <w:lang w:val="en-US" w:eastAsia="zh-CN"/>
          <w14:textFill>
            <w14:solidFill>
              <w14:schemeClr w14:val="tx1"/>
            </w14:solidFill>
          </w14:textFill>
        </w:rPr>
        <w:t>10.53万</w:t>
      </w:r>
      <w:r>
        <w:rPr>
          <w:rFonts w:hint="eastAsia" w:ascii="仿宋" w:hAnsi="仿宋" w:eastAsia="仿宋" w:cs="宋体"/>
          <w:color w:val="000000" w:themeColor="text1"/>
          <w:sz w:val="30"/>
          <w:szCs w:val="30"/>
          <w:lang w:val="zh-CN" w:eastAsia="zh-CN"/>
          <w14:textFill>
            <w14:solidFill>
              <w14:schemeClr w14:val="tx1"/>
            </w14:solidFill>
          </w14:textFill>
        </w:rPr>
        <w:t>户、</w:t>
      </w:r>
      <w:r>
        <w:rPr>
          <w:rFonts w:hint="eastAsia" w:ascii="仿宋" w:hAnsi="仿宋" w:eastAsia="仿宋" w:cs="宋体"/>
          <w:color w:val="000000" w:themeColor="text1"/>
          <w:sz w:val="30"/>
          <w:szCs w:val="30"/>
          <w:lang w:val="en-US" w:eastAsia="zh-CN"/>
          <w14:textFill>
            <w14:solidFill>
              <w14:schemeClr w14:val="tx1"/>
            </w14:solidFill>
          </w14:textFill>
        </w:rPr>
        <w:t>23.16万</w:t>
      </w:r>
      <w:r>
        <w:rPr>
          <w:rFonts w:hint="eastAsia" w:ascii="仿宋" w:hAnsi="仿宋" w:eastAsia="仿宋" w:cs="宋体"/>
          <w:color w:val="000000" w:themeColor="text1"/>
          <w:sz w:val="30"/>
          <w:szCs w:val="30"/>
          <w:lang w:val="zh-CN" w:eastAsia="zh-CN"/>
          <w14:textFill>
            <w14:solidFill>
              <w14:schemeClr w14:val="tx1"/>
            </w14:solidFill>
          </w14:textFill>
        </w:rPr>
        <w:t>户和 </w:t>
      </w:r>
      <w:r>
        <w:rPr>
          <w:rFonts w:hint="eastAsia" w:ascii="仿宋" w:hAnsi="仿宋" w:eastAsia="仿宋" w:cs="宋体"/>
          <w:color w:val="000000" w:themeColor="text1"/>
          <w:sz w:val="30"/>
          <w:szCs w:val="30"/>
          <w:lang w:val="en-US" w:eastAsia="zh-CN"/>
          <w14:textFill>
            <w14:solidFill>
              <w14:schemeClr w14:val="tx1"/>
            </w14:solidFill>
          </w14:textFill>
        </w:rPr>
        <w:t>8.6万</w:t>
      </w:r>
      <w:r>
        <w:rPr>
          <w:rFonts w:hint="eastAsia" w:ascii="仿宋" w:hAnsi="仿宋" w:eastAsia="仿宋" w:cs="宋体"/>
          <w:color w:val="000000" w:themeColor="text1"/>
          <w:sz w:val="30"/>
          <w:szCs w:val="30"/>
          <w:lang w:val="zh-CN" w:eastAsia="zh-CN"/>
          <w14:textFill>
            <w14:solidFill>
              <w14:schemeClr w14:val="tx1"/>
            </w14:solidFill>
          </w14:textFill>
        </w:rPr>
        <w:t>户。年末，全市</w:t>
      </w:r>
      <w:r>
        <w:rPr>
          <w:rFonts w:hint="eastAsia" w:ascii="仿宋" w:hAnsi="仿宋" w:eastAsia="仿宋" w:cs="宋体"/>
          <w:color w:val="000000" w:themeColor="text1"/>
          <w:kern w:val="0"/>
          <w:sz w:val="30"/>
          <w:szCs w:val="30"/>
          <w:lang w:val="en-US" w:eastAsia="zh-CN"/>
          <w14:textFill>
            <w14:solidFill>
              <w14:schemeClr w14:val="tx1"/>
            </w14:solidFill>
          </w14:textFill>
        </w:rPr>
        <w:t>宽带互联网用户13.74万户。其中，</w:t>
      </w:r>
      <w:r>
        <w:rPr>
          <w:rFonts w:hint="eastAsia" w:ascii="仿宋" w:hAnsi="仿宋" w:eastAsia="仿宋" w:cs="宋体"/>
          <w:color w:val="000000" w:themeColor="text1"/>
          <w:sz w:val="30"/>
          <w:szCs w:val="30"/>
          <w:lang w:val="zh-CN" w:eastAsia="zh-CN"/>
          <w14:textFill>
            <w14:solidFill>
              <w14:schemeClr w14:val="tx1"/>
            </w14:solidFill>
          </w14:textFill>
        </w:rPr>
        <w:t>电信、移动、联通和广电宽带互联网用户分别为</w:t>
      </w:r>
      <w:r>
        <w:rPr>
          <w:rFonts w:hint="eastAsia" w:ascii="仿宋" w:hAnsi="仿宋" w:eastAsia="仿宋" w:cs="宋体"/>
          <w:color w:val="000000" w:themeColor="text1"/>
          <w:sz w:val="30"/>
          <w:szCs w:val="30"/>
          <w:lang w:val="en-US" w:eastAsia="zh-CN"/>
          <w14:textFill>
            <w14:solidFill>
              <w14:schemeClr w14:val="tx1"/>
            </w14:solidFill>
          </w14:textFill>
        </w:rPr>
        <w:t>3.84万</w:t>
      </w:r>
      <w:r>
        <w:rPr>
          <w:rFonts w:hint="eastAsia" w:ascii="仿宋" w:hAnsi="仿宋" w:eastAsia="仿宋" w:cs="宋体"/>
          <w:color w:val="000000" w:themeColor="text1"/>
          <w:sz w:val="30"/>
          <w:szCs w:val="30"/>
          <w:lang w:val="zh-CN" w:eastAsia="zh-CN"/>
          <w14:textFill>
            <w14:solidFill>
              <w14:schemeClr w14:val="tx1"/>
            </w14:solidFill>
          </w14:textFill>
        </w:rPr>
        <w:t>户、</w:t>
      </w:r>
      <w:r>
        <w:rPr>
          <w:rFonts w:hint="eastAsia" w:ascii="仿宋" w:hAnsi="仿宋" w:eastAsia="仿宋" w:cs="宋体"/>
          <w:color w:val="000000" w:themeColor="text1"/>
          <w:sz w:val="30"/>
          <w:szCs w:val="30"/>
          <w:lang w:val="en-US" w:eastAsia="zh-CN"/>
          <w14:textFill>
            <w14:solidFill>
              <w14:schemeClr w14:val="tx1"/>
            </w14:solidFill>
          </w14:textFill>
        </w:rPr>
        <w:t>6.13万</w:t>
      </w:r>
      <w:r>
        <w:rPr>
          <w:rFonts w:hint="eastAsia" w:ascii="仿宋" w:hAnsi="仿宋" w:eastAsia="仿宋" w:cs="宋体"/>
          <w:color w:val="000000" w:themeColor="text1"/>
          <w:sz w:val="30"/>
          <w:szCs w:val="30"/>
          <w:lang w:val="zh-CN" w:eastAsia="zh-CN"/>
          <w14:textFill>
            <w14:solidFill>
              <w14:schemeClr w14:val="tx1"/>
            </w14:solidFill>
          </w14:textFill>
        </w:rPr>
        <w:t>户、</w:t>
      </w:r>
      <w:r>
        <w:rPr>
          <w:rFonts w:hint="eastAsia" w:ascii="仿宋" w:hAnsi="仿宋" w:eastAsia="仿宋" w:cs="宋体"/>
          <w:color w:val="000000" w:themeColor="text1"/>
          <w:sz w:val="30"/>
          <w:szCs w:val="30"/>
          <w:lang w:val="en-US" w:eastAsia="zh-CN"/>
          <w14:textFill>
            <w14:solidFill>
              <w14:schemeClr w14:val="tx1"/>
            </w14:solidFill>
          </w14:textFill>
        </w:rPr>
        <w:t>3.1万</w:t>
      </w:r>
      <w:r>
        <w:rPr>
          <w:rFonts w:hint="eastAsia" w:ascii="仿宋" w:hAnsi="仿宋" w:eastAsia="仿宋" w:cs="宋体"/>
          <w:color w:val="000000" w:themeColor="text1"/>
          <w:sz w:val="30"/>
          <w:szCs w:val="30"/>
          <w:lang w:val="zh-CN" w:eastAsia="zh-CN"/>
          <w14:textFill>
            <w14:solidFill>
              <w14:schemeClr w14:val="tx1"/>
            </w14:solidFill>
          </w14:textFill>
        </w:rPr>
        <w:t>户和</w:t>
      </w:r>
      <w:r>
        <w:rPr>
          <w:rFonts w:hint="eastAsia" w:ascii="仿宋" w:hAnsi="仿宋" w:eastAsia="仿宋" w:cs="宋体"/>
          <w:color w:val="000000" w:themeColor="text1"/>
          <w:sz w:val="30"/>
          <w:szCs w:val="30"/>
          <w:lang w:val="en-US" w:eastAsia="zh-CN"/>
          <w14:textFill>
            <w14:solidFill>
              <w14:schemeClr w14:val="tx1"/>
            </w14:solidFill>
          </w14:textFill>
        </w:rPr>
        <w:t>0.67万户</w:t>
      </w:r>
      <w:r>
        <w:rPr>
          <w:rFonts w:hint="eastAsia" w:ascii="仿宋" w:hAnsi="仿宋" w:eastAsia="仿宋" w:cs="宋体"/>
          <w:color w:val="000000" w:themeColor="text1"/>
          <w:sz w:val="30"/>
          <w:szCs w:val="30"/>
          <w:lang w:val="zh-CN" w:eastAsia="zh-CN"/>
          <w14:textFill>
            <w14:solidFill>
              <w14:schemeClr w14:val="tx1"/>
            </w14:solidFill>
          </w14:textFill>
        </w:rPr>
        <w:t>。</w:t>
      </w:r>
    </w:p>
    <w:p>
      <w:pPr>
        <w:ind w:firstLine="600" w:firstLineChars="200"/>
        <w:rPr>
          <w:rFonts w:hint="default" w:ascii="仿宋" w:hAnsi="仿宋" w:eastAsia="仿宋" w:cs="仿宋_GB2312"/>
          <w:color w:val="000000" w:themeColor="text1"/>
          <w:sz w:val="30"/>
          <w:szCs w:val="30"/>
          <w:highlight w:val="none"/>
          <w14:textFill>
            <w14:solidFill>
              <w14:schemeClr w14:val="tx1"/>
            </w14:solidFill>
          </w14:textFill>
        </w:rPr>
      </w:pPr>
      <w:r>
        <w:rPr>
          <w:rFonts w:hint="default" w:ascii="仿宋" w:hAnsi="仿宋" w:eastAsia="仿宋" w:cs="仿宋_GB2312"/>
          <w:color w:val="000000" w:themeColor="text1"/>
          <w:sz w:val="30"/>
          <w:szCs w:val="30"/>
          <w:highlight w:val="none"/>
          <w:lang w:val="en-US" w:eastAsia="zh-CN"/>
          <w14:textFill>
            <w14:solidFill>
              <w14:schemeClr w14:val="tx1"/>
            </w14:solidFill>
          </w14:textFill>
        </w:rPr>
        <w:t>全年共接待游客803.8137万人次，同比增长4.23%；实现旅游收入63.0534亿元，同比增长-11.55%，创汇85.10万美元，同比增长-94.48%。</w:t>
      </w:r>
    </w:p>
    <w:p>
      <w:pPr>
        <w:ind w:firstLine="602" w:firstLineChars="200"/>
        <w:rPr>
          <w:rFonts w:hint="eastAsia" w:ascii="仿宋" w:hAnsi="仿宋" w:eastAsia="仿宋" w:cs="宋体"/>
          <w:color w:val="000000" w:themeColor="text1"/>
          <w:kern w:val="0"/>
          <w:sz w:val="30"/>
          <w:szCs w:val="30"/>
          <w:lang w:val="en-US" w:eastAsia="zh-CN"/>
          <w14:textFill>
            <w14:solidFill>
              <w14:schemeClr w14:val="tx1"/>
            </w14:solidFill>
          </w14:textFill>
        </w:rPr>
      </w:pPr>
      <w:r>
        <w:rPr>
          <w:rFonts w:hint="eastAsia" w:ascii="黑体" w:eastAsia="黑体" w:cs="宋体"/>
          <w:b/>
          <w:color w:val="000000" w:themeColor="text1"/>
          <w:kern w:val="0"/>
          <w:sz w:val="30"/>
          <w:szCs w:val="30"/>
          <w:lang w:val="zh-CN"/>
          <w14:textFill>
            <w14:solidFill>
              <w14:schemeClr w14:val="tx1"/>
            </w14:solidFill>
          </w14:textFill>
        </w:rPr>
        <w:t>八、金融、保险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 w:hAnsi="仿宋" w:eastAsia="仿宋" w:cs="宋体"/>
          <w:color w:val="000000" w:themeColor="text1"/>
          <w:kern w:val="0"/>
          <w:sz w:val="30"/>
          <w:szCs w:val="30"/>
          <w:highlight w:val="none"/>
          <w:lang w:val="zh-CN"/>
          <w14:textFill>
            <w14:solidFill>
              <w14:schemeClr w14:val="tx1"/>
            </w14:solidFill>
          </w14:textFill>
        </w:rPr>
      </w:pPr>
      <w:r>
        <w:rPr>
          <w:rFonts w:hint="eastAsia" w:ascii="仿宋" w:hAnsi="仿宋" w:eastAsia="仿宋" w:cs="宋体"/>
          <w:color w:val="000000" w:themeColor="text1"/>
          <w:kern w:val="0"/>
          <w:sz w:val="30"/>
          <w:szCs w:val="30"/>
          <w:highlight w:val="none"/>
          <w:lang w:val="zh-CN"/>
          <w14:textFill>
            <w14:solidFill>
              <w14:schemeClr w14:val="tx1"/>
            </w14:solidFill>
          </w14:textFill>
        </w:rPr>
        <w:t>年末，全市金融机构各项存款余额1923640万元，比年初增加142942万元，增长8.03%；金融机构各项贷款余额1404832万元，比年初增加205497万元，增长17.13%。</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default" w:ascii="仿宋" w:hAnsi="仿宋" w:eastAsia="仿宋" w:cs="宋体"/>
          <w:color w:val="000000" w:themeColor="text1"/>
          <w:kern w:val="0"/>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全年保险公司原保险保费收入</w:t>
      </w:r>
      <w:r>
        <w:rPr>
          <w:rFonts w:hint="eastAsia" w:ascii="仿宋" w:hAnsi="仿宋" w:eastAsia="仿宋" w:cs="仿宋"/>
          <w:color w:val="000000" w:themeColor="text1"/>
          <w:sz w:val="30"/>
          <w:szCs w:val="30"/>
          <w:lang w:val="en-US" w:eastAsia="zh-CN"/>
          <w14:textFill>
            <w14:solidFill>
              <w14:schemeClr w14:val="tx1"/>
            </w14:solidFill>
          </w14:textFill>
        </w:rPr>
        <w:t>4.66</w:t>
      </w:r>
      <w:r>
        <w:rPr>
          <w:rFonts w:hint="eastAsia" w:ascii="仿宋" w:hAnsi="仿宋" w:eastAsia="仿宋" w:cs="仿宋"/>
          <w:color w:val="000000" w:themeColor="text1"/>
          <w:sz w:val="30"/>
          <w:szCs w:val="30"/>
          <w14:textFill>
            <w14:solidFill>
              <w14:schemeClr w14:val="tx1"/>
            </w14:solidFill>
          </w14:textFill>
        </w:rPr>
        <w:t>亿元，比上年增长</w:t>
      </w:r>
      <w:r>
        <w:rPr>
          <w:rFonts w:hint="eastAsia" w:ascii="仿宋" w:hAnsi="仿宋" w:eastAsia="仿宋" w:cs="仿宋"/>
          <w:color w:val="000000" w:themeColor="text1"/>
          <w:sz w:val="30"/>
          <w:szCs w:val="30"/>
          <w:lang w:val="en-US" w:eastAsia="zh-CN"/>
          <w14:textFill>
            <w14:solidFill>
              <w14:schemeClr w14:val="tx1"/>
            </w14:solidFill>
          </w14:textFill>
        </w:rPr>
        <w:t xml:space="preserve"> 5</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其中，寿险保费收入3.06亿元，财产险保费收入1.6亿元。</w:t>
      </w:r>
    </w:p>
    <w:p>
      <w:pPr>
        <w:ind w:firstLine="602" w:firstLineChars="200"/>
        <w:rPr>
          <w:rFonts w:hint="eastAsia" w:ascii="黑体" w:eastAsia="黑体" w:cs="宋体"/>
          <w:b/>
          <w:color w:val="000000" w:themeColor="text1"/>
          <w:kern w:val="0"/>
          <w:sz w:val="30"/>
          <w:szCs w:val="30"/>
          <w:lang w:val="zh-CN"/>
          <w14:textFill>
            <w14:solidFill>
              <w14:schemeClr w14:val="tx1"/>
            </w14:solidFill>
          </w14:textFill>
        </w:rPr>
      </w:pPr>
      <w:r>
        <w:rPr>
          <w:rFonts w:hint="eastAsia" w:ascii="黑体" w:eastAsia="黑体" w:cs="宋体"/>
          <w:b/>
          <w:color w:val="000000" w:themeColor="text1"/>
          <w:kern w:val="0"/>
          <w:sz w:val="30"/>
          <w:szCs w:val="30"/>
          <w:lang w:val="zh-CN"/>
          <w14:textFill>
            <w14:solidFill>
              <w14:schemeClr w14:val="tx1"/>
            </w14:solidFill>
          </w14:textFill>
        </w:rPr>
        <w:t>九、教育和科学技术</w:t>
      </w:r>
    </w:p>
    <w:p>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lang w:val="en-US" w:eastAsia="zh-CN"/>
          <w14:textFill>
            <w14:solidFill>
              <w14:schemeClr w14:val="tx1"/>
            </w14:solidFill>
          </w14:textFill>
        </w:rPr>
        <w:t>年末，全市普通小学学校总数40 所（教学点71个），在校小学生 33723 人，教职工 1832  人，其中专任老师 1823人。全市中学28   所，在校学生 25510  人。其中：初中在校生16555 人，高中在校生 8599 人。全市普通初中和高中拥有教职工2071 人，其中，专任教师1965 人。</w:t>
      </w:r>
    </w:p>
    <w:p>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年末，</w:t>
      </w:r>
      <w:r>
        <w:rPr>
          <w:rFonts w:hint="eastAsia" w:ascii="仿宋" w:hAnsi="仿宋" w:eastAsia="仿宋"/>
          <w:color w:val="000000" w:themeColor="text1"/>
          <w:sz w:val="30"/>
          <w:szCs w:val="30"/>
          <w:lang w:eastAsia="zh-CN"/>
          <w14:textFill>
            <w14:solidFill>
              <w14:schemeClr w14:val="tx1"/>
            </w14:solidFill>
          </w14:textFill>
        </w:rPr>
        <w:t>全市拥有</w:t>
      </w:r>
      <w:r>
        <w:rPr>
          <w:rFonts w:hint="eastAsia" w:ascii="仿宋" w:hAnsi="仿宋" w:eastAsia="仿宋" w:cs="宋体"/>
          <w:color w:val="000000" w:themeColor="text1"/>
          <w:kern w:val="0"/>
          <w:sz w:val="30"/>
          <w:szCs w:val="30"/>
          <w:lang w:val="en-US" w:eastAsia="zh-CN"/>
          <w14:textFill>
            <w14:solidFill>
              <w14:schemeClr w14:val="tx1"/>
            </w14:solidFill>
          </w14:textFill>
        </w:rPr>
        <w:t>省级</w:t>
      </w:r>
      <w:r>
        <w:rPr>
          <w:rFonts w:hint="eastAsia" w:ascii="仿宋" w:hAnsi="仿宋" w:eastAsia="仿宋" w:cs="宋体"/>
          <w:color w:val="000000" w:themeColor="text1"/>
          <w:kern w:val="0"/>
          <w:sz w:val="30"/>
          <w:szCs w:val="30"/>
          <w:lang w:val="zh-CN"/>
          <w14:textFill>
            <w14:solidFill>
              <w14:schemeClr w14:val="tx1"/>
            </w14:solidFill>
          </w14:textFill>
        </w:rPr>
        <w:t>工程</w:t>
      </w:r>
      <w:r>
        <w:rPr>
          <w:rFonts w:hint="eastAsia" w:ascii="仿宋" w:hAnsi="仿宋" w:eastAsia="仿宋" w:cs="宋体"/>
          <w:color w:val="000000" w:themeColor="text1"/>
          <w:kern w:val="0"/>
          <w:sz w:val="30"/>
          <w:szCs w:val="30"/>
          <w:lang w:val="en-US" w:eastAsia="zh-CN"/>
          <w14:textFill>
            <w14:solidFill>
              <w14:schemeClr w14:val="tx1"/>
            </w14:solidFill>
          </w14:textFill>
        </w:rPr>
        <w:t>技术</w:t>
      </w:r>
      <w:r>
        <w:rPr>
          <w:rFonts w:hint="eastAsia" w:ascii="仿宋" w:hAnsi="仿宋" w:eastAsia="仿宋" w:cs="宋体"/>
          <w:color w:val="000000" w:themeColor="text1"/>
          <w:kern w:val="0"/>
          <w:sz w:val="30"/>
          <w:szCs w:val="30"/>
          <w:lang w:val="zh-CN"/>
          <w14:textFill>
            <w14:solidFill>
              <w14:schemeClr w14:val="tx1"/>
            </w14:solidFill>
          </w14:textFill>
        </w:rPr>
        <w:t>研究中心</w:t>
      </w:r>
      <w:r>
        <w:rPr>
          <w:rFonts w:hint="eastAsia" w:ascii="仿宋" w:hAnsi="仿宋" w:eastAsia="仿宋" w:cs="宋体"/>
          <w:color w:val="000000" w:themeColor="text1"/>
          <w:kern w:val="0"/>
          <w:sz w:val="30"/>
          <w:szCs w:val="30"/>
          <w:lang w:val="en-US" w:eastAsia="zh-CN"/>
          <w14:textFill>
            <w14:solidFill>
              <w14:schemeClr w14:val="tx1"/>
            </w14:solidFill>
          </w14:textFill>
        </w:rPr>
        <w:t>2</w:t>
      </w:r>
      <w:r>
        <w:rPr>
          <w:rFonts w:hint="eastAsia" w:ascii="仿宋" w:hAnsi="仿宋" w:eastAsia="仿宋" w:cs="宋体"/>
          <w:color w:val="000000" w:themeColor="text1"/>
          <w:kern w:val="0"/>
          <w:sz w:val="30"/>
          <w:szCs w:val="30"/>
          <w:lang w:val="zh-CN"/>
          <w14:textFill>
            <w14:solidFill>
              <w14:schemeClr w14:val="tx1"/>
            </w14:solidFill>
          </w14:textFill>
        </w:rPr>
        <w:t>个，</w:t>
      </w:r>
      <w:r>
        <w:rPr>
          <w:rFonts w:hint="eastAsia" w:ascii="仿宋" w:hAnsi="仿宋" w:eastAsia="仿宋" w:cs="宋体"/>
          <w:color w:val="000000" w:themeColor="text1"/>
          <w:kern w:val="0"/>
          <w:sz w:val="30"/>
          <w:szCs w:val="30"/>
          <w:lang w:val="en-US" w:eastAsia="zh-CN"/>
          <w14:textFill>
            <w14:solidFill>
              <w14:schemeClr w14:val="tx1"/>
            </w14:solidFill>
          </w14:textFill>
        </w:rPr>
        <w:t>岳阳市级</w:t>
      </w:r>
      <w:r>
        <w:rPr>
          <w:rFonts w:hint="eastAsia" w:ascii="仿宋" w:hAnsi="仿宋" w:eastAsia="仿宋" w:cs="宋体"/>
          <w:color w:val="000000" w:themeColor="text1"/>
          <w:kern w:val="0"/>
          <w:sz w:val="30"/>
          <w:szCs w:val="30"/>
          <w:lang w:val="zh-CN"/>
          <w14:textFill>
            <w14:solidFill>
              <w14:schemeClr w14:val="tx1"/>
            </w14:solidFill>
          </w14:textFill>
        </w:rPr>
        <w:t>工程</w:t>
      </w:r>
      <w:r>
        <w:rPr>
          <w:rFonts w:hint="eastAsia" w:ascii="仿宋" w:hAnsi="仿宋" w:eastAsia="仿宋" w:cs="宋体"/>
          <w:color w:val="000000" w:themeColor="text1"/>
          <w:kern w:val="0"/>
          <w:sz w:val="30"/>
          <w:szCs w:val="30"/>
          <w:lang w:val="en-US" w:eastAsia="zh-CN"/>
          <w14:textFill>
            <w14:solidFill>
              <w14:schemeClr w14:val="tx1"/>
            </w14:solidFill>
          </w14:textFill>
        </w:rPr>
        <w:t>技术</w:t>
      </w:r>
      <w:r>
        <w:rPr>
          <w:rFonts w:hint="eastAsia" w:ascii="仿宋" w:hAnsi="仿宋" w:eastAsia="仿宋" w:cs="宋体"/>
          <w:color w:val="000000" w:themeColor="text1"/>
          <w:kern w:val="0"/>
          <w:sz w:val="30"/>
          <w:szCs w:val="30"/>
          <w:lang w:val="zh-CN"/>
          <w14:textFill>
            <w14:solidFill>
              <w14:schemeClr w14:val="tx1"/>
            </w14:solidFill>
          </w14:textFill>
        </w:rPr>
        <w:t>研究中心</w:t>
      </w:r>
      <w:r>
        <w:rPr>
          <w:rFonts w:hint="eastAsia" w:ascii="仿宋" w:hAnsi="仿宋" w:eastAsia="仿宋" w:cs="宋体"/>
          <w:color w:val="000000" w:themeColor="text1"/>
          <w:kern w:val="0"/>
          <w:sz w:val="30"/>
          <w:szCs w:val="30"/>
          <w:lang w:val="en-US" w:eastAsia="zh-CN"/>
          <w14:textFill>
            <w14:solidFill>
              <w14:schemeClr w14:val="tx1"/>
            </w14:solidFill>
          </w14:textFill>
        </w:rPr>
        <w:t>4</w:t>
      </w:r>
      <w:r>
        <w:rPr>
          <w:rFonts w:hint="eastAsia" w:ascii="仿宋" w:hAnsi="仿宋" w:eastAsia="仿宋" w:cs="宋体"/>
          <w:color w:val="000000" w:themeColor="text1"/>
          <w:kern w:val="0"/>
          <w:sz w:val="30"/>
          <w:szCs w:val="30"/>
          <w:lang w:val="zh-CN"/>
          <w14:textFill>
            <w14:solidFill>
              <w14:schemeClr w14:val="tx1"/>
            </w14:solidFill>
          </w14:textFill>
        </w:rPr>
        <w:t>个</w:t>
      </w:r>
      <w:r>
        <w:rPr>
          <w:rFonts w:hint="eastAsia" w:ascii="仿宋" w:hAnsi="仿宋" w:eastAsia="仿宋" w:cs="宋体"/>
          <w:color w:val="000000" w:themeColor="text1"/>
          <w:kern w:val="0"/>
          <w:sz w:val="30"/>
          <w:szCs w:val="30"/>
          <w:lang w:val="zh-CN" w:eastAsia="zh-CN"/>
          <w14:textFill>
            <w14:solidFill>
              <w14:schemeClr w14:val="tx1"/>
            </w14:solidFill>
          </w14:textFill>
        </w:rPr>
        <w:t>。专利申请量463件。其中，发明专利申请量131件。全年专利授权量293件，其中，发明专利授权量24件。</w:t>
      </w:r>
    </w:p>
    <w:p>
      <w:pPr>
        <w:ind w:left="13" w:leftChars="6" w:firstLine="599" w:firstLineChars="199"/>
        <w:rPr>
          <w:rFonts w:hint="eastAsia" w:ascii="仿宋" w:hAnsi="仿宋" w:eastAsia="仿宋" w:cs="宋体"/>
          <w:color w:val="000000" w:themeColor="text1"/>
          <w:kern w:val="0"/>
          <w:sz w:val="30"/>
          <w:szCs w:val="30"/>
          <w:lang w:val="zh-CN"/>
          <w14:textFill>
            <w14:solidFill>
              <w14:schemeClr w14:val="tx1"/>
            </w14:solidFill>
          </w14:textFill>
        </w:rPr>
      </w:pPr>
      <w:r>
        <w:rPr>
          <w:rFonts w:hint="eastAsia" w:ascii="黑体" w:eastAsia="黑体" w:cs="宋体"/>
          <w:b/>
          <w:color w:val="000000" w:themeColor="text1"/>
          <w:kern w:val="0"/>
          <w:sz w:val="30"/>
          <w:szCs w:val="30"/>
          <w:lang w:val="zh-CN"/>
          <w14:textFill>
            <w14:solidFill>
              <w14:schemeClr w14:val="tx1"/>
            </w14:solidFill>
          </w14:textFill>
        </w:rPr>
        <w:t>十、文化、卫生和体育</w:t>
      </w:r>
    </w:p>
    <w:p>
      <w:pPr>
        <w:ind w:firstLine="600" w:firstLineChars="200"/>
        <w:rPr>
          <w:rFonts w:hint="default" w:ascii="仿宋" w:hAnsi="仿宋" w:eastAsia="仿宋" w:cs="仿宋_GB2312"/>
          <w:color w:val="000000" w:themeColor="text1"/>
          <w:sz w:val="30"/>
          <w:szCs w:val="30"/>
          <w:highlight w:val="none"/>
          <w14:textFill>
            <w14:solidFill>
              <w14:schemeClr w14:val="tx1"/>
            </w14:solidFill>
          </w14:textFill>
        </w:rPr>
      </w:pPr>
      <w:r>
        <w:rPr>
          <w:rFonts w:hint="default" w:ascii="仿宋" w:hAnsi="仿宋" w:eastAsia="仿宋" w:cs="仿宋_GB2312"/>
          <w:color w:val="000000" w:themeColor="text1"/>
          <w:sz w:val="30"/>
          <w:szCs w:val="30"/>
          <w:highlight w:val="none"/>
          <w:lang w:val="en-US" w:eastAsia="zh-CN"/>
          <w14:textFill>
            <w14:solidFill>
              <w14:schemeClr w14:val="tx1"/>
            </w14:solidFill>
          </w14:textFill>
        </w:rPr>
        <w:t>年末，全市文化事业实际支出4694万元。全市共有艺术表演团体20个，文化馆1个，乡镇文化站14个，公共图书馆1个，博物馆1个，公共图书馆藏书册数33.8万册。</w:t>
      </w:r>
    </w:p>
    <w:p>
      <w:pPr>
        <w:ind w:firstLine="600" w:firstLineChars="200"/>
        <w:rPr>
          <w:rFonts w:hint="eastAsia" w:ascii="仿宋" w:hAnsi="仿宋" w:eastAsia="仿宋" w:cs="仿宋_GB2312"/>
          <w:color w:val="000000" w:themeColor="text1"/>
          <w:sz w:val="30"/>
          <w:szCs w:val="30"/>
          <w:highlight w:val="none"/>
          <w14:textFill>
            <w14:solidFill>
              <w14:schemeClr w14:val="tx1"/>
            </w14:solidFill>
          </w14:textFill>
        </w:rPr>
      </w:pPr>
      <w:r>
        <w:rPr>
          <w:rFonts w:hint="eastAsia" w:ascii="仿宋" w:hAnsi="仿宋" w:eastAsia="仿宋" w:cs="仿宋_GB2312"/>
          <w:color w:val="000000" w:themeColor="text1"/>
          <w:sz w:val="30"/>
          <w:szCs w:val="30"/>
          <w:highlight w:val="none"/>
          <w14:textFill>
            <w14:solidFill>
              <w14:schemeClr w14:val="tx1"/>
            </w14:solidFill>
          </w14:textFill>
        </w:rPr>
        <w:t>全年电视人口覆盖率 100%，广播人口覆盖率 100 %，有线电视户数 39143 户。</w:t>
      </w:r>
    </w:p>
    <w:p>
      <w:pPr>
        <w:ind w:firstLine="600" w:firstLineChars="200"/>
        <w:rPr>
          <w:rFonts w:hint="eastAsia" w:ascii="仿宋" w:hAnsi="仿宋" w:eastAsia="仿宋" w:cs="宋体"/>
          <w:color w:val="000000" w:themeColor="text1"/>
          <w:kern w:val="0"/>
          <w:sz w:val="30"/>
          <w:szCs w:val="30"/>
          <w:lang w:val="zh-CN"/>
          <w14:textFill>
            <w14:solidFill>
              <w14:schemeClr w14:val="tx1"/>
            </w14:solidFill>
          </w14:textFill>
        </w:rPr>
      </w:pPr>
      <w:r>
        <w:rPr>
          <w:rFonts w:hint="eastAsia" w:ascii="仿宋" w:hAnsi="仿宋" w:eastAsia="仿宋" w:cs="宋体"/>
          <w:color w:val="000000" w:themeColor="text1"/>
          <w:kern w:val="0"/>
          <w:sz w:val="30"/>
          <w:szCs w:val="30"/>
          <w:lang w:val="zh-CN"/>
          <w14:textFill>
            <w14:solidFill>
              <w14:schemeClr w14:val="tx1"/>
            </w14:solidFill>
          </w14:textFill>
        </w:rPr>
        <w:t>全市共有医疗机构</w:t>
      </w:r>
      <w:r>
        <w:rPr>
          <w:rFonts w:hint="eastAsia" w:ascii="仿宋" w:hAnsi="仿宋" w:eastAsia="仿宋" w:cs="宋体"/>
          <w:color w:val="000000" w:themeColor="text1"/>
          <w:kern w:val="0"/>
          <w:sz w:val="30"/>
          <w:szCs w:val="30"/>
          <w:lang w:val="en-US" w:eastAsia="zh-CN"/>
          <w14:textFill>
            <w14:solidFill>
              <w14:schemeClr w14:val="tx1"/>
            </w14:solidFill>
          </w14:textFill>
        </w:rPr>
        <w:t>455</w:t>
      </w:r>
      <w:r>
        <w:rPr>
          <w:rFonts w:hint="eastAsia" w:ascii="仿宋" w:hAnsi="仿宋" w:eastAsia="仿宋" w:cs="宋体"/>
          <w:color w:val="000000" w:themeColor="text1"/>
          <w:kern w:val="0"/>
          <w:sz w:val="30"/>
          <w:szCs w:val="30"/>
          <w:lang w:val="zh-CN"/>
          <w14:textFill>
            <w14:solidFill>
              <w14:schemeClr w14:val="tx1"/>
            </w14:solidFill>
          </w14:textFill>
        </w:rPr>
        <w:t>个（</w:t>
      </w:r>
      <w:r>
        <w:rPr>
          <w:rFonts w:hint="eastAsia" w:ascii="仿宋" w:hAnsi="仿宋" w:eastAsia="仿宋" w:cs="宋体"/>
          <w:color w:val="000000" w:themeColor="text1"/>
          <w:kern w:val="0"/>
          <w:sz w:val="30"/>
          <w:szCs w:val="30"/>
          <w:lang w:val="en-US" w:eastAsia="zh-CN"/>
          <w14:textFill>
            <w14:solidFill>
              <w14:schemeClr w14:val="tx1"/>
            </w14:solidFill>
          </w14:textFill>
        </w:rPr>
        <w:t>含6家二级医疗机构</w:t>
      </w:r>
      <w:r>
        <w:rPr>
          <w:rFonts w:hint="eastAsia" w:ascii="仿宋" w:hAnsi="仿宋" w:eastAsia="仿宋" w:cs="宋体"/>
          <w:color w:val="000000" w:themeColor="text1"/>
          <w:kern w:val="0"/>
          <w:sz w:val="30"/>
          <w:szCs w:val="30"/>
          <w:lang w:val="zh-CN"/>
          <w14:textFill>
            <w14:solidFill>
              <w14:schemeClr w14:val="tx1"/>
            </w14:solidFill>
          </w14:textFill>
        </w:rPr>
        <w:t>），拥有床位数</w:t>
      </w:r>
      <w:r>
        <w:rPr>
          <w:rFonts w:hint="eastAsia" w:ascii="仿宋" w:hAnsi="仿宋" w:eastAsia="仿宋" w:cs="宋体"/>
          <w:color w:val="000000" w:themeColor="text1"/>
          <w:kern w:val="0"/>
          <w:sz w:val="30"/>
          <w:szCs w:val="30"/>
          <w:lang w:val="en-US" w:eastAsia="zh-CN"/>
          <w14:textFill>
            <w14:solidFill>
              <w14:schemeClr w14:val="tx1"/>
            </w14:solidFill>
          </w14:textFill>
        </w:rPr>
        <w:t>1823</w:t>
      </w:r>
      <w:r>
        <w:rPr>
          <w:rFonts w:hint="eastAsia" w:ascii="仿宋" w:hAnsi="仿宋" w:eastAsia="仿宋" w:cs="宋体"/>
          <w:color w:val="000000" w:themeColor="text1"/>
          <w:kern w:val="0"/>
          <w:sz w:val="30"/>
          <w:szCs w:val="30"/>
          <w:lang w:val="zh-CN"/>
          <w14:textFill>
            <w14:solidFill>
              <w14:schemeClr w14:val="tx1"/>
            </w14:solidFill>
          </w14:textFill>
        </w:rPr>
        <w:t>张（</w:t>
      </w:r>
      <w:r>
        <w:rPr>
          <w:rFonts w:hint="eastAsia" w:ascii="仿宋" w:hAnsi="仿宋" w:eastAsia="仿宋" w:cs="宋体"/>
          <w:color w:val="000000" w:themeColor="text1"/>
          <w:kern w:val="0"/>
          <w:sz w:val="30"/>
          <w:szCs w:val="30"/>
          <w:lang w:val="en-US" w:eastAsia="zh-CN"/>
          <w14:textFill>
            <w14:solidFill>
              <w14:schemeClr w14:val="tx1"/>
            </w14:solidFill>
          </w14:textFill>
        </w:rPr>
        <w:t>含6家二级医疗机构</w:t>
      </w:r>
      <w:r>
        <w:rPr>
          <w:rFonts w:hint="eastAsia" w:ascii="仿宋" w:hAnsi="仿宋" w:eastAsia="仿宋" w:cs="宋体"/>
          <w:color w:val="000000" w:themeColor="text1"/>
          <w:kern w:val="0"/>
          <w:sz w:val="30"/>
          <w:szCs w:val="30"/>
          <w:lang w:val="zh-CN"/>
          <w14:textFill>
            <w14:solidFill>
              <w14:schemeClr w14:val="tx1"/>
            </w14:solidFill>
          </w14:textFill>
        </w:rPr>
        <w:t>）</w:t>
      </w:r>
      <w:r>
        <w:rPr>
          <w:rFonts w:hint="eastAsia" w:ascii="仿宋" w:hAnsi="仿宋" w:eastAsia="仿宋" w:cs="宋体"/>
          <w:color w:val="000000" w:themeColor="text1"/>
          <w:kern w:val="0"/>
          <w:sz w:val="30"/>
          <w:szCs w:val="30"/>
          <w:lang w:val="zh-CN" w:eastAsia="zh-CN"/>
          <w14:textFill>
            <w14:solidFill>
              <w14:schemeClr w14:val="tx1"/>
            </w14:solidFill>
          </w14:textFill>
        </w:rPr>
        <w:t>，</w:t>
      </w:r>
      <w:r>
        <w:rPr>
          <w:rFonts w:hint="eastAsia" w:ascii="仿宋" w:hAnsi="仿宋" w:eastAsia="仿宋" w:cs="宋体"/>
          <w:color w:val="000000" w:themeColor="text1"/>
          <w:kern w:val="0"/>
          <w:sz w:val="30"/>
          <w:szCs w:val="30"/>
          <w:lang w:val="zh-CN"/>
          <w14:textFill>
            <w14:solidFill>
              <w14:schemeClr w14:val="tx1"/>
            </w14:solidFill>
          </w14:textFill>
        </w:rPr>
        <w:t>全市共有卫生工作人员</w:t>
      </w:r>
      <w:r>
        <w:rPr>
          <w:rFonts w:hint="eastAsia" w:ascii="仿宋" w:hAnsi="仿宋" w:eastAsia="仿宋" w:cs="宋体"/>
          <w:color w:val="000000" w:themeColor="text1"/>
          <w:kern w:val="0"/>
          <w:sz w:val="30"/>
          <w:szCs w:val="30"/>
          <w:lang w:val="en-US" w:eastAsia="zh-CN"/>
          <w14:textFill>
            <w14:solidFill>
              <w14:schemeClr w14:val="tx1"/>
            </w14:solidFill>
          </w14:textFill>
        </w:rPr>
        <w:t>2492</w:t>
      </w:r>
      <w:r>
        <w:rPr>
          <w:rFonts w:hint="eastAsia" w:ascii="仿宋" w:hAnsi="仿宋" w:eastAsia="仿宋" w:cs="宋体"/>
          <w:color w:val="000000" w:themeColor="text1"/>
          <w:kern w:val="0"/>
          <w:sz w:val="30"/>
          <w:szCs w:val="30"/>
          <w:lang w:val="zh-CN"/>
          <w14:textFill>
            <w14:solidFill>
              <w14:schemeClr w14:val="tx1"/>
            </w14:solidFill>
          </w14:textFill>
        </w:rPr>
        <w:t>人，</w:t>
      </w:r>
      <w:r>
        <w:rPr>
          <w:rFonts w:hint="eastAsia" w:ascii="仿宋" w:hAnsi="仿宋" w:eastAsia="仿宋" w:cs="宋体"/>
          <w:color w:val="000000" w:themeColor="text1"/>
          <w:kern w:val="0"/>
          <w:sz w:val="30"/>
          <w:szCs w:val="30"/>
          <w:lang w:val="en-US" w:eastAsia="zh-CN"/>
          <w14:textFill>
            <w14:solidFill>
              <w14:schemeClr w14:val="tx1"/>
            </w14:solidFill>
          </w14:textFill>
        </w:rPr>
        <w:t>高级职称150人，中级职称558人</w:t>
      </w:r>
      <w:r>
        <w:rPr>
          <w:rFonts w:hint="eastAsia" w:ascii="仿宋" w:hAnsi="仿宋" w:eastAsia="仿宋" w:cs="宋体"/>
          <w:color w:val="000000" w:themeColor="text1"/>
          <w:kern w:val="0"/>
          <w:sz w:val="30"/>
          <w:szCs w:val="30"/>
          <w:lang w:val="zh-CN" w:eastAsia="zh-CN"/>
          <w14:textFill>
            <w14:solidFill>
              <w14:schemeClr w14:val="tx1"/>
            </w14:solidFill>
          </w14:textFill>
        </w:rPr>
        <w:t>。</w:t>
      </w:r>
    </w:p>
    <w:p>
      <w:pPr>
        <w:tabs>
          <w:tab w:val="right" w:pos="7704"/>
        </w:tabs>
        <w:ind w:firstLine="600" w:firstLineChars="200"/>
        <w:rPr>
          <w:rFonts w:hint="eastAsia" w:ascii="仿宋" w:hAnsi="仿宋" w:eastAsia="仿宋" w:cs="仿宋"/>
          <w:b w:val="0"/>
          <w:bCs/>
          <w:color w:val="000000" w:themeColor="text1"/>
          <w:sz w:val="30"/>
          <w:szCs w:val="30"/>
          <w:lang w:eastAsia="zh-CN"/>
          <w14:textFill>
            <w14:solidFill>
              <w14:schemeClr w14:val="tx1"/>
            </w14:solidFill>
          </w14:textFill>
        </w:rPr>
      </w:pPr>
      <w:r>
        <w:rPr>
          <w:rFonts w:hint="eastAsia" w:ascii="仿宋" w:hAnsi="仿宋" w:eastAsia="仿宋" w:cs="宋体"/>
          <w:color w:val="000000" w:themeColor="text1"/>
          <w:sz w:val="30"/>
          <w:szCs w:val="30"/>
          <w:lang w:val="en-US" w:eastAsia="zh-CN"/>
          <w14:textFill>
            <w14:solidFill>
              <w14:schemeClr w14:val="tx1"/>
            </w14:solidFill>
          </w14:textFill>
        </w:rPr>
        <w:t>全市拥有体育场馆1  座，体育场地 634  个，运动员 187  人，教练员18   人。全年共举办市以上运动会  36 次，参加人数 3  万人次。全年参加省级以上运动会获金牌数33  枚，银牌数 13枚，铜牌数 14  枚。</w:t>
      </w:r>
    </w:p>
    <w:p>
      <w:pPr>
        <w:ind w:firstLine="600" w:firstLineChars="200"/>
        <w:rPr>
          <w:rFonts w:hint="eastAsia" w:ascii="黑体" w:hAnsi="黑体" w:eastAsia="黑体" w:cs="黑体"/>
          <w:b/>
          <w:color w:val="000000"/>
          <w:kern w:val="0"/>
          <w:sz w:val="30"/>
          <w:szCs w:val="30"/>
          <w:lang w:val="zh-CN"/>
        </w:rPr>
      </w:pPr>
      <w:r>
        <w:rPr>
          <w:rFonts w:hint="eastAsia" w:ascii="黑体" w:hAnsi="黑体" w:eastAsia="黑体" w:cs="黑体"/>
          <w:b w:val="0"/>
          <w:bCs/>
          <w:color w:val="000000" w:themeColor="text1"/>
          <w:sz w:val="30"/>
          <w:szCs w:val="30"/>
          <w:lang w:val="en-US" w:eastAsia="zh-CN"/>
          <w14:textFill>
            <w14:solidFill>
              <w14:schemeClr w14:val="tx1"/>
            </w14:solidFill>
          </w14:textFill>
        </w:rPr>
        <w:t>十一、</w:t>
      </w:r>
      <w:r>
        <w:rPr>
          <w:rFonts w:hint="eastAsia" w:ascii="黑体" w:hAnsi="黑体" w:eastAsia="黑体" w:cs="黑体"/>
          <w:b/>
          <w:color w:val="000000"/>
          <w:kern w:val="0"/>
          <w:sz w:val="30"/>
          <w:szCs w:val="30"/>
          <w:lang w:val="zh-CN"/>
        </w:rPr>
        <w:t>人民生活和社会保障</w:t>
      </w:r>
    </w:p>
    <w:p>
      <w:pPr>
        <w:ind w:firstLine="600" w:firstLineChars="200"/>
        <w:rPr>
          <w:rFonts w:hint="eastAsia" w:ascii="仿宋" w:hAnsi="仿宋" w:eastAsia="仿宋" w:cs="仿宋"/>
          <w:sz w:val="30"/>
          <w:szCs w:val="30"/>
          <w:lang w:val="en-US" w:eastAsia="zh-CN"/>
        </w:rPr>
      </w:pPr>
      <w:r>
        <w:rPr>
          <w:rFonts w:hint="eastAsia" w:ascii="仿宋" w:hAnsi="仿宋" w:eastAsia="仿宋" w:cs="宋体"/>
          <w:color w:val="000000"/>
          <w:kern w:val="0"/>
          <w:sz w:val="30"/>
          <w:szCs w:val="30"/>
          <w:lang w:val="zh-CN"/>
        </w:rPr>
        <w:t>全年城镇居民人均可支配收入</w:t>
      </w:r>
      <w:r>
        <w:rPr>
          <w:rFonts w:hint="eastAsia" w:ascii="仿宋" w:hAnsi="仿宋" w:eastAsia="仿宋" w:cs="仿宋"/>
          <w:color w:val="000000"/>
          <w:sz w:val="30"/>
          <w:szCs w:val="30"/>
          <w:lang w:val="en-US" w:eastAsia="zh-CN"/>
        </w:rPr>
        <w:t>32511</w:t>
      </w:r>
      <w:r>
        <w:rPr>
          <w:rFonts w:hint="eastAsia" w:ascii="仿宋" w:hAnsi="仿宋" w:eastAsia="仿宋" w:cs="宋体"/>
          <w:color w:val="000000"/>
          <w:kern w:val="0"/>
          <w:sz w:val="30"/>
          <w:szCs w:val="30"/>
          <w:lang w:val="zh-CN"/>
        </w:rPr>
        <w:t>元，增长</w:t>
      </w:r>
      <w:r>
        <w:rPr>
          <w:rFonts w:hint="eastAsia" w:ascii="仿宋" w:hAnsi="仿宋" w:eastAsia="仿宋" w:cs="宋体"/>
          <w:color w:val="000000"/>
          <w:kern w:val="0"/>
          <w:sz w:val="30"/>
          <w:szCs w:val="30"/>
          <w:lang w:val="en-US" w:eastAsia="zh-CN"/>
        </w:rPr>
        <w:t>4.6</w:t>
      </w:r>
      <w:r>
        <w:rPr>
          <w:rFonts w:hint="eastAsia" w:ascii="仿宋" w:hAnsi="仿宋" w:eastAsia="仿宋" w:cs="宋体"/>
          <w:color w:val="000000"/>
          <w:kern w:val="0"/>
          <w:sz w:val="30"/>
          <w:szCs w:val="30"/>
          <w:lang w:val="zh-CN"/>
        </w:rPr>
        <w:t>%；农村居民人均可支配收入</w:t>
      </w:r>
      <w:r>
        <w:rPr>
          <w:rFonts w:hint="eastAsia" w:ascii="仿宋" w:hAnsi="仿宋" w:eastAsia="仿宋" w:cs="仿宋"/>
          <w:color w:val="000000"/>
          <w:sz w:val="30"/>
          <w:szCs w:val="30"/>
          <w:lang w:val="en-US" w:eastAsia="zh-CN"/>
        </w:rPr>
        <w:t>18660</w:t>
      </w:r>
      <w:r>
        <w:rPr>
          <w:rFonts w:hint="eastAsia" w:ascii="仿宋" w:hAnsi="仿宋" w:eastAsia="仿宋" w:cs="宋体"/>
          <w:color w:val="000000"/>
          <w:kern w:val="0"/>
          <w:sz w:val="30"/>
          <w:szCs w:val="30"/>
          <w:lang w:val="zh-CN"/>
        </w:rPr>
        <w:t>元，增长</w:t>
      </w:r>
      <w:r>
        <w:rPr>
          <w:rFonts w:hint="eastAsia" w:ascii="仿宋" w:hAnsi="仿宋" w:eastAsia="仿宋" w:cs="宋体"/>
          <w:color w:val="000000"/>
          <w:kern w:val="0"/>
          <w:sz w:val="30"/>
          <w:szCs w:val="30"/>
          <w:lang w:val="en-US" w:eastAsia="zh-CN"/>
        </w:rPr>
        <w:t>7.6</w:t>
      </w:r>
      <w:r>
        <w:rPr>
          <w:rFonts w:hint="eastAsia" w:ascii="仿宋" w:hAnsi="仿宋" w:eastAsia="仿宋" w:cs="宋体"/>
          <w:color w:val="000000"/>
          <w:kern w:val="0"/>
          <w:sz w:val="30"/>
          <w:szCs w:val="30"/>
          <w:lang w:val="zh-CN"/>
        </w:rPr>
        <w:t>%。</w:t>
      </w:r>
      <w:r>
        <w:rPr>
          <w:rFonts w:hint="eastAsia" w:ascii="仿宋" w:hAnsi="仿宋" w:eastAsia="仿宋" w:cs="宋体"/>
          <w:color w:val="000000"/>
          <w:kern w:val="0"/>
          <w:sz w:val="30"/>
          <w:szCs w:val="30"/>
          <w:lang w:val="en-US" w:eastAsia="zh-CN"/>
        </w:rPr>
        <w:t>从构成看，</w:t>
      </w:r>
      <w:r>
        <w:rPr>
          <w:rFonts w:hint="eastAsia" w:ascii="仿宋" w:hAnsi="仿宋" w:eastAsia="仿宋" w:cs="仿宋"/>
          <w:sz w:val="30"/>
          <w:szCs w:val="30"/>
          <w:lang w:val="en-US" w:eastAsia="zh-CN"/>
        </w:rPr>
        <w:t>居民人均工资性收入12090元，增长3.3%；人均经营性收入7295元，增长9.1%；人均财产净收入1786元，增长7.2%；人均转移净收入4039元，增长7.6%。</w:t>
      </w:r>
    </w:p>
    <w:p>
      <w:r>
        <w:rPr>
          <w:rFonts w:hint="eastAsia"/>
          <w:lang w:val="en-US" w:eastAsia="zh-CN"/>
        </w:rPr>
        <w:t xml:space="preserve">    </w:t>
      </w:r>
      <w:r>
        <w:drawing>
          <wp:inline distT="0" distB="0" distL="114300" distR="114300">
            <wp:extent cx="4912995" cy="2416810"/>
            <wp:effectExtent l="4445" t="4445" r="16510" b="1714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rPr>
          <w:rFonts w:hint="eastAsia" w:ascii="仿宋" w:hAnsi="仿宋" w:eastAsia="仿宋" w:cs="仿宋"/>
          <w:b/>
          <w:bCs/>
          <w:sz w:val="30"/>
          <w:szCs w:val="30"/>
          <w:lang w:val="en-US" w:eastAsia="zh-CN"/>
        </w:rPr>
      </w:pPr>
      <w:r>
        <w:rPr>
          <w:rFonts w:hint="eastAsia"/>
          <w:lang w:val="en-US" w:eastAsia="zh-CN"/>
        </w:rPr>
        <w:t xml:space="preserve">    </w:t>
      </w:r>
      <w:r>
        <w:drawing>
          <wp:inline distT="0" distB="0" distL="114300" distR="114300">
            <wp:extent cx="4912995" cy="2426970"/>
            <wp:effectExtent l="4445" t="4445" r="16510" b="698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2711" w:firstLineChars="900"/>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2020年居民人均消费支出</w:t>
      </w:r>
    </w:p>
    <w:tbl>
      <w:tblPr>
        <w:tblStyle w:val="5"/>
        <w:tblW w:w="7825" w:type="dxa"/>
        <w:tblInd w:w="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3"/>
        <w:gridCol w:w="2601"/>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613" w:type="dxa"/>
            <w:vAlign w:val="center"/>
          </w:tcPr>
          <w:p>
            <w:pPr>
              <w:widowControl w:val="0"/>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指标</w:t>
            </w:r>
          </w:p>
        </w:tc>
        <w:tc>
          <w:tcPr>
            <w:tcW w:w="2601" w:type="dxa"/>
            <w:vAlign w:val="center"/>
          </w:tcPr>
          <w:p>
            <w:pPr>
              <w:widowControl w:val="0"/>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2020年（元）</w:t>
            </w:r>
          </w:p>
        </w:tc>
        <w:tc>
          <w:tcPr>
            <w:tcW w:w="2611" w:type="dxa"/>
            <w:vAlign w:val="center"/>
          </w:tcPr>
          <w:p>
            <w:pPr>
              <w:widowControl w:val="0"/>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613"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食品烟酒</w:t>
            </w:r>
          </w:p>
        </w:tc>
        <w:tc>
          <w:tcPr>
            <w:tcW w:w="2601"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6130.8</w:t>
            </w:r>
          </w:p>
        </w:tc>
        <w:tc>
          <w:tcPr>
            <w:tcW w:w="2611"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613"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衣着</w:t>
            </w:r>
          </w:p>
        </w:tc>
        <w:tc>
          <w:tcPr>
            <w:tcW w:w="2601"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1550.9</w:t>
            </w:r>
          </w:p>
        </w:tc>
        <w:tc>
          <w:tcPr>
            <w:tcW w:w="2611"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613"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居住</w:t>
            </w:r>
          </w:p>
        </w:tc>
        <w:tc>
          <w:tcPr>
            <w:tcW w:w="2601"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4097.8</w:t>
            </w:r>
          </w:p>
        </w:tc>
        <w:tc>
          <w:tcPr>
            <w:tcW w:w="2611"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613"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生活用品及服务</w:t>
            </w:r>
          </w:p>
        </w:tc>
        <w:tc>
          <w:tcPr>
            <w:tcW w:w="2601"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1134.9</w:t>
            </w:r>
          </w:p>
        </w:tc>
        <w:tc>
          <w:tcPr>
            <w:tcW w:w="2611"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613"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交通通信</w:t>
            </w:r>
          </w:p>
        </w:tc>
        <w:tc>
          <w:tcPr>
            <w:tcW w:w="2601"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2027.5</w:t>
            </w:r>
          </w:p>
        </w:tc>
        <w:tc>
          <w:tcPr>
            <w:tcW w:w="2611"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613"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教育文化娱乐</w:t>
            </w:r>
          </w:p>
        </w:tc>
        <w:tc>
          <w:tcPr>
            <w:tcW w:w="2601"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2445.6</w:t>
            </w:r>
          </w:p>
        </w:tc>
        <w:tc>
          <w:tcPr>
            <w:tcW w:w="2611"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613"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医疗保健</w:t>
            </w:r>
          </w:p>
        </w:tc>
        <w:tc>
          <w:tcPr>
            <w:tcW w:w="2601"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1321.5</w:t>
            </w:r>
          </w:p>
        </w:tc>
        <w:tc>
          <w:tcPr>
            <w:tcW w:w="2611"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613"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其他用品和服务</w:t>
            </w:r>
          </w:p>
        </w:tc>
        <w:tc>
          <w:tcPr>
            <w:tcW w:w="2601"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202.6</w:t>
            </w:r>
          </w:p>
        </w:tc>
        <w:tc>
          <w:tcPr>
            <w:tcW w:w="2611" w:type="dxa"/>
            <w:vAlign w:val="center"/>
          </w:tcPr>
          <w:p>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18.5</w:t>
            </w:r>
          </w:p>
        </w:tc>
      </w:tr>
    </w:tbl>
    <w:p>
      <w:pPr>
        <w:ind w:firstLine="600"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b w:val="0"/>
          <w:bCs/>
          <w:color w:val="000000" w:themeColor="text1"/>
          <w:sz w:val="30"/>
          <w:szCs w:val="30"/>
          <w:lang w:eastAsia="zh-CN"/>
          <w14:textFill>
            <w14:solidFill>
              <w14:schemeClr w14:val="tx1"/>
            </w14:solidFill>
          </w14:textFill>
        </w:rPr>
        <w:t>全年新增城镇就业人员</w:t>
      </w:r>
      <w:r>
        <w:rPr>
          <w:rFonts w:hint="eastAsia" w:ascii="仿宋" w:hAnsi="仿宋" w:eastAsia="仿宋" w:cs="仿宋"/>
          <w:b w:val="0"/>
          <w:bCs/>
          <w:color w:val="000000" w:themeColor="text1"/>
          <w:sz w:val="30"/>
          <w:szCs w:val="30"/>
          <w:lang w:val="en-US" w:eastAsia="zh-CN"/>
          <w14:textFill>
            <w14:solidFill>
              <w14:schemeClr w14:val="tx1"/>
            </w14:solidFill>
          </w14:textFill>
        </w:rPr>
        <w:t>5117</w:t>
      </w:r>
      <w:r>
        <w:rPr>
          <w:rFonts w:hint="eastAsia" w:ascii="仿宋" w:hAnsi="仿宋" w:eastAsia="仿宋" w:cs="仿宋"/>
          <w:b w:val="0"/>
          <w:bCs/>
          <w:color w:val="000000" w:themeColor="text1"/>
          <w:sz w:val="30"/>
          <w:szCs w:val="30"/>
          <w:lang w:eastAsia="zh-CN"/>
          <w14:textFill>
            <w14:solidFill>
              <w14:schemeClr w14:val="tx1"/>
            </w14:solidFill>
          </w14:textFill>
        </w:rPr>
        <w:t>人。全年共征缴养老保险3.</w:t>
      </w:r>
      <w:r>
        <w:rPr>
          <w:rFonts w:hint="eastAsia" w:ascii="仿宋" w:hAnsi="仿宋" w:eastAsia="仿宋" w:cs="仿宋"/>
          <w:b w:val="0"/>
          <w:bCs/>
          <w:color w:val="000000" w:themeColor="text1"/>
          <w:sz w:val="30"/>
          <w:szCs w:val="30"/>
          <w:lang w:val="en-US" w:eastAsia="zh-CN"/>
          <w14:textFill>
            <w14:solidFill>
              <w14:schemeClr w14:val="tx1"/>
            </w14:solidFill>
          </w14:textFill>
        </w:rPr>
        <w:t>59</w:t>
      </w:r>
      <w:r>
        <w:rPr>
          <w:rFonts w:hint="eastAsia" w:ascii="仿宋" w:hAnsi="仿宋" w:eastAsia="仿宋" w:cs="仿宋"/>
          <w:b w:val="0"/>
          <w:bCs/>
          <w:color w:val="000000" w:themeColor="text1"/>
          <w:sz w:val="30"/>
          <w:szCs w:val="30"/>
          <w:lang w:eastAsia="zh-CN"/>
          <w14:textFill>
            <w14:solidFill>
              <w14:schemeClr w14:val="tx1"/>
            </w14:solidFill>
          </w14:textFill>
        </w:rPr>
        <w:t>亿，争取中央、省财政转移支付资金4.9亿元，及时发放离退休人员养老金</w:t>
      </w:r>
      <w:r>
        <w:rPr>
          <w:rFonts w:hint="eastAsia" w:ascii="仿宋" w:hAnsi="仿宋" w:eastAsia="仿宋" w:cs="仿宋"/>
          <w:b w:val="0"/>
          <w:bCs/>
          <w:color w:val="000000" w:themeColor="text1"/>
          <w:sz w:val="30"/>
          <w:szCs w:val="30"/>
          <w:lang w:val="en-US" w:eastAsia="zh-CN"/>
          <w14:textFill>
            <w14:solidFill>
              <w14:schemeClr w14:val="tx1"/>
            </w14:solidFill>
          </w14:textFill>
        </w:rPr>
        <w:t>8.41</w:t>
      </w:r>
      <w:r>
        <w:rPr>
          <w:rFonts w:hint="eastAsia" w:ascii="仿宋" w:hAnsi="仿宋" w:eastAsia="仿宋" w:cs="仿宋"/>
          <w:b w:val="0"/>
          <w:bCs/>
          <w:color w:val="000000" w:themeColor="text1"/>
          <w:sz w:val="30"/>
          <w:szCs w:val="30"/>
          <w:lang w:eastAsia="zh-CN"/>
          <w14:textFill>
            <w14:solidFill>
              <w14:schemeClr w14:val="tx1"/>
            </w14:solidFill>
          </w14:textFill>
        </w:rPr>
        <w:t>亿元，发放基本退休费和津补贴2.</w:t>
      </w:r>
      <w:r>
        <w:rPr>
          <w:rFonts w:hint="eastAsia" w:ascii="仿宋" w:hAnsi="仿宋" w:eastAsia="仿宋" w:cs="仿宋"/>
          <w:b w:val="0"/>
          <w:bCs/>
          <w:color w:val="000000" w:themeColor="text1"/>
          <w:sz w:val="30"/>
          <w:szCs w:val="30"/>
          <w:lang w:val="en-US" w:eastAsia="zh-CN"/>
          <w14:textFill>
            <w14:solidFill>
              <w14:schemeClr w14:val="tx1"/>
            </w14:solidFill>
          </w14:textFill>
        </w:rPr>
        <w:t>49</w:t>
      </w:r>
      <w:r>
        <w:rPr>
          <w:rFonts w:hint="eastAsia" w:ascii="仿宋" w:hAnsi="仿宋" w:eastAsia="仿宋" w:cs="仿宋"/>
          <w:b w:val="0"/>
          <w:bCs/>
          <w:color w:val="000000" w:themeColor="text1"/>
          <w:sz w:val="30"/>
          <w:szCs w:val="30"/>
          <w:lang w:eastAsia="zh-CN"/>
          <w14:textFill>
            <w14:solidFill>
              <w14:schemeClr w14:val="tx1"/>
            </w14:solidFill>
          </w14:textFill>
        </w:rPr>
        <w:t>亿元</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b w:val="0"/>
          <w:bCs/>
          <w:color w:val="000000" w:themeColor="text1"/>
          <w:sz w:val="30"/>
          <w:szCs w:val="30"/>
          <w:lang w:eastAsia="zh-CN"/>
          <w14:textFill>
            <w14:solidFill>
              <w14:schemeClr w14:val="tx1"/>
            </w14:solidFill>
          </w14:textFill>
        </w:rPr>
        <w:t>参加失业保险职工人数</w:t>
      </w:r>
      <w:r>
        <w:rPr>
          <w:rFonts w:hint="eastAsia" w:ascii="仿宋" w:hAnsi="仿宋" w:eastAsia="仿宋" w:cs="仿宋"/>
          <w:b w:val="0"/>
          <w:bCs/>
          <w:color w:val="000000" w:themeColor="text1"/>
          <w:sz w:val="30"/>
          <w:szCs w:val="30"/>
          <w:lang w:val="en-US" w:eastAsia="zh-CN"/>
          <w14:textFill>
            <w14:solidFill>
              <w14:schemeClr w14:val="tx1"/>
            </w14:solidFill>
          </w14:textFill>
        </w:rPr>
        <w:t>18236</w:t>
      </w:r>
      <w:r>
        <w:rPr>
          <w:rFonts w:hint="eastAsia" w:ascii="仿宋" w:hAnsi="仿宋" w:eastAsia="仿宋" w:cs="仿宋"/>
          <w:b w:val="0"/>
          <w:bCs/>
          <w:color w:val="000000" w:themeColor="text1"/>
          <w:sz w:val="30"/>
          <w:szCs w:val="30"/>
          <w:lang w:eastAsia="zh-CN"/>
          <w14:textFill>
            <w14:solidFill>
              <w14:schemeClr w14:val="tx1"/>
            </w14:solidFill>
          </w14:textFill>
        </w:rPr>
        <w:t>人。</w:t>
      </w:r>
      <w:r>
        <w:rPr>
          <w:rFonts w:hint="eastAsia" w:ascii="仿宋" w:hAnsi="仿宋" w:eastAsia="仿宋" w:cs="仿宋"/>
          <w:color w:val="000000" w:themeColor="text1"/>
          <w:sz w:val="30"/>
          <w:szCs w:val="30"/>
          <w:lang w:eastAsia="zh-CN"/>
          <w14:textFill>
            <w14:solidFill>
              <w14:schemeClr w14:val="tx1"/>
            </w14:solidFill>
          </w14:textFill>
        </w:rPr>
        <w:t>全市职工医疗生育保险参保登录 3.2 万人，征缴基金1.5 亿元。城乡居民医疗保险参保人数为45.64万人，征缴基</w:t>
      </w:r>
      <w:r>
        <w:rPr>
          <w:rFonts w:hint="eastAsia" w:ascii="仿宋" w:hAnsi="仿宋" w:eastAsia="仿宋" w:cs="仿宋"/>
          <w:color w:val="000000" w:themeColor="text1"/>
          <w:sz w:val="30"/>
          <w:szCs w:val="30"/>
          <w:lang w:val="en-US" w:eastAsia="zh-CN"/>
          <w14:textFill>
            <w14:solidFill>
              <w14:schemeClr w14:val="tx1"/>
            </w14:solidFill>
          </w14:textFill>
        </w:rPr>
        <w:t>金</w:t>
      </w:r>
      <w:r>
        <w:rPr>
          <w:rFonts w:hint="eastAsia" w:ascii="仿宋" w:hAnsi="仿宋" w:eastAsia="仿宋" w:cs="仿宋"/>
          <w:color w:val="000000" w:themeColor="text1"/>
          <w:sz w:val="30"/>
          <w:szCs w:val="30"/>
          <w:lang w:eastAsia="zh-CN"/>
          <w14:textFill>
            <w14:solidFill>
              <w14:schemeClr w14:val="tx1"/>
            </w14:solidFill>
          </w14:textFill>
        </w:rPr>
        <w:t>3.6 亿元（其中个人缴费1.1亿元，政府补贴1.5亿元）。</w:t>
      </w:r>
    </w:p>
    <w:p>
      <w:pPr>
        <w:ind w:firstLine="600" w:firstLineChars="200"/>
        <w:rPr>
          <w:rFonts w:hint="default" w:ascii="仿宋" w:hAnsi="仿宋" w:eastAsia="仿宋" w:cs="仿宋"/>
          <w:b w:val="0"/>
          <w:bCs/>
          <w:color w:val="000000" w:themeColor="text1"/>
          <w:sz w:val="30"/>
          <w:szCs w:val="30"/>
          <w:highlight w:val="none"/>
          <w:lang w:val="en-US" w:eastAsia="zh-CN"/>
          <w14:textFill>
            <w14:solidFill>
              <w14:schemeClr w14:val="tx1"/>
            </w14:solidFill>
          </w14:textFill>
        </w:rPr>
      </w:pPr>
      <w:r>
        <w:rPr>
          <w:rFonts w:hint="default" w:ascii="仿宋" w:hAnsi="仿宋" w:eastAsia="仿宋" w:cs="仿宋"/>
          <w:b w:val="0"/>
          <w:bCs/>
          <w:color w:val="000000" w:themeColor="text1"/>
          <w:sz w:val="30"/>
          <w:szCs w:val="30"/>
          <w:highlight w:val="none"/>
          <w:lang w:val="en-US" w:eastAsia="zh-CN"/>
          <w14:textFill>
            <w14:solidFill>
              <w14:schemeClr w14:val="tx1"/>
            </w14:solidFill>
          </w14:textFill>
        </w:rPr>
        <w:t>年末，全市社会救济对象总人数近13万人次，</w:t>
      </w:r>
      <w:r>
        <w:rPr>
          <w:rFonts w:hint="eastAsia" w:ascii="仿宋" w:hAnsi="仿宋" w:eastAsia="仿宋" w:cs="仿宋"/>
          <w:b w:val="0"/>
          <w:bCs/>
          <w:color w:val="000000" w:themeColor="text1"/>
          <w:sz w:val="30"/>
          <w:szCs w:val="30"/>
          <w:highlight w:val="none"/>
          <w:lang w:val="en-US" w:eastAsia="zh-CN"/>
          <w14:textFill>
            <w14:solidFill>
              <w14:schemeClr w14:val="tx1"/>
            </w14:solidFill>
          </w14:textFill>
        </w:rPr>
        <w:t>重点</w:t>
      </w:r>
      <w:r>
        <w:rPr>
          <w:rFonts w:hint="default" w:ascii="仿宋" w:hAnsi="仿宋" w:eastAsia="仿宋" w:cs="仿宋"/>
          <w:b w:val="0"/>
          <w:bCs/>
          <w:color w:val="000000" w:themeColor="text1"/>
          <w:sz w:val="30"/>
          <w:szCs w:val="30"/>
          <w:highlight w:val="none"/>
          <w:lang w:val="en-US" w:eastAsia="zh-CN"/>
          <w14:textFill>
            <w14:solidFill>
              <w14:schemeClr w14:val="tx1"/>
            </w14:solidFill>
          </w14:textFill>
        </w:rPr>
        <w:t>优抚对象人数</w:t>
      </w:r>
      <w:r>
        <w:rPr>
          <w:rFonts w:hint="eastAsia" w:ascii="仿宋" w:hAnsi="仿宋" w:eastAsia="仿宋" w:cs="仿宋"/>
          <w:b w:val="0"/>
          <w:bCs/>
          <w:color w:val="000000" w:themeColor="text1"/>
          <w:sz w:val="30"/>
          <w:szCs w:val="30"/>
          <w:highlight w:val="none"/>
          <w:lang w:val="en-US" w:eastAsia="zh-CN"/>
          <w14:textFill>
            <w14:solidFill>
              <w14:schemeClr w14:val="tx1"/>
            </w14:solidFill>
          </w14:textFill>
        </w:rPr>
        <w:t>6052</w:t>
      </w:r>
      <w:r>
        <w:rPr>
          <w:rFonts w:hint="default" w:ascii="仿宋" w:hAnsi="仿宋" w:eastAsia="仿宋" w:cs="仿宋"/>
          <w:b w:val="0"/>
          <w:bCs/>
          <w:color w:val="000000" w:themeColor="text1"/>
          <w:sz w:val="30"/>
          <w:szCs w:val="30"/>
          <w:highlight w:val="none"/>
          <w:lang w:val="en-US" w:eastAsia="zh-CN"/>
          <w14:textFill>
            <w14:solidFill>
              <w14:schemeClr w14:val="tx1"/>
            </w14:solidFill>
          </w14:textFill>
        </w:rPr>
        <w:t>人。</w:t>
      </w:r>
      <w:r>
        <w:rPr>
          <w:rFonts w:hint="eastAsia" w:ascii="仿宋" w:hAnsi="仿宋" w:eastAsia="仿宋" w:cs="仿宋"/>
          <w:b w:val="0"/>
          <w:bCs/>
          <w:color w:val="000000" w:themeColor="text1"/>
          <w:sz w:val="30"/>
          <w:szCs w:val="30"/>
          <w:highlight w:val="none"/>
          <w:lang w:val="en-US" w:eastAsia="zh-CN"/>
          <w14:textFill>
            <w14:solidFill>
              <w14:schemeClr w14:val="tx1"/>
            </w14:solidFill>
          </w14:textFill>
        </w:rPr>
        <w:t>全市拥有</w:t>
      </w:r>
      <w:r>
        <w:rPr>
          <w:rFonts w:hint="default" w:ascii="仿宋" w:hAnsi="仿宋" w:eastAsia="仿宋" w:cs="仿宋"/>
          <w:b w:val="0"/>
          <w:bCs/>
          <w:color w:val="000000" w:themeColor="text1"/>
          <w:sz w:val="30"/>
          <w:szCs w:val="30"/>
          <w:highlight w:val="none"/>
          <w:lang w:val="en-US" w:eastAsia="zh-CN"/>
          <w14:textFill>
            <w14:solidFill>
              <w14:schemeClr w14:val="tx1"/>
            </w14:solidFill>
          </w14:textFill>
        </w:rPr>
        <w:t>敬老院14个（农村），在院人数 </w:t>
      </w:r>
      <w:r>
        <w:rPr>
          <w:rFonts w:hint="eastAsia" w:ascii="仿宋" w:hAnsi="仿宋" w:eastAsia="仿宋" w:cs="仿宋"/>
          <w:b w:val="0"/>
          <w:bCs/>
          <w:color w:val="000000" w:themeColor="text1"/>
          <w:sz w:val="30"/>
          <w:szCs w:val="30"/>
          <w:highlight w:val="none"/>
          <w:lang w:val="en-US" w:eastAsia="zh-CN"/>
          <w14:textFill>
            <w14:solidFill>
              <w14:schemeClr w14:val="tx1"/>
            </w14:solidFill>
          </w14:textFill>
        </w:rPr>
        <w:t>902</w:t>
      </w:r>
      <w:r>
        <w:rPr>
          <w:rFonts w:hint="default" w:ascii="仿宋" w:hAnsi="仿宋" w:eastAsia="仿宋" w:cs="仿宋"/>
          <w:b w:val="0"/>
          <w:bCs/>
          <w:color w:val="000000" w:themeColor="text1"/>
          <w:sz w:val="30"/>
          <w:szCs w:val="30"/>
          <w:highlight w:val="none"/>
          <w:lang w:val="en-US" w:eastAsia="zh-CN"/>
          <w14:textFill>
            <w14:solidFill>
              <w14:schemeClr w14:val="tx1"/>
            </w14:solidFill>
          </w14:textFill>
        </w:rPr>
        <w:t>人，拥有养老床位数</w:t>
      </w:r>
      <w:r>
        <w:rPr>
          <w:rFonts w:hint="eastAsia" w:ascii="仿宋" w:hAnsi="仿宋" w:eastAsia="仿宋" w:cs="仿宋"/>
          <w:b w:val="0"/>
          <w:bCs/>
          <w:color w:val="000000" w:themeColor="text1"/>
          <w:sz w:val="30"/>
          <w:szCs w:val="30"/>
          <w:highlight w:val="none"/>
          <w:lang w:val="en-US" w:eastAsia="zh-CN"/>
          <w14:textFill>
            <w14:solidFill>
              <w14:schemeClr w14:val="tx1"/>
            </w14:solidFill>
          </w14:textFill>
        </w:rPr>
        <w:t>1042</w:t>
      </w:r>
      <w:r>
        <w:rPr>
          <w:rFonts w:hint="default" w:ascii="仿宋" w:hAnsi="仿宋" w:eastAsia="仿宋" w:cs="仿宋"/>
          <w:b w:val="0"/>
          <w:bCs/>
          <w:color w:val="000000" w:themeColor="text1"/>
          <w:sz w:val="30"/>
          <w:szCs w:val="30"/>
          <w:highlight w:val="none"/>
          <w:lang w:val="en-US" w:eastAsia="zh-CN"/>
          <w14:textFill>
            <w14:solidFill>
              <w14:schemeClr w14:val="tx1"/>
            </w14:solidFill>
          </w14:textFill>
        </w:rPr>
        <w:t>张</w:t>
      </w:r>
      <w:r>
        <w:rPr>
          <w:rFonts w:hint="eastAsia" w:ascii="仿宋" w:hAnsi="仿宋" w:eastAsia="仿宋" w:cs="仿宋"/>
          <w:b w:val="0"/>
          <w:bCs/>
          <w:color w:val="000000" w:themeColor="text1"/>
          <w:sz w:val="30"/>
          <w:szCs w:val="30"/>
          <w:highlight w:val="none"/>
          <w:lang w:val="en-US" w:eastAsia="zh-CN"/>
          <w14:textFill>
            <w14:solidFill>
              <w14:schemeClr w14:val="tx1"/>
            </w14:solidFill>
          </w14:textFill>
        </w:rPr>
        <w:t>，拥有光荣院2所。</w:t>
      </w:r>
      <w:r>
        <w:rPr>
          <w:rFonts w:hint="default" w:ascii="仿宋" w:hAnsi="仿宋" w:eastAsia="仿宋" w:cs="仿宋"/>
          <w:b w:val="0"/>
          <w:bCs/>
          <w:color w:val="000000" w:themeColor="text1"/>
          <w:sz w:val="30"/>
          <w:szCs w:val="30"/>
          <w:highlight w:val="none"/>
          <w:lang w:val="en-US" w:eastAsia="zh-CN"/>
          <w14:textFill>
            <w14:solidFill>
              <w14:schemeClr w14:val="tx1"/>
            </w14:solidFill>
          </w14:textFill>
        </w:rPr>
        <w:t>全年城镇建立各种社区服务设施60个，其中，综合性社区服务中心</w:t>
      </w:r>
      <w:r>
        <w:rPr>
          <w:rFonts w:hint="eastAsia" w:ascii="仿宋" w:hAnsi="仿宋" w:eastAsia="仿宋" w:cs="仿宋"/>
          <w:b w:val="0"/>
          <w:bCs/>
          <w:color w:val="000000" w:themeColor="text1"/>
          <w:sz w:val="30"/>
          <w:szCs w:val="30"/>
          <w:highlight w:val="none"/>
          <w:lang w:val="en-US" w:eastAsia="zh-CN"/>
          <w14:textFill>
            <w14:solidFill>
              <w14:schemeClr w14:val="tx1"/>
            </w14:solidFill>
          </w14:textFill>
        </w:rPr>
        <w:t>47</w:t>
      </w:r>
      <w:r>
        <w:rPr>
          <w:rFonts w:hint="default" w:ascii="仿宋" w:hAnsi="仿宋" w:eastAsia="仿宋" w:cs="仿宋"/>
          <w:b w:val="0"/>
          <w:bCs/>
          <w:color w:val="000000" w:themeColor="text1"/>
          <w:sz w:val="30"/>
          <w:szCs w:val="30"/>
          <w:highlight w:val="none"/>
          <w:lang w:val="en-US" w:eastAsia="zh-CN"/>
          <w14:textFill>
            <w14:solidFill>
              <w14:schemeClr w14:val="tx1"/>
            </w14:solidFill>
          </w14:textFill>
        </w:rPr>
        <w:t>个。全年销售社会福利彩票</w:t>
      </w:r>
      <w:r>
        <w:rPr>
          <w:rFonts w:hint="eastAsia" w:ascii="仿宋" w:hAnsi="仿宋" w:eastAsia="仿宋" w:cs="仿宋"/>
          <w:b w:val="0"/>
          <w:bCs/>
          <w:color w:val="000000" w:themeColor="text1"/>
          <w:sz w:val="30"/>
          <w:szCs w:val="30"/>
          <w:highlight w:val="none"/>
          <w:lang w:val="en-US" w:eastAsia="zh-CN"/>
          <w14:textFill>
            <w14:solidFill>
              <w14:schemeClr w14:val="tx1"/>
            </w14:solidFill>
          </w14:textFill>
        </w:rPr>
        <w:t>1682</w:t>
      </w:r>
      <w:r>
        <w:rPr>
          <w:rFonts w:hint="default" w:ascii="仿宋" w:hAnsi="仿宋" w:eastAsia="仿宋" w:cs="仿宋"/>
          <w:b w:val="0"/>
          <w:bCs/>
          <w:color w:val="000000" w:themeColor="text1"/>
          <w:sz w:val="30"/>
          <w:szCs w:val="30"/>
          <w:highlight w:val="none"/>
          <w:lang w:val="en-US" w:eastAsia="zh-CN"/>
          <w14:textFill>
            <w14:solidFill>
              <w14:schemeClr w14:val="tx1"/>
            </w14:solidFill>
          </w14:textFill>
        </w:rPr>
        <w:t>万元，筹集福彩公益金</w:t>
      </w:r>
      <w:r>
        <w:rPr>
          <w:rFonts w:hint="eastAsia" w:ascii="仿宋" w:hAnsi="仿宋" w:eastAsia="仿宋" w:cs="仿宋"/>
          <w:b w:val="0"/>
          <w:bCs/>
          <w:color w:val="000000" w:themeColor="text1"/>
          <w:sz w:val="30"/>
          <w:szCs w:val="30"/>
          <w:highlight w:val="none"/>
          <w:lang w:val="en-US" w:eastAsia="zh-CN"/>
          <w14:textFill>
            <w14:solidFill>
              <w14:schemeClr w14:val="tx1"/>
            </w14:solidFill>
          </w14:textFill>
        </w:rPr>
        <w:t>236.9</w:t>
      </w:r>
      <w:r>
        <w:rPr>
          <w:rFonts w:hint="default" w:ascii="仿宋" w:hAnsi="仿宋" w:eastAsia="仿宋" w:cs="仿宋"/>
          <w:b w:val="0"/>
          <w:bCs/>
          <w:color w:val="000000" w:themeColor="text1"/>
          <w:sz w:val="30"/>
          <w:szCs w:val="30"/>
          <w:highlight w:val="none"/>
          <w:lang w:val="en-US" w:eastAsia="zh-CN"/>
          <w14:textFill>
            <w14:solidFill>
              <w14:schemeClr w14:val="tx1"/>
            </w14:solidFill>
          </w14:textFill>
        </w:rPr>
        <w:t>万元。</w:t>
      </w:r>
    </w:p>
    <w:p>
      <w:pPr>
        <w:ind w:firstLine="602" w:firstLineChars="200"/>
        <w:rPr>
          <w:rFonts w:hint="eastAsia" w:ascii="黑体" w:eastAsia="黑体"/>
          <w:b/>
          <w:color w:val="000000" w:themeColor="text1"/>
          <w:sz w:val="30"/>
          <w:szCs w:val="30"/>
          <w14:textFill>
            <w14:solidFill>
              <w14:schemeClr w14:val="tx1"/>
            </w14:solidFill>
          </w14:textFill>
        </w:rPr>
      </w:pPr>
      <w:r>
        <w:rPr>
          <w:rFonts w:hint="eastAsia" w:ascii="黑体" w:eastAsia="黑体"/>
          <w:b/>
          <w:color w:val="000000" w:themeColor="text1"/>
          <w:sz w:val="30"/>
          <w:szCs w:val="30"/>
          <w14:textFill>
            <w14:solidFill>
              <w14:schemeClr w14:val="tx1"/>
            </w14:solidFill>
          </w14:textFill>
        </w:rPr>
        <w:t>十二、资源、环境和安全生产</w:t>
      </w:r>
    </w:p>
    <w:p>
      <w:pPr>
        <w:ind w:firstLine="600" w:firstLineChars="200"/>
        <w:rPr>
          <w:rFonts w:hint="eastAsia" w:ascii="仿宋" w:hAnsi="仿宋" w:eastAsia="仿宋"/>
          <w:color w:val="000000" w:themeColor="text1"/>
          <w:sz w:val="30"/>
          <w:szCs w:val="30"/>
          <w:lang w:eastAsia="zh-CN"/>
          <w14:textFill>
            <w14:solidFill>
              <w14:schemeClr w14:val="tx1"/>
            </w14:solidFill>
          </w14:textFill>
        </w:rPr>
      </w:pPr>
      <w:r>
        <w:rPr>
          <w:rFonts w:hint="eastAsia" w:ascii="仿宋" w:hAnsi="仿宋" w:eastAsia="仿宋"/>
          <w:color w:val="000000" w:themeColor="text1"/>
          <w:sz w:val="30"/>
          <w:szCs w:val="30"/>
          <w:lang w:eastAsia="zh-CN"/>
          <w14:textFill>
            <w14:solidFill>
              <w14:schemeClr w14:val="tx1"/>
            </w14:solidFill>
          </w14:textFill>
        </w:rPr>
        <w:t>全市已发现矿种35种，其中，能源矿产2种，金属矿产13 种，非金属矿产19种，水气矿产1种。探明资源储量矿种21种，新发现大中型矿产地</w:t>
      </w:r>
      <w:r>
        <w:rPr>
          <w:rFonts w:hint="eastAsia" w:ascii="仿宋" w:hAnsi="仿宋" w:eastAsia="仿宋"/>
          <w:color w:val="000000" w:themeColor="text1"/>
          <w:sz w:val="30"/>
          <w:szCs w:val="30"/>
          <w:lang w:val="en-US" w:eastAsia="zh-CN"/>
          <w14:textFill>
            <w14:solidFill>
              <w14:schemeClr w14:val="tx1"/>
            </w14:solidFill>
          </w14:textFill>
        </w:rPr>
        <w:t>7</w:t>
      </w:r>
      <w:r>
        <w:rPr>
          <w:rFonts w:hint="eastAsia" w:ascii="仿宋" w:hAnsi="仿宋" w:eastAsia="仿宋"/>
          <w:color w:val="000000" w:themeColor="text1"/>
          <w:sz w:val="30"/>
          <w:szCs w:val="30"/>
          <w:lang w:eastAsia="zh-CN"/>
          <w14:textFill>
            <w14:solidFill>
              <w14:schemeClr w14:val="tx1"/>
            </w14:solidFill>
          </w14:textFill>
        </w:rPr>
        <w:t>处。完成资源整合的重点矿区</w:t>
      </w:r>
      <w:r>
        <w:rPr>
          <w:rFonts w:hint="eastAsia" w:ascii="仿宋" w:hAnsi="仿宋" w:eastAsia="仿宋"/>
          <w:color w:val="000000" w:themeColor="text1"/>
          <w:sz w:val="30"/>
          <w:szCs w:val="30"/>
          <w:lang w:val="en-US" w:eastAsia="zh-CN"/>
          <w14:textFill>
            <w14:solidFill>
              <w14:schemeClr w14:val="tx1"/>
            </w14:solidFill>
          </w14:textFill>
        </w:rPr>
        <w:t>3</w:t>
      </w:r>
      <w:r>
        <w:rPr>
          <w:rFonts w:hint="eastAsia" w:ascii="仿宋" w:hAnsi="仿宋" w:eastAsia="仿宋"/>
          <w:color w:val="000000" w:themeColor="text1"/>
          <w:sz w:val="30"/>
          <w:szCs w:val="30"/>
          <w:lang w:eastAsia="zh-CN"/>
          <w14:textFill>
            <w14:solidFill>
              <w14:schemeClr w14:val="tx1"/>
            </w14:solidFill>
          </w14:textFill>
        </w:rPr>
        <w:t>个，完成资源整合的重要矿种</w:t>
      </w:r>
      <w:r>
        <w:rPr>
          <w:rFonts w:hint="eastAsia" w:ascii="仿宋" w:hAnsi="仿宋" w:eastAsia="仿宋"/>
          <w:color w:val="000000" w:themeColor="text1"/>
          <w:sz w:val="30"/>
          <w:szCs w:val="30"/>
          <w:lang w:val="en-US" w:eastAsia="zh-CN"/>
          <w14:textFill>
            <w14:solidFill>
              <w14:schemeClr w14:val="tx1"/>
            </w14:solidFill>
          </w14:textFill>
        </w:rPr>
        <w:t>7</w:t>
      </w:r>
      <w:r>
        <w:rPr>
          <w:rFonts w:hint="eastAsia" w:ascii="仿宋" w:hAnsi="仿宋" w:eastAsia="仿宋"/>
          <w:color w:val="000000" w:themeColor="text1"/>
          <w:sz w:val="30"/>
          <w:szCs w:val="30"/>
          <w:lang w:eastAsia="zh-CN"/>
          <w14:textFill>
            <w14:solidFill>
              <w14:schemeClr w14:val="tx1"/>
            </w14:solidFill>
          </w14:textFill>
        </w:rPr>
        <w:t>种。实施市以上高标准农田建设项目3个，建设高标准农田4.86万亩。</w:t>
      </w:r>
    </w:p>
    <w:p>
      <w:pPr>
        <w:ind w:firstLine="600" w:firstLineChars="200"/>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eastAsia="zh-CN"/>
          <w14:textFill>
            <w14:solidFill>
              <w14:schemeClr w14:val="tx1"/>
            </w14:solidFill>
          </w14:textFill>
        </w:rPr>
        <w:t>全市优良以上空气质量达标率</w:t>
      </w:r>
      <w:r>
        <w:rPr>
          <w:rFonts w:hint="eastAsia" w:ascii="仿宋" w:hAnsi="仿宋" w:eastAsia="仿宋"/>
          <w:color w:val="000000" w:themeColor="text1"/>
          <w:sz w:val="30"/>
          <w:szCs w:val="30"/>
          <w:lang w:val="en-US" w:eastAsia="zh-CN"/>
          <w14:textFill>
            <w14:solidFill>
              <w14:schemeClr w14:val="tx1"/>
            </w14:solidFill>
          </w14:textFill>
        </w:rPr>
        <w:t>98.4%，地表水达到</w:t>
      </w:r>
      <w:r>
        <w:rPr>
          <w:rFonts w:hint="eastAsia" w:ascii="仿宋" w:hAnsi="仿宋" w:eastAsia="仿宋" w:cs="仿宋"/>
          <w:color w:val="000000" w:themeColor="text1"/>
          <w:sz w:val="30"/>
          <w:szCs w:val="30"/>
          <w:lang w:val="en-US" w:eastAsia="zh-CN"/>
          <w14:textFill>
            <w14:solidFill>
              <w14:schemeClr w14:val="tx1"/>
            </w14:solidFill>
          </w14:textFill>
        </w:rPr>
        <w:t>Ⅲ类或优于Ⅲ类水体比例100%。城镇污水处理率96.05%，对农村生活垃圾进行无害化处理的行政村比例100%。</w:t>
      </w:r>
    </w:p>
    <w:p>
      <w:pPr>
        <w:ind w:firstLine="600" w:firstLineChars="200"/>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lang w:eastAsia="zh-CN"/>
          <w14:textFill>
            <w14:solidFill>
              <w14:schemeClr w14:val="tx1"/>
            </w14:solidFill>
          </w14:textFill>
        </w:rPr>
        <w:t>全市交通事故</w:t>
      </w:r>
      <w:r>
        <w:rPr>
          <w:rFonts w:hint="eastAsia" w:ascii="仿宋" w:hAnsi="仿宋" w:eastAsia="仿宋"/>
          <w:color w:val="000000" w:themeColor="text1"/>
          <w:sz w:val="30"/>
          <w:szCs w:val="30"/>
          <w14:textFill>
            <w14:solidFill>
              <w14:schemeClr w14:val="tx1"/>
            </w14:solidFill>
          </w14:textFill>
        </w:rPr>
        <w:t>死亡率</w:t>
      </w:r>
      <w:r>
        <w:rPr>
          <w:rFonts w:hint="eastAsia" w:ascii="仿宋" w:hAnsi="仿宋" w:eastAsia="仿宋"/>
          <w:color w:val="000000" w:themeColor="text1"/>
          <w:sz w:val="30"/>
          <w:szCs w:val="30"/>
          <w:lang w:val="en-US" w:eastAsia="zh-CN"/>
          <w14:textFill>
            <w14:solidFill>
              <w14:schemeClr w14:val="tx1"/>
            </w14:solidFill>
          </w14:textFill>
        </w:rPr>
        <w:t>0.53</w:t>
      </w:r>
      <w:r>
        <w:rPr>
          <w:rFonts w:hint="eastAsia" w:ascii="仿宋" w:hAnsi="仿宋" w:eastAsia="仿宋"/>
          <w:color w:val="000000" w:themeColor="text1"/>
          <w:sz w:val="30"/>
          <w:szCs w:val="30"/>
          <w14:textFill>
            <w14:solidFill>
              <w14:schemeClr w14:val="tx1"/>
            </w14:solidFill>
          </w14:textFill>
        </w:rPr>
        <w:t>；亿元GDP生产安全事故死亡率</w:t>
      </w:r>
      <w:r>
        <w:rPr>
          <w:rFonts w:hint="eastAsia" w:ascii="仿宋" w:hAnsi="仿宋" w:eastAsia="仿宋"/>
          <w:color w:val="000000" w:themeColor="text1"/>
          <w:sz w:val="30"/>
          <w:szCs w:val="30"/>
          <w:lang w:val="en-US" w:eastAsia="zh-CN"/>
          <w14:textFill>
            <w14:solidFill>
              <w14:schemeClr w14:val="tx1"/>
            </w14:solidFill>
          </w14:textFill>
        </w:rPr>
        <w:t>0.097</w:t>
      </w:r>
      <w:r>
        <w:rPr>
          <w:rFonts w:hint="eastAsia" w:ascii="仿宋" w:hAnsi="仿宋" w:eastAsia="仿宋"/>
          <w:color w:val="000000" w:themeColor="text1"/>
          <w:sz w:val="30"/>
          <w:szCs w:val="30"/>
          <w14:textFill>
            <w14:solidFill>
              <w14:schemeClr w14:val="tx1"/>
            </w14:solidFill>
          </w14:textFill>
        </w:rPr>
        <w:t>；群体性食品安全事故年发生报告数为0。</w:t>
      </w:r>
      <w:r>
        <w:rPr>
          <w:rFonts w:hint="eastAsia" w:ascii="仿宋" w:hAnsi="仿宋" w:eastAsia="仿宋" w:cs="宋体"/>
          <w:color w:val="000000" w:themeColor="text1"/>
          <w:kern w:val="0"/>
          <w:sz w:val="30"/>
          <w:szCs w:val="30"/>
          <w14:textFill>
            <w14:solidFill>
              <w14:schemeClr w14:val="tx1"/>
            </w14:solidFill>
          </w14:textFill>
        </w:rPr>
        <w:t xml:space="preserve"> </w:t>
      </w:r>
    </w:p>
    <w:p>
      <w:pPr>
        <w:ind w:firstLine="600" w:firstLineChars="200"/>
        <w:rPr>
          <w:rFonts w:hint="eastAsia" w:ascii="仿宋" w:hAnsi="仿宋" w:eastAsia="仿宋" w:cs="宋体"/>
          <w:color w:val="000000" w:themeColor="text1"/>
          <w:kern w:val="0"/>
          <w:sz w:val="30"/>
          <w:szCs w:val="30"/>
          <w14:textFill>
            <w14:solidFill>
              <w14:schemeClr w14:val="tx1"/>
            </w14:solidFill>
          </w14:textFill>
        </w:rPr>
      </w:pPr>
    </w:p>
    <w:p>
      <w:pPr>
        <w:rPr>
          <w:rFonts w:hint="eastAsia" w:ascii="楷体" w:hAnsi="楷体" w:eastAsia="楷体"/>
          <w:color w:val="000000"/>
          <w:sz w:val="24"/>
        </w:rPr>
      </w:pPr>
      <w:r>
        <w:rPr>
          <w:rFonts w:hint="eastAsia" w:ascii="仿宋" w:hAnsi="仿宋" w:eastAsia="仿宋" w:cs="宋体"/>
          <w:color w:val="000000" w:themeColor="text1"/>
          <w:kern w:val="0"/>
          <w:sz w:val="30"/>
          <w:szCs w:val="30"/>
          <w14:textFill>
            <w14:solidFill>
              <w14:schemeClr w14:val="tx1"/>
            </w14:solidFill>
          </w14:textFill>
        </w:rPr>
        <w:t xml:space="preserve">   </w:t>
      </w:r>
      <w:r>
        <w:rPr>
          <w:rFonts w:hint="eastAsia" w:ascii="楷体" w:hAnsi="楷体" w:eastAsia="楷体"/>
          <w:color w:val="000000"/>
          <w:sz w:val="24"/>
        </w:rPr>
        <w:t>注释：</w:t>
      </w:r>
    </w:p>
    <w:p>
      <w:pPr>
        <w:ind w:firstLine="480" w:firstLineChars="200"/>
        <w:rPr>
          <w:rFonts w:hint="eastAsia" w:ascii="楷体" w:hAnsi="楷体" w:eastAsia="楷体"/>
          <w:color w:val="000000"/>
          <w:sz w:val="24"/>
        </w:rPr>
      </w:pPr>
      <w:r>
        <w:rPr>
          <w:rFonts w:hint="eastAsia" w:ascii="楷体" w:hAnsi="楷体" w:eastAsia="楷体"/>
          <w:color w:val="000000"/>
          <w:sz w:val="24"/>
        </w:rPr>
        <w:t>1</w:t>
      </w:r>
      <w:r>
        <w:rPr>
          <w:rFonts w:hint="eastAsia" w:ascii="楷体" w:hAnsi="楷体" w:eastAsia="楷体"/>
          <w:color w:val="000000"/>
          <w:sz w:val="24"/>
          <w:lang w:eastAsia="zh-CN"/>
        </w:rPr>
        <w:t>、</w:t>
      </w:r>
      <w:r>
        <w:rPr>
          <w:rFonts w:hint="eastAsia" w:ascii="楷体" w:hAnsi="楷体" w:eastAsia="楷体"/>
          <w:color w:val="000000"/>
          <w:sz w:val="24"/>
        </w:rPr>
        <w:t>本公报数据为初步统计数。</w:t>
      </w:r>
    </w:p>
    <w:p>
      <w:pPr>
        <w:ind w:firstLine="480" w:firstLineChars="200"/>
        <w:rPr>
          <w:rFonts w:hint="eastAsia" w:ascii="楷体" w:hAnsi="楷体" w:eastAsia="楷体"/>
          <w:color w:val="000000"/>
          <w:sz w:val="24"/>
        </w:rPr>
      </w:pPr>
      <w:r>
        <w:rPr>
          <w:rFonts w:hint="eastAsia" w:ascii="楷体" w:hAnsi="楷体" w:eastAsia="楷体"/>
          <w:color w:val="000000"/>
          <w:sz w:val="24"/>
        </w:rPr>
        <w:t>2</w:t>
      </w:r>
      <w:r>
        <w:rPr>
          <w:rFonts w:hint="eastAsia" w:ascii="楷体" w:hAnsi="楷体" w:eastAsia="楷体"/>
          <w:color w:val="000000"/>
          <w:sz w:val="24"/>
          <w:lang w:eastAsia="zh-CN"/>
        </w:rPr>
        <w:t>、</w:t>
      </w:r>
      <w:r>
        <w:rPr>
          <w:rFonts w:hint="eastAsia" w:ascii="楷体" w:hAnsi="楷体" w:eastAsia="楷体"/>
          <w:color w:val="000000"/>
          <w:sz w:val="24"/>
        </w:rPr>
        <w:t>生产总值、各产业增加值绝对数按现价计算，增长速度按可比价计算。</w:t>
      </w:r>
    </w:p>
    <w:p>
      <w:pPr>
        <w:ind w:firstLine="480" w:firstLineChars="200"/>
        <w:rPr>
          <w:rFonts w:hint="eastAsia" w:ascii="楷体" w:hAnsi="楷体" w:eastAsia="楷体"/>
          <w:color w:val="000000"/>
          <w:sz w:val="24"/>
        </w:rPr>
      </w:pPr>
      <w:r>
        <w:rPr>
          <w:rFonts w:hint="eastAsia" w:ascii="楷体" w:hAnsi="楷体" w:eastAsia="楷体"/>
          <w:color w:val="000000"/>
          <w:sz w:val="24"/>
        </w:rPr>
        <w:t>资料来源：</w:t>
      </w:r>
    </w:p>
    <w:p>
      <w:pPr>
        <w:ind w:firstLine="480" w:firstLineChars="200"/>
        <w:rPr>
          <w:rFonts w:hint="eastAsia" w:ascii="楷体" w:hAnsi="楷体" w:eastAsia="楷体"/>
          <w:color w:val="000000"/>
          <w:sz w:val="24"/>
        </w:rPr>
      </w:pPr>
      <w:r>
        <w:rPr>
          <w:rFonts w:hint="eastAsia" w:ascii="楷体" w:hAnsi="楷体" w:eastAsia="楷体"/>
          <w:color w:val="000000"/>
          <w:sz w:val="24"/>
        </w:rPr>
        <w:t>本公报中财政数据来自市财政局；电信业务量、移动电话用户数、互联网宽带用户数来自市电信公司、市移动公司、市联通公司</w:t>
      </w:r>
      <w:r>
        <w:rPr>
          <w:rFonts w:hint="eastAsia" w:ascii="楷体" w:hAnsi="楷体" w:eastAsia="楷体"/>
          <w:color w:val="000000"/>
          <w:sz w:val="24"/>
          <w:lang w:eastAsia="zh-CN"/>
        </w:rPr>
        <w:t>、文旅广电局</w:t>
      </w:r>
      <w:r>
        <w:rPr>
          <w:rFonts w:hint="eastAsia" w:ascii="楷体" w:hAnsi="楷体" w:eastAsia="楷体"/>
          <w:color w:val="000000"/>
          <w:sz w:val="24"/>
        </w:rPr>
        <w:t>；邮政业务量来自市邮政</w:t>
      </w:r>
      <w:r>
        <w:rPr>
          <w:rFonts w:hint="eastAsia" w:ascii="楷体" w:hAnsi="楷体" w:eastAsia="楷体"/>
          <w:color w:val="000000"/>
          <w:sz w:val="24"/>
          <w:lang w:eastAsia="zh-CN"/>
        </w:rPr>
        <w:t>局</w:t>
      </w:r>
      <w:r>
        <w:rPr>
          <w:rFonts w:hint="eastAsia" w:ascii="楷体" w:hAnsi="楷体" w:eastAsia="楷体"/>
          <w:color w:val="000000"/>
          <w:sz w:val="24"/>
        </w:rPr>
        <w:t>；文化、艺术表演团体、博物馆、公共图书馆、文化馆、广播、电视、旅游数据来自市文旅广</w:t>
      </w:r>
      <w:r>
        <w:rPr>
          <w:rFonts w:hint="eastAsia" w:ascii="楷体" w:hAnsi="楷体" w:eastAsia="楷体"/>
          <w:color w:val="000000"/>
          <w:sz w:val="24"/>
          <w:lang w:eastAsia="zh-CN"/>
        </w:rPr>
        <w:t>电</w:t>
      </w:r>
      <w:r>
        <w:rPr>
          <w:rFonts w:hint="eastAsia" w:ascii="楷体" w:hAnsi="楷体" w:eastAsia="楷体"/>
          <w:color w:val="000000"/>
          <w:sz w:val="24"/>
        </w:rPr>
        <w:t>局；金融数据来自市人民银行；对外经济、保险业数据来自市商务粮食局；教育、体育数据来自市教育体育局；科技数据来自市</w:t>
      </w:r>
      <w:r>
        <w:rPr>
          <w:rFonts w:hint="eastAsia" w:ascii="楷体" w:hAnsi="楷体" w:eastAsia="楷体"/>
          <w:color w:val="000000"/>
          <w:sz w:val="24"/>
          <w:lang w:eastAsia="zh-CN"/>
        </w:rPr>
        <w:t>市场监管</w:t>
      </w:r>
      <w:r>
        <w:rPr>
          <w:rFonts w:hint="eastAsia" w:ascii="楷体" w:hAnsi="楷体" w:eastAsia="楷体"/>
          <w:color w:val="000000"/>
          <w:sz w:val="24"/>
        </w:rPr>
        <w:t>局；卫生数据来自市卫</w:t>
      </w:r>
      <w:r>
        <w:rPr>
          <w:rFonts w:hint="eastAsia" w:ascii="楷体" w:hAnsi="楷体" w:eastAsia="楷体"/>
          <w:color w:val="000000"/>
          <w:sz w:val="24"/>
          <w:lang w:eastAsia="zh-CN"/>
        </w:rPr>
        <w:t>健</w:t>
      </w:r>
      <w:r>
        <w:rPr>
          <w:rFonts w:hint="eastAsia" w:ascii="楷体" w:hAnsi="楷体" w:eastAsia="楷体"/>
          <w:color w:val="000000"/>
          <w:sz w:val="24"/>
        </w:rPr>
        <w:t>局；城镇新增就业、社会保障数据来自市人社局；社会福利数据来自市民政局</w:t>
      </w:r>
      <w:r>
        <w:rPr>
          <w:rFonts w:hint="eastAsia" w:ascii="楷体" w:hAnsi="楷体" w:eastAsia="楷体"/>
          <w:color w:val="000000"/>
          <w:sz w:val="24"/>
          <w:lang w:eastAsia="zh-CN"/>
        </w:rPr>
        <w:t>和退役军人事务管理局</w:t>
      </w:r>
      <w:r>
        <w:rPr>
          <w:rFonts w:hint="eastAsia" w:ascii="楷体" w:hAnsi="楷体" w:eastAsia="楷体"/>
          <w:color w:val="000000"/>
          <w:sz w:val="24"/>
        </w:rPr>
        <w:t>；矿产数据来自市</w:t>
      </w:r>
      <w:r>
        <w:rPr>
          <w:rFonts w:hint="eastAsia" w:ascii="楷体" w:hAnsi="楷体" w:eastAsia="楷体"/>
          <w:color w:val="000000"/>
          <w:sz w:val="24"/>
          <w:lang w:eastAsia="zh-CN"/>
        </w:rPr>
        <w:t>自然</w:t>
      </w:r>
      <w:r>
        <w:rPr>
          <w:rFonts w:hint="eastAsia" w:ascii="楷体" w:hAnsi="楷体" w:eastAsia="楷体"/>
          <w:color w:val="000000"/>
          <w:sz w:val="24"/>
        </w:rPr>
        <w:t>资源局；</w:t>
      </w:r>
      <w:r>
        <w:rPr>
          <w:rFonts w:hint="eastAsia" w:ascii="楷体" w:hAnsi="楷体" w:eastAsia="楷体"/>
          <w:color w:val="000000"/>
          <w:sz w:val="24"/>
          <w:lang w:eastAsia="zh-CN"/>
        </w:rPr>
        <w:t>空气质量达标率、</w:t>
      </w:r>
      <w:r>
        <w:rPr>
          <w:rFonts w:hint="eastAsia" w:ascii="楷体" w:hAnsi="楷体" w:eastAsia="楷体" w:cs="楷体"/>
          <w:color w:val="000000"/>
          <w:sz w:val="24"/>
          <w:szCs w:val="24"/>
          <w:lang w:val="en-US" w:eastAsia="zh-CN"/>
        </w:rPr>
        <w:t>地表水达到Ⅲ类或优于Ⅲ类水体比例数据</w:t>
      </w:r>
      <w:r>
        <w:rPr>
          <w:rFonts w:hint="eastAsia" w:ascii="楷体" w:hAnsi="楷体" w:eastAsia="楷体"/>
          <w:color w:val="000000"/>
          <w:sz w:val="24"/>
        </w:rPr>
        <w:t>来自</w:t>
      </w:r>
      <w:r>
        <w:rPr>
          <w:rFonts w:hint="eastAsia" w:ascii="楷体" w:hAnsi="楷体" w:eastAsia="楷体"/>
          <w:color w:val="000000"/>
          <w:sz w:val="24"/>
          <w:lang w:eastAsia="zh-CN"/>
        </w:rPr>
        <w:t>岳阳市生态环境局临湘市分</w:t>
      </w:r>
      <w:r>
        <w:rPr>
          <w:rFonts w:hint="eastAsia" w:ascii="楷体" w:hAnsi="楷体" w:eastAsia="楷体"/>
          <w:color w:val="000000"/>
          <w:sz w:val="24"/>
        </w:rPr>
        <w:t>局；</w:t>
      </w:r>
      <w:r>
        <w:rPr>
          <w:rFonts w:hint="eastAsia" w:ascii="楷体" w:hAnsi="楷体" w:eastAsia="楷体"/>
          <w:color w:val="000000"/>
          <w:sz w:val="24"/>
          <w:lang w:eastAsia="zh-CN"/>
        </w:rPr>
        <w:t>城镇污水处理率来自市住建局；对农村生活垃圾进行无害化处理的行政村比例数据来自市农业农村局；</w:t>
      </w:r>
      <w:r>
        <w:rPr>
          <w:rFonts w:hint="eastAsia" w:ascii="楷体" w:hAnsi="楷体" w:eastAsia="楷体"/>
          <w:color w:val="000000"/>
          <w:sz w:val="24"/>
        </w:rPr>
        <w:t>安全生产</w:t>
      </w:r>
      <w:r>
        <w:rPr>
          <w:rFonts w:hint="eastAsia" w:ascii="楷体" w:hAnsi="楷体" w:eastAsia="楷体"/>
          <w:color w:val="000000"/>
          <w:sz w:val="24"/>
          <w:lang w:eastAsia="zh-CN"/>
        </w:rPr>
        <w:t>事故</w:t>
      </w:r>
      <w:r>
        <w:rPr>
          <w:rFonts w:hint="eastAsia" w:ascii="楷体" w:hAnsi="楷体" w:eastAsia="楷体"/>
          <w:color w:val="000000"/>
          <w:sz w:val="24"/>
        </w:rPr>
        <w:t>数据来自市</w:t>
      </w:r>
      <w:r>
        <w:rPr>
          <w:rFonts w:hint="eastAsia" w:ascii="楷体" w:hAnsi="楷体" w:eastAsia="楷体"/>
          <w:color w:val="000000"/>
          <w:sz w:val="24"/>
          <w:lang w:eastAsia="zh-CN"/>
        </w:rPr>
        <w:t>应急管理</w:t>
      </w:r>
      <w:r>
        <w:rPr>
          <w:rFonts w:hint="eastAsia" w:ascii="楷体" w:hAnsi="楷体" w:eastAsia="楷体"/>
          <w:color w:val="000000"/>
          <w:sz w:val="24"/>
        </w:rPr>
        <w:t>局</w:t>
      </w:r>
      <w:r>
        <w:rPr>
          <w:rFonts w:hint="eastAsia" w:ascii="楷体" w:hAnsi="楷体" w:eastAsia="楷体"/>
          <w:color w:val="000000"/>
          <w:sz w:val="24"/>
          <w:lang w:eastAsia="zh-CN"/>
        </w:rPr>
        <w:t>；交通事故死亡数据来自市交警大队；群体性食品安全事故数据来自市市场监管局</w:t>
      </w:r>
      <w:r>
        <w:rPr>
          <w:rFonts w:hint="eastAsia" w:ascii="楷体" w:hAnsi="楷体" w:eastAsia="楷体"/>
          <w:color w:val="000000"/>
          <w:sz w:val="24"/>
        </w:rPr>
        <w:t>；其他数据均来自市统计局。</w:t>
      </w:r>
    </w:p>
    <w:p>
      <w:pPr>
        <w:ind w:firstLine="640" w:firstLineChars="200"/>
        <w:rPr>
          <w:rFonts w:hint="eastAsia" w:ascii="仿宋" w:hAnsi="仿宋" w:eastAsia="仿宋" w:cs="仿宋"/>
          <w:color w:val="000000" w:themeColor="text1"/>
          <w:sz w:val="32"/>
          <w:szCs w:val="32"/>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D4D"/>
    <w:rsid w:val="00283567"/>
    <w:rsid w:val="00365D4D"/>
    <w:rsid w:val="008C2F10"/>
    <w:rsid w:val="009A7565"/>
    <w:rsid w:val="00A2113E"/>
    <w:rsid w:val="00C47F83"/>
    <w:rsid w:val="00DF07C9"/>
    <w:rsid w:val="00E100D2"/>
    <w:rsid w:val="00E92D83"/>
    <w:rsid w:val="00EB6AA3"/>
    <w:rsid w:val="00FE1CD1"/>
    <w:rsid w:val="016302D8"/>
    <w:rsid w:val="01AE13EB"/>
    <w:rsid w:val="02167119"/>
    <w:rsid w:val="0243697B"/>
    <w:rsid w:val="0266674C"/>
    <w:rsid w:val="02D12A7D"/>
    <w:rsid w:val="03140FFD"/>
    <w:rsid w:val="036E15C5"/>
    <w:rsid w:val="03BE58BB"/>
    <w:rsid w:val="04D05B2D"/>
    <w:rsid w:val="051641EB"/>
    <w:rsid w:val="057B15B4"/>
    <w:rsid w:val="05CD5BC6"/>
    <w:rsid w:val="05E16509"/>
    <w:rsid w:val="071510F7"/>
    <w:rsid w:val="07726295"/>
    <w:rsid w:val="07B55FDD"/>
    <w:rsid w:val="086877CE"/>
    <w:rsid w:val="08A60C02"/>
    <w:rsid w:val="0913414E"/>
    <w:rsid w:val="09A32416"/>
    <w:rsid w:val="0A286414"/>
    <w:rsid w:val="0A462DB4"/>
    <w:rsid w:val="0B5D0C83"/>
    <w:rsid w:val="0CB04C4B"/>
    <w:rsid w:val="0CBA3527"/>
    <w:rsid w:val="0F975F60"/>
    <w:rsid w:val="100C6F0F"/>
    <w:rsid w:val="10920400"/>
    <w:rsid w:val="11367EA1"/>
    <w:rsid w:val="11771354"/>
    <w:rsid w:val="11FE71BB"/>
    <w:rsid w:val="12023B2A"/>
    <w:rsid w:val="125211A7"/>
    <w:rsid w:val="1280360D"/>
    <w:rsid w:val="129501DA"/>
    <w:rsid w:val="12A56DD8"/>
    <w:rsid w:val="133B7092"/>
    <w:rsid w:val="13A73868"/>
    <w:rsid w:val="1438773B"/>
    <w:rsid w:val="17A51D8F"/>
    <w:rsid w:val="17AC7632"/>
    <w:rsid w:val="17CA3B44"/>
    <w:rsid w:val="17E94E94"/>
    <w:rsid w:val="19237BF9"/>
    <w:rsid w:val="199B296A"/>
    <w:rsid w:val="19FD19DC"/>
    <w:rsid w:val="1A205B6B"/>
    <w:rsid w:val="1AA072E8"/>
    <w:rsid w:val="1B1E54E0"/>
    <w:rsid w:val="1B436C51"/>
    <w:rsid w:val="1CED10AD"/>
    <w:rsid w:val="1D823DB7"/>
    <w:rsid w:val="1E2E27F7"/>
    <w:rsid w:val="1F442C50"/>
    <w:rsid w:val="20011E0B"/>
    <w:rsid w:val="20952956"/>
    <w:rsid w:val="22E15E59"/>
    <w:rsid w:val="23A62F29"/>
    <w:rsid w:val="24183C30"/>
    <w:rsid w:val="27CA1E93"/>
    <w:rsid w:val="27DA7410"/>
    <w:rsid w:val="29EE32A1"/>
    <w:rsid w:val="2AB95891"/>
    <w:rsid w:val="2B433F66"/>
    <w:rsid w:val="2BA13142"/>
    <w:rsid w:val="2BDE5D33"/>
    <w:rsid w:val="2C451F71"/>
    <w:rsid w:val="2E4557D9"/>
    <w:rsid w:val="2F8D41FB"/>
    <w:rsid w:val="2FAF4E00"/>
    <w:rsid w:val="3018191A"/>
    <w:rsid w:val="30BA5E5F"/>
    <w:rsid w:val="30CC65D1"/>
    <w:rsid w:val="310026AA"/>
    <w:rsid w:val="31283E4D"/>
    <w:rsid w:val="31664B84"/>
    <w:rsid w:val="318E5E8A"/>
    <w:rsid w:val="32116411"/>
    <w:rsid w:val="321A536A"/>
    <w:rsid w:val="32573522"/>
    <w:rsid w:val="32F15404"/>
    <w:rsid w:val="3326783A"/>
    <w:rsid w:val="335B11DA"/>
    <w:rsid w:val="34213139"/>
    <w:rsid w:val="345F0044"/>
    <w:rsid w:val="34F86E3D"/>
    <w:rsid w:val="362B35EB"/>
    <w:rsid w:val="36487AB4"/>
    <w:rsid w:val="370A3E57"/>
    <w:rsid w:val="37AA191E"/>
    <w:rsid w:val="384E12BB"/>
    <w:rsid w:val="386E06C5"/>
    <w:rsid w:val="38AC7D74"/>
    <w:rsid w:val="39393D8D"/>
    <w:rsid w:val="39592187"/>
    <w:rsid w:val="39661C1C"/>
    <w:rsid w:val="39732FD0"/>
    <w:rsid w:val="39BD08CC"/>
    <w:rsid w:val="3A285180"/>
    <w:rsid w:val="3B5B183B"/>
    <w:rsid w:val="3B687124"/>
    <w:rsid w:val="3BAF30A4"/>
    <w:rsid w:val="3BD2232C"/>
    <w:rsid w:val="3C5C114A"/>
    <w:rsid w:val="3CF326E6"/>
    <w:rsid w:val="3D9C00B1"/>
    <w:rsid w:val="3E03302A"/>
    <w:rsid w:val="3E0538A9"/>
    <w:rsid w:val="3EF65DE6"/>
    <w:rsid w:val="40992571"/>
    <w:rsid w:val="410509A7"/>
    <w:rsid w:val="416C2FBD"/>
    <w:rsid w:val="41AA3C1C"/>
    <w:rsid w:val="41BF7485"/>
    <w:rsid w:val="42003F8D"/>
    <w:rsid w:val="429C56B3"/>
    <w:rsid w:val="43A365BE"/>
    <w:rsid w:val="43AA3E11"/>
    <w:rsid w:val="4463767E"/>
    <w:rsid w:val="44ED2D0E"/>
    <w:rsid w:val="453F798E"/>
    <w:rsid w:val="47D73498"/>
    <w:rsid w:val="482265A1"/>
    <w:rsid w:val="48435222"/>
    <w:rsid w:val="49325082"/>
    <w:rsid w:val="49483F66"/>
    <w:rsid w:val="4AE342E8"/>
    <w:rsid w:val="4B3D42A9"/>
    <w:rsid w:val="4C865C52"/>
    <w:rsid w:val="4D0E1E61"/>
    <w:rsid w:val="4D667D98"/>
    <w:rsid w:val="4E284ED0"/>
    <w:rsid w:val="4E9463E1"/>
    <w:rsid w:val="4F70590C"/>
    <w:rsid w:val="50637A4C"/>
    <w:rsid w:val="5066063E"/>
    <w:rsid w:val="51A13593"/>
    <w:rsid w:val="52BC4B6F"/>
    <w:rsid w:val="52F435F0"/>
    <w:rsid w:val="537226D7"/>
    <w:rsid w:val="53855A0F"/>
    <w:rsid w:val="558C667B"/>
    <w:rsid w:val="55BC6050"/>
    <w:rsid w:val="55BF537D"/>
    <w:rsid w:val="562B1D77"/>
    <w:rsid w:val="580D786B"/>
    <w:rsid w:val="58583194"/>
    <w:rsid w:val="58D000D9"/>
    <w:rsid w:val="591D4167"/>
    <w:rsid w:val="595A66B9"/>
    <w:rsid w:val="59736552"/>
    <w:rsid w:val="5A9666D5"/>
    <w:rsid w:val="5AA11884"/>
    <w:rsid w:val="5AD07CDD"/>
    <w:rsid w:val="5AE87EB6"/>
    <w:rsid w:val="5C370CEF"/>
    <w:rsid w:val="5D412B1A"/>
    <w:rsid w:val="5D427CA3"/>
    <w:rsid w:val="5D443043"/>
    <w:rsid w:val="5D740EFD"/>
    <w:rsid w:val="5D9A3354"/>
    <w:rsid w:val="5E354A4E"/>
    <w:rsid w:val="5E7E58B7"/>
    <w:rsid w:val="5F427AC9"/>
    <w:rsid w:val="5F887563"/>
    <w:rsid w:val="60B746AB"/>
    <w:rsid w:val="61DD256B"/>
    <w:rsid w:val="62025584"/>
    <w:rsid w:val="622C10C2"/>
    <w:rsid w:val="626B74C9"/>
    <w:rsid w:val="63016B7F"/>
    <w:rsid w:val="65333FDA"/>
    <w:rsid w:val="67D04E2C"/>
    <w:rsid w:val="68242176"/>
    <w:rsid w:val="68497A37"/>
    <w:rsid w:val="68B770D2"/>
    <w:rsid w:val="69DA3754"/>
    <w:rsid w:val="6AA05363"/>
    <w:rsid w:val="6B6F6D9B"/>
    <w:rsid w:val="6D081243"/>
    <w:rsid w:val="6D4B4B0F"/>
    <w:rsid w:val="6D5A4074"/>
    <w:rsid w:val="6DB27455"/>
    <w:rsid w:val="6F8073AA"/>
    <w:rsid w:val="6FF636ED"/>
    <w:rsid w:val="71060508"/>
    <w:rsid w:val="72332B1D"/>
    <w:rsid w:val="73867EEE"/>
    <w:rsid w:val="75C746AF"/>
    <w:rsid w:val="76316C56"/>
    <w:rsid w:val="763F0167"/>
    <w:rsid w:val="77173054"/>
    <w:rsid w:val="774B7906"/>
    <w:rsid w:val="78AF0D27"/>
    <w:rsid w:val="7A2F54E6"/>
    <w:rsid w:val="7A6746BB"/>
    <w:rsid w:val="7B271BB3"/>
    <w:rsid w:val="7BB020E8"/>
    <w:rsid w:val="7C433F51"/>
    <w:rsid w:val="7C8132E7"/>
    <w:rsid w:val="7C921984"/>
    <w:rsid w:val="7CE06A4F"/>
    <w:rsid w:val="7CF5525E"/>
    <w:rsid w:val="7E1B1D65"/>
    <w:rsid w:val="7E237567"/>
    <w:rsid w:val="7EEC2418"/>
    <w:rsid w:val="7EFA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page number"/>
    <w:basedOn w:val="6"/>
    <w:qFormat/>
    <w:uiPriority w:val="0"/>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1150;&#20844;&#23460;&#36164;&#26009;\2020\&#32479;&#35745;&#20844;&#25253;\GDP&#22686;&#36895;&#65288;&#22270;&#6528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1150;&#20844;&#23460;&#36164;&#26009;\2020\&#32479;&#35745;&#20844;&#25253;\&#20844;&#20849;&#39044;&#31639;&#25910;&#20837;&#21450;&#20854;&#22686;&#36895;&#65288;&#22270;&#65289;.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1150;&#20844;&#23460;&#36164;&#26009;\2020\&#32479;&#35745;&#20844;&#25253;\&#35268;&#27169;&#24037;&#19994;&#22686;&#21152;&#20540;&#22686;&#36895;&#65288;&#22270;&#65289;.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1150;&#20844;&#23460;&#36164;&#26009;\2020\&#32479;&#35745;&#20844;&#25253;\&#22266;&#23450;&#36164;&#20135;&#25237;&#36164;&#22686;&#36895;&#65288;&#22270;&#65289;.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1150;&#20844;&#23460;&#36164;&#26009;\2020\&#32479;&#35745;&#20844;&#25253;\&#31038;&#38646;&#24635;&#39069;&#21450;&#22686;&#36895;&#65288;&#22270;&#65289;.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1150;&#20844;&#23460;&#36164;&#26009;\2020\&#32479;&#35745;&#20844;&#25253;\&#22478;&#38215;&#23621;&#27665;&#25910;&#20837;&#20854;&#22686;&#36895;&#65288;&#22270;&#6528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1150;&#20844;&#23460;&#36164;&#26009;\2020\&#32479;&#35745;&#20844;&#25253;\&#20892;&#26449;&#23621;&#27665;&#25910;&#20837;&#20854;&#22686;&#36895;&#65288;&#22270;&#6528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solidFill>
                <a:latin typeface="+mn-lt"/>
                <a:ea typeface="+mn-ea"/>
                <a:cs typeface="+mn-cs"/>
              </a:defRPr>
            </a:pPr>
            <a:r>
              <a:rPr b="1">
                <a:solidFill>
                  <a:schemeClr val="tx1"/>
                </a:solidFill>
              </a:rPr>
              <a:t>地区生产总值    </a:t>
            </a:r>
            <a:r>
              <a:rPr sz="1000" b="1">
                <a:solidFill>
                  <a:schemeClr val="tx1"/>
                </a:solidFill>
              </a:rPr>
              <a:t>  </a:t>
            </a:r>
            <a:r>
              <a:rPr lang="en-US" altLang="zh-CN" sz="1000" b="1">
                <a:solidFill>
                  <a:schemeClr val="tx1"/>
                </a:solidFill>
              </a:rPr>
              <a:t>%</a:t>
            </a:r>
            <a:endParaRPr lang="en-US" altLang="zh-CN" sz="1000" b="1">
              <a:solidFill>
                <a:schemeClr val="tx1"/>
              </a:solidFill>
            </a:endParaRPr>
          </a:p>
        </c:rich>
      </c:tx>
      <c:layout/>
      <c:overlay val="0"/>
      <c:spPr>
        <a:noFill/>
        <a:ln>
          <a:noFill/>
        </a:ln>
        <a:effectLst/>
      </c:spPr>
    </c:title>
    <c:autoTitleDeleted val="0"/>
    <c:plotArea>
      <c:layout/>
      <c:lineChart>
        <c:grouping val="standard"/>
        <c:varyColors val="0"/>
        <c:ser>
          <c:idx val="0"/>
          <c:order val="0"/>
          <c:tx>
            <c:strRef>
              <c:f>'[GDP增速（图）.xlsx]Sheet1'!$A$2</c:f>
              <c:strCache>
                <c:ptCount val="1"/>
                <c:pt idx="0">
                  <c:v>增速</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'[GDP增速（图）.xlsx]Sheet1'!$B$1:$F$1</c:f>
              <c:numCache>
                <c:formatCode>General</c:formatCode>
                <c:ptCount val="5"/>
                <c:pt idx="0">
                  <c:v>2016</c:v>
                </c:pt>
                <c:pt idx="1">
                  <c:v>2017</c:v>
                </c:pt>
                <c:pt idx="2">
                  <c:v>2018</c:v>
                </c:pt>
                <c:pt idx="3">
                  <c:v>2019</c:v>
                </c:pt>
                <c:pt idx="4">
                  <c:v>2020</c:v>
                </c:pt>
              </c:numCache>
            </c:numRef>
          </c:cat>
          <c:val>
            <c:numRef>
              <c:f>'[GDP增速（图）.xlsx]Sheet1'!$B$2:$F$2</c:f>
              <c:numCache>
                <c:formatCode>General</c:formatCode>
                <c:ptCount val="5"/>
                <c:pt idx="0">
                  <c:v>8.5</c:v>
                </c:pt>
                <c:pt idx="1">
                  <c:v>7.5</c:v>
                </c:pt>
                <c:pt idx="2">
                  <c:v>7.5</c:v>
                </c:pt>
                <c:pt idx="3">
                  <c:v>8</c:v>
                </c:pt>
                <c:pt idx="4">
                  <c:v>3.6</c:v>
                </c:pt>
              </c:numCache>
            </c:numRef>
          </c:val>
          <c:smooth val="0"/>
        </c:ser>
        <c:dLbls>
          <c:showLegendKey val="0"/>
          <c:showVal val="1"/>
          <c:showCatName val="0"/>
          <c:showSerName val="0"/>
          <c:showPercent val="0"/>
          <c:showBubbleSize val="0"/>
        </c:dLbls>
        <c:marker val="1"/>
        <c:smooth val="0"/>
        <c:axId val="392925111"/>
        <c:axId val="399138070"/>
      </c:lineChart>
      <c:catAx>
        <c:axId val="39292511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399138070"/>
        <c:crosses val="autoZero"/>
        <c:auto val="1"/>
        <c:lblAlgn val="ctr"/>
        <c:lblOffset val="100"/>
        <c:noMultiLvlLbl val="0"/>
      </c:catAx>
      <c:valAx>
        <c:axId val="39913807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3929251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solidFill>
                  <a:schemeClr val="tx1"/>
                </a:solidFill>
              </a:rPr>
              <a:t>一般公共预算收入及其增速  </a:t>
            </a:r>
            <a:r>
              <a:rPr b="1"/>
              <a:t>  </a:t>
            </a:r>
            <a:r>
              <a:t> </a:t>
            </a:r>
            <a:r>
              <a:rPr sz="900">
                <a:solidFill>
                  <a:schemeClr val="tx1"/>
                </a:solidFill>
              </a:rPr>
              <a:t>亿元；</a:t>
            </a:r>
            <a:r>
              <a:rPr lang="en-US" altLang="zh-CN" sz="900">
                <a:solidFill>
                  <a:schemeClr val="tx1"/>
                </a:solidFill>
              </a:rPr>
              <a:t>%</a:t>
            </a:r>
            <a:endParaRPr lang="en-US" altLang="zh-CN" sz="900">
              <a:solidFill>
                <a:schemeClr val="tx1"/>
              </a:solidFill>
            </a:endParaRPr>
          </a:p>
        </c:rich>
      </c:tx>
      <c:layout/>
      <c:overlay val="0"/>
      <c:spPr>
        <a:noFill/>
        <a:ln>
          <a:noFill/>
        </a:ln>
        <a:effectLst/>
      </c:spPr>
    </c:title>
    <c:autoTitleDeleted val="0"/>
    <c:plotArea>
      <c:layout/>
      <c:barChart>
        <c:barDir val="col"/>
        <c:grouping val="clustered"/>
        <c:varyColors val="0"/>
        <c:ser>
          <c:idx val="0"/>
          <c:order val="0"/>
          <c:tx>
            <c:strRef>
              <c:f>'[公共预算收入及其增速（图）.xlsx]Sheet1'!$A$2</c:f>
              <c:strCache>
                <c:ptCount val="1"/>
                <c:pt idx="0">
                  <c:v>一般公共预算收入</c:v>
                </c:pt>
              </c:strCache>
            </c:strRef>
          </c:tx>
          <c:spPr>
            <a:solidFill>
              <a:schemeClr val="accent2"/>
            </a:solidFill>
            <a:ln>
              <a:noFill/>
            </a:ln>
            <a:effectLst/>
          </c:spPr>
          <c:invertIfNegative val="0"/>
          <c:dLbls>
            <c:dLbl>
              <c:idx val="0"/>
              <c:layout>
                <c:manualLayout>
                  <c:x val="-0.000776864354110885"/>
                  <c:y val="0.04882556236422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25069483046137"/>
                  <c:y val="0.0343448600329334"/>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0735130628126737"/>
                      <c:h val="0.0719830628087509"/>
                    </c:manualLayout>
                  </c15:layout>
                </c:ext>
              </c:extLst>
            </c:dLbl>
            <c:dLbl>
              <c:idx val="2"/>
              <c:layout>
                <c:manualLayout>
                  <c:x val="0"/>
                  <c:y val="0.026346741943072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11172873818788"/>
                  <c:y val="0.014114326040931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38966092273485"/>
                  <c:y val="0.032223451158523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'[公共预算收入及其增速（图）.xlsx]Sheet1'!$B$1:$F$1</c:f>
              <c:numCache>
                <c:formatCode>General</c:formatCode>
                <c:ptCount val="5"/>
                <c:pt idx="0">
                  <c:v>2016</c:v>
                </c:pt>
                <c:pt idx="1">
                  <c:v>2017</c:v>
                </c:pt>
                <c:pt idx="2">
                  <c:v>2018</c:v>
                </c:pt>
                <c:pt idx="3">
                  <c:v>2019</c:v>
                </c:pt>
                <c:pt idx="4">
                  <c:v>2020</c:v>
                </c:pt>
              </c:numCache>
            </c:numRef>
          </c:cat>
          <c:val>
            <c:numRef>
              <c:f>'[公共预算收入及其增速（图）.xlsx]Sheet1'!$B$2:$F$2</c:f>
              <c:numCache>
                <c:formatCode>General</c:formatCode>
                <c:ptCount val="5"/>
                <c:pt idx="0">
                  <c:v>7.7</c:v>
                </c:pt>
                <c:pt idx="1">
                  <c:v>9.02</c:v>
                </c:pt>
                <c:pt idx="2">
                  <c:v>10.02</c:v>
                </c:pt>
                <c:pt idx="3">
                  <c:v>11.79</c:v>
                </c:pt>
                <c:pt idx="4">
                  <c:v>12.76</c:v>
                </c:pt>
              </c:numCache>
            </c:numRef>
          </c:val>
        </c:ser>
        <c:dLbls>
          <c:showLegendKey val="0"/>
          <c:showVal val="1"/>
          <c:showCatName val="0"/>
          <c:showSerName val="0"/>
          <c:showPercent val="0"/>
          <c:showBubbleSize val="0"/>
        </c:dLbls>
        <c:gapWidth val="219"/>
        <c:overlap val="-27"/>
        <c:axId val="907444225"/>
        <c:axId val="425391701"/>
      </c:barChart>
      <c:lineChart>
        <c:grouping val="standard"/>
        <c:varyColors val="0"/>
        <c:ser>
          <c:idx val="1"/>
          <c:order val="1"/>
          <c:tx>
            <c:strRef>
              <c:f>'[公共预算收入及其增速（图）.xlsx]Sheet1'!$A$3</c:f>
              <c:strCache>
                <c:ptCount val="1"/>
                <c:pt idx="0">
                  <c:v>增速</c:v>
                </c:pt>
              </c:strCache>
            </c:strRef>
          </c:tx>
          <c:spPr>
            <a:ln w="28575" cap="rnd">
              <a:solidFill>
                <a:schemeClr val="accent4"/>
              </a:solidFill>
              <a:round/>
            </a:ln>
            <a:effectLst/>
          </c:spPr>
          <c:marker>
            <c:symbol val="none"/>
          </c:marker>
          <c:dLbls>
            <c:dLbl>
              <c:idx val="0"/>
              <c:layout>
                <c:manualLayout>
                  <c:x val="-0.0582267926625903"/>
                  <c:y val="-0.042575340028454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16898276820456"/>
                  <c:y val="-0.03410729764652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73899805159336"/>
                  <c:y val="-0.044786021378288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53760816694182"/>
                  <c:y val="0.086964553554192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58532518065592"/>
                  <c:y val="-0.052218746383176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'[公共预算收入及其增速（图）.xlsx]Sheet1'!$B$3:$F$3</c:f>
              <c:numCache>
                <c:formatCode>General</c:formatCode>
                <c:ptCount val="5"/>
                <c:pt idx="0">
                  <c:v>12.5</c:v>
                </c:pt>
                <c:pt idx="1">
                  <c:v>17.1</c:v>
                </c:pt>
                <c:pt idx="2">
                  <c:v>11</c:v>
                </c:pt>
                <c:pt idx="3" c:formatCode="0.0_ ">
                  <c:v>17.7</c:v>
                </c:pt>
                <c:pt idx="4">
                  <c:v>8.2</c:v>
                </c:pt>
              </c:numCache>
            </c:numRef>
          </c:val>
          <c:smooth val="0"/>
        </c:ser>
        <c:dLbls>
          <c:showLegendKey val="0"/>
          <c:showVal val="1"/>
          <c:showCatName val="0"/>
          <c:showSerName val="0"/>
          <c:showPercent val="0"/>
          <c:showBubbleSize val="0"/>
        </c:dLbls>
        <c:marker val="0"/>
        <c:smooth val="0"/>
        <c:axId val="340958546"/>
        <c:axId val="628891973"/>
      </c:lineChart>
      <c:catAx>
        <c:axId val="9074442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425391701"/>
        <c:crosses val="autoZero"/>
        <c:auto val="1"/>
        <c:lblAlgn val="ctr"/>
        <c:lblOffset val="100"/>
        <c:noMultiLvlLbl val="0"/>
      </c:catAx>
      <c:valAx>
        <c:axId val="42539170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907444225"/>
        <c:crosses val="autoZero"/>
        <c:crossBetween val="between"/>
      </c:valAx>
      <c:catAx>
        <c:axId val="340958546"/>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8891973"/>
        <c:crosses val="autoZero"/>
        <c:auto val="1"/>
        <c:lblAlgn val="ctr"/>
        <c:lblOffset val="100"/>
        <c:noMultiLvlLbl val="0"/>
      </c:catAx>
      <c:valAx>
        <c:axId val="628891973"/>
        <c:scaling>
          <c:orientation val="minMax"/>
        </c:scaling>
        <c:delete val="0"/>
        <c:axPos val="r"/>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340958546"/>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solidFill>
                <a:latin typeface="+mn-lt"/>
                <a:ea typeface="+mn-ea"/>
                <a:cs typeface="+mn-cs"/>
              </a:defRPr>
            </a:pPr>
            <a:r>
              <a:rPr b="1">
                <a:solidFill>
                  <a:schemeClr val="tx1"/>
                </a:solidFill>
              </a:rPr>
              <a:t>规模工业增加值增速    </a:t>
            </a:r>
            <a:r>
              <a:rPr sz="1000" b="1">
                <a:solidFill>
                  <a:schemeClr val="tx1"/>
                </a:solidFill>
              </a:rPr>
              <a:t>  </a:t>
            </a:r>
            <a:r>
              <a:rPr lang="en-US" altLang="zh-CN" sz="1000" b="1">
                <a:solidFill>
                  <a:schemeClr val="tx1"/>
                </a:solidFill>
              </a:rPr>
              <a:t>%</a:t>
            </a:r>
            <a:endParaRPr lang="en-US" altLang="zh-CN" sz="1000" b="1">
              <a:solidFill>
                <a:schemeClr val="tx1"/>
              </a:solidFill>
            </a:endParaRPr>
          </a:p>
        </c:rich>
      </c:tx>
      <c:layout/>
      <c:overlay val="0"/>
      <c:spPr>
        <a:noFill/>
        <a:ln>
          <a:noFill/>
        </a:ln>
        <a:effectLst/>
      </c:spPr>
    </c:title>
    <c:autoTitleDeleted val="0"/>
    <c:plotArea>
      <c:layout/>
      <c:lineChart>
        <c:grouping val="standard"/>
        <c:varyColors val="0"/>
        <c:ser>
          <c:idx val="0"/>
          <c:order val="0"/>
          <c:tx>
            <c:strRef>
              <c:f>'[规模工业增加值增速（图）.xlsx]Sheet1'!$A$2</c:f>
              <c:strCache>
                <c:ptCount val="1"/>
                <c:pt idx="0">
                  <c:v>增速</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'[规模工业增加值增速（图）.xlsx]Sheet1'!$B$1:$F$1</c:f>
              <c:numCache>
                <c:formatCode>General</c:formatCode>
                <c:ptCount val="5"/>
                <c:pt idx="0">
                  <c:v>2016</c:v>
                </c:pt>
                <c:pt idx="1">
                  <c:v>2017</c:v>
                </c:pt>
                <c:pt idx="2">
                  <c:v>2018</c:v>
                </c:pt>
                <c:pt idx="3">
                  <c:v>2019</c:v>
                </c:pt>
                <c:pt idx="4">
                  <c:v>2020</c:v>
                </c:pt>
              </c:numCache>
            </c:numRef>
          </c:cat>
          <c:val>
            <c:numRef>
              <c:f>'[规模工业增加值增速（图）.xlsx]Sheet1'!$B$2:$F$2</c:f>
              <c:numCache>
                <c:formatCode>General</c:formatCode>
                <c:ptCount val="5"/>
                <c:pt idx="0">
                  <c:v>8.6</c:v>
                </c:pt>
                <c:pt idx="1">
                  <c:v>7.6</c:v>
                </c:pt>
                <c:pt idx="2">
                  <c:v>7.6</c:v>
                </c:pt>
                <c:pt idx="3">
                  <c:v>8.8</c:v>
                </c:pt>
                <c:pt idx="4">
                  <c:v>4.1</c:v>
                </c:pt>
              </c:numCache>
            </c:numRef>
          </c:val>
          <c:smooth val="0"/>
        </c:ser>
        <c:dLbls>
          <c:showLegendKey val="0"/>
          <c:showVal val="1"/>
          <c:showCatName val="0"/>
          <c:showSerName val="0"/>
          <c:showPercent val="0"/>
          <c:showBubbleSize val="0"/>
        </c:dLbls>
        <c:marker val="1"/>
        <c:smooth val="0"/>
        <c:axId val="392925111"/>
        <c:axId val="399138070"/>
      </c:lineChart>
      <c:catAx>
        <c:axId val="39292511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399138070"/>
        <c:crosses val="autoZero"/>
        <c:auto val="1"/>
        <c:lblAlgn val="ctr"/>
        <c:lblOffset val="100"/>
        <c:noMultiLvlLbl val="0"/>
      </c:catAx>
      <c:valAx>
        <c:axId val="39913807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3929251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solidFill>
                <a:latin typeface="+mn-lt"/>
                <a:ea typeface="+mn-ea"/>
                <a:cs typeface="+mn-cs"/>
              </a:defRPr>
            </a:pPr>
            <a:r>
              <a:rPr b="1">
                <a:solidFill>
                  <a:schemeClr val="tx1"/>
                </a:solidFill>
              </a:rPr>
              <a:t>固定资产投资增速    </a:t>
            </a:r>
            <a:r>
              <a:rPr sz="1000" b="1">
                <a:solidFill>
                  <a:schemeClr val="tx1"/>
                </a:solidFill>
              </a:rPr>
              <a:t>  </a:t>
            </a:r>
            <a:r>
              <a:rPr lang="en-US" altLang="zh-CN" sz="1000" b="1">
                <a:solidFill>
                  <a:schemeClr val="tx1"/>
                </a:solidFill>
              </a:rPr>
              <a:t>%</a:t>
            </a:r>
            <a:endParaRPr lang="en-US" altLang="zh-CN" sz="1000" b="1">
              <a:solidFill>
                <a:schemeClr val="tx1"/>
              </a:solidFill>
            </a:endParaRPr>
          </a:p>
        </c:rich>
      </c:tx>
      <c:layout/>
      <c:overlay val="0"/>
      <c:spPr>
        <a:noFill/>
        <a:ln>
          <a:noFill/>
        </a:ln>
        <a:effectLst/>
      </c:spPr>
    </c:title>
    <c:autoTitleDeleted val="0"/>
    <c:plotArea>
      <c:layout/>
      <c:lineChart>
        <c:grouping val="standard"/>
        <c:varyColors val="0"/>
        <c:ser>
          <c:idx val="0"/>
          <c:order val="0"/>
          <c:tx>
            <c:strRef>
              <c:f>'[固定资产投资增速（图）.xlsx]Sheet1'!$A$2</c:f>
              <c:strCache>
                <c:ptCount val="1"/>
                <c:pt idx="0">
                  <c:v>增速</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'[固定资产投资增速（图）.xlsx]Sheet1'!$B$1:$F$1</c:f>
              <c:numCache>
                <c:formatCode>General</c:formatCode>
                <c:ptCount val="5"/>
                <c:pt idx="0">
                  <c:v>2016</c:v>
                </c:pt>
                <c:pt idx="1">
                  <c:v>2017</c:v>
                </c:pt>
                <c:pt idx="2">
                  <c:v>2018</c:v>
                </c:pt>
                <c:pt idx="3">
                  <c:v>2019</c:v>
                </c:pt>
                <c:pt idx="4">
                  <c:v>2020</c:v>
                </c:pt>
              </c:numCache>
            </c:numRef>
          </c:cat>
          <c:val>
            <c:numRef>
              <c:f>'[固定资产投资增速（图）.xlsx]Sheet1'!$B$2:$F$2</c:f>
              <c:numCache>
                <c:formatCode>General</c:formatCode>
                <c:ptCount val="5"/>
                <c:pt idx="0">
                  <c:v>16.1</c:v>
                </c:pt>
                <c:pt idx="1">
                  <c:v>15.9</c:v>
                </c:pt>
                <c:pt idx="2">
                  <c:v>10.8</c:v>
                </c:pt>
                <c:pt idx="3">
                  <c:v>11.4</c:v>
                </c:pt>
                <c:pt idx="4">
                  <c:v>8.8</c:v>
                </c:pt>
              </c:numCache>
            </c:numRef>
          </c:val>
          <c:smooth val="0"/>
        </c:ser>
        <c:dLbls>
          <c:showLegendKey val="0"/>
          <c:showVal val="1"/>
          <c:showCatName val="0"/>
          <c:showSerName val="0"/>
          <c:showPercent val="0"/>
          <c:showBubbleSize val="0"/>
        </c:dLbls>
        <c:marker val="1"/>
        <c:smooth val="0"/>
        <c:axId val="392925111"/>
        <c:axId val="399138070"/>
      </c:lineChart>
      <c:catAx>
        <c:axId val="39292511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399138070"/>
        <c:crosses val="autoZero"/>
        <c:auto val="1"/>
        <c:lblAlgn val="ctr"/>
        <c:lblOffset val="100"/>
        <c:noMultiLvlLbl val="0"/>
      </c:catAx>
      <c:valAx>
        <c:axId val="39913807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3929251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solidFill>
                  <a:schemeClr val="tx1"/>
                </a:solidFill>
              </a:rPr>
              <a:t>社会消费品零售总额及其增速  </a:t>
            </a:r>
            <a:r>
              <a:rPr b="1"/>
              <a:t>  </a:t>
            </a:r>
            <a:r>
              <a:t> </a:t>
            </a:r>
            <a:r>
              <a:rPr sz="900">
                <a:solidFill>
                  <a:schemeClr val="tx1"/>
                </a:solidFill>
              </a:rPr>
              <a:t>亿元；</a:t>
            </a:r>
            <a:r>
              <a:rPr lang="en-US" altLang="zh-CN" sz="900">
                <a:solidFill>
                  <a:schemeClr val="tx1"/>
                </a:solidFill>
              </a:rPr>
              <a:t>%</a:t>
            </a:r>
            <a:endParaRPr lang="en-US" altLang="zh-CN" sz="900">
              <a:solidFill>
                <a:schemeClr val="tx1"/>
              </a:solidFill>
            </a:endParaRPr>
          </a:p>
        </c:rich>
      </c:tx>
      <c:layout/>
      <c:overlay val="0"/>
      <c:spPr>
        <a:noFill/>
        <a:ln>
          <a:noFill/>
        </a:ln>
        <a:effectLst/>
      </c:spPr>
    </c:title>
    <c:autoTitleDeleted val="0"/>
    <c:plotArea>
      <c:layout/>
      <c:barChart>
        <c:barDir val="col"/>
        <c:grouping val="clustered"/>
        <c:varyColors val="0"/>
        <c:ser>
          <c:idx val="0"/>
          <c:order val="0"/>
          <c:tx>
            <c:strRef>
              <c:f>'[社零总额及增速（图）.xlsx]Sheet1'!$A$2</c:f>
              <c:strCache>
                <c:ptCount val="1"/>
                <c:pt idx="0">
                  <c:v>社会消费品零售总额</c:v>
                </c:pt>
              </c:strCache>
            </c:strRef>
          </c:tx>
          <c:spPr>
            <a:solidFill>
              <a:schemeClr val="accent1"/>
            </a:solidFill>
            <a:ln>
              <a:noFill/>
            </a:ln>
            <a:effectLst/>
          </c:spPr>
          <c:invertIfNegative val="0"/>
          <c:dLbls>
            <c:dLbl>
              <c:idx val="0"/>
              <c:layout>
                <c:manualLayout>
                  <c:x val="-0.00125069483046137"/>
                  <c:y val="0.02422959303693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25069483046137"/>
                  <c:y val="0.089059063706789"/>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0735130628126737"/>
                      <c:h val="0.0719830628087509"/>
                    </c:manualLayout>
                  </c15:layout>
                </c:ext>
              </c:extLst>
            </c:dLbl>
            <c:dLbl>
              <c:idx val="2"/>
              <c:layout>
                <c:manualLayout>
                  <c:x val="0"/>
                  <c:y val="0.026346741943072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11172873818788"/>
                  <c:y val="0.014114326040931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47248471372985"/>
                  <c:y val="0.024229593036932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'[社零总额及增速（图）.xlsx]Sheet1'!$B$1:$F$1</c:f>
              <c:numCache>
                <c:formatCode>General</c:formatCode>
                <c:ptCount val="5"/>
                <c:pt idx="0">
                  <c:v>2016</c:v>
                </c:pt>
                <c:pt idx="1">
                  <c:v>2017</c:v>
                </c:pt>
                <c:pt idx="2">
                  <c:v>2018</c:v>
                </c:pt>
                <c:pt idx="3">
                  <c:v>2019</c:v>
                </c:pt>
                <c:pt idx="4">
                  <c:v>2020</c:v>
                </c:pt>
              </c:numCache>
            </c:numRef>
          </c:cat>
          <c:val>
            <c:numRef>
              <c:f>'[社零总额及增速（图）.xlsx]Sheet1'!$B$2:$F$2</c:f>
              <c:numCache>
                <c:formatCode>General</c:formatCode>
                <c:ptCount val="5"/>
                <c:pt idx="0">
                  <c:v>67.94</c:v>
                </c:pt>
                <c:pt idx="1">
                  <c:v>74.7</c:v>
                </c:pt>
                <c:pt idx="2">
                  <c:v>78.91</c:v>
                </c:pt>
                <c:pt idx="3">
                  <c:v>87.12</c:v>
                </c:pt>
                <c:pt idx="4">
                  <c:v>92.68</c:v>
                </c:pt>
              </c:numCache>
            </c:numRef>
          </c:val>
        </c:ser>
        <c:dLbls>
          <c:showLegendKey val="0"/>
          <c:showVal val="1"/>
          <c:showCatName val="0"/>
          <c:showSerName val="0"/>
          <c:showPercent val="0"/>
          <c:showBubbleSize val="0"/>
        </c:dLbls>
        <c:gapWidth val="219"/>
        <c:overlap val="-27"/>
        <c:axId val="907444225"/>
        <c:axId val="425391701"/>
      </c:barChart>
      <c:lineChart>
        <c:grouping val="standard"/>
        <c:varyColors val="0"/>
        <c:ser>
          <c:idx val="1"/>
          <c:order val="1"/>
          <c:tx>
            <c:strRef>
              <c:f>'[社零总额及增速（图）.xlsx]Sheet1'!$A$3</c:f>
              <c:strCache>
                <c:ptCount val="1"/>
                <c:pt idx="0">
                  <c:v>增速</c:v>
                </c:pt>
              </c:strCache>
            </c:strRef>
          </c:tx>
          <c:spPr>
            <a:ln w="28575" cap="rnd">
              <a:solidFill>
                <a:schemeClr val="accent2"/>
              </a:solidFill>
              <a:round/>
            </a:ln>
            <a:effectLst/>
          </c:spPr>
          <c:marker>
            <c:symbol val="none"/>
          </c:marker>
          <c:dLbls>
            <c:dLbl>
              <c:idx val="0"/>
              <c:layout>
                <c:manualLayout>
                  <c:x val="-0.0297387437465258"/>
                  <c:y val="-0.030345800988002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7659811006114"/>
                  <c:y val="-0.036226770171724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2940522512507"/>
                  <c:y val="0.036462008939073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40522512506948"/>
                  <c:y val="0.032227711126793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07170650361312"/>
                  <c:y val="-0.048459186073865"/>
                </c:manualLayout>
              </c:layout>
              <c:dLblPos val="r"/>
              <c:showLegendKey val="0"/>
              <c:showVal val="1"/>
              <c:showCatName val="0"/>
              <c:showSerName val="0"/>
              <c:showPercent val="0"/>
              <c:showBubbleSize val="0"/>
              <c:extLst>
                <c:ext xmlns:c15="http://schemas.microsoft.com/office/drawing/2012/chart" uri="{CE6537A1-D6FC-4f65-9D91-7224C49458BB}">
                  <c15:layout>
                    <c:manualLayout>
                      <c:w val="0.0558643690939411"/>
                      <c:h val="0.0630439896494942"/>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'[社零总额及增速（图）.xlsx]Sheet1'!$B$3:$F$3</c:f>
              <c:numCache>
                <c:formatCode>General</c:formatCode>
                <c:ptCount val="5"/>
                <c:pt idx="0">
                  <c:v>12.2</c:v>
                </c:pt>
                <c:pt idx="1">
                  <c:v>10</c:v>
                </c:pt>
                <c:pt idx="2" c:formatCode="0.0_ ">
                  <c:v>9.4</c:v>
                </c:pt>
                <c:pt idx="3">
                  <c:v>10.4</c:v>
                </c:pt>
                <c:pt idx="4">
                  <c:v>-2.2</c:v>
                </c:pt>
              </c:numCache>
            </c:numRef>
          </c:val>
          <c:smooth val="0"/>
        </c:ser>
        <c:dLbls>
          <c:showLegendKey val="0"/>
          <c:showVal val="1"/>
          <c:showCatName val="0"/>
          <c:showSerName val="0"/>
          <c:showPercent val="0"/>
          <c:showBubbleSize val="0"/>
        </c:dLbls>
        <c:marker val="0"/>
        <c:smooth val="0"/>
        <c:axId val="340958546"/>
        <c:axId val="628891973"/>
      </c:lineChart>
      <c:catAx>
        <c:axId val="9074442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425391701"/>
        <c:crosses val="autoZero"/>
        <c:auto val="1"/>
        <c:lblAlgn val="ctr"/>
        <c:lblOffset val="100"/>
        <c:noMultiLvlLbl val="0"/>
      </c:catAx>
      <c:valAx>
        <c:axId val="42539170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907444225"/>
        <c:crosses val="autoZero"/>
        <c:crossBetween val="between"/>
      </c:valAx>
      <c:catAx>
        <c:axId val="340958546"/>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8891973"/>
        <c:crosses val="autoZero"/>
        <c:auto val="1"/>
        <c:lblAlgn val="ctr"/>
        <c:lblOffset val="100"/>
        <c:noMultiLvlLbl val="0"/>
      </c:catAx>
      <c:valAx>
        <c:axId val="628891973"/>
        <c:scaling>
          <c:orientation val="minMax"/>
        </c:scaling>
        <c:delete val="0"/>
        <c:axPos val="r"/>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340958546"/>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solidFill>
                  <a:schemeClr val="tx1"/>
                </a:solidFill>
              </a:rPr>
              <a:t>  </a:t>
            </a:r>
            <a:r>
              <a:rPr b="1">
                <a:solidFill>
                  <a:schemeClr val="tx1"/>
                </a:solidFill>
              </a:rPr>
              <a:t>城镇居民人均可支配收入及其增速  </a:t>
            </a:r>
            <a:r>
              <a:rPr b="1"/>
              <a:t>  </a:t>
            </a:r>
            <a:r>
              <a:t> </a:t>
            </a:r>
            <a:r>
              <a:rPr sz="900">
                <a:solidFill>
                  <a:schemeClr val="tx1"/>
                </a:solidFill>
              </a:rPr>
              <a:t>元；</a:t>
            </a:r>
            <a:r>
              <a:rPr lang="en-US" altLang="zh-CN" sz="900">
                <a:solidFill>
                  <a:schemeClr val="tx1"/>
                </a:solidFill>
              </a:rPr>
              <a:t>%</a:t>
            </a:r>
            <a:endParaRPr lang="en-US" altLang="zh-CN" sz="900">
              <a:solidFill>
                <a:schemeClr val="tx1"/>
              </a:solidFill>
            </a:endParaRPr>
          </a:p>
        </c:rich>
      </c:tx>
      <c:layout/>
      <c:overlay val="0"/>
      <c:spPr>
        <a:noFill/>
        <a:ln>
          <a:noFill/>
        </a:ln>
        <a:effectLst/>
      </c:spPr>
    </c:title>
    <c:autoTitleDeleted val="0"/>
    <c:plotArea>
      <c:layout/>
      <c:barChart>
        <c:barDir val="col"/>
        <c:grouping val="clustered"/>
        <c:varyColors val="0"/>
        <c:ser>
          <c:idx val="0"/>
          <c:order val="0"/>
          <c:tx>
            <c:strRef>
              <c:f>'[城镇居民收入其增速（图） .xlsx]Sheet1'!$A$2</c:f>
              <c:strCache>
                <c:ptCount val="1"/>
                <c:pt idx="0">
                  <c:v>城镇居民人均可支配收入</c:v>
                </c:pt>
              </c:strCache>
            </c:strRef>
          </c:tx>
          <c:spPr>
            <a:solidFill>
              <a:schemeClr val="accent2"/>
            </a:solidFill>
            <a:ln>
              <a:noFill/>
            </a:ln>
            <a:effectLst/>
          </c:spPr>
          <c:invertIfNegative val="0"/>
          <c:dLbls>
            <c:dLbl>
              <c:idx val="0"/>
              <c:layout>
                <c:manualLayout>
                  <c:x val="0"/>
                  <c:y val="0.02210724365004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33515201636802"/>
                  <c:y val="0.040507685671997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55098875533152"/>
                  <c:y val="0.02246897196905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2634054562558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36242356864925"/>
                  <c:y val="0.022342427093132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'[城镇居民收入其增速（图） .xlsx]Sheet1'!$B$1:$F$1</c:f>
              <c:numCache>
                <c:formatCode>General</c:formatCode>
                <c:ptCount val="5"/>
                <c:pt idx="0">
                  <c:v>2016</c:v>
                </c:pt>
                <c:pt idx="1">
                  <c:v>2017</c:v>
                </c:pt>
                <c:pt idx="2">
                  <c:v>2018</c:v>
                </c:pt>
                <c:pt idx="3">
                  <c:v>2019</c:v>
                </c:pt>
                <c:pt idx="4">
                  <c:v>2020</c:v>
                </c:pt>
              </c:numCache>
            </c:numRef>
          </c:cat>
          <c:val>
            <c:numRef>
              <c:f>'[城镇居民收入其增速（图） .xlsx]Sheet1'!$B$2:$F$2</c:f>
              <c:numCache>
                <c:formatCode>General</c:formatCode>
                <c:ptCount val="5"/>
                <c:pt idx="0">
                  <c:v>24064</c:v>
                </c:pt>
                <c:pt idx="1">
                  <c:v>26477</c:v>
                </c:pt>
                <c:pt idx="2">
                  <c:v>28594</c:v>
                </c:pt>
                <c:pt idx="3">
                  <c:v>31076</c:v>
                </c:pt>
                <c:pt idx="4">
                  <c:v>32511</c:v>
                </c:pt>
              </c:numCache>
            </c:numRef>
          </c:val>
        </c:ser>
        <c:dLbls>
          <c:showLegendKey val="0"/>
          <c:showVal val="1"/>
          <c:showCatName val="0"/>
          <c:showSerName val="0"/>
          <c:showPercent val="0"/>
          <c:showBubbleSize val="0"/>
        </c:dLbls>
        <c:gapWidth val="219"/>
        <c:overlap val="-27"/>
        <c:axId val="907444225"/>
        <c:axId val="425391701"/>
      </c:barChart>
      <c:lineChart>
        <c:grouping val="standard"/>
        <c:varyColors val="0"/>
        <c:ser>
          <c:idx val="1"/>
          <c:order val="1"/>
          <c:tx>
            <c:strRef>
              <c:f>'[城镇居民收入其增速（图） .xlsx]Sheet1'!$A$3</c:f>
              <c:strCache>
                <c:ptCount val="1"/>
                <c:pt idx="0">
                  <c:v>增速</c:v>
                </c:pt>
              </c:strCache>
            </c:strRef>
          </c:tx>
          <c:spPr>
            <a:ln w="28575" cap="rnd">
              <a:solidFill>
                <a:schemeClr val="accent4"/>
              </a:solidFill>
              <a:round/>
            </a:ln>
            <a:effectLst/>
          </c:spPr>
          <c:marker>
            <c:symbol val="none"/>
          </c:marker>
          <c:dLbls>
            <c:dLbl>
              <c:idx val="0"/>
              <c:layout>
                <c:manualLayout>
                  <c:x val="-0.0464146748193441"/>
                  <c:y val="-0.034336782690498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16898276820456"/>
                  <c:y val="-0.036453433678269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97387437465258"/>
                  <c:y val="-0.038099717779868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04391328515842"/>
                  <c:y val="0.042333019755409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91884380211228"/>
                  <c:y val="0.036218250235183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'[城镇居民收入其增速（图） .xlsx]Sheet1'!$B$3:$F$3</c:f>
              <c:numCache>
                <c:formatCode>General</c:formatCode>
                <c:ptCount val="5"/>
                <c:pt idx="0">
                  <c:v>10.1</c:v>
                </c:pt>
                <c:pt idx="1">
                  <c:v>10</c:v>
                </c:pt>
                <c:pt idx="2">
                  <c:v>8</c:v>
                </c:pt>
                <c:pt idx="3" c:formatCode="0.0_ ">
                  <c:v>8.7</c:v>
                </c:pt>
                <c:pt idx="4">
                  <c:v>4.6</c:v>
                </c:pt>
              </c:numCache>
            </c:numRef>
          </c:val>
          <c:smooth val="0"/>
        </c:ser>
        <c:dLbls>
          <c:showLegendKey val="0"/>
          <c:showVal val="1"/>
          <c:showCatName val="0"/>
          <c:showSerName val="0"/>
          <c:showPercent val="0"/>
          <c:showBubbleSize val="0"/>
        </c:dLbls>
        <c:marker val="0"/>
        <c:smooth val="0"/>
        <c:axId val="340958546"/>
        <c:axId val="628891973"/>
      </c:lineChart>
      <c:catAx>
        <c:axId val="9074442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425391701"/>
        <c:crosses val="autoZero"/>
        <c:auto val="1"/>
        <c:lblAlgn val="ctr"/>
        <c:lblOffset val="100"/>
        <c:noMultiLvlLbl val="0"/>
      </c:catAx>
      <c:valAx>
        <c:axId val="42539170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907444225"/>
        <c:crosses val="autoZero"/>
        <c:crossBetween val="between"/>
      </c:valAx>
      <c:catAx>
        <c:axId val="340958546"/>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8891973"/>
        <c:crosses val="autoZero"/>
        <c:auto val="1"/>
        <c:lblAlgn val="ctr"/>
        <c:lblOffset val="100"/>
        <c:noMultiLvlLbl val="0"/>
      </c:catAx>
      <c:valAx>
        <c:axId val="628891973"/>
        <c:scaling>
          <c:orientation val="minMax"/>
        </c:scaling>
        <c:delete val="0"/>
        <c:axPos val="r"/>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340958546"/>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manualLayout>
          <c:xMode val="edge"/>
          <c:yMode val="edge"/>
          <c:x val="0.278014734393176"/>
          <c:y val="0.882915482036702"/>
          <c:w val="0.443970531213649"/>
          <c:h val="0.04393900232618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solidFill>
                  <a:schemeClr val="tx1"/>
                </a:solidFill>
              </a:rPr>
              <a:t>  </a:t>
            </a:r>
            <a:r>
              <a:rPr altLang="en-US" b="1">
                <a:solidFill>
                  <a:schemeClr val="tx1"/>
                </a:solidFill>
              </a:rPr>
              <a:t>农村</a:t>
            </a:r>
            <a:r>
              <a:rPr b="1">
                <a:solidFill>
                  <a:schemeClr val="tx1"/>
                </a:solidFill>
              </a:rPr>
              <a:t>居民人均可支配收入及其增速  </a:t>
            </a:r>
            <a:r>
              <a:rPr b="1"/>
              <a:t>  </a:t>
            </a:r>
            <a:r>
              <a:t> </a:t>
            </a:r>
            <a:r>
              <a:rPr sz="900">
                <a:solidFill>
                  <a:schemeClr val="tx1"/>
                </a:solidFill>
              </a:rPr>
              <a:t>元；</a:t>
            </a:r>
            <a:r>
              <a:rPr lang="en-US" altLang="zh-CN" sz="900">
                <a:solidFill>
                  <a:schemeClr val="tx1"/>
                </a:solidFill>
              </a:rPr>
              <a:t>%</a:t>
            </a:r>
            <a:endParaRPr lang="en-US" altLang="zh-CN" sz="900">
              <a:solidFill>
                <a:schemeClr val="tx1"/>
              </a:solidFill>
            </a:endParaRPr>
          </a:p>
        </c:rich>
      </c:tx>
      <c:layout/>
      <c:overlay val="0"/>
      <c:spPr>
        <a:noFill/>
        <a:ln>
          <a:noFill/>
        </a:ln>
        <a:effectLst/>
      </c:spPr>
    </c:title>
    <c:autoTitleDeleted val="0"/>
    <c:plotArea>
      <c:layout/>
      <c:barChart>
        <c:barDir val="col"/>
        <c:grouping val="clustered"/>
        <c:varyColors val="0"/>
        <c:ser>
          <c:idx val="0"/>
          <c:order val="0"/>
          <c:tx>
            <c:strRef>
              <c:f>'[农村居民收入其增速（图） .xlsx]Sheet1'!$A$2</c:f>
              <c:strCache>
                <c:ptCount val="1"/>
                <c:pt idx="0">
                  <c:v>农村居民人均可支配收入</c:v>
                </c:pt>
              </c:strCache>
            </c:strRef>
          </c:tx>
          <c:spPr>
            <a:solidFill>
              <a:schemeClr val="accent6"/>
            </a:solidFill>
            <a:ln>
              <a:noFill/>
            </a:ln>
            <a:effectLst/>
          </c:spPr>
          <c:invertIfNegative val="0"/>
          <c:dLbls>
            <c:dLbl>
              <c:idx val="0"/>
              <c:layout>
                <c:manualLayout>
                  <c:x val="0"/>
                  <c:y val="0.02210724365004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36242356864925"/>
                  <c:y val="0.02634054562558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74431539415251"/>
                  <c:y val="0.042560040046998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76681641838243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36242356864925"/>
                  <c:y val="0.022342427093132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'[农村居民收入其增速（图） .xlsx]Sheet1'!$B$1:$F$1</c:f>
              <c:numCache>
                <c:formatCode>General</c:formatCode>
                <c:ptCount val="5"/>
                <c:pt idx="0">
                  <c:v>2016</c:v>
                </c:pt>
                <c:pt idx="1">
                  <c:v>2017</c:v>
                </c:pt>
                <c:pt idx="2">
                  <c:v>2018</c:v>
                </c:pt>
                <c:pt idx="3">
                  <c:v>2019</c:v>
                </c:pt>
                <c:pt idx="4">
                  <c:v>2020</c:v>
                </c:pt>
              </c:numCache>
            </c:numRef>
          </c:cat>
          <c:val>
            <c:numRef>
              <c:f>'[农村居民收入其增速（图） .xlsx]Sheet1'!$B$2:$F$2</c:f>
              <c:numCache>
                <c:formatCode>General</c:formatCode>
                <c:ptCount val="5"/>
                <c:pt idx="0">
                  <c:v>13364</c:v>
                </c:pt>
                <c:pt idx="1">
                  <c:v>14589</c:v>
                </c:pt>
                <c:pt idx="2">
                  <c:v>15871</c:v>
                </c:pt>
                <c:pt idx="3">
                  <c:v>17305</c:v>
                </c:pt>
                <c:pt idx="4">
                  <c:v>18660</c:v>
                </c:pt>
              </c:numCache>
            </c:numRef>
          </c:val>
        </c:ser>
        <c:dLbls>
          <c:showLegendKey val="0"/>
          <c:showVal val="1"/>
          <c:showCatName val="0"/>
          <c:showSerName val="0"/>
          <c:showPercent val="0"/>
          <c:showBubbleSize val="0"/>
        </c:dLbls>
        <c:gapWidth val="219"/>
        <c:overlap val="-27"/>
        <c:axId val="907444225"/>
        <c:axId val="425391701"/>
      </c:barChart>
      <c:lineChart>
        <c:grouping val="standard"/>
        <c:varyColors val="0"/>
        <c:ser>
          <c:idx val="1"/>
          <c:order val="1"/>
          <c:tx>
            <c:strRef>
              <c:f>'[农村居民收入其增速（图） .xlsx]Sheet1'!$A$3</c:f>
              <c:strCache>
                <c:ptCount val="1"/>
                <c:pt idx="0">
                  <c:v>增速</c:v>
                </c:pt>
              </c:strCache>
            </c:strRef>
          </c:tx>
          <c:spPr>
            <a:ln w="28575" cap="rnd">
              <a:solidFill>
                <a:schemeClr val="accent5"/>
              </a:solidFill>
              <a:round/>
            </a:ln>
            <a:effectLst/>
          </c:spPr>
          <c:marker>
            <c:symbol val="none"/>
          </c:marker>
          <c:dLbls>
            <c:dLbl>
              <c:idx val="0"/>
              <c:layout>
                <c:manualLayout>
                  <c:x val="-0.0464146748193441"/>
                  <c:y val="-0.034336782690498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92640095674482"/>
                  <c:y val="-0.027446413184298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16898276820456"/>
                  <c:y val="-0.042335896617098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28015564202335"/>
                  <c:y val="-0.026356700310457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91884380211228"/>
                  <c:y val="0.036218250235183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'[农村居民收入其增速（图） .xlsx]Sheet1'!$B$3:$F$3</c:f>
              <c:numCache>
                <c:formatCode>0.0_ </c:formatCode>
                <c:ptCount val="5"/>
                <c:pt idx="0">
                  <c:v>9.1</c:v>
                </c:pt>
                <c:pt idx="1">
                  <c:v>9.2</c:v>
                </c:pt>
                <c:pt idx="2">
                  <c:v>8.8</c:v>
                </c:pt>
                <c:pt idx="3">
                  <c:v>9</c:v>
                </c:pt>
                <c:pt idx="4">
                  <c:v>7.6</c:v>
                </c:pt>
              </c:numCache>
            </c:numRef>
          </c:val>
          <c:smooth val="0"/>
        </c:ser>
        <c:dLbls>
          <c:showLegendKey val="0"/>
          <c:showVal val="1"/>
          <c:showCatName val="0"/>
          <c:showSerName val="0"/>
          <c:showPercent val="0"/>
          <c:showBubbleSize val="0"/>
        </c:dLbls>
        <c:marker val="0"/>
        <c:smooth val="0"/>
        <c:axId val="340958546"/>
        <c:axId val="628891973"/>
      </c:lineChart>
      <c:catAx>
        <c:axId val="9074442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425391701"/>
        <c:crosses val="autoZero"/>
        <c:auto val="1"/>
        <c:lblAlgn val="ctr"/>
        <c:lblOffset val="100"/>
        <c:noMultiLvlLbl val="0"/>
      </c:catAx>
      <c:valAx>
        <c:axId val="42539170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907444225"/>
        <c:crosses val="autoZero"/>
        <c:crossBetween val="between"/>
      </c:valAx>
      <c:catAx>
        <c:axId val="340958546"/>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8891973"/>
        <c:crosses val="autoZero"/>
        <c:auto val="1"/>
        <c:lblAlgn val="ctr"/>
        <c:lblOffset val="100"/>
        <c:noMultiLvlLbl val="0"/>
      </c:catAx>
      <c:valAx>
        <c:axId val="628891973"/>
        <c:scaling>
          <c:orientation val="minMax"/>
        </c:scaling>
        <c:delete val="0"/>
        <c:axPos val="r"/>
        <c:numFmt formatCode="0.0_ "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340958546"/>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41</Words>
  <Characters>239</Characters>
  <Lines>1</Lines>
  <Paragraphs>1</Paragraphs>
  <TotalTime>1360</TotalTime>
  <ScaleCrop>false</ScaleCrop>
  <LinksUpToDate>false</LinksUpToDate>
  <CharactersWithSpaces>279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2021-03-15T02:08:00Z</dcterms:created>
  <dc:creator>Administrator</dc:creator>
  <cp:lastModifiedBy>幸せを求める</cp:lastModifiedBy>
  <dcterms:modified xsi:type="dcterms:W3CDTF">2021-04-20T03:21:17Z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