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181717" w:themeColor="background2" w:themeShade="1A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181717" w:themeColor="background2" w:themeShade="1A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181717" w:themeColor="background2" w:themeShade="1A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81717" w:themeColor="background2" w:themeShade="1A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caps w:val="0"/>
          <w:color w:val="181717" w:themeColor="background2" w:themeShade="1A"/>
          <w:spacing w:val="0"/>
          <w:sz w:val="32"/>
          <w:szCs w:val="32"/>
          <w:shd w:val="clear" w:fill="FFFFFF"/>
          <w:lang w:val="en-US" w:eastAsia="zh-CN"/>
        </w:rPr>
        <w:t>岳</w:t>
      </w:r>
      <w:r>
        <w:rPr>
          <w:rFonts w:hint="eastAsia" w:ascii="仿宋" w:hAnsi="仿宋" w:eastAsia="仿宋" w:cs="仿宋"/>
          <w:b/>
          <w:bCs/>
          <w:i w:val="0"/>
          <w:caps w:val="0"/>
          <w:color w:val="181717" w:themeColor="background2" w:themeShade="1A"/>
          <w:spacing w:val="0"/>
          <w:sz w:val="32"/>
          <w:szCs w:val="32"/>
          <w:shd w:val="clear" w:fill="FFFFFF"/>
        </w:rPr>
        <w:t>临环</w:t>
      </w:r>
      <w:r>
        <w:rPr>
          <w:rFonts w:hint="eastAsia" w:ascii="仿宋" w:hAnsi="仿宋" w:eastAsia="仿宋" w:cs="仿宋"/>
          <w:b/>
          <w:bCs/>
          <w:i w:val="0"/>
          <w:caps w:val="0"/>
          <w:color w:val="181717" w:themeColor="background2" w:themeShade="1A"/>
          <w:spacing w:val="0"/>
          <w:sz w:val="32"/>
          <w:szCs w:val="32"/>
          <w:shd w:val="clear" w:fill="FFFFFF"/>
          <w:lang w:val="en-US" w:eastAsia="zh-CN"/>
        </w:rPr>
        <w:t>评【</w:t>
      </w:r>
      <w:r>
        <w:rPr>
          <w:rFonts w:hint="eastAsia" w:ascii="仿宋" w:hAnsi="仿宋" w:eastAsia="仿宋" w:cs="仿宋"/>
          <w:b/>
          <w:bCs/>
          <w:i w:val="0"/>
          <w:caps w:val="0"/>
          <w:color w:val="181717" w:themeColor="background2" w:themeShade="1A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b/>
          <w:bCs/>
          <w:i w:val="0"/>
          <w:caps w:val="0"/>
          <w:color w:val="181717" w:themeColor="background2" w:themeShade="1A"/>
          <w:spacing w:val="0"/>
          <w:sz w:val="32"/>
          <w:szCs w:val="32"/>
          <w:shd w:val="clear" w:fill="FFFFFF"/>
          <w:lang w:val="en-US" w:eastAsia="zh-CN"/>
        </w:rPr>
        <w:t>2】26</w:t>
      </w:r>
      <w:r>
        <w:rPr>
          <w:rFonts w:hint="eastAsia" w:ascii="仿宋" w:hAnsi="仿宋" w:eastAsia="仿宋" w:cs="仿宋"/>
          <w:b/>
          <w:bCs/>
          <w:i w:val="0"/>
          <w:caps w:val="0"/>
          <w:color w:val="181717" w:themeColor="background2" w:themeShade="1A"/>
          <w:spacing w:val="0"/>
          <w:sz w:val="32"/>
          <w:szCs w:val="32"/>
          <w:shd w:val="clear" w:fill="FFFFFF"/>
        </w:rPr>
        <w:t>号</w:t>
      </w: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关于</w:t>
      </w:r>
      <w:r>
        <w:rPr>
          <w:rFonts w:hint="eastAsia"/>
          <w:lang w:val="en-US" w:eastAsia="zh-CN"/>
        </w:rPr>
        <w:t>临湘海创环保科技有限责任公司水泥窑综合利用一般固废项目（9万吨/年）</w:t>
      </w:r>
      <w:r>
        <w:rPr>
          <w:rFonts w:hint="eastAsia"/>
          <w:lang w:eastAsia="zh-CN"/>
        </w:rPr>
        <w:t>环境影响报告表的批复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"/>
        </w:rPr>
        <w:t>临湘海创环保科技有限责任公司: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你单位报送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的《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水泥窑综合利用一般固废项目（9万吨/年）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环境影响报告表》及相关附件材料收悉。经研究，批复如下：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left"/>
        <w:textAlignment w:val="auto"/>
        <w:outlineLvl w:val="1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一、临湘海创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水泥窑综合利用固废危废项目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日取得湖南省生态环境厅的批复（批复文号</w:t>
      </w:r>
      <w:r>
        <w:rPr>
          <w:rFonts w:hint="eastAsia" w:ascii="仿宋" w:hAnsi="仿宋" w:eastAsia="仿宋" w:cs="仿宋"/>
          <w:sz w:val="32"/>
          <w:szCs w:val="32"/>
        </w:rPr>
        <w:t>湘环评〔20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  <w:u w:val="none"/>
          <w:lang w:eastAsia="zh-CN" w:bidi="ar"/>
        </w:rPr>
        <w:t>为实现工业固废的资源化利用，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项目拟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投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12172.18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依托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临湘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海螺公司的新型干法水泥熟料生产线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临湘海创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水泥窑综合利用固废危废项目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的现有设备设施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增加处理一般固体废物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9万吨/年（其中，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污染土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万吨/年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），替代临湘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海螺水泥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万吨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/年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湿基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原料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（石灰石、粘土）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使用量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。临湘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海螺公司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现有产品、规模、生产工艺、地点、污染防治设施及水泥窑的处理规模等均不发生变化，项目的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焚烧处置系统、固废储存及输送车间、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除氯系统、入窑进料系统、公用工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程、环保工程、辅助工程等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依托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临湘海创公司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现有工程，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除3#储坑由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危废储坑改为有机固废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储坑外，其余均不发生变化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。工程建设不包括固废厂外收集、运输系统。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其环境影响报告表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内容、结论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专家评审意见，我局原则同意环境影响报告表中所列建设项目的性质、规模、地点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、工艺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及拟采取的环境</w:t>
      </w:r>
      <w:r>
        <w:rPr>
          <w:rFonts w:hint="eastAsia" w:ascii="仿宋" w:hAnsi="仿宋" w:eastAsia="仿宋" w:cs="仿宋"/>
          <w:sz w:val="32"/>
          <w:szCs w:val="32"/>
          <w:u w:val="none"/>
        </w:rPr>
        <w:t>保护措施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二、项目</w:t>
      </w:r>
      <w:r>
        <w:rPr>
          <w:rFonts w:hint="eastAsia" w:ascii="仿宋" w:hAnsi="仿宋" w:eastAsia="仿宋" w:cs="仿宋"/>
          <w:sz w:val="32"/>
          <w:szCs w:val="32"/>
        </w:rPr>
        <w:t>必须全面落实各项污染防治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措施和风险防范措施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严格执行环保“三同时”制度，确保外排污染物稳定达标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排放，环境风险可控，并着重做好以下工作：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严格按</w:t>
      </w:r>
      <w:r>
        <w:rPr>
          <w:rFonts w:hint="eastAsia" w:ascii="仿宋" w:hAnsi="仿宋" w:eastAsia="仿宋" w:cs="仿宋"/>
          <w:kern w:val="0"/>
          <w:sz w:val="32"/>
          <w:szCs w:val="32"/>
          <w:vertAlign w:val="baseline"/>
          <w:lang w:val="en-US" w:eastAsia="zh-CN"/>
        </w:rPr>
        <w:t>《水泥窑协同处置固体废物环境保护技术规范》（HJ662-2013）、《水泥窑协同处置固体废物技术规范》（GB30760-2014）、《水泥窑协同处置固体废物污染防治技术政策》（环保部公告2016年第72号）、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bidi="ar"/>
        </w:rPr>
        <w:t>《一般工业固体废物贮存和填埋污染控制标准》（GB18599-2020）</w:t>
      </w:r>
      <w:r>
        <w:rPr>
          <w:rFonts w:hint="eastAsia" w:ascii="仿宋" w:hAnsi="仿宋" w:eastAsia="仿宋" w:cs="仿宋"/>
          <w:kern w:val="0"/>
          <w:sz w:val="32"/>
          <w:szCs w:val="32"/>
          <w:vertAlign w:val="baseline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要求，落实入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vertAlign w:val="baseline"/>
          <w:lang w:val="en-US" w:eastAsia="zh-CN"/>
        </w:rPr>
        <w:t>场接收、贮存与输送和入窑协同利用等各项相关要求。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各类固体废物分类规范存放，</w:t>
      </w:r>
      <w:r>
        <w:rPr>
          <w:rFonts w:hint="eastAsia" w:ascii="仿宋" w:hAnsi="仿宋" w:eastAsia="仿宋" w:cs="仿宋"/>
          <w:kern w:val="0"/>
          <w:sz w:val="32"/>
          <w:szCs w:val="32"/>
          <w:vertAlign w:val="baseline"/>
          <w:lang w:val="en-US" w:eastAsia="zh-CN"/>
        </w:rPr>
        <w:t>严禁与危险废物、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不相容固废混存。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、严格原料准入。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原料来源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vertAlign w:val="baseline"/>
          <w:lang w:val="en-US" w:eastAsia="zh-CN"/>
        </w:rPr>
        <w:t>应确保其稳定性、合法性，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须严格按报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告表所列范围和要求执行，且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符合</w:t>
      </w:r>
      <w:r>
        <w:rPr>
          <w:rFonts w:hint="eastAsia" w:ascii="仿宋" w:hAnsi="仿宋" w:eastAsia="仿宋" w:cs="仿宋"/>
          <w:kern w:val="0"/>
          <w:sz w:val="32"/>
          <w:szCs w:val="32"/>
          <w:vertAlign w:val="baseline"/>
          <w:lang w:val="en-US" w:eastAsia="zh-CN"/>
        </w:rPr>
        <w:t>《国家工业固体废物资源综合利用产品目录》要求，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不得擅自改变种类、数量、属性。固体废物综合利用产物应符合国家规定的标准。</w:t>
      </w:r>
    </w:p>
    <w:p>
      <w:pPr>
        <w:pStyle w:val="8"/>
        <w:spacing w:line="360" w:lineRule="auto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3、落实污染防治措施。项目系依托海螺公司和本公司现有环保设施，应加强对环保设施的维护与管理，明确与海螺公司的环保责任界定，确保污染防治设施正常运行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、污染物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稳定达标排放。要做好固废入库、预处理、输送、混合等各环节的污染防治措施，建设“封闭+负压”的固废储存、输送车间，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baseline"/>
          <w:lang w:val="en-US" w:eastAsia="zh-CN"/>
        </w:rPr>
        <w:t>配备自动计量、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密封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baseline"/>
          <w:lang w:val="en-US" w:eastAsia="zh-CN"/>
        </w:rPr>
        <w:t>管道输送、在线控制等装置,设置非正常工况废气高效处理系统；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车辆冲洗废水（3m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perscript"/>
          <w:lang w:val="en-US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/d）、化验室分析检测废水（5m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perscript"/>
          <w:lang w:val="en-US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/d）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和渗滤液（0.827t/d）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经收集后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定期泵入回转窑高温烧成系统进行处置，不外排。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4、加强管理。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建立健全的环境管理制度和固废利用、</w:t>
      </w:r>
      <w:r>
        <w:rPr>
          <w:rFonts w:hint="eastAsia" w:ascii="仿宋" w:hAnsi="仿宋" w:eastAsia="仿宋" w:cs="仿宋"/>
          <w:sz w:val="32"/>
          <w:szCs w:val="32"/>
        </w:rPr>
        <w:t>污染防治设施运行管理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台账，依法及时公开污染环境防治信息，落实企业监测、排污许可等要求，制订环境风险应急预案、落实环境风险防范措施及非正常工况下的污染防治措施，严防污染事故发生。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5、总量控制指标VOCs:0.009t/a,VOCs排放替代来源于临湘市已有企业的工程或结构减排，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的主要污染物总量指标在企业内部调剂解决。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其余仍执行湘环评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[2020]1号中的相关要求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岳阳市临湘生态环境保护综合行政执法大队</w:t>
      </w:r>
      <w:r>
        <w:rPr>
          <w:rFonts w:hint="eastAsia" w:ascii="仿宋" w:hAnsi="仿宋" w:eastAsia="仿宋" w:cs="仿宋"/>
          <w:sz w:val="32"/>
          <w:szCs w:val="32"/>
        </w:rPr>
        <w:t>负责该项目的日常现场监管。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岳阳市生态环境局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                   2022年9月16日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134" w:right="1293" w:bottom="1134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TQ5M2E3ZWQyZGM3YjNiMGI0MjE0Njc4ODk3ZjkifQ=="/>
  </w:docVars>
  <w:rsids>
    <w:rsidRoot w:val="00000000"/>
    <w:rsid w:val="0567512D"/>
    <w:rsid w:val="14120BCC"/>
    <w:rsid w:val="170106C8"/>
    <w:rsid w:val="19232172"/>
    <w:rsid w:val="2EBB78F0"/>
    <w:rsid w:val="2F92595C"/>
    <w:rsid w:val="3EF972A2"/>
    <w:rsid w:val="3F00502D"/>
    <w:rsid w:val="49A75FBD"/>
    <w:rsid w:val="4B9C06B2"/>
    <w:rsid w:val="5CA767BB"/>
    <w:rsid w:val="66F3506F"/>
    <w:rsid w:val="7563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  <w:style w:type="paragraph" w:customStyle="1" w:styleId="8">
    <w:name w:val="段落(G)"/>
    <w:basedOn w:val="1"/>
    <w:qFormat/>
    <w:uiPriority w:val="0"/>
    <w:pPr>
      <w:tabs>
        <w:tab w:val="left" w:pos="1021"/>
        <w:tab w:val="left" w:pos="1320"/>
      </w:tabs>
      <w:spacing w:line="360" w:lineRule="auto"/>
      <w:ind w:firstLine="480" w:firstLineChars="200"/>
    </w:pPr>
    <w:rPr>
      <w:rFonts w:ascii="Calibri"/>
      <w:color w:val="000000"/>
      <w:kern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1321</Words>
  <Characters>1400</Characters>
  <Lines>0</Lines>
  <Paragraphs>0</Paragraphs>
  <TotalTime>8</TotalTime>
  <ScaleCrop>false</ScaleCrop>
  <LinksUpToDate>false</LinksUpToDate>
  <CharactersWithSpaces>1442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2022-09-01T07:40:00Z</dcterms:created>
  <dc:creator>lenovo</dc:creator>
  <cp:lastModifiedBy>无语</cp:lastModifiedBy>
  <dcterms:modified xsi:type="dcterms:W3CDTF">2022-09-16T04:35:38Z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60E5D38140104CA39C91475FB4C43CC4</vt:lpwstr>
  </property>
</Properties>
</file>