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3521"/>
          <w:tab w:val="right" w:pos="8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pStyle w:val="2"/>
        <w:keepNext/>
        <w:keepLines/>
        <w:pageBreakBefore w:val="0"/>
        <w:widowControl w:val="0"/>
        <w:tabs>
          <w:tab w:val="left" w:pos="3521"/>
          <w:tab w:val="right" w:pos="8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tabs>
          <w:tab w:val="left" w:pos="3521"/>
          <w:tab w:val="right" w:pos="8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岳临环评【2022】31号</w:t>
      </w:r>
    </w:p>
    <w:p>
      <w:pPr>
        <w:pStyle w:val="2"/>
        <w:bidi w:val="0"/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关于湖南五色石户外用品有限公司年产420万支浮漂厂建设项目环境影响报告表的批复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湖南五色石户外用品有限公司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: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你公司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报送的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湖南五色石户外用品有限公司年产420万支浮漂厂建设项目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环境影响报告表》，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及相关附件材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收悉。经研究，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批复如下: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项目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租赁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highlight w:val="none"/>
        </w:rPr>
        <w:t>临湘市三湾工业园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eastAsia="zh-CN"/>
        </w:rPr>
        <w:t>标准化厂房二期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/>
        </w:rPr>
        <w:t>10栋4层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作为生产场所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总投资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万元(其中环保投资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万元)，占地面积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2076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highlight w:val="none"/>
        </w:rPr>
        <w:t>m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highlight w:val="none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主要建设浸漆车间、喷漆车间、涂装车间、前段车间、质检室等及办公室、展示厅、会议室等配套设施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等，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给排水、供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电等公用工程依托园区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。项目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主要原辅材料为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巴尔杉木、芦苇、羽毛、纳米、碳纤、玻纤、清漆、荧光漆、固化剂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稀释剂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等；主要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产品为:芦苇漂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100万支/年、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纳米漂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180万支/年、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巴尔杉木漂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80万支/年、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羽毛漂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60万支/年。主要生产工艺为：原料→下料→打孔→成型→插纤维→打磨→上油漆→脚尾打磨→画身彩→印字→上面漆→画尾→成品。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根据项目报告表的内容、结论和专家评审意见，从环保角度考虑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，我局原则同意环境影响报告表所列性质、地点、规模及污染防治措施。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二、项目在建设和运营中，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必须全面落实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《报告表》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提出的各项污染防治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设施和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措施，严格执行环保“三同时”制度，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并着重做好以下几方面的工作：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采用先进的工艺和设备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，环保型的原辅材料，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提高清洁生产水平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科学布局，确保外排污染物不对周边敏感目标产生影响。</w:t>
      </w:r>
    </w:p>
    <w:p>
      <w:pPr>
        <w:pStyle w:val="8"/>
        <w:ind w:firstLine="42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2、废气污染防治。设置高效的废气收集处理设施，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喷漆有机废气的工段须设置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有效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负压收集系统，经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vertAlign w:val="baseline"/>
          <w:lang w:val="en-US" w:eastAsia="zh-CN"/>
        </w:rPr>
        <w:t>“水喷淋+纤维过滤棉+UV光解+活性炭吸附”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处理，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浸漆、刷漆、画彩、烘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晾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干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机废气的工段须设置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有效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负压收集系统，经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vertAlign w:val="baseline"/>
          <w:lang w:val="en-US" w:eastAsia="zh-CN"/>
        </w:rPr>
        <w:t>UV光解+活性炭吸附处理设施处理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达到《家具制造行业挥发性有机物排放标准》（DB43/1355-2017）表1要求后，分别通过30米高排气筒（DA001、DA002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）排放。含挥发性有机物的原辅材料在储存、输送中应保持密闭，浸漆、喷漆工段应设置在密闭空间内，减少无组织排放，严格VOCs总量控制，厂区内挥发性有机物应满足《挥发性有机物无组织排放控制标准》（GB37822-2019）中相关标准要求，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highlight w:val="none"/>
        </w:rPr>
        <w:t>厂界苯系物、挥发性有机物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highlight w:val="none"/>
          <w:lang w:eastAsia="zh-CN"/>
        </w:rPr>
        <w:t>应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highlight w:val="none"/>
        </w:rPr>
        <w:t>满足《家具制造行业挥发性有机物排放标准》（DB43/1355-2017）表2中无组织排放浓度限值。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打孔、成型、打磨等各粉尘产生工段经高效收集、喷淋处理后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通过30m高排气筒（DA00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）排放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，有组织、无组织排放颗粒物应满足《大气污染物综合排放标准》（GB16297-1996）表2要求。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3、废水污染防治。按“雨污分流”原则，完善厂区雨水及污水管网建设。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生活废水依托园区设施预处理后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排入园区污水管网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再进入临湘市污水净化中心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根据分区防控原则，做好油漆仓库、喷漆车间、浸漆车间、危险废物暂存间等重点区域的防渗、防漏工作，防止对地下水和土壤产生影响。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噪声污染防治。选用低噪声设备，并采取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隔声、减震、消音等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措施，确保噪声达标排放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pStyle w:val="4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5、固体废物防治。严格按照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《一般工业固体废物贮存和填埋污染控制标准》（GB18599-2020）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和《危险废物贮存污染控制标准》(GB18597-2001)及其2013年修改单相关要求，规范设置固体废物暂存场所。建立健全固体废物管理台帐，落实转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移危险废物联单管理制度，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废机油、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废活性炭、废纤维过滤棉、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废UV灯管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废油漆桶、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喷漆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更换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废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危险交有资质单位处置;边角料、废包装材料、回收粉尘、不合格产品等一般工业固体废物综合利用或规范处理;生活垃圾交环卫部门日产日清。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6、环境管理。设立环保机构，建立健全环境管理制度，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制订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环境风险应急预案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，落实企业监测、排污许可要求及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风险防范措施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，确保环保设施正常稳定运行，特别要做好非正常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工况下的废气污染防治工作。</w:t>
      </w:r>
    </w:p>
    <w:p>
      <w:pPr>
        <w:pStyle w:val="3"/>
        <w:pageBreakBefore w:val="0"/>
        <w:numPr>
          <w:ilvl w:val="1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64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总量控制指标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VOCs: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0.7743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t/a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VOCs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排放替代来源于临湘市已有企业的工程或结构减排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项目建成后应按规定程序实施竣工环境保护验收。由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岳阳市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临湘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生态环境保护综合行政执法大队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负责该项目的日常现场监管。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岳阳市生态环境局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2022年11月25日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tabs>
          <w:tab w:val="left" w:pos="802"/>
        </w:tabs>
        <w:bidi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-1803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EA6EF1"/>
    <w:multiLevelType w:val="singleLevel"/>
    <w:tmpl w:val="F6EA6EF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zYTQ5M2E3ZWQyZGM3YjNiMGI0MjE0Njc4ODk3ZjkifQ=="/>
  </w:docVars>
  <w:rsids>
    <w:rsidRoot w:val="00000000"/>
    <w:rsid w:val="0A7D7D7B"/>
    <w:rsid w:val="217A620E"/>
    <w:rsid w:val="268B33C8"/>
    <w:rsid w:val="309A4933"/>
    <w:rsid w:val="419C6380"/>
    <w:rsid w:val="50FB4B23"/>
    <w:rsid w:val="51C32DAC"/>
    <w:rsid w:val="550B0AB7"/>
    <w:rsid w:val="564C7813"/>
    <w:rsid w:val="5BE001BF"/>
    <w:rsid w:val="5F2E7000"/>
    <w:rsid w:val="654523B9"/>
    <w:rsid w:val="66A17AC3"/>
    <w:rsid w:val="776B5CAF"/>
    <w:rsid w:val="78B1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120" w:beforeLines="0" w:line="360" w:lineRule="auto"/>
      <w:ind w:firstLine="1285" w:firstLineChars="200"/>
      <w:outlineLvl w:val="1"/>
    </w:pPr>
    <w:rPr>
      <w:rFonts w:ascii="宋体" w:hAnsi="宋体" w:eastAsia="宋体"/>
      <w:spacing w:val="6"/>
      <w:sz w:val="28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unhideWhenUsed/>
    <w:qFormat/>
    <w:uiPriority w:val="0"/>
    <w:pPr>
      <w:spacing w:after="120"/>
    </w:pPr>
  </w:style>
  <w:style w:type="paragraph" w:customStyle="1" w:styleId="5">
    <w:name w:val="xl27"/>
    <w:basedOn w:val="1"/>
    <w:next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  <w:kern w:val="0"/>
      <w:sz w:val="24"/>
      <w:szCs w:val="24"/>
    </w:rPr>
  </w:style>
  <w:style w:type="paragraph" w:customStyle="1" w:styleId="8">
    <w:name w:val="正文 首行缩进"/>
    <w:basedOn w:val="1"/>
    <w:qFormat/>
    <w:uiPriority w:val="0"/>
    <w:pPr>
      <w:spacing w:line="360" w:lineRule="auto"/>
      <w:ind w:firstLine="200" w:firstLineChars="200"/>
    </w:pPr>
    <w:rPr>
      <w:rFonts w:cs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1516</Words>
  <Characters>1657</Characters>
  <Lines>0</Lines>
  <Paragraphs>0</Paragraphs>
  <TotalTime>15</TotalTime>
  <ScaleCrop>false</ScaleCrop>
  <LinksUpToDate>false</LinksUpToDate>
  <CharactersWithSpaces>1679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lenovo</dc:creator>
  <cp:lastModifiedBy>无语</cp:lastModifiedBy>
  <cp:lastPrinted>2022-11-25T02:25:59Z</cp:lastPrinted>
  <dcterms:modified xsi:type="dcterms:W3CDTF">2022-11-25T02:31:08Z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B2FDAC03CB3642D0938864095D40BC23</vt:lpwstr>
  </property>
</Properties>
</file>