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rPr>
          <w:rStyle w:val="1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1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临湘高新区2023年</w:t>
      </w:r>
      <w:bookmarkStart w:id="0" w:name="_GoBack"/>
      <w:bookmarkEnd w:id="0"/>
      <w:r>
        <w:rPr>
          <w:rStyle w:val="1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工作计划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全面贯彻落实党的二十大精神的开局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之年。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高新区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将紧紧围绕“五好”园区创建，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按照省、岳阳、临湘市委经济工作会议和市“两会”精神，以及《政府工作报告》任务要求，下好“先手棋”，按下“快捷键”，跑出“加速度”。</w:t>
      </w: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工作目标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重点突出“五大目标”完成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一是经济运行目标。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2023年，完成技工贸总收入549.08亿元，同比增长33%；规模工业总产值533.22亿元，同比增长30%；规模工业增加值增速8.5%；固定资产投资81.5亿元，同比增长8.02%；实缴税收11亿元，同比增长20%；进出口总额7亿元，同比增长22.8%。新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16家入规企业。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二是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“五好”园区创建目标。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在岳阳市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排名进前3位；在省排名力争进前20位。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三是力争实现2个省级单项奖的争先目标。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省商务厅“外向型产业园区”真抓实干督查激励单项奖，省产业园区建设领导小组单项奖。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四是确保实现流动现场会“满堂彩”目标。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以新的出彩建好岳阳市召开的产业项目建设流动现场点，上半年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个，下半年4个。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五是确保实现市委确定的“4633”招商目标。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即“签约总投资额400亿，签约项目60个以上，开工项目30个以上，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竣工投产项目30个以上”。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color w:val="auto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u w:val="none"/>
          <w:lang w:val="en-US" w:eastAsia="zh-CN"/>
        </w:rPr>
        <w:t>二、2023年工作措施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1.突出</w:t>
      </w: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规划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引领，以非常之谋完善园区顶层设计</w:t>
      </w: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坚持科学规划，以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创建省内一流园区为标准规划园区，指引园区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高质量发展。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完成园区空间总体规划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高新区控制性详细规划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/>
          <w:color w:val="auto"/>
          <w:lang w:val="en-US" w:eastAsia="zh-CN"/>
        </w:rPr>
        <w:t>化工园区产业发展指引、化工园区危险化学品“禁限控”目录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批复。原化工园一类工业用地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调整为二类工业用地，为承接中非工贸产业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和仓储物流产业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发展提供用地保障。</w:t>
      </w:r>
    </w:p>
    <w:p>
      <w:pPr>
        <w:pStyle w:val="8"/>
        <w:numPr>
          <w:ilvl w:val="0"/>
          <w:numId w:val="0"/>
        </w:numPr>
        <w:ind w:left="0" w:leftChars="0" w:firstLine="643" w:firstLineChars="200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2.突出调区扩区，以非常之力保障园区未来发展。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尽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快完成园区新一轮调区扩区，为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今后3年发展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留足空间；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原化工园一类工业用地调整为二类工业用地，进一步提高土地开发利用强度，为中非工贸产业园二期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和仓储物流项目提供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用地保障；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积极对接省发改委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超前谋划、适时推进中非工贸产业园二期、乙烯一体化下游产业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岳阳生物医药产业承接地土地报批、征拆、挂牌。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3.突出招大引强，以非常之策做优园区招商引资。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紧紧围绕市委市政府确定的“4633”招商目标攻坚，全力引进“1个30亿元以上项目、2个10亿元以上项目、10个5亿元以上项目、30个亿元以上项目”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创新5个招商形式（以商招商、委托第三方招商、产业链招商、代理招商、小分队招商）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用活5个机制（根据临办发2022（15号）文件精神，健全招商引资工作机制、项目准入评审机制、工作调度机制、项目联点机制、项目履约考核机制）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，进行6项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攻坚：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紧盯大项目、好项目。聚焦三类500强、国有控股企业、上市公司及外资企业等四类项目，推动投资22亿元的青岛海利尔、16亿元的溥泉新能源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7亿元的滨州裕能、7亿元的振兴中顺新材料等项目早签约、早开工、早投产。形成有一轮明月，又有满天繁星的产业格局。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紧盯主导产业进行招商。围绕绿色化工全产业链条，对接岳阳7000亿石化产业基地和乙烯项目，统一规划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统一布局。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紧盯浮标钓具特色产业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加快三湾钓具产业链的延链补链步伐。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紧盯中非工贸产业园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加快科特迪瓦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项目落地。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加快电商物流园招商。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六是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快启动化工项目入园专家评审会制度。</w:t>
      </w:r>
    </w:p>
    <w:p>
      <w:pPr>
        <w:pStyle w:val="8"/>
        <w:numPr>
          <w:ilvl w:val="0"/>
          <w:numId w:val="0"/>
        </w:numPr>
        <w:ind w:left="0" w:leftChars="0" w:firstLine="643" w:firstLineChars="200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4.突出“五好”园区建设，以非常之功做好提标进位。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着力补齐公共服务平台、进出口总额、外资引进、科技创新等短板指标，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做好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件事：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技工贸总收入、规模工业总产值、高新技术产业营业收入、主导产业营业收入、税收核心考核指数持续保持较高增长率。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加大入规企业申报力度，今年新增规上企业达到16家以上。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积极申报国家和省级科技创新荣誉，今年争取新增达12家以上。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鼓励支持企业建设省级以上孵化基地、众创空间、企业技术研发中心、工程技术中心等公共服务平台20家以上。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是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继续加大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外商投资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引进力度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。今年完成1000万美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以上。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加大企业培育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新增国家级、省级“小巨人”企业2家，完成1家企业新三板报辅，推动园区龙头企业“二次创业”10家。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七是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深化园区相对集中行政许可权改革。力争将我市园区相对集中行政许可权改革纳入全省改革试点范围，强力推进“四即”改革措施，全力打造全省一流营商环境。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八是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强化土地集约节约管理。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4月底完成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剩下4家沿江化工过渡性生产企业退出，充分利用沿江化工退出土地，切实有效提高土地资源利用率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5.突出项目建设，以非常之为做实项目竣工投产。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为岳阳市上半年和年终二次流动现场会提前准备好现场视察点。把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勤润、璟丰作为上半年现场视察点，福瑞、越洋、凯涛、比德作为年终现场视察点。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一是重点发展绿色化工产业园。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紧盯“五百亿化工产业园”目标攻坚，加快乙烯一体化和岳阳生物医药下游产业链“延补配”的对接，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全力推进已落地项目建设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比德、驰兴、璟丰、滨晟二期、创欧、科兴、越洋、福瑞、凯涛、金熙、三湘等15个项目竣工投产，必须确保作为现场视察点的6个项目按时竣工；力推双阳高科、利尔化学、时代新材料、奇岭新材料等签约项目开工投产。②马上启动杨桥大道以西，南方新材料以南规划范围内260亩土地的征拆和报批工作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；同时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加快双阳高科、金熙化工、奇岭新材料、时代新材料4家签约企业的过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土委会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和土地摘牌工作，提高报批土地供地率。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二是全面建设中非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工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贸产业园。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加速推进中非工贸产业园一期全面招商运营，确保2023年中国（湖南）自贸片区协同联动区申建成功，积极对接省商务厅，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争创“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省外向型产业园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三是激活发展滨江标准化厂房。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推动湘北大数据项目建设。加快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三湾和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滨江标准化厂房项目入园工作，提高标准厂房使用率，降低厂房闲置率。</w:t>
      </w:r>
    </w:p>
    <w:p>
      <w:pPr>
        <w:pStyle w:val="8"/>
        <w:numPr>
          <w:ilvl w:val="0"/>
          <w:numId w:val="0"/>
        </w:numPr>
        <w:ind w:firstLine="643" w:firstLineChars="200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6.突出基础建设，以非常之举做精园区要素保障。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①完成天然气管网、蒸汽管网二期、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工业污水管网、一企一管二期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“4管”建设。②完成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兴业路（原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纬二十二路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、永兴路北向延伸段“2路”建设，推动临鸭公路园区段、斑竹大道二期“2路”启动建设。③完成特勤消防站、危化品停车场、事故应急池3项安全整治提升配套项目建设，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确保顺利通过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国家应急管理部对化工园区的复核验收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。④完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双电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源专线和支线建设，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按化工园整治提升、复核要求和企业正常投产需要，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今年需完成比德专线和长茂路、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永兴路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兴业路（原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纬二十二路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等道路的管线架设。⑤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完善园区生活服务和物流配套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推动润欣物业管理有限公司启动滨江标准化厂房邻里中心整体开发，建设餐饮、会务等滨江园区服务配套项目；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推动滨江集镇农贸市场和垃圾中转站建设；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推动岳阳交建投三级物流配送中心项目启动建设，打通快递物流最后一公里，促进产城融合发展。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7.突出底线思维，以非常之实把好风险防范关口。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做好</w:t>
      </w:r>
      <w:r>
        <w:rPr>
          <w:rFonts w:hint="eastAsia" w:ascii="仿宋_GB2312" w:hAnsi="仿宋_GB2312" w:cs="仿宋_GB2312"/>
          <w:color w:val="auto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件事：</w:t>
      </w:r>
      <w:r>
        <w:rPr>
          <w:rFonts w:hint="eastAsia" w:ascii="仿宋_GB2312" w:hAnsi="仿宋_GB2312" w:eastAsia="仿宋_GB2312" w:cs="仿宋_GB2312"/>
          <w:b/>
          <w:bCs/>
          <w:color w:val="auto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推行安全技能要精、安全管理求细、安全考核从严，重点做好企业拆除搬迁过程中安全环保监督管理，确保不发生安全事故；</w:t>
      </w:r>
      <w:r>
        <w:rPr>
          <w:rFonts w:hint="eastAsia" w:ascii="仿宋_GB2312" w:hAnsi="仿宋_GB2312" w:eastAsia="仿宋_GB2312" w:cs="仿宋_GB2312"/>
          <w:b/>
          <w:bCs/>
          <w:color w:val="auto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u w:val="none"/>
          <w:lang w:val="en-US" w:eastAsia="zh-CN"/>
        </w:rPr>
        <w:t>将2022年高标准编制的化工园区安全整治提升规划落到实处，实现化工园区封闭化管理。</w:t>
      </w:r>
      <w:r>
        <w:rPr>
          <w:rFonts w:hint="eastAsia" w:ascii="仿宋_GB2312" w:hAnsi="仿宋_GB2312" w:eastAsia="仿宋_GB2312" w:cs="仿宋_GB2312"/>
          <w:b/>
          <w:bCs/>
          <w:color w:val="auto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完成长江排污口设置论证批复。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四是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推进清廉园区建设。压实干部责任，将中心工作融入到机关党建和企业党建工作中，打造争先创优的干事氛围。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E5FA2"/>
    <w:multiLevelType w:val="singleLevel"/>
    <w:tmpl w:val="718E5F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jE4MzVjYWI4NGIzNjUyNTlhY2VkNGQ0NTcwYjkifQ=="/>
  </w:docVars>
  <w:rsids>
    <w:rsidRoot w:val="2B6572D0"/>
    <w:rsid w:val="00D206C2"/>
    <w:rsid w:val="05393C43"/>
    <w:rsid w:val="05AA7D89"/>
    <w:rsid w:val="05B92162"/>
    <w:rsid w:val="05BC1DCB"/>
    <w:rsid w:val="086929F5"/>
    <w:rsid w:val="0A8A7FD5"/>
    <w:rsid w:val="0A9A3F61"/>
    <w:rsid w:val="0CDB6831"/>
    <w:rsid w:val="0D6F653F"/>
    <w:rsid w:val="0FA15F8F"/>
    <w:rsid w:val="0FC9663D"/>
    <w:rsid w:val="111636B4"/>
    <w:rsid w:val="112C1E0B"/>
    <w:rsid w:val="12432FFC"/>
    <w:rsid w:val="125E0FEA"/>
    <w:rsid w:val="1433594E"/>
    <w:rsid w:val="153E0AC9"/>
    <w:rsid w:val="166E59FC"/>
    <w:rsid w:val="1763479D"/>
    <w:rsid w:val="17D817E8"/>
    <w:rsid w:val="18AE7C99"/>
    <w:rsid w:val="19AF5A77"/>
    <w:rsid w:val="1AED2CFB"/>
    <w:rsid w:val="1B625397"/>
    <w:rsid w:val="1EC5700C"/>
    <w:rsid w:val="203A42E9"/>
    <w:rsid w:val="20AA3984"/>
    <w:rsid w:val="214426CC"/>
    <w:rsid w:val="215C2EE4"/>
    <w:rsid w:val="222502E8"/>
    <w:rsid w:val="225E628C"/>
    <w:rsid w:val="228F28EA"/>
    <w:rsid w:val="24215B41"/>
    <w:rsid w:val="242633DB"/>
    <w:rsid w:val="24997246"/>
    <w:rsid w:val="252A2F58"/>
    <w:rsid w:val="259F3CD4"/>
    <w:rsid w:val="270C1BEC"/>
    <w:rsid w:val="27787DF0"/>
    <w:rsid w:val="27792D34"/>
    <w:rsid w:val="27814EF7"/>
    <w:rsid w:val="27F03AB2"/>
    <w:rsid w:val="29436E66"/>
    <w:rsid w:val="29EF5AEE"/>
    <w:rsid w:val="2AEE1540"/>
    <w:rsid w:val="2B6572D0"/>
    <w:rsid w:val="2D340315"/>
    <w:rsid w:val="2ECE37C6"/>
    <w:rsid w:val="2FBF3D7D"/>
    <w:rsid w:val="30931B75"/>
    <w:rsid w:val="30964863"/>
    <w:rsid w:val="33CF2A68"/>
    <w:rsid w:val="349F1F3F"/>
    <w:rsid w:val="35B021D6"/>
    <w:rsid w:val="36EC1A3F"/>
    <w:rsid w:val="38E65A97"/>
    <w:rsid w:val="3A033701"/>
    <w:rsid w:val="3AEE69F8"/>
    <w:rsid w:val="3C543079"/>
    <w:rsid w:val="3C673D2E"/>
    <w:rsid w:val="3C881FBC"/>
    <w:rsid w:val="3CC02364"/>
    <w:rsid w:val="40E91478"/>
    <w:rsid w:val="415428DD"/>
    <w:rsid w:val="418751B6"/>
    <w:rsid w:val="42CA0A36"/>
    <w:rsid w:val="431C18CF"/>
    <w:rsid w:val="43DE3BD8"/>
    <w:rsid w:val="43FC2FFE"/>
    <w:rsid w:val="442C7EBF"/>
    <w:rsid w:val="46863D1F"/>
    <w:rsid w:val="47D4583B"/>
    <w:rsid w:val="48677971"/>
    <w:rsid w:val="4CC528E0"/>
    <w:rsid w:val="4D9466D5"/>
    <w:rsid w:val="4DE35F5E"/>
    <w:rsid w:val="4DE805A0"/>
    <w:rsid w:val="4F7A176B"/>
    <w:rsid w:val="518E7C29"/>
    <w:rsid w:val="51CA1EC8"/>
    <w:rsid w:val="52136460"/>
    <w:rsid w:val="54D93009"/>
    <w:rsid w:val="55492FDD"/>
    <w:rsid w:val="58AE4B70"/>
    <w:rsid w:val="59BE0AF6"/>
    <w:rsid w:val="5A673229"/>
    <w:rsid w:val="5B0A1CE8"/>
    <w:rsid w:val="5B4A30FB"/>
    <w:rsid w:val="5B513C53"/>
    <w:rsid w:val="5C4476F1"/>
    <w:rsid w:val="5CF75421"/>
    <w:rsid w:val="5D5850AB"/>
    <w:rsid w:val="5EA26F25"/>
    <w:rsid w:val="61544424"/>
    <w:rsid w:val="620168CA"/>
    <w:rsid w:val="64D140C0"/>
    <w:rsid w:val="658E1337"/>
    <w:rsid w:val="66E0029F"/>
    <w:rsid w:val="66F56DF2"/>
    <w:rsid w:val="675A177F"/>
    <w:rsid w:val="685B350B"/>
    <w:rsid w:val="68733062"/>
    <w:rsid w:val="6A6944C9"/>
    <w:rsid w:val="6A81682C"/>
    <w:rsid w:val="6AD10167"/>
    <w:rsid w:val="6C0D28F9"/>
    <w:rsid w:val="6C970C3E"/>
    <w:rsid w:val="6E0D0C34"/>
    <w:rsid w:val="6EBE1DC2"/>
    <w:rsid w:val="6F5D50A2"/>
    <w:rsid w:val="70B7561D"/>
    <w:rsid w:val="70DD0C0F"/>
    <w:rsid w:val="722E138A"/>
    <w:rsid w:val="738F2666"/>
    <w:rsid w:val="73C961B6"/>
    <w:rsid w:val="73FE133E"/>
    <w:rsid w:val="7655449A"/>
    <w:rsid w:val="77E12415"/>
    <w:rsid w:val="786D6204"/>
    <w:rsid w:val="790C526F"/>
    <w:rsid w:val="792B641A"/>
    <w:rsid w:val="795C1C90"/>
    <w:rsid w:val="79893295"/>
    <w:rsid w:val="7AB46BDC"/>
    <w:rsid w:val="7ABE2599"/>
    <w:rsid w:val="7BD5403F"/>
    <w:rsid w:val="7CBB7202"/>
    <w:rsid w:val="7CE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1"/>
    </w:pPr>
    <w:rPr>
      <w:rFonts w:ascii="Arial" w:hAnsi="Arial" w:eastAsia="黑体" w:cs="Times New Roman"/>
      <w:sz w:val="32"/>
    </w:rPr>
  </w:style>
  <w:style w:type="paragraph" w:styleId="5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/>
      <w:b/>
    </w:rPr>
  </w:style>
  <w:style w:type="character" w:default="1" w:styleId="15">
    <w:name w:val="Default Paragraph Font"/>
    <w:qFormat/>
    <w:uiPriority w:val="0"/>
    <w:rPr>
      <w:rFonts w:ascii="Calibri" w:hAnsi="Calibri" w:eastAsia="仿宋_GB2312"/>
      <w:sz w:val="36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szCs w:val="20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8">
    <w:name w:val="Body Text"/>
    <w:basedOn w:val="1"/>
    <w:next w:val="9"/>
    <w:qFormat/>
    <w:uiPriority w:val="0"/>
    <w:pPr>
      <w:spacing w:beforeAutospacing="0" w:line="600" w:lineRule="exact"/>
    </w:pPr>
    <w:rPr>
      <w:rFonts w:ascii="Times New Roman" w:hAnsi="Times New Roman"/>
    </w:rPr>
  </w:style>
  <w:style w:type="paragraph" w:styleId="9">
    <w:name w:val="toc 5"/>
    <w:basedOn w:val="1"/>
    <w:next w:val="1"/>
    <w:qFormat/>
    <w:uiPriority w:val="0"/>
    <w:pPr>
      <w:ind w:left="0" w:leftChars="0" w:firstLine="880"/>
      <w:jc w:val="left"/>
    </w:pPr>
  </w:style>
  <w:style w:type="paragraph" w:styleId="10">
    <w:name w:val="Body Text Indent"/>
    <w:basedOn w:val="1"/>
    <w:next w:val="11"/>
    <w:qFormat/>
    <w:uiPriority w:val="99"/>
    <w:pPr>
      <w:spacing w:after="120"/>
      <w:ind w:left="420" w:leftChars="2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eastAsia" w:ascii="仿宋_GB2312" w:hAnsi="等线" w:eastAsia="仿宋_GB2312"/>
      <w:sz w:val="32"/>
      <w:szCs w:val="2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4"/>
    </w:rPr>
  </w:style>
  <w:style w:type="paragraph" w:styleId="13">
    <w:name w:val="Body Text First Indent 2"/>
    <w:basedOn w:val="10"/>
    <w:next w:val="7"/>
    <w:qFormat/>
    <w:uiPriority w:val="99"/>
    <w:pPr>
      <w:ind w:firstLine="420" w:firstLineChars="200"/>
    </w:pPr>
  </w:style>
  <w:style w:type="character" w:customStyle="1" w:styleId="16">
    <w:name w:val="标题 3 Char"/>
    <w:link w:val="5"/>
    <w:qFormat/>
    <w:uiPriority w:val="0"/>
    <w:rPr>
      <w:rFonts w:ascii="Calibri" w:hAnsi="Calibri" w:eastAsia="楷体_GB2312" w:cs="Times New Roman"/>
      <w:b/>
      <w:sz w:val="32"/>
      <w:szCs w:val="24"/>
      <w:lang w:bidi="ar-SA"/>
    </w:rPr>
  </w:style>
  <w:style w:type="character" w:customStyle="1" w:styleId="17">
    <w:name w:val="NormalCharacter"/>
    <w:link w:val="18"/>
    <w:semiHidden/>
    <w:qFormat/>
    <w:uiPriority w:val="0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仿宋_GB2312"/>
      <w:szCs w:val="20"/>
    </w:rPr>
  </w:style>
  <w:style w:type="character" w:customStyle="1" w:styleId="19">
    <w:name w:val="标题 2 Char"/>
    <w:link w:val="4"/>
    <w:qFormat/>
    <w:uiPriority w:val="0"/>
    <w:rPr>
      <w:rFonts w:ascii="Arial" w:hAnsi="Arial" w:eastAsia="黑体" w:cs="Times New Roman"/>
      <w:sz w:val="32"/>
      <w:szCs w:val="24"/>
      <w:lang w:bidi="ar-SA"/>
    </w:rPr>
  </w:style>
  <w:style w:type="paragraph" w:customStyle="1" w:styleId="20">
    <w:name w:val="UserStyle_0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customStyle="1" w:styleId="21">
    <w:name w:val="List Paragraph_a0f507d5-6e28-4914-b37f-020b7d2b0f7c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2762</Words>
  <Characters>2859</Characters>
  <Lines>0</Lines>
  <Paragraphs>0</Paragraphs>
  <TotalTime>0</TotalTime>
  <ScaleCrop>false</ScaleCrop>
  <LinksUpToDate>false</LinksUpToDate>
  <CharactersWithSpaces>2859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2022-10-08T10:08:00Z</dcterms:created>
  <dc:creator>苜蓿</dc:creator>
  <cp:lastModifiedBy>苜蓿</cp:lastModifiedBy>
  <cp:lastPrinted>2022-12-08T06:55:00Z</cp:lastPrinted>
  <dcterms:modified xsi:type="dcterms:W3CDTF">2023-02-20T01:39:41Z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A6166769127A4F2A843F2F7579860EA9</vt:lpwstr>
  </property>
</Properties>
</file>