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岳临环评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3]5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临湘市洁越洗涤有限公司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被褥集中洗涤项目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环境影响报告表的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临湘市洁越洗涤有限公司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关于申请批复&lt;临湘市洁越洗涤有限公司被褥集中洗涤项目环境影响报告表&gt;的报告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及相关附件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岳阳市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《临湘市洁越洗涤有限公司被褥集中洗涤项目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环境影响报告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表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技术评估报告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》（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批复如下: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一、公司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租赁岳阳市临湘市云湖街道三湾工业园石塘大道1号1楼空置厂房建设年洗涤被服60万套的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32"/>
          <w:szCs w:val="32"/>
          <w:lang w:val="en-US" w:eastAsia="zh-CN"/>
        </w:rPr>
        <w:t>集中洗涤项目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主要服务临湘市周边酒店、宾馆、医院（非传染性）。项目系三湾工业园招商引资项目，建筑面积440m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总投资200万元，主要建设有洗脱区、烘干区、烫平区、折叠区、成品堆放区、锅炉房（生物质蒸汽发生器1台，1.5t/h）及配套的环保设施等，供水，排水、供电依托园区；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主要洗涤剂为洗衣粉、彩漂剂、中和酸粉、柔顺剂、乳化剂、去血粉等，燃料为成型生物质颗粒；废水使用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外购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次氯酸钠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作消毒剂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湖南绿韵环境科技有限公司编制的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临湘市洁越洗涤有限公司被褥集中洗涤项目环境影响报告表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（报批稿）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的内容、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结论和专家评审意见，从环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角度考虑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环境影响报告表所列性质、地点、规模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和环境保护对策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洗涤品准入。不得接受涉传染病的医院被服，且在医院出场前，先进行预消毒，并由医院采用安全专用运输工具统一运输；医院被服与酒店宾馆被服应严格分开洗涤和烘干，不得混存、混洗、混干燥；须使用符合国家标准的无磷洗涤剂。</w:t>
      </w:r>
    </w:p>
    <w:p>
      <w:pPr>
        <w:pStyle w:val="21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大气污染防治工作。使用专用生物质蒸汽发生器并配套布袋除尘等高效的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废气收集处理设施，废气满足《锅炉大气污染物排放标准》（GB13271-2014）表3中燃煤锅炉特别排放限值要求后，通过25m高排气筒排放。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3、废水污染防治工作。按“雨污分流”原则，建设厂区雨水及污水管网。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洗涤废水、生活污水经絮凝+A/O+次氯酸钠消毒一体化污水处理设施处理，达到《污水综合排放标准》（GB8978-1996）及《污水排入城镇下水道水质标准》（GB/T31962-2015）相关标准后排入园区污水管网，最终进入临湘市污水净化中心处理达标后排放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噪声污染防治。选用低噪声设备，并采取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隔声、减震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 w:color="auto"/>
          <w:lang w:eastAsia="zh-CN"/>
        </w:rPr>
        <w:t>优化合理布局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措施，确保噪声达标排放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4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5、固体废物防治。建设规范的固体废物暂存场所和管理台帐，废包装物、除尘灰、污水处理站污泥等一般工业固体废物分类收集、综合利用或合理处置;生活垃圾交环卫部门日产日清。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6、环境管理。设立环保机构，建立环境管理制度，制订监测计划和应急预案，规范排污口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建设，加强日常监管，严格操作规程和功能分区，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按要求做好消毒剂的暂存、使用等工作，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做好非正常工况下的各项污染防治措施，确保环保设施正常运行，污染物稳定达标排放，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确保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周边环境安全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3"/>
        <w:keepLines w:val="0"/>
        <w:pageBreakBefore w:val="0"/>
        <w:widowControl w:val="0"/>
        <w:numPr>
          <w:ilvl w:val="1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总量控制指标。化学需氧量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氨氮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0.3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二氧化硫0.6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氮氧化物1.1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，从交易平台上购买。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2023年4月26日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TQ5M2E3ZWQyZGM3YjNiMGI0MjE0Njc4ODk3ZjkifQ=="/>
  </w:docVars>
  <w:rsids>
    <w:rsidRoot w:val="00000000"/>
    <w:rsid w:val="02094A42"/>
    <w:rsid w:val="02201D8C"/>
    <w:rsid w:val="033C2BF5"/>
    <w:rsid w:val="04543BD9"/>
    <w:rsid w:val="05882122"/>
    <w:rsid w:val="06356E85"/>
    <w:rsid w:val="07B860D2"/>
    <w:rsid w:val="09372C1B"/>
    <w:rsid w:val="0B843220"/>
    <w:rsid w:val="0D783CF0"/>
    <w:rsid w:val="0F2B7CF7"/>
    <w:rsid w:val="0FFB0A97"/>
    <w:rsid w:val="119E3C43"/>
    <w:rsid w:val="12386C7D"/>
    <w:rsid w:val="16295162"/>
    <w:rsid w:val="176D58E3"/>
    <w:rsid w:val="1CDD6D9F"/>
    <w:rsid w:val="1DE5159F"/>
    <w:rsid w:val="20D2125C"/>
    <w:rsid w:val="21BC716B"/>
    <w:rsid w:val="21F20C55"/>
    <w:rsid w:val="229323DA"/>
    <w:rsid w:val="22B32480"/>
    <w:rsid w:val="23FE1AD5"/>
    <w:rsid w:val="257A162F"/>
    <w:rsid w:val="2D263666"/>
    <w:rsid w:val="2E7678C0"/>
    <w:rsid w:val="2FC812C3"/>
    <w:rsid w:val="301E705B"/>
    <w:rsid w:val="31B072CE"/>
    <w:rsid w:val="32566F80"/>
    <w:rsid w:val="33BA2B77"/>
    <w:rsid w:val="34F82570"/>
    <w:rsid w:val="368F480F"/>
    <w:rsid w:val="39137979"/>
    <w:rsid w:val="39AC1B82"/>
    <w:rsid w:val="39B7021F"/>
    <w:rsid w:val="3B8457E6"/>
    <w:rsid w:val="425F20D3"/>
    <w:rsid w:val="44A302AB"/>
    <w:rsid w:val="4635035D"/>
    <w:rsid w:val="4B0101DB"/>
    <w:rsid w:val="4BB91646"/>
    <w:rsid w:val="4CAC5CC3"/>
    <w:rsid w:val="512B1415"/>
    <w:rsid w:val="53647824"/>
    <w:rsid w:val="53DA3115"/>
    <w:rsid w:val="5429442D"/>
    <w:rsid w:val="55747599"/>
    <w:rsid w:val="57A24699"/>
    <w:rsid w:val="57D460CD"/>
    <w:rsid w:val="58F540EC"/>
    <w:rsid w:val="5A225816"/>
    <w:rsid w:val="5AAD149A"/>
    <w:rsid w:val="5BC53E99"/>
    <w:rsid w:val="5FD215C4"/>
    <w:rsid w:val="61377DF9"/>
    <w:rsid w:val="615838CB"/>
    <w:rsid w:val="628C5F22"/>
    <w:rsid w:val="63BF2AC1"/>
    <w:rsid w:val="668D2465"/>
    <w:rsid w:val="677A5ED1"/>
    <w:rsid w:val="6BC93D43"/>
    <w:rsid w:val="6CD81D64"/>
    <w:rsid w:val="6D547741"/>
    <w:rsid w:val="6FA348AB"/>
    <w:rsid w:val="6FD853B1"/>
    <w:rsid w:val="703260F9"/>
    <w:rsid w:val="715F1F17"/>
    <w:rsid w:val="74D55507"/>
    <w:rsid w:val="75660855"/>
    <w:rsid w:val="7CA73C2D"/>
    <w:rsid w:val="7D17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Body Text Indent"/>
    <w:basedOn w:val="1"/>
    <w:next w:val="1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6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9">
    <w:name w:val="Body Text First Indent"/>
    <w:basedOn w:val="4"/>
    <w:next w:val="1"/>
    <w:unhideWhenUsed/>
    <w:qFormat/>
    <w:uiPriority w:val="99"/>
    <w:pPr>
      <w:adjustRightInd w:val="0"/>
      <w:snapToGrid w:val="0"/>
      <w:spacing w:after="0"/>
    </w:pPr>
  </w:style>
  <w:style w:type="paragraph" w:styleId="10">
    <w:name w:val="Body Text First Indent 2"/>
    <w:basedOn w:val="5"/>
    <w:next w:val="9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basedOn w:val="4"/>
    <w:next w:val="8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5">
    <w:name w:val="xl27"/>
    <w:basedOn w:val="1"/>
    <w:next w:val="6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16">
    <w:name w:val="样式 正文文本缩进 + 行距: 1.5 倍行距"/>
    <w:basedOn w:val="5"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17">
    <w:name w:val="文本"/>
    <w:basedOn w:val="1"/>
    <w:next w:val="1"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18">
    <w:name w:val="报告正文 Char Char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19">
    <w:name w:val="C正文"/>
    <w:basedOn w:val="1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20">
    <w:name w:val="正文1"/>
    <w:next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paragraph" w:customStyle="1" w:styleId="21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1266</Words>
  <Characters>1352</Characters>
  <Lines>0</Lines>
  <Paragraphs>0</Paragraphs>
  <TotalTime>12</TotalTime>
  <ScaleCrop>false</ScaleCrop>
  <LinksUpToDate>false</LinksUpToDate>
  <CharactersWithSpaces>1353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2022-01-27T00:36:00Z</dcterms:created>
  <dc:creator>lenovo</dc:creator>
  <cp:lastModifiedBy>无语</cp:lastModifiedBy>
  <cp:lastPrinted>2023-04-17T08:10:00Z</cp:lastPrinted>
  <dcterms:modified xsi:type="dcterms:W3CDTF">2023-04-23T00:58:01Z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A3BE4E80826E4E448D22C89DCB3E70FD</vt:lpwstr>
  </property>
</Properties>
</file>