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BB" w:rsidRPr="00927DBB" w:rsidRDefault="00927DBB" w:rsidP="00927DBB">
      <w:pPr>
        <w:tabs>
          <w:tab w:val="left" w:pos="412"/>
        </w:tabs>
        <w:spacing w:line="800" w:lineRule="exact"/>
        <w:rPr>
          <w:rFonts w:ascii="Calibri" w:eastAsia="方正小标宋简体" w:hAnsi="Calibri" w:cs="Calibri"/>
          <w:bCs/>
          <w:spacing w:val="-20"/>
          <w:sz w:val="44"/>
          <w:szCs w:val="44"/>
        </w:rPr>
      </w:pPr>
      <w:r w:rsidRPr="00927DBB">
        <w:rPr>
          <w:rFonts w:ascii="Calibri" w:eastAsia="方正小标宋简体" w:hAnsi="Calibri" w:cs="Calibri"/>
          <w:bCs/>
          <w:spacing w:val="-20"/>
          <w:sz w:val="44"/>
          <w:szCs w:val="44"/>
        </w:rPr>
        <w:tab/>
      </w:r>
      <w:r w:rsidRPr="00927DBB">
        <w:rPr>
          <w:rFonts w:ascii="Calibri" w:eastAsia="方正小标宋简体" w:hAnsi="Calibri" w:cs="Calibri"/>
          <w:bCs/>
          <w:spacing w:val="-20"/>
          <w:sz w:val="44"/>
          <w:szCs w:val="44"/>
        </w:rPr>
        <w:t>附件</w:t>
      </w:r>
      <w:r w:rsidRPr="00927DBB">
        <w:rPr>
          <w:rFonts w:ascii="Calibri" w:eastAsia="方正小标宋简体" w:hAnsi="Calibri" w:cs="Calibri" w:hint="eastAsia"/>
          <w:bCs/>
          <w:spacing w:val="-20"/>
          <w:sz w:val="44"/>
          <w:szCs w:val="44"/>
        </w:rPr>
        <w:t>2</w:t>
      </w:r>
    </w:p>
    <w:p w:rsidR="008310DB" w:rsidRPr="008310DB" w:rsidRDefault="008310DB" w:rsidP="008310DB">
      <w:pPr>
        <w:spacing w:line="800" w:lineRule="exact"/>
        <w:jc w:val="center"/>
        <w:rPr>
          <w:rFonts w:ascii="Calibri" w:eastAsia="方正小标宋简体" w:hAnsi="Calibri" w:cs="Calibri"/>
          <w:bCs/>
          <w:spacing w:val="-20"/>
          <w:sz w:val="46"/>
          <w:szCs w:val="46"/>
        </w:rPr>
      </w:pPr>
      <w:r w:rsidRPr="008310DB">
        <w:rPr>
          <w:rFonts w:ascii="Calibri" w:eastAsia="方正小标宋简体" w:hAnsi="Calibri" w:cs="Calibri" w:hint="eastAsia"/>
          <w:bCs/>
          <w:spacing w:val="-20"/>
          <w:sz w:val="46"/>
          <w:szCs w:val="46"/>
        </w:rPr>
        <w:t>临湘市</w:t>
      </w:r>
      <w:r w:rsidRPr="008310DB">
        <w:rPr>
          <w:rFonts w:ascii="Calibri" w:eastAsia="方正小标宋简体" w:hAnsi="Calibri" w:cs="Calibri" w:hint="eastAsia"/>
          <w:bCs/>
          <w:spacing w:val="-20"/>
          <w:sz w:val="46"/>
          <w:szCs w:val="46"/>
        </w:rPr>
        <w:t xml:space="preserve"> </w:t>
      </w:r>
      <w:r w:rsidRPr="008310DB">
        <w:rPr>
          <w:rFonts w:ascii="Calibri" w:eastAsia="方正小标宋简体" w:hAnsi="Calibri" w:cs="Calibri" w:hint="eastAsia"/>
          <w:bCs/>
          <w:spacing w:val="-20"/>
          <w:sz w:val="46"/>
          <w:szCs w:val="46"/>
          <w:u w:val="single"/>
        </w:rPr>
        <w:t>2021</w:t>
      </w:r>
      <w:r w:rsidRPr="008310DB">
        <w:rPr>
          <w:rFonts w:ascii="Calibri" w:eastAsia="方正小标宋简体" w:hAnsi="Calibri" w:cs="Calibri" w:hint="eastAsia"/>
          <w:bCs/>
          <w:spacing w:val="-20"/>
          <w:sz w:val="46"/>
          <w:szCs w:val="46"/>
        </w:rPr>
        <w:t>年度商业事务管理中心整体支出</w:t>
      </w:r>
    </w:p>
    <w:p w:rsidR="008310DB" w:rsidRPr="008310DB" w:rsidRDefault="008310DB" w:rsidP="008310DB">
      <w:pPr>
        <w:spacing w:line="800" w:lineRule="exact"/>
        <w:jc w:val="center"/>
        <w:rPr>
          <w:rFonts w:ascii="Calibri" w:eastAsia="方正小标宋简体" w:hAnsi="Calibri" w:cs="Calibri"/>
          <w:bCs/>
          <w:sz w:val="46"/>
          <w:szCs w:val="46"/>
        </w:rPr>
      </w:pPr>
      <w:r w:rsidRPr="008310DB">
        <w:rPr>
          <w:rFonts w:ascii="Calibri" w:eastAsia="方正小标宋简体" w:hAnsi="Calibri" w:cs="Calibri" w:hint="eastAsia"/>
          <w:bCs/>
          <w:sz w:val="46"/>
          <w:szCs w:val="46"/>
        </w:rPr>
        <w:t>绩效评价自评报告</w:t>
      </w:r>
    </w:p>
    <w:p w:rsidR="008310DB" w:rsidRPr="008310DB" w:rsidRDefault="008310DB" w:rsidP="008310DB">
      <w:pPr>
        <w:jc w:val="center"/>
        <w:rPr>
          <w:rFonts w:ascii="Calibri" w:eastAsia="仿宋_GB2312" w:hAnsi="Calibri" w:cs="Calibri"/>
          <w:b/>
          <w:sz w:val="32"/>
          <w:szCs w:val="21"/>
        </w:rPr>
      </w:pPr>
    </w:p>
    <w:p w:rsidR="008310DB" w:rsidRPr="008310DB" w:rsidRDefault="008310DB" w:rsidP="008310DB">
      <w:pPr>
        <w:jc w:val="center"/>
        <w:rPr>
          <w:rFonts w:ascii="Calibri" w:eastAsia="仿宋_GB2312" w:hAnsi="Calibri" w:cs="Calibri"/>
          <w:b/>
          <w:sz w:val="32"/>
          <w:szCs w:val="21"/>
        </w:rPr>
      </w:pPr>
    </w:p>
    <w:p w:rsidR="008310DB" w:rsidRPr="008310DB" w:rsidRDefault="008310DB" w:rsidP="008310DB">
      <w:pPr>
        <w:jc w:val="center"/>
        <w:rPr>
          <w:rFonts w:ascii="Calibri" w:eastAsia="仿宋_GB2312" w:hAnsi="Calibri" w:cs="Calibri"/>
          <w:b/>
          <w:sz w:val="32"/>
          <w:szCs w:val="21"/>
        </w:rPr>
      </w:pP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</w:pPr>
      <w:r w:rsidRPr="008310DB">
        <w:rPr>
          <w:rFonts w:ascii="Calibri" w:eastAsia="仿宋_GB2312" w:hAnsi="Calibri" w:cs="Calibri" w:hint="eastAsia"/>
          <w:sz w:val="28"/>
          <w:szCs w:val="28"/>
        </w:rPr>
        <w:t>部门</w:t>
      </w:r>
      <w:r w:rsidRPr="008310DB">
        <w:rPr>
          <w:rFonts w:ascii="Calibri" w:eastAsia="仿宋_GB2312" w:hAnsi="Calibri" w:cs="Calibri" w:hint="eastAsia"/>
          <w:sz w:val="28"/>
          <w:szCs w:val="28"/>
        </w:rPr>
        <w:t>(</w:t>
      </w:r>
      <w:r w:rsidRPr="008310DB">
        <w:rPr>
          <w:rFonts w:ascii="Calibri" w:eastAsia="仿宋_GB2312" w:hAnsi="Calibri" w:cs="Calibri" w:hint="eastAsia"/>
          <w:sz w:val="28"/>
          <w:szCs w:val="28"/>
        </w:rPr>
        <w:t>单位</w:t>
      </w:r>
      <w:r w:rsidRPr="008310DB">
        <w:rPr>
          <w:rFonts w:ascii="Calibri" w:eastAsia="仿宋_GB2312" w:hAnsi="Calibri" w:cs="Calibri" w:hint="eastAsia"/>
          <w:sz w:val="28"/>
          <w:szCs w:val="28"/>
        </w:rPr>
        <w:t>)</w:t>
      </w:r>
      <w:r w:rsidRPr="008310DB">
        <w:rPr>
          <w:rFonts w:ascii="Calibri" w:eastAsia="仿宋_GB2312" w:hAnsi="Calibri" w:cs="Calibri" w:hint="eastAsia"/>
          <w:sz w:val="28"/>
          <w:szCs w:val="28"/>
        </w:rPr>
        <w:t>名称</w:t>
      </w:r>
      <w:r w:rsidRPr="008310DB">
        <w:rPr>
          <w:rFonts w:ascii="Calibri" w:eastAsia="仿宋_GB2312" w:hAnsi="Calibri" w:cs="Calibri" w:hint="eastAsia"/>
          <w:sz w:val="28"/>
          <w:szCs w:val="28"/>
        </w:rPr>
        <w:t xml:space="preserve"> : </w:t>
      </w:r>
      <w:r w:rsidRPr="008310DB">
        <w:rPr>
          <w:rFonts w:ascii="Calibri" w:eastAsia="仿宋_GB2312" w:hAnsi="Calibri" w:cs="Calibri" w:hint="eastAsia"/>
          <w:sz w:val="28"/>
          <w:szCs w:val="28"/>
        </w:rPr>
        <w:t>临湘市商业事务管理中心</w:t>
      </w: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</w:pPr>
      <w:r w:rsidRPr="008310DB">
        <w:rPr>
          <w:rFonts w:ascii="Calibri" w:eastAsia="仿宋_GB2312" w:hAnsi="Calibri" w:cs="Calibri" w:hint="eastAsia"/>
          <w:sz w:val="28"/>
          <w:szCs w:val="28"/>
        </w:rPr>
        <w:t>评价方式：部门（单位）绩效自评</w:t>
      </w: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</w:pPr>
      <w:r w:rsidRPr="008310DB">
        <w:rPr>
          <w:rFonts w:ascii="Calibri" w:eastAsia="仿宋_GB2312" w:hAnsi="Calibri" w:cs="Calibri" w:hint="eastAsia"/>
          <w:sz w:val="28"/>
          <w:szCs w:val="28"/>
        </w:rPr>
        <w:t>评价机构：部门（单位）评价组</w:t>
      </w: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</w:pP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</w:pP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</w:pPr>
      <w:r w:rsidRPr="008310DB">
        <w:rPr>
          <w:rFonts w:ascii="Calibri" w:eastAsia="仿宋_GB2312" w:hAnsi="Calibri" w:cs="Calibri" w:hint="eastAsia"/>
          <w:sz w:val="28"/>
          <w:szCs w:val="28"/>
        </w:rPr>
        <w:t>报告日期：</w:t>
      </w:r>
      <w:r w:rsidRPr="008310DB">
        <w:rPr>
          <w:rFonts w:ascii="Calibri" w:eastAsia="仿宋_GB2312" w:hAnsi="Calibri" w:cs="Calibri" w:hint="eastAsia"/>
          <w:sz w:val="28"/>
          <w:szCs w:val="28"/>
        </w:rPr>
        <w:t xml:space="preserve">2022 </w:t>
      </w:r>
      <w:r w:rsidRPr="008310DB">
        <w:rPr>
          <w:rFonts w:ascii="Calibri" w:eastAsia="仿宋_GB2312" w:hAnsi="Calibri" w:cs="Calibri" w:hint="eastAsia"/>
          <w:sz w:val="28"/>
          <w:szCs w:val="28"/>
        </w:rPr>
        <w:t>年</w:t>
      </w:r>
      <w:r w:rsidRPr="008310DB">
        <w:rPr>
          <w:rFonts w:ascii="Calibri" w:eastAsia="仿宋_GB2312" w:hAnsi="Calibri" w:cs="Calibri" w:hint="eastAsia"/>
          <w:sz w:val="28"/>
          <w:szCs w:val="28"/>
        </w:rPr>
        <w:t xml:space="preserve"> 4</w:t>
      </w:r>
      <w:r w:rsidRPr="008310DB">
        <w:rPr>
          <w:rFonts w:ascii="Calibri" w:eastAsia="仿宋_GB2312" w:hAnsi="Calibri" w:cs="Calibri" w:hint="eastAsia"/>
          <w:sz w:val="28"/>
          <w:szCs w:val="28"/>
        </w:rPr>
        <w:t>月</w:t>
      </w:r>
      <w:r w:rsidRPr="008310DB">
        <w:rPr>
          <w:rFonts w:ascii="Calibri" w:eastAsia="仿宋_GB2312" w:hAnsi="Calibri" w:cs="Calibri" w:hint="eastAsia"/>
          <w:sz w:val="28"/>
          <w:szCs w:val="28"/>
        </w:rPr>
        <w:t xml:space="preserve"> 20 </w:t>
      </w:r>
      <w:r w:rsidRPr="008310DB">
        <w:rPr>
          <w:rFonts w:ascii="Calibri" w:eastAsia="仿宋_GB2312" w:hAnsi="Calibri" w:cs="Calibri" w:hint="eastAsia"/>
          <w:sz w:val="28"/>
          <w:szCs w:val="28"/>
        </w:rPr>
        <w:t>日</w:t>
      </w: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</w:pPr>
      <w:r w:rsidRPr="008310DB">
        <w:rPr>
          <w:rFonts w:ascii="Calibri" w:eastAsia="仿宋_GB2312" w:hAnsi="Calibri" w:cs="Calibri" w:hint="eastAsia"/>
          <w:sz w:val="28"/>
          <w:szCs w:val="28"/>
        </w:rPr>
        <w:t>临湘市财政局（制）</w:t>
      </w:r>
    </w:p>
    <w:p w:rsidR="008310DB" w:rsidRPr="008310DB" w:rsidRDefault="008310DB" w:rsidP="008310DB">
      <w:pPr>
        <w:spacing w:beforeLines="50" w:before="301" w:line="348" w:lineRule="auto"/>
        <w:ind w:firstLineChars="150" w:firstLine="414"/>
        <w:jc w:val="center"/>
        <w:rPr>
          <w:rFonts w:ascii="Calibri" w:eastAsia="仿宋_GB2312" w:hAnsi="Calibri" w:cs="Calibri"/>
          <w:sz w:val="28"/>
          <w:szCs w:val="28"/>
        </w:rPr>
        <w:sectPr w:rsidR="008310DB" w:rsidRPr="008310DB">
          <w:footerReference w:type="even" r:id="rId7"/>
          <w:pgSz w:w="11906" w:h="16838"/>
          <w:pgMar w:top="1701" w:right="1417" w:bottom="1701" w:left="1417" w:header="851" w:footer="992" w:gutter="0"/>
          <w:pgNumType w:fmt="numberInDash" w:start="8"/>
          <w:cols w:space="720"/>
          <w:docGrid w:type="linesAndChars" w:linePitch="602" w:charSpace="-782"/>
        </w:sectPr>
      </w:pPr>
    </w:p>
    <w:tbl>
      <w:tblPr>
        <w:tblW w:w="10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59"/>
        <w:gridCol w:w="425"/>
        <w:gridCol w:w="975"/>
        <w:gridCol w:w="343"/>
        <w:gridCol w:w="248"/>
        <w:gridCol w:w="452"/>
        <w:gridCol w:w="678"/>
      </w:tblGrid>
      <w:tr w:rsidR="008310DB" w:rsidRPr="008310DB" w:rsidTr="00E25234">
        <w:trPr>
          <w:trHeight w:val="567"/>
        </w:trPr>
        <w:tc>
          <w:tcPr>
            <w:tcW w:w="10237" w:type="dxa"/>
            <w:gridSpan w:val="18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1"/>
              </w:rPr>
            </w:pPr>
            <w:r w:rsidRPr="008310DB"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8310DB" w:rsidRPr="008310DB" w:rsidTr="00E25234">
        <w:trPr>
          <w:trHeight w:val="567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联系人</w:t>
            </w:r>
          </w:p>
        </w:tc>
        <w:tc>
          <w:tcPr>
            <w:tcW w:w="3799" w:type="dxa"/>
            <w:gridSpan w:val="6"/>
            <w:vAlign w:val="center"/>
          </w:tcPr>
          <w:p w:rsidR="008310DB" w:rsidRPr="008310DB" w:rsidRDefault="008310DB" w:rsidP="008310DB">
            <w:pPr>
              <w:spacing w:beforeLines="50" w:before="156" w:line="348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许芳</w:t>
            </w:r>
          </w:p>
        </w:tc>
        <w:tc>
          <w:tcPr>
            <w:tcW w:w="279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联络电话</w:t>
            </w:r>
          </w:p>
        </w:tc>
        <w:tc>
          <w:tcPr>
            <w:tcW w:w="172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15074016785</w:t>
            </w:r>
          </w:p>
        </w:tc>
      </w:tr>
      <w:tr w:rsidR="008310DB" w:rsidRPr="008310DB" w:rsidTr="00E25234">
        <w:trPr>
          <w:trHeight w:val="567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人员编制</w:t>
            </w:r>
          </w:p>
        </w:tc>
        <w:tc>
          <w:tcPr>
            <w:tcW w:w="3799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9</w:t>
            </w:r>
          </w:p>
        </w:tc>
        <w:tc>
          <w:tcPr>
            <w:tcW w:w="279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实有人数</w:t>
            </w:r>
          </w:p>
        </w:tc>
        <w:tc>
          <w:tcPr>
            <w:tcW w:w="172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13</w:t>
            </w:r>
          </w:p>
        </w:tc>
      </w:tr>
      <w:tr w:rsidR="008310DB" w:rsidRPr="008310DB" w:rsidTr="00E25234">
        <w:trPr>
          <w:trHeight w:val="2676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职能职责概述</w:t>
            </w:r>
          </w:p>
        </w:tc>
        <w:tc>
          <w:tcPr>
            <w:tcW w:w="8319" w:type="dxa"/>
            <w:gridSpan w:val="1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负责原商业局所属企业改制扫尾、管理商业国有资产、维护系统大局稳定、具体承办城区生猪定点屠宰业务以及完成市委、市政府交办的其他工作。</w:t>
            </w:r>
          </w:p>
        </w:tc>
      </w:tr>
      <w:tr w:rsidR="008310DB" w:rsidRPr="008310DB" w:rsidTr="00E25234">
        <w:trPr>
          <w:trHeight w:val="2942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2021年本单位如期完成了年初制订的各项目标任务。中心获评全市社会综合治理先进单位，下属企业常安商厦获评“两优一先”先进基层党支部。</w:t>
            </w:r>
          </w:p>
        </w:tc>
      </w:tr>
      <w:tr w:rsidR="008310DB" w:rsidRPr="008310DB" w:rsidTr="00E25234">
        <w:trPr>
          <w:trHeight w:val="715"/>
        </w:trPr>
        <w:tc>
          <w:tcPr>
            <w:tcW w:w="10237" w:type="dxa"/>
            <w:gridSpan w:val="18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1"/>
              </w:rPr>
            </w:pPr>
            <w:r w:rsidRPr="008310DB"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8310DB" w:rsidRPr="008310DB" w:rsidTr="00E25234">
        <w:trPr>
          <w:trHeight w:val="567"/>
        </w:trPr>
        <w:tc>
          <w:tcPr>
            <w:tcW w:w="10237" w:type="dxa"/>
            <w:gridSpan w:val="18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1"/>
              </w:rPr>
              <w:t>年度收入情况（万元）</w:t>
            </w:r>
          </w:p>
        </w:tc>
      </w:tr>
      <w:tr w:rsidR="008310DB" w:rsidRPr="008310DB" w:rsidTr="00E25234">
        <w:trPr>
          <w:trHeight w:val="567"/>
        </w:trPr>
        <w:tc>
          <w:tcPr>
            <w:tcW w:w="1392" w:type="dxa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其中：</w:t>
            </w:r>
          </w:p>
        </w:tc>
      </w:tr>
      <w:tr w:rsidR="008310DB" w:rsidRPr="008310DB" w:rsidTr="00E25234">
        <w:trPr>
          <w:trHeight w:val="567"/>
        </w:trPr>
        <w:tc>
          <w:tcPr>
            <w:tcW w:w="1392" w:type="dxa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上年结转</w:t>
            </w:r>
          </w:p>
        </w:tc>
        <w:tc>
          <w:tcPr>
            <w:tcW w:w="145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公共财政拨款</w:t>
            </w:r>
          </w:p>
        </w:tc>
        <w:tc>
          <w:tcPr>
            <w:tcW w:w="1617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政府基金拨款</w:t>
            </w:r>
          </w:p>
        </w:tc>
        <w:tc>
          <w:tcPr>
            <w:tcW w:w="2050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纳入专户管理的非税收入拨款</w:t>
            </w:r>
          </w:p>
        </w:tc>
        <w:tc>
          <w:tcPr>
            <w:tcW w:w="113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其他收入</w:t>
            </w:r>
          </w:p>
        </w:tc>
      </w:tr>
      <w:tr w:rsidR="008310DB" w:rsidRPr="008310DB" w:rsidTr="00E25234">
        <w:trPr>
          <w:trHeight w:val="482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617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050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567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617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050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567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050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567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050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0237" w:type="dxa"/>
            <w:gridSpan w:val="18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1"/>
              </w:rPr>
              <w:t>部门（单位）年度支出和结余情况（万元）</w:t>
            </w: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Merge w:val="restart"/>
            <w:vAlign w:val="center"/>
          </w:tcPr>
          <w:p w:rsidR="008310DB" w:rsidRPr="008310DB" w:rsidRDefault="008310DB" w:rsidP="008310DB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lastRenderedPageBreak/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结余</w:t>
            </w: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累计结余</w:t>
            </w: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人员支出</w:t>
            </w: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公用支出</w:t>
            </w:r>
          </w:p>
        </w:tc>
        <w:tc>
          <w:tcPr>
            <w:tcW w:w="13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678" w:type="dxa"/>
            <w:vMerge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164.54</w:t>
            </w: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29.12</w:t>
            </w:r>
          </w:p>
        </w:tc>
        <w:tc>
          <w:tcPr>
            <w:tcW w:w="1318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193.66</w:t>
            </w: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164.54</w:t>
            </w: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29.12</w:t>
            </w:r>
          </w:p>
        </w:tc>
        <w:tc>
          <w:tcPr>
            <w:tcW w:w="1318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700" w:type="dxa"/>
            <w:gridSpan w:val="2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Merge w:val="restart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三公经费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其中：</w:t>
            </w: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公务接待费</w:t>
            </w: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公务用车运维费</w:t>
            </w: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公务用车购置费</w:t>
            </w:r>
          </w:p>
        </w:tc>
        <w:tc>
          <w:tcPr>
            <w:tcW w:w="2696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因公出国费</w:t>
            </w: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0.42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0.42</w:t>
            </w: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696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0.42</w:t>
            </w: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0.42</w:t>
            </w: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696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696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33" w:type="dxa"/>
            <w:gridSpan w:val="2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696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Merge w:val="restart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固定资产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其他</w:t>
            </w: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26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出租固定资产</w:t>
            </w:r>
          </w:p>
        </w:tc>
        <w:tc>
          <w:tcPr>
            <w:tcW w:w="137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22.3</w:t>
            </w: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22.3</w:t>
            </w:r>
          </w:p>
        </w:tc>
        <w:tc>
          <w:tcPr>
            <w:tcW w:w="3118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22.3</w:t>
            </w: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22.3</w:t>
            </w:r>
          </w:p>
        </w:tc>
        <w:tc>
          <w:tcPr>
            <w:tcW w:w="3118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624"/>
        </w:trPr>
        <w:tc>
          <w:tcPr>
            <w:tcW w:w="1392" w:type="dxa"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sz w:val="24"/>
                <w:szCs w:val="21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3084" w:type="dxa"/>
            <w:gridSpan w:val="6"/>
            <w:tcBorders>
              <w:left w:val="single" w:sz="4" w:space="0" w:color="auto"/>
            </w:tcBorders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</w:tr>
      <w:tr w:rsidR="008310DB" w:rsidRPr="008310DB" w:rsidTr="00E25234">
        <w:trPr>
          <w:trHeight w:val="786"/>
        </w:trPr>
        <w:tc>
          <w:tcPr>
            <w:tcW w:w="10237" w:type="dxa"/>
            <w:gridSpan w:val="18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1"/>
              </w:rPr>
            </w:pPr>
            <w:r w:rsidRPr="008310DB"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lastRenderedPageBreak/>
              <w:t>三、部门（单位）整体支出绩效自评情况</w:t>
            </w:r>
          </w:p>
        </w:tc>
      </w:tr>
      <w:tr w:rsidR="008310DB" w:rsidRPr="008310DB" w:rsidTr="00E25234">
        <w:trPr>
          <w:trHeight w:val="567"/>
        </w:trPr>
        <w:tc>
          <w:tcPr>
            <w:tcW w:w="1441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预期目标</w:t>
            </w:r>
          </w:p>
        </w:tc>
        <w:tc>
          <w:tcPr>
            <w:tcW w:w="4520" w:type="dxa"/>
            <w:gridSpan w:val="9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实际完成</w:t>
            </w:r>
          </w:p>
        </w:tc>
      </w:tr>
      <w:tr w:rsidR="008310DB" w:rsidRPr="008310DB" w:rsidTr="00E25234">
        <w:trPr>
          <w:trHeight w:val="90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4276" w:type="dxa"/>
            <w:gridSpan w:val="7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目标1：全系统完成资产经营收入600万元。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目标2：抓好争资减负，确保正常运转。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目标3：抓好新屠宰生产运营，完成定点屠宰生猪3万头，保障出厂肉品质量安全。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目标4：强化维稳措施和责任，确保无安全事故、越级上访和群体性事件发生。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目标5：完成市委、市政府下达的工作任务。</w:t>
            </w:r>
          </w:p>
        </w:tc>
        <w:tc>
          <w:tcPr>
            <w:tcW w:w="4520" w:type="dxa"/>
            <w:gridSpan w:val="9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555555"/>
                <w:kern w:val="0"/>
                <w:sz w:val="24"/>
                <w:szCs w:val="24"/>
              </w:rPr>
              <w:t>目</w:t>
            </w: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标1：资产收入有效提高，年内全系统实现租金收入650万元。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目标2：2021年，全系统通过各种渠道对外争资72万元。其中常安、友骅、今胜三家公司“双联”争资66万元，欣盛肉食品公司争资6万元；减负方面，年内偿还职工历史集资款20万元。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目标3：全年完成定点屠宰生猪3.3万头，“放心肉”平稳供应。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4：一是调处矛盾纠纷。接访处访20余次，信访回复率100%，无越级上访和群体性事件发生；二是落实安全责任。全年排查整改安全隐患5个，投入资金3万元更换过期消防设施20处，整改老化线路140米，发放安全生产提醒函300余份，安全事故零发生。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目标5：一是疫情防控紧抓不放。加强商场门店常态化防控力度和人员流入流出管理；积极推动疫苗接种落地落实，基本做到应接尽接。二是乡村振兴务求实效。走访慰问坦渡镇联合村帮扶对象，送去帮扶资金和物资共计1万多元，资助该村乡村振兴发展资金7万元，争取项目资金5万元。与其他后盾单位齐心协力，投资20万元打造了余家、集体两个亮点屋场，新厕改96个全部安装入户。三是文明法治持续推进。共组织开展交通文明劝导12次，参与全市周末大扫除50余次；全力支持全市平安法治建设，组织干部职工开展《宪法》、《民法典》等法律知识培训，深入开展“两反”宣传，与全体干部职工签订承诺</w:t>
            </w: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lastRenderedPageBreak/>
              <w:t>书，国家“反诈”中心app注册安装率100%。</w:t>
            </w:r>
          </w:p>
        </w:tc>
      </w:tr>
      <w:tr w:rsidR="008310DB" w:rsidRPr="008310DB" w:rsidTr="00E25234">
        <w:trPr>
          <w:trHeight w:val="822"/>
        </w:trPr>
        <w:tc>
          <w:tcPr>
            <w:tcW w:w="1441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lastRenderedPageBreak/>
              <w:t>整体支出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绩效定量目标及实施计划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完成情况</w:t>
            </w:r>
          </w:p>
        </w:tc>
        <w:tc>
          <w:tcPr>
            <w:tcW w:w="2966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评价内容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绩效目标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完成情况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产出目标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质量指标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指标1：定点屠宰场“非洲猪瘟”、“瘦肉精”检测应检尽检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指标2：屠宰场问题生猪无害化处理率100%。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数量指标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指标1：全系统实现资产经营收入600万元。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61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指标2：屠宰场完成定屠宰生猪3万头。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时效指标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指标1：来信来访接访回复及时准确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指标2：年内消化历史集资款20万元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指标3:6月底前完成企业支部换届选举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成本指标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指标1：严格将开支控制在预算成本内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454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指标2：严格控制“三公经费”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1220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效益目标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（预期实现的效益）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社会效益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指标1：加强社会主义核心价值观宣传，营造爱党爱国氛围。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1279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指标2：加强所属门店疫情防控常态化措施督促检查，保障公众健康安全。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995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经济效益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指标1：全系统实现资产经营收入600万元。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995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指标2：屠宰场完成定屠宰生猪3万头，实现屠宰</w:t>
            </w: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lastRenderedPageBreak/>
              <w:t>经营收入300万元。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lastRenderedPageBreak/>
              <w:t>达标</w:t>
            </w:r>
          </w:p>
        </w:tc>
      </w:tr>
      <w:tr w:rsidR="008310DB" w:rsidRPr="008310DB" w:rsidTr="00E25234">
        <w:trPr>
          <w:trHeight w:val="995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生态效益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指标1：完成市政府规定的年度植树绿化任务。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995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指标2：完成定点屠宰场锅炉煤改电升级改造。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1195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社会公众或服务对象满意度</w:t>
            </w: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指标1：完成南正街原酱粉厂门禁改造，确保院内住户进出安全。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1195"/>
        </w:trPr>
        <w:tc>
          <w:tcPr>
            <w:tcW w:w="1441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49" w:type="dxa"/>
            <w:gridSpan w:val="3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70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Calibri" w:eastAsia="宋体" w:hAnsi="Calibri" w:cs="Calibri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指标2：资产租赁户服务满意率达到98%。</w:t>
            </w:r>
          </w:p>
        </w:tc>
        <w:tc>
          <w:tcPr>
            <w:tcW w:w="3121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达标</w:t>
            </w:r>
          </w:p>
        </w:tc>
      </w:tr>
      <w:tr w:rsidR="008310DB" w:rsidRPr="008310DB" w:rsidTr="00E25234">
        <w:trPr>
          <w:trHeight w:val="567"/>
        </w:trPr>
        <w:tc>
          <w:tcPr>
            <w:tcW w:w="2990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绩效自评综合得分</w:t>
            </w:r>
          </w:p>
        </w:tc>
        <w:tc>
          <w:tcPr>
            <w:tcW w:w="7247" w:type="dxa"/>
            <w:gridSpan w:val="1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98</w:t>
            </w:r>
          </w:p>
        </w:tc>
      </w:tr>
      <w:tr w:rsidR="008310DB" w:rsidRPr="008310DB" w:rsidTr="00E25234">
        <w:trPr>
          <w:trHeight w:val="567"/>
        </w:trPr>
        <w:tc>
          <w:tcPr>
            <w:tcW w:w="2990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评价等次</w:t>
            </w:r>
          </w:p>
        </w:tc>
        <w:tc>
          <w:tcPr>
            <w:tcW w:w="7247" w:type="dxa"/>
            <w:gridSpan w:val="1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优</w:t>
            </w:r>
          </w:p>
        </w:tc>
      </w:tr>
      <w:tr w:rsidR="008310DB" w:rsidRPr="008310DB" w:rsidTr="00E25234">
        <w:trPr>
          <w:trHeight w:val="680"/>
        </w:trPr>
        <w:tc>
          <w:tcPr>
            <w:tcW w:w="10237" w:type="dxa"/>
            <w:gridSpan w:val="18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1"/>
              </w:rPr>
            </w:pPr>
            <w:r w:rsidRPr="008310DB">
              <w:rPr>
                <w:rFonts w:ascii="黑体" w:eastAsia="黑体" w:hAnsi="黑体" w:cs="黑体" w:hint="eastAsia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 w:rsidR="008310DB" w:rsidRPr="008310DB" w:rsidTr="00E25234">
        <w:trPr>
          <w:trHeight w:val="567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姓  名</w:t>
            </w:r>
          </w:p>
        </w:tc>
        <w:tc>
          <w:tcPr>
            <w:tcW w:w="3799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职务/职称</w:t>
            </w:r>
          </w:p>
        </w:tc>
        <w:tc>
          <w:tcPr>
            <w:tcW w:w="279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单  位</w:t>
            </w:r>
          </w:p>
        </w:tc>
        <w:tc>
          <w:tcPr>
            <w:tcW w:w="172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签  字</w:t>
            </w:r>
          </w:p>
        </w:tc>
      </w:tr>
      <w:tr w:rsidR="008310DB" w:rsidRPr="008310DB" w:rsidTr="00E25234">
        <w:trPr>
          <w:trHeight w:val="680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宋耀祖</w:t>
            </w:r>
          </w:p>
        </w:tc>
        <w:tc>
          <w:tcPr>
            <w:tcW w:w="3799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副总经理</w:t>
            </w:r>
          </w:p>
        </w:tc>
        <w:tc>
          <w:tcPr>
            <w:tcW w:w="279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商业事务管理中心</w:t>
            </w:r>
          </w:p>
        </w:tc>
        <w:tc>
          <w:tcPr>
            <w:tcW w:w="172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宋耀祖</w:t>
            </w:r>
          </w:p>
        </w:tc>
      </w:tr>
      <w:tr w:rsidR="008310DB" w:rsidRPr="008310DB" w:rsidTr="00E25234">
        <w:trPr>
          <w:trHeight w:val="680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杨瓒</w:t>
            </w:r>
          </w:p>
        </w:tc>
        <w:tc>
          <w:tcPr>
            <w:tcW w:w="3799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办公室主任</w:t>
            </w:r>
          </w:p>
        </w:tc>
        <w:tc>
          <w:tcPr>
            <w:tcW w:w="279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商业事务管理中心</w:t>
            </w:r>
          </w:p>
        </w:tc>
        <w:tc>
          <w:tcPr>
            <w:tcW w:w="172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杨瓒</w:t>
            </w:r>
          </w:p>
        </w:tc>
      </w:tr>
      <w:tr w:rsidR="008310DB" w:rsidRPr="008310DB" w:rsidTr="00E25234">
        <w:trPr>
          <w:trHeight w:val="680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胡智</w:t>
            </w:r>
          </w:p>
        </w:tc>
        <w:tc>
          <w:tcPr>
            <w:tcW w:w="3799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财务股长</w:t>
            </w:r>
          </w:p>
        </w:tc>
        <w:tc>
          <w:tcPr>
            <w:tcW w:w="279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商业事务管理中心</w:t>
            </w:r>
          </w:p>
        </w:tc>
        <w:tc>
          <w:tcPr>
            <w:tcW w:w="172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胡智</w:t>
            </w:r>
          </w:p>
        </w:tc>
      </w:tr>
      <w:tr w:rsidR="008310DB" w:rsidRPr="008310DB" w:rsidTr="00E25234">
        <w:trPr>
          <w:trHeight w:val="680"/>
        </w:trPr>
        <w:tc>
          <w:tcPr>
            <w:tcW w:w="1918" w:type="dxa"/>
            <w:gridSpan w:val="3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许芳</w:t>
            </w:r>
          </w:p>
        </w:tc>
        <w:tc>
          <w:tcPr>
            <w:tcW w:w="3799" w:type="dxa"/>
            <w:gridSpan w:val="6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会计</w:t>
            </w:r>
          </w:p>
        </w:tc>
        <w:tc>
          <w:tcPr>
            <w:tcW w:w="2799" w:type="dxa"/>
            <w:gridSpan w:val="5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商业事务管理中心</w:t>
            </w:r>
          </w:p>
        </w:tc>
        <w:tc>
          <w:tcPr>
            <w:tcW w:w="1721" w:type="dxa"/>
            <w:gridSpan w:val="4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许芳</w:t>
            </w:r>
          </w:p>
        </w:tc>
      </w:tr>
      <w:tr w:rsidR="008310DB" w:rsidRPr="008310DB" w:rsidTr="00E25234">
        <w:trPr>
          <w:trHeight w:val="2327"/>
        </w:trPr>
        <w:tc>
          <w:tcPr>
            <w:tcW w:w="10237" w:type="dxa"/>
            <w:gridSpan w:val="18"/>
            <w:vAlign w:val="center"/>
          </w:tcPr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评价组组长（签字）：</w:t>
            </w:r>
          </w:p>
          <w:p w:rsidR="008310DB" w:rsidRPr="008310DB" w:rsidRDefault="008310DB" w:rsidP="008310DB">
            <w:pPr>
              <w:tabs>
                <w:tab w:val="left" w:pos="1072"/>
              </w:tabs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同意</w:t>
            </w:r>
          </w:p>
          <w:p w:rsidR="008310DB" w:rsidRPr="008310DB" w:rsidRDefault="008310DB" w:rsidP="008310DB">
            <w:pPr>
              <w:tabs>
                <w:tab w:val="left" w:pos="7566"/>
              </w:tabs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宋耀祖</w:t>
            </w:r>
          </w:p>
          <w:p w:rsidR="008310DB" w:rsidRPr="008310DB" w:rsidRDefault="008310DB" w:rsidP="008310DB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</w:rPr>
              <w:t>2022 年4月20日</w:t>
            </w:r>
          </w:p>
        </w:tc>
      </w:tr>
    </w:tbl>
    <w:p w:rsidR="008310DB" w:rsidRPr="008310DB" w:rsidRDefault="008310DB" w:rsidP="008310DB">
      <w:pPr>
        <w:spacing w:line="440" w:lineRule="exact"/>
        <w:jc w:val="center"/>
        <w:rPr>
          <w:rFonts w:ascii="Calibri" w:eastAsia="仿宋_GB2312" w:hAnsi="Calibri" w:cs="Calibri"/>
          <w:sz w:val="24"/>
          <w:szCs w:val="21"/>
        </w:rPr>
      </w:pPr>
      <w:bookmarkStart w:id="0" w:name="_GoBack"/>
      <w:bookmarkEnd w:id="0"/>
      <w:r w:rsidRPr="008310DB">
        <w:rPr>
          <w:rFonts w:ascii="Calibri" w:eastAsia="仿宋_GB2312" w:hAnsi="Calibri" w:cs="Calibri" w:hint="eastAsia"/>
          <w:sz w:val="24"/>
          <w:szCs w:val="21"/>
        </w:rPr>
        <w:t>填报人（签名）：许芳</w:t>
      </w:r>
      <w:r w:rsidRPr="008310DB">
        <w:rPr>
          <w:rFonts w:ascii="Calibri" w:eastAsia="仿宋_GB2312" w:hAnsi="Calibri" w:cs="Calibri" w:hint="eastAsia"/>
          <w:sz w:val="24"/>
          <w:szCs w:val="21"/>
        </w:rPr>
        <w:t xml:space="preserve">                          </w:t>
      </w:r>
      <w:r w:rsidRPr="008310DB">
        <w:rPr>
          <w:rFonts w:ascii="Calibri" w:eastAsia="仿宋_GB2312" w:hAnsi="Calibri" w:cs="Calibri" w:hint="eastAsia"/>
          <w:sz w:val="24"/>
          <w:szCs w:val="21"/>
        </w:rPr>
        <w:t>联系电话：</w:t>
      </w:r>
      <w:r w:rsidRPr="008310DB">
        <w:rPr>
          <w:rFonts w:ascii="Calibri" w:eastAsia="仿宋_GB2312" w:hAnsi="Calibri" w:cs="Calibri" w:hint="eastAsia"/>
          <w:sz w:val="24"/>
          <w:szCs w:val="21"/>
        </w:rPr>
        <w:t>15074016785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2"/>
      </w:tblGrid>
      <w:tr w:rsidR="008310DB" w:rsidRPr="008310DB" w:rsidTr="00E25234">
        <w:trPr>
          <w:trHeight w:val="12998"/>
        </w:trPr>
        <w:tc>
          <w:tcPr>
            <w:tcW w:w="10422" w:type="dxa"/>
          </w:tcPr>
          <w:p w:rsidR="008310DB" w:rsidRPr="008310DB" w:rsidRDefault="008310DB" w:rsidP="008310DB">
            <w:pPr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8310DB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8310DB" w:rsidRPr="008310DB" w:rsidRDefault="008310DB" w:rsidP="008310DB">
            <w:pPr>
              <w:spacing w:line="440" w:lineRule="exact"/>
              <w:ind w:firstLineChars="200" w:firstLine="640"/>
              <w:jc w:val="center"/>
              <w:rPr>
                <w:rFonts w:ascii="Calibri" w:eastAsia="仿宋_GB2312" w:hAnsi="Calibri" w:cs="Calibri"/>
                <w:sz w:val="32"/>
                <w:szCs w:val="32"/>
              </w:rPr>
            </w:pPr>
          </w:p>
          <w:p w:rsidR="008310DB" w:rsidRPr="008310DB" w:rsidRDefault="008310DB" w:rsidP="008310DB">
            <w:pPr>
              <w:numPr>
                <w:ilvl w:val="0"/>
                <w:numId w:val="1"/>
              </w:numPr>
              <w:snapToGrid w:val="0"/>
              <w:spacing w:line="46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8310DB">
              <w:rPr>
                <w:rFonts w:ascii="黑体" w:eastAsia="黑体" w:hAnsi="黑体" w:cs="黑体" w:hint="eastAsia"/>
                <w:bCs/>
                <w:sz w:val="28"/>
                <w:szCs w:val="28"/>
              </w:rPr>
              <w:t>部门（单位）概况</w:t>
            </w:r>
          </w:p>
          <w:p w:rsidR="008310DB" w:rsidRPr="008310DB" w:rsidRDefault="008310DB" w:rsidP="008310DB">
            <w:pPr>
              <w:spacing w:line="440" w:lineRule="exact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一）部门（单位）基本情况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: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商业事务管理中心归属于市商务粮食局二级机构。主要职能是负责原商业局所属企业改制扫尾、管理商业国有资产、维护系统大局稳定、具体承办城区生猪定点屠宰业务以及完成市委、市政府交办的其他工作。机关内设科室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7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个，分别为财务股、人事股、业务股、综治办、党建办、办公室、老干办。在职人员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13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人，退休职工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21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人。机关全额财政事业编制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7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人，自筹事业编制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2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人，临聘人员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4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人。主要收入来源为两块，一是财政拨款，二是从附属单位收取管理费。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84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8310DB" w:rsidRPr="008310DB" w:rsidRDefault="008310DB" w:rsidP="008310DB">
            <w:pPr>
              <w:spacing w:line="40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8310DB"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8310DB" w:rsidRPr="008310DB" w:rsidRDefault="008310DB" w:rsidP="008310DB">
            <w:pPr>
              <w:spacing w:line="440" w:lineRule="exact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（一）基本支出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2021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年度支出合计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193.66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万元。其中：工资福利支出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 xml:space="preserve"> 164.54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万元，占基本支出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85%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；商品和服务支出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 xml:space="preserve"> 29.12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万元，占基本支出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15%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。</w:t>
            </w:r>
          </w:p>
          <w:p w:rsidR="008310DB" w:rsidRPr="008310DB" w:rsidRDefault="008310DB" w:rsidP="008310DB">
            <w:pPr>
              <w:numPr>
                <w:ilvl w:val="0"/>
                <w:numId w:val="2"/>
              </w:numPr>
              <w:spacing w:line="440" w:lineRule="exact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专项支出：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本单位无专项支出。</w:t>
            </w:r>
          </w:p>
          <w:p w:rsidR="008310DB" w:rsidRPr="008310DB" w:rsidRDefault="008310DB" w:rsidP="008310DB">
            <w:pPr>
              <w:spacing w:line="440" w:lineRule="exact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（三）“三公”经费使用情况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2021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年我单位三公经费共支出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0.42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万元，同比上年支出下降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 xml:space="preserve"> 14.37%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。其中公务接待费支出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0.42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万元，同比上年支出持平；公车用车购置及运行维护费支出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0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万元；因公出国费支出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0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万元。我单位严格落实中央八项规定和省委、市委九项规定，厉行节约，进一步规范了三公经费使用管理，有效减少了三公经费支出。</w:t>
            </w:r>
          </w:p>
          <w:p w:rsidR="008310DB" w:rsidRPr="008310DB" w:rsidRDefault="008310DB" w:rsidP="008310DB">
            <w:pPr>
              <w:spacing w:line="440" w:lineRule="exact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（四）结转结余情况：</w:t>
            </w:r>
          </w:p>
          <w:p w:rsidR="008310DB" w:rsidRPr="008310DB" w:rsidRDefault="008310DB" w:rsidP="008310DB">
            <w:pPr>
              <w:spacing w:line="440" w:lineRule="exact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本单位无结转结余。</w:t>
            </w:r>
          </w:p>
          <w:p w:rsidR="008310DB" w:rsidRPr="008310DB" w:rsidRDefault="008310DB" w:rsidP="008310DB">
            <w:pPr>
              <w:spacing w:line="40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8310DB"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三、部门（单位）专项组织实施情况：无</w:t>
            </w:r>
          </w:p>
          <w:p w:rsidR="008310DB" w:rsidRPr="008310DB" w:rsidRDefault="008310DB" w:rsidP="008310DB">
            <w:pPr>
              <w:snapToGrid w:val="0"/>
              <w:spacing w:line="46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 w:rsidRPr="008310DB"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2021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年，根据机关年初工作规划和重点工作安排，围绕市委、市政府的工作部署，积极履行职责，强化管理，较好的完成了年度工作目标任务。通过加强预算收支管理，不断建立健全内部管理制度，梳理内部管理流程，部门整体支出管理情况得到有效提升。具体绩效情况如下：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（一）本年预算配置控制较好，支出总额控制在预算总额以内，本年部门预算未进行预算相关事项的调整。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（二）“三公”经费总体控制较好，没有超出本年预算和上年决算支出。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lastRenderedPageBreak/>
              <w:t>（三）预算管理方面，制度执行总体较为有效，无论是在资金，还是在支出模式、支出结构上，都严格管理，较好地完成了年初绩效预算的目标。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（四）资产管理方面，建立了资产管理制度，定期进行了盘点和资产清理，总体执行较好。</w:t>
            </w:r>
          </w:p>
          <w:p w:rsidR="008310DB" w:rsidRPr="008310DB" w:rsidRDefault="008310DB" w:rsidP="008310DB">
            <w:pPr>
              <w:spacing w:line="440" w:lineRule="exact"/>
              <w:ind w:firstLineChars="300" w:firstLine="72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</w:p>
          <w:p w:rsidR="008310DB" w:rsidRPr="008310DB" w:rsidRDefault="008310DB" w:rsidP="008310DB">
            <w:pPr>
              <w:widowControl/>
              <w:numPr>
                <w:ilvl w:val="0"/>
                <w:numId w:val="3"/>
              </w:numPr>
              <w:spacing w:line="46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8310DB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存在的主要问题</w:t>
            </w:r>
          </w:p>
          <w:p w:rsidR="008310DB" w:rsidRPr="008310DB" w:rsidRDefault="008310DB" w:rsidP="008310DB">
            <w:pPr>
              <w:spacing w:line="440" w:lineRule="exact"/>
              <w:ind w:firstLineChars="200" w:firstLine="48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（一）部门绩效管理不够科学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 xml:space="preserve"> 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，有的绩效目标的设定和各项指标的理解、认识不到位，导致绩效目标不明确、不够细化、不够量化，缺乏可衡量性和可实现性。</w:t>
            </w:r>
          </w:p>
          <w:p w:rsidR="008310DB" w:rsidRPr="008310DB" w:rsidRDefault="008310DB" w:rsidP="008310DB">
            <w:pPr>
              <w:spacing w:line="440" w:lineRule="exact"/>
              <w:ind w:firstLineChars="200" w:firstLine="48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（二）管理措施不够到位，个别绩效管理资料收集整理没有得到有效落实，致使绩效评价资料收集不全面、不完整、不及时。</w:t>
            </w:r>
          </w:p>
          <w:p w:rsidR="008310DB" w:rsidRPr="008310DB" w:rsidRDefault="008310DB" w:rsidP="008310DB">
            <w:pPr>
              <w:widowControl/>
              <w:spacing w:line="460" w:lineRule="exact"/>
              <w:ind w:firstLineChars="200" w:firstLine="560"/>
              <w:jc w:val="center"/>
              <w:rPr>
                <w:rFonts w:ascii="黑体" w:eastAsia="黑体" w:hAnsi="黑体" w:cs="黑体"/>
                <w:bCs/>
                <w:kern w:val="0"/>
                <w:sz w:val="28"/>
                <w:szCs w:val="28"/>
              </w:rPr>
            </w:pPr>
            <w:r w:rsidRPr="008310DB"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</w:rPr>
              <w:t>六、改进措施和有关建议</w:t>
            </w:r>
          </w:p>
          <w:p w:rsidR="008310DB" w:rsidRPr="008310DB" w:rsidRDefault="008310DB" w:rsidP="008310DB">
            <w:pPr>
              <w:spacing w:line="440" w:lineRule="exact"/>
              <w:ind w:firstLineChars="200" w:firstLine="56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一）科学合理编制预算，严格执行预算</w:t>
            </w:r>
          </w:p>
          <w:p w:rsidR="008310DB" w:rsidRPr="008310DB" w:rsidRDefault="008310DB" w:rsidP="008310DB">
            <w:pPr>
              <w:spacing w:line="440" w:lineRule="exact"/>
              <w:ind w:firstLineChars="200" w:firstLine="48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加强预算编制的前瞻性，按照新《预算法》及其实施条例的相关规定，按政策规定及本部门的发展规划，结合上一年度预算执行情况和本年度预算收支变化因素，科学、合理地编制本年预算草案。</w:t>
            </w:r>
          </w:p>
          <w:p w:rsidR="008310DB" w:rsidRPr="008310DB" w:rsidRDefault="008310DB" w:rsidP="008310DB">
            <w:pPr>
              <w:spacing w:line="440" w:lineRule="exact"/>
              <w:ind w:firstLineChars="200" w:firstLine="480"/>
              <w:jc w:val="center"/>
              <w:rPr>
                <w:rFonts w:ascii="Calibri" w:eastAsia="仿宋_GB2312" w:hAnsi="Calibri" w:cs="Calibri"/>
                <w:sz w:val="24"/>
                <w:szCs w:val="21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（二）完善管理制度，进一步加强资产管理</w:t>
            </w:r>
          </w:p>
          <w:p w:rsidR="008310DB" w:rsidRPr="008310DB" w:rsidRDefault="008310DB" w:rsidP="008310DB">
            <w:pPr>
              <w:spacing w:line="44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严格按照《固定资产管理办法》的规定加强固定资产管理，及时登记、更新台账，加强资产</w:t>
            </w:r>
            <w:r w:rsidRPr="008310DB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卡</w:t>
            </w:r>
            <w:r w:rsidRPr="008310DB">
              <w:rPr>
                <w:rFonts w:ascii="Calibri" w:eastAsia="仿宋_GB2312" w:hAnsi="Calibri" w:cs="Calibri" w:hint="eastAsia"/>
                <w:sz w:val="24"/>
                <w:szCs w:val="21"/>
              </w:rPr>
              <w:t>片管理，对各类实物资产进行全面盘点，固定资产登记细化到科室。</w:t>
            </w:r>
          </w:p>
          <w:p w:rsidR="008310DB" w:rsidRPr="008310DB" w:rsidRDefault="008310DB" w:rsidP="008310DB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8310DB" w:rsidRPr="008310DB" w:rsidRDefault="008310DB" w:rsidP="008310DB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8310DB" w:rsidRPr="008310DB" w:rsidRDefault="008310DB" w:rsidP="008310DB">
            <w:pPr>
              <w:jc w:val="center"/>
              <w:rPr>
                <w:rFonts w:ascii="Calibri" w:eastAsia="楷体_GB2312" w:hAnsi="Calibri" w:cs="Calibri"/>
                <w:bCs/>
                <w:sz w:val="28"/>
                <w:szCs w:val="28"/>
              </w:rPr>
            </w:pPr>
          </w:p>
        </w:tc>
      </w:tr>
    </w:tbl>
    <w:p w:rsidR="00E14603" w:rsidRPr="008310DB" w:rsidRDefault="00E14603" w:rsidP="008310DB">
      <w:pPr>
        <w:jc w:val="center"/>
      </w:pPr>
    </w:p>
    <w:sectPr w:rsidR="00E14603" w:rsidRPr="00831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3F" w:rsidRDefault="008E0B3F" w:rsidP="008310DB">
      <w:r>
        <w:separator/>
      </w:r>
    </w:p>
  </w:endnote>
  <w:endnote w:type="continuationSeparator" w:id="0">
    <w:p w:rsidR="008E0B3F" w:rsidRDefault="008E0B3F" w:rsidP="0083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0DB" w:rsidRDefault="008310DB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- 15 -</w:t>
    </w:r>
    <w:r>
      <w:fldChar w:fldCharType="end"/>
    </w:r>
  </w:p>
  <w:p w:rsidR="008310DB" w:rsidRDefault="008310DB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3F" w:rsidRDefault="008E0B3F" w:rsidP="008310DB">
      <w:r>
        <w:separator/>
      </w:r>
    </w:p>
  </w:footnote>
  <w:footnote w:type="continuationSeparator" w:id="0">
    <w:p w:rsidR="008E0B3F" w:rsidRDefault="008E0B3F" w:rsidP="0083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1E9C8D"/>
    <w:multiLevelType w:val="singleLevel"/>
    <w:tmpl w:val="FF1E9C8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FCA873B"/>
    <w:multiLevelType w:val="singleLevel"/>
    <w:tmpl w:val="1FCA873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31A3E5C0"/>
    <w:multiLevelType w:val="singleLevel"/>
    <w:tmpl w:val="31A3E5C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A0"/>
    <w:rsid w:val="008310DB"/>
    <w:rsid w:val="008E0B3F"/>
    <w:rsid w:val="00927DBB"/>
    <w:rsid w:val="009E1FAA"/>
    <w:rsid w:val="00C60BA0"/>
    <w:rsid w:val="00E1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9854F2-AFBC-4D72-9911-91507849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0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0DB"/>
    <w:rPr>
      <w:sz w:val="18"/>
      <w:szCs w:val="18"/>
    </w:rPr>
  </w:style>
  <w:style w:type="character" w:styleId="a5">
    <w:name w:val="page number"/>
    <w:uiPriority w:val="99"/>
    <w:qFormat/>
    <w:rsid w:val="008310DB"/>
    <w:rPr>
      <w:rFonts w:cs="Times New Roman"/>
    </w:rPr>
  </w:style>
  <w:style w:type="character" w:styleId="a6">
    <w:name w:val="annotation reference"/>
    <w:uiPriority w:val="99"/>
    <w:semiHidden/>
    <w:unhideWhenUsed/>
    <w:rsid w:val="008310D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8310DB"/>
    <w:pPr>
      <w:jc w:val="left"/>
    </w:pPr>
    <w:rPr>
      <w:rFonts w:ascii="Calibri" w:eastAsia="宋体" w:hAnsi="Calibri" w:cs="Calibri"/>
      <w:szCs w:val="21"/>
    </w:rPr>
  </w:style>
  <w:style w:type="character" w:customStyle="1" w:styleId="Char1">
    <w:name w:val="批注文字 Char"/>
    <w:basedOn w:val="a0"/>
    <w:link w:val="a7"/>
    <w:uiPriority w:val="99"/>
    <w:semiHidden/>
    <w:rsid w:val="008310DB"/>
    <w:rPr>
      <w:rFonts w:ascii="Calibri" w:eastAsia="宋体" w:hAnsi="Calibri" w:cs="Calibri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8310D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31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571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杨宏平</dc:creator>
  <cp:keywords/>
  <dc:description/>
  <cp:lastModifiedBy>杨宏平</cp:lastModifiedBy>
  <cp:revision>3</cp:revision>
  <dcterms:created xsi:type="dcterms:W3CDTF">2023-07-11T03:43:00Z</dcterms:created>
  <dcterms:modified xsi:type="dcterms:W3CDTF">2023-07-15T08:56:00Z</dcterms:modified>
</cp:coreProperties>
</file>