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48" w:lineRule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>
      <w:pPr>
        <w:spacing w:beforeLines="0" w:afterLines="0" w:line="348" w:lineRule="auto"/>
        <w:jc w:val="center"/>
        <w:rPr>
          <w:rFonts w:hint="eastAsia" w:ascii="Times New Roman" w:hAnsi="Times New Roman" w:eastAsia="方正小标宋简体"/>
          <w:sz w:val="42"/>
          <w:szCs w:val="24"/>
        </w:rPr>
      </w:pPr>
    </w:p>
    <w:p>
      <w:pPr>
        <w:spacing w:beforeLines="0" w:afterLines="0" w:line="800" w:lineRule="exact"/>
        <w:jc w:val="center"/>
        <w:rPr>
          <w:rFonts w:hint="eastAsia" w:ascii="Times New Roman" w:hAnsi="Times New Roman" w:eastAsia="方正小标宋简体"/>
          <w:spacing w:val="-20"/>
          <w:sz w:val="46"/>
          <w:szCs w:val="24"/>
        </w:rPr>
      </w:pPr>
      <w:r>
        <w:rPr>
          <w:rFonts w:hint="eastAsia" w:ascii="Times New Roman" w:hAnsi="Times New Roman" w:eastAsia="方正小标宋简体"/>
          <w:spacing w:val="-20"/>
          <w:sz w:val="46"/>
          <w:szCs w:val="24"/>
        </w:rPr>
        <w:t>临湘市20</w:t>
      </w:r>
      <w:r>
        <w:rPr>
          <w:rFonts w:hint="eastAsia" w:ascii="Times New Roman" w:hAnsi="Times New Roman" w:eastAsia="方正小标宋简体"/>
          <w:spacing w:val="-20"/>
          <w:sz w:val="46"/>
          <w:szCs w:val="24"/>
          <w:u w:val="single"/>
        </w:rPr>
        <w:t xml:space="preserve"> 21</w:t>
      </w:r>
      <w:r>
        <w:rPr>
          <w:rFonts w:hint="eastAsia" w:ascii="Times New Roman" w:hAnsi="Times New Roman" w:eastAsia="方正小标宋简体"/>
          <w:spacing w:val="-20"/>
          <w:sz w:val="46"/>
          <w:szCs w:val="24"/>
        </w:rPr>
        <w:t>年度部门（单位）整体支出</w:t>
      </w:r>
    </w:p>
    <w:p>
      <w:pPr>
        <w:spacing w:beforeLines="0" w:afterLines="0" w:line="800" w:lineRule="exact"/>
        <w:jc w:val="center"/>
        <w:rPr>
          <w:rFonts w:hint="eastAsia" w:ascii="Times New Roman" w:hAnsi="Times New Roman" w:eastAsia="方正小标宋简体"/>
          <w:sz w:val="46"/>
          <w:szCs w:val="24"/>
        </w:rPr>
      </w:pPr>
      <w:r>
        <w:rPr>
          <w:rFonts w:hint="eastAsia" w:ascii="Times New Roman" w:hAnsi="Times New Roman" w:eastAsia="方正小标宋简体"/>
          <w:sz w:val="46"/>
          <w:szCs w:val="24"/>
        </w:rPr>
        <w:t>绩效评价自评报告</w:t>
      </w:r>
    </w:p>
    <w:p>
      <w:pPr>
        <w:spacing w:beforeLines="0" w:afterLines="0"/>
        <w:rPr>
          <w:rFonts w:hint="eastAsia" w:ascii="Times New Roman" w:hAnsi="Times New Roman" w:eastAsia="仿宋_GB2312"/>
          <w:b/>
          <w:sz w:val="32"/>
          <w:szCs w:val="24"/>
        </w:rPr>
      </w:pPr>
    </w:p>
    <w:p>
      <w:pPr>
        <w:spacing w:beforeLines="0" w:afterLines="0"/>
        <w:rPr>
          <w:rFonts w:hint="eastAsia" w:ascii="Times New Roman" w:hAnsi="Times New Roman" w:eastAsia="仿宋_GB2312"/>
          <w:b/>
          <w:sz w:val="32"/>
          <w:szCs w:val="24"/>
        </w:rPr>
      </w:pPr>
    </w:p>
    <w:p>
      <w:pPr>
        <w:spacing w:beforeLines="0" w:afterLines="0"/>
        <w:rPr>
          <w:rFonts w:hint="eastAsia" w:ascii="Times New Roman" w:hAnsi="Times New Roman" w:eastAsia="仿宋_GB2312"/>
          <w:b/>
          <w:sz w:val="32"/>
          <w:szCs w:val="24"/>
        </w:rPr>
      </w:pPr>
    </w:p>
    <w:p>
      <w:pPr>
        <w:spacing w:before="301" w:beforeLines="50" w:afterLines="0" w:line="348" w:lineRule="auto"/>
        <w:ind w:firstLine="476" w:firstLineChars="150"/>
        <w:rPr>
          <w:rFonts w:hint="eastAsia" w:ascii="Times New Roman" w:hAnsi="Times New Roman" w:eastAsia="仿宋_GB2312"/>
          <w:sz w:val="32"/>
          <w:szCs w:val="24"/>
          <w:u w:val="single"/>
        </w:rPr>
      </w:pPr>
      <w:r>
        <w:rPr>
          <w:rFonts w:hint="eastAsia" w:ascii="Times New Roman" w:hAnsi="Times New Roman" w:eastAsia="仿宋_GB2312"/>
          <w:sz w:val="32"/>
          <w:szCs w:val="24"/>
        </w:rPr>
        <w:t>部门(单位)名称</w:t>
      </w:r>
      <w:r>
        <w:rPr>
          <w:rFonts w:hint="eastAsia" w:ascii="Times New Roman" w:hAnsi="Times New Roman" w:eastAsia="仿宋_GB2312"/>
          <w:sz w:val="32"/>
          <w:szCs w:val="24"/>
          <w:u w:val="single"/>
        </w:rPr>
        <w:t xml:space="preserve">    临湘高新技术产业开发区管理委员会     </w:t>
      </w:r>
    </w:p>
    <w:p>
      <w:pPr>
        <w:spacing w:before="301" w:beforeLines="50" w:afterLines="0" w:line="348" w:lineRule="auto"/>
        <w:ind w:firstLine="476" w:firstLineChars="150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评价方式：</w:t>
      </w:r>
      <w:r>
        <w:rPr>
          <w:rFonts w:hint="eastAsia" w:ascii="Times New Roman" w:hAnsi="Times New Roman" w:eastAsia="仿宋_GB2312"/>
          <w:sz w:val="28"/>
          <w:szCs w:val="24"/>
        </w:rPr>
        <w:t>部门（单位）绩效自评</w:t>
      </w:r>
    </w:p>
    <w:p>
      <w:pPr>
        <w:spacing w:before="301" w:beforeLines="50" w:afterLines="0" w:line="348" w:lineRule="auto"/>
        <w:ind w:firstLine="476" w:firstLineChars="150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评价机构：</w:t>
      </w:r>
      <w:r>
        <w:rPr>
          <w:rFonts w:hint="eastAsia" w:ascii="Times New Roman" w:hAnsi="Times New Roman" w:eastAsia="仿宋_GB2312"/>
          <w:sz w:val="28"/>
          <w:szCs w:val="24"/>
        </w:rPr>
        <w:t xml:space="preserve">部门（单位）评价组   </w:t>
      </w:r>
    </w:p>
    <w:p>
      <w:pPr>
        <w:spacing w:beforeLines="0" w:afterLines="0" w:line="348" w:lineRule="auto"/>
        <w:ind w:firstLine="2188" w:firstLineChars="690"/>
        <w:rPr>
          <w:rFonts w:hint="eastAsia" w:ascii="Times New Roman" w:hAnsi="Times New Roman" w:eastAsia="仿宋_GB2312"/>
          <w:sz w:val="32"/>
          <w:szCs w:val="24"/>
        </w:rPr>
      </w:pPr>
    </w:p>
    <w:p>
      <w:pPr>
        <w:spacing w:beforeLines="0" w:afterLines="0" w:line="348" w:lineRule="auto"/>
        <w:ind w:firstLine="2188" w:firstLineChars="690"/>
        <w:rPr>
          <w:rFonts w:hint="eastAsia" w:ascii="Times New Roman" w:hAnsi="Times New Roman" w:eastAsia="仿宋_GB2312"/>
          <w:sz w:val="32"/>
          <w:szCs w:val="24"/>
        </w:rPr>
      </w:pPr>
    </w:p>
    <w:p>
      <w:pPr>
        <w:spacing w:beforeLines="0" w:afterLines="0" w:line="348" w:lineRule="auto"/>
        <w:ind w:firstLine="2188" w:firstLineChars="690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报告日期：2022 年 9 月 2 日</w:t>
      </w:r>
    </w:p>
    <w:p>
      <w:pPr>
        <w:autoSpaceDN w:val="0"/>
        <w:spacing w:beforeLines="0" w:afterLines="0"/>
        <w:jc w:val="center"/>
        <w:textAlignment w:val="center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临湘市财政局（制）</w:t>
      </w:r>
    </w:p>
    <w:p>
      <w:pPr>
        <w:autoSpaceDN w:val="0"/>
        <w:spacing w:beforeLines="0" w:afterLines="0"/>
        <w:jc w:val="center"/>
        <w:textAlignment w:val="center"/>
        <w:rPr>
          <w:rFonts w:hint="eastAsia" w:ascii="Times New Roman" w:hAnsi="Times New Roman" w:eastAsia="仿宋_GB2312"/>
          <w:sz w:val="32"/>
          <w:szCs w:val="24"/>
        </w:rPr>
        <w:sectPr>
          <w:pgSz w:w="11906" w:h="16838"/>
          <w:pgMar w:top="1701" w:right="1417" w:bottom="1701" w:left="1417" w:header="851" w:footer="992" w:gutter="0"/>
          <w:lnNumType w:countBy="0" w:distance="36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4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477"/>
        <w:gridCol w:w="43"/>
        <w:gridCol w:w="1029"/>
        <w:gridCol w:w="366"/>
        <w:gridCol w:w="1051"/>
        <w:gridCol w:w="270"/>
        <w:gridCol w:w="14"/>
        <w:gridCol w:w="1515"/>
        <w:gridCol w:w="910"/>
        <w:gridCol w:w="425"/>
        <w:gridCol w:w="975"/>
        <w:gridCol w:w="343"/>
        <w:gridCol w:w="512"/>
        <w:gridCol w:w="188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刘星魁</w:t>
            </w:r>
          </w:p>
        </w:tc>
        <w:tc>
          <w:tcPr>
            <w:tcW w:w="3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联络电话</w:t>
            </w:r>
          </w:p>
        </w:tc>
        <w:tc>
          <w:tcPr>
            <w:tcW w:w="1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0730-3891188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人员编制</w:t>
            </w:r>
          </w:p>
        </w:tc>
        <w:tc>
          <w:tcPr>
            <w:tcW w:w="2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实有人数</w:t>
            </w:r>
          </w:p>
        </w:tc>
        <w:tc>
          <w:tcPr>
            <w:tcW w:w="1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职能职责概述</w:t>
            </w:r>
          </w:p>
        </w:tc>
        <w:tc>
          <w:tcPr>
            <w:tcW w:w="831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(一)负责贯彻执行党和国家关于高新区的方针政策、法律法规和决策部署。(二)负责研究拟订和组织实施临湘高新区重大发展战略、发展规划和工作计划。(三)按照临湘市国土空间总体规划和产业发展规划要求及相关权限，负责统筹建设发展空间布局；负责拟订临湘高新区发展规划、产业布局、产业政策、项目准入标准等重要事项并组织实施(四)负责临湘高新区招商引资工作，组织对外经济技术合作与交流：负责临湘高新区基础设施、公用事业、重大项目等建设管理相关工作。(五)负责临湘高新区优化营商环境工作，根据权限依法承担有关行政审批工作，履行行政审批服务职责；负责构建临湘高新区创新创业服务体系，协助企业做好人才引进和服务工作。(六)负责临湘高新区的科技创新和高新技术产业管理和创服务，开展有关科技创新和高新技术产业政策研究，构建技术新服务体系。指导区内企业建立现代化企业制度，推进高新技术产业化、国际化。(七)负责临湘高新区党的建设和“两新”组织党建工作。(八)根据有关要求和职责分工,承担临湘高新区综合管理、统计、审计、信息、安全生产监督管理、生态环境保护、财政收支管理及国有资产管理等工作。(九)根据授权,负责对临湘高新区管理范围内的自然资源、生态环境、公安、税务等派驻机构的工作予以指导、监督和协调。(十)承办市委、市政府交办的其他事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1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年度主要工作内容</w:t>
            </w:r>
          </w:p>
        </w:tc>
        <w:tc>
          <w:tcPr>
            <w:tcW w:w="831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一、深化与港区联动合作。二、推进化工企业搬迁退出。三、推动基础设施建设。四、加快项目招商落地，优化营商环境。五、机制改革纵深推进。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5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一、经济运行总体平稳。2021年，完成技工贸总收入334.13亿元；规模工业增加值87.25亿元；高新技术产业营业收入238.32亿元；主导产业营业收入213.25亿元；固定资产投资64.74亿元，同比增长37.99%；进出口总额3.03亿元，同比增长45%；实缴税收3.2亿元，同比增长106.55%。固定资产投资、进出口总额和税收增幅等经济指数在岳阳市排名前三。</w:t>
            </w:r>
          </w:p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二、年底考核全面争先。岳阳市省级园区高质量发展综合绩效考核排名第三；获评临湘市红旗单位、“突出贡献奖”。</w:t>
            </w:r>
          </w:p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三、企业发展有质效。池海浮标钓具、东祥油脂、远瑞机械3家高新区企业荣获湖南省“小巨人”企业称号，五鑫工程塑料企业荣获“国家级高新技术企业”，实现了“十四五”良好开局。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收入合计</w:t>
            </w:r>
          </w:p>
        </w:tc>
        <w:tc>
          <w:tcPr>
            <w:tcW w:w="6881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上年结转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公共财政拨款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政府基金拨款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纳入专户管理的非税收入拨款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70" w:hRule="atLeast"/>
        </w:trPr>
        <w:tc>
          <w:tcPr>
            <w:tcW w:w="1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临湘高新技术产业开发区管理委员会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23067.10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1343.00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10483.38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11240.72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9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机构名称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支出合计</w:t>
            </w:r>
          </w:p>
        </w:tc>
        <w:tc>
          <w:tcPr>
            <w:tcW w:w="5503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其中：</w:t>
            </w:r>
          </w:p>
        </w:tc>
        <w:tc>
          <w:tcPr>
            <w:tcW w:w="13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9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基本支出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9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人员支出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20" w:hRule="atLeast"/>
        </w:trPr>
        <w:tc>
          <w:tcPr>
            <w:tcW w:w="1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临湘高新技术产业开发区管理委员会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23067.10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767.02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565.29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201.73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22300.08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0.00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9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三公经费</w:t>
            </w:r>
          </w:p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881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9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公务接待费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公务用车运维费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公务用车购置费</w:t>
            </w:r>
          </w:p>
        </w:tc>
        <w:tc>
          <w:tcPr>
            <w:tcW w:w="2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12" w:hRule="atLeast"/>
        </w:trPr>
        <w:tc>
          <w:tcPr>
            <w:tcW w:w="1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临湘高新技术产业开发区管理委员会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13.50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5.60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0.00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9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固定资产</w:t>
            </w:r>
          </w:p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50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9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在用固定资产</w:t>
            </w:r>
          </w:p>
        </w:tc>
        <w:tc>
          <w:tcPr>
            <w:tcW w:w="2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75" w:hRule="atLeast"/>
        </w:trPr>
        <w:tc>
          <w:tcPr>
            <w:tcW w:w="1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临湘高新技术产业开发区管理委员会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469.66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469.66</w:t>
            </w:r>
          </w:p>
        </w:tc>
        <w:tc>
          <w:tcPr>
            <w:tcW w:w="2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整体支出绩效定性目标及实施计划完成情况</w:t>
            </w:r>
          </w:p>
        </w:tc>
        <w:tc>
          <w:tcPr>
            <w:tcW w:w="3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5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目标1：推进企业经济运行平稳发展。</w:t>
            </w:r>
          </w:p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目标2：园区年底考核全面争先。</w:t>
            </w:r>
          </w:p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目标3：推动企业发展有质效。</w:t>
            </w:r>
          </w:p>
        </w:tc>
        <w:tc>
          <w:tcPr>
            <w:tcW w:w="5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1.2021年，完成技工贸总收入334.13亿元；规模工业增加值87.25亿元；高新技术产业营业收入238.32亿元；主导产业营业收入213.25亿元；固定资产投资64.74亿元，同比增长37.99%；进出口总额3.03亿元，同比增长45%；实缴税收3.2亿元，同比增长106.55%。固定资产投资、进出口总额和税收增幅等经济指数在岳阳市排名前三。</w:t>
            </w:r>
          </w:p>
          <w:p>
            <w:pPr>
              <w:numPr>
                <w:ilvl w:val="0"/>
                <w:numId w:val="1"/>
              </w:num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年底考核全面争先。岳阳市省级园区高质量发展综合绩效考核排名第三；获评临湘市红旗单位、“突出贡献奖”。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3.企业发展有质效。池海浮标钓具、东祥油脂、远瑞机械3家高新区企业荣获湖南省“小巨人”企业称号，五鑫工程塑料企业荣获“国家级高新技术企业”，实现了“十四五”良好开局。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整体支出</w:t>
            </w:r>
          </w:p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绩效定量目标及实施计划</w:t>
            </w:r>
          </w:p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完成情况</w:t>
            </w:r>
          </w:p>
        </w:tc>
        <w:tc>
          <w:tcPr>
            <w:tcW w:w="29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绩效目标</w:t>
            </w:r>
          </w:p>
        </w:tc>
        <w:tc>
          <w:tcPr>
            <w:tcW w:w="3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产出目标</w:t>
            </w:r>
          </w:p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推进企业经济运行稳中向好</w:t>
            </w:r>
          </w:p>
        </w:tc>
        <w:tc>
          <w:tcPr>
            <w:tcW w:w="3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完成技工贸总收入334.13亿元；规模工业增加值87.25亿元；高新技术产业营业收入238.32亿元；主导产业营业收入213.25亿元；固定资产投资64.74亿元，同比增长37.99%；进出口总额3.03亿元，同比增长45%；实缴税收3.2亿元，同比增长106.55%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推进沿江化工企业退出</w:t>
            </w:r>
          </w:p>
        </w:tc>
        <w:tc>
          <w:tcPr>
            <w:tcW w:w="3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2021年已退出12家，并通过省市验收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4"/>
                <w:shd w:val="clear" w:color="auto" w:fill="FFFFFF"/>
              </w:rPr>
              <w:t>根据绩效考核文件及时完成目标</w:t>
            </w:r>
          </w:p>
        </w:tc>
        <w:tc>
          <w:tcPr>
            <w:tcW w:w="3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控制在预算内</w:t>
            </w:r>
          </w:p>
        </w:tc>
        <w:tc>
          <w:tcPr>
            <w:tcW w:w="3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控制在预算内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效益目标</w:t>
            </w:r>
          </w:p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深化园区赋权改革</w:t>
            </w:r>
          </w:p>
        </w:tc>
        <w:tc>
          <w:tcPr>
            <w:tcW w:w="3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实现“园区事园区办”、“一件事一次办”，为企业、项目快速落地园区打造了园区特色的全链条闭环审批模式，助推临湘“五好”园区建设。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专项资金得到有效利用</w:t>
            </w:r>
          </w:p>
        </w:tc>
        <w:tc>
          <w:tcPr>
            <w:tcW w:w="3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财政资金专款专用，无挤占、挪用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保护环境、确保生产安全</w:t>
            </w:r>
          </w:p>
        </w:tc>
        <w:tc>
          <w:tcPr>
            <w:tcW w:w="3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环境得到有效保护，生产安全防范措施得当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公众满意度好</w:t>
            </w:r>
          </w:p>
        </w:tc>
        <w:tc>
          <w:tcPr>
            <w:tcW w:w="3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公众满意度好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绩效自评综合得分</w:t>
            </w:r>
          </w:p>
        </w:tc>
        <w:tc>
          <w:tcPr>
            <w:tcW w:w="72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评价等次</w:t>
            </w:r>
          </w:p>
        </w:tc>
        <w:tc>
          <w:tcPr>
            <w:tcW w:w="72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3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1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柳勇</w:t>
            </w:r>
          </w:p>
        </w:tc>
        <w:tc>
          <w:tcPr>
            <w:tcW w:w="2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党工委书记</w:t>
            </w:r>
          </w:p>
        </w:tc>
        <w:tc>
          <w:tcPr>
            <w:tcW w:w="3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临湘高新技术产业开发区管理委员会</w:t>
            </w:r>
          </w:p>
        </w:tc>
        <w:tc>
          <w:tcPr>
            <w:tcW w:w="1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沈正东</w:t>
            </w:r>
          </w:p>
        </w:tc>
        <w:tc>
          <w:tcPr>
            <w:tcW w:w="2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纪工委书记</w:t>
            </w:r>
          </w:p>
        </w:tc>
        <w:tc>
          <w:tcPr>
            <w:tcW w:w="3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临湘高新技术产业开发区管理委员会</w:t>
            </w:r>
          </w:p>
        </w:tc>
        <w:tc>
          <w:tcPr>
            <w:tcW w:w="1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戴新</w:t>
            </w:r>
          </w:p>
        </w:tc>
        <w:tc>
          <w:tcPr>
            <w:tcW w:w="2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综合部部长</w:t>
            </w:r>
          </w:p>
        </w:tc>
        <w:tc>
          <w:tcPr>
            <w:tcW w:w="3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临湘高新技术产业开发区管理委员会</w:t>
            </w:r>
          </w:p>
        </w:tc>
        <w:tc>
          <w:tcPr>
            <w:tcW w:w="1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邓建祥</w:t>
            </w:r>
          </w:p>
        </w:tc>
        <w:tc>
          <w:tcPr>
            <w:tcW w:w="2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党建办主任</w:t>
            </w:r>
          </w:p>
        </w:tc>
        <w:tc>
          <w:tcPr>
            <w:tcW w:w="3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临湘高新技术产业开发区管理委员会</w:t>
            </w:r>
          </w:p>
        </w:tc>
        <w:tc>
          <w:tcPr>
            <w:tcW w:w="1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填报人（签名）：       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五、评价报告综述（文字部分）</w:t>
            </w:r>
          </w:p>
          <w:p>
            <w:pPr>
              <w:spacing w:beforeLines="0" w:afterLines="0" w:line="440" w:lineRule="exact"/>
              <w:ind w:firstLine="644" w:firstLineChars="200"/>
              <w:rPr>
                <w:rFonts w:hint="eastAsia" w:ascii="Times New Roman" w:hAnsi="Times New Roman" w:eastAsia="仿宋_GB2312"/>
                <w:sz w:val="32"/>
                <w:szCs w:val="24"/>
              </w:rPr>
            </w:pP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一、部门（单位）概况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（一）部门（单位）基本情况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临湘高新技术产业开发区管理委员会实有人员编制45人，在职在编实有人数45人。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能职责：负责贯彻执行党和国家关于高新区的方针政策、法律法规和决策部署；负责研究拟订和组织实施临湘高新区重大发展战略、发展规划和工作计划；按照临湘市国土空间总体规划和产业发展规划要求及相关权限，负责统筹建设发展空间布局；负责拟订临湘高新区发展规划、产业布局、产业政策、项目准入标准等重要事项并组织实施；负责临湘高新区招商引资工作，组织对外经济技术合作与交流：负责临湘高新区基础设施、公用事业、重大项目等建设管理相关工作；负责临湘高新区优化营商环境工作，根据权限依法承担有关行政审批工作，履行行政审批服务职责；负责构建临湘高新区创新创业服务体系，协助企业做好人才引进和服务工作；负责临湘高新区的科技创新和高新技术产业管理和创服务，开展有关科技创新和高新技术产业政策研究，构建技术新服务体系。指导区内企业建立现代化企业制度，推进高新技术产业化、国际化；负责临湘高新区党的建设和“两新”组织党建工作；根据有关要求和职责分工,承担临湘高新区综合管理、统计、审计、信息、安全生产监督管理、生态环境保护、财政收支管理及国有资产管理等工作；根据授权,负责对临湘高新区管理范围内的自然资源、生态环境、公安、税务等派驻机构的工作予以指导、监督和协调；承办市委、市政府交办的其他事项。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内设5个机构：综合管理部、产业发展部、安全环保部、经济合作部、开发建设部；设置3个事业单位：三湾产业发展服务中心、滨江产业发展服务中心、科技创业服务中心；财政局派驻财政机构：财务管理中心。</w:t>
            </w:r>
          </w:p>
          <w:p>
            <w:pPr>
              <w:numPr>
                <w:ilvl w:val="0"/>
                <w:numId w:val="2"/>
              </w:num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部门（单位）整体支出规模、使用方向和主要内容、涉及范围等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临湘高新技术产业开发区管理委员会2021年全年支出23067.1万元。一般公共服务支出为10547.74万元，科学技术支出900万元，社会保障和就业支出44.94万元，城乡社区支出3470.41万元，住房保障支出33.7万元，其他支出8070.31万元。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（一）基本支出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临湘高新技术产业开发区管理委员会2021年基本支出为767.02万元。其中:人员经费565.29万元，占基本支出的73.7%，公用经费201.73万元，占基本支出的26.3%。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年度“三公”经费财政拨款支出中，因公出国（境）费支出0万元，公务用车购置费及运行维护费支出5.6万元，公务接待费支出13.5万元。比预算少，主要是认真贯彻落实中央“八项规定”精神和厉行节约要求，从严控制“三公”经费开支。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（二）专项支出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1、专项资金安排落实、总投入等情况分析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临湘高新技术产业开发区管理委员会2021年专项支出为22300.08万元。主要是产业扶持资金及基础设施建设项目的投入。</w:t>
            </w:r>
          </w:p>
          <w:p>
            <w:pPr>
              <w:numPr>
                <w:ilvl w:val="0"/>
                <w:numId w:val="3"/>
              </w:num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专项资金实际使用情况分析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临湘高新技术产业开发区管理委员会2021年专项支出为22300.08万元。其中：一般公共服务支出为9859.36万元，科学技术支出900万元，城乡社区支出3470.41万元，其他支出8070.31万元。</w:t>
            </w:r>
          </w:p>
          <w:p>
            <w:pPr>
              <w:numPr>
                <w:ilvl w:val="0"/>
                <w:numId w:val="3"/>
              </w:num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专项资金管理情况分析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针对项目资金的使用，制定了管理制度，专款专用，严格执行预算，严格按规定程序管理和使用项目资金。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三、部门（单位）专项组织实施情况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（一）专项组织情况分析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严格按专项资金的用途进行专款专用，严格执行招投标、调整并进行竣工验收。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（二）专项管理情况分析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在使用专项资金时，严格执行专项资使用制度和财务制度，同时对各项专项资金的使用流程进行监督，定时查看财务报表检查专项资金使用情况。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四、部门（单位）整体支出绩效情况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我单位基本支出和项目支出严格控制在预算内，本着节约成本的宗旨，开展各项工作，工作情况完成良好。三公经费严格控制开支，未超预算。2021年项目实施基本完成任务，并及时完成验收。</w:t>
            </w:r>
          </w:p>
          <w:p>
            <w:pPr>
              <w:numPr>
                <w:ilvl w:val="0"/>
                <w:numId w:val="4"/>
              </w:numPr>
              <w:spacing w:beforeLines="0" w:afterLines="0" w:line="400" w:lineRule="exact"/>
              <w:ind w:firstLine="564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存在的主要问题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应进一步完善健全管理制度，项目实施需加快推进；另外，预算项目资金的安排和使用具有不可预见性，存在不确定性因素，从而影响预算资金使用效率。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六、改进措施和有关建议</w:t>
            </w:r>
          </w:p>
          <w:p>
            <w:pPr>
              <w:spacing w:beforeLines="0" w:afterLines="0" w:line="400" w:lineRule="exact"/>
              <w:ind w:firstLine="564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进一步控制项目经费支出，在确保各项任务完成的同时，力争降低成本。</w:t>
            </w:r>
          </w:p>
          <w:p>
            <w:pPr>
              <w:spacing w:beforeLines="0" w:afterLines="0"/>
              <w:rPr>
                <w:rFonts w:hint="default" w:ascii="Times New Roman" w:hAnsi="Times New Roman" w:eastAsia="楷体_GB2312"/>
                <w:sz w:val="28"/>
                <w:szCs w:val="24"/>
              </w:rPr>
            </w:pPr>
          </w:p>
        </w:tc>
      </w:tr>
    </w:tbl>
    <w:p/>
    <w:sectPr>
      <w:pgSz w:w="11905" w:h="16838"/>
      <w:pgMar w:top="1587" w:right="850" w:bottom="1587" w:left="850" w:header="850" w:footer="850" w:gutter="0"/>
      <w:lnNumType w:countBy="0" w:distance="360"/>
      <w:cols w:space="0" w:num="1"/>
      <w:rtlGutter w:val="0"/>
      <w:docGrid w:type="linesAndChars" w:linePitch="575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58E88"/>
    <w:multiLevelType w:val="multilevel"/>
    <w:tmpl w:val="85758E88"/>
    <w:lvl w:ilvl="0" w:tentative="0">
      <w:start w:val="2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BA70CE54"/>
    <w:multiLevelType w:val="multilevel"/>
    <w:tmpl w:val="BA70CE54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BAB7FC90"/>
    <w:multiLevelType w:val="multilevel"/>
    <w:tmpl w:val="BAB7FC90"/>
    <w:lvl w:ilvl="0" w:tentative="0">
      <w:start w:val="5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79DA0C95"/>
    <w:multiLevelType w:val="multilevel"/>
    <w:tmpl w:val="79DA0C95"/>
    <w:lvl w:ilvl="0" w:tentative="0">
      <w:start w:val="2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6"/>
  <w:drawingGridVerticalSpacing w:val="288"/>
  <w:displayHorizontalDrawingGridEvery w:val="2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ZDYyZDM5NzViNDRiNjg2ZGZhNDQwOWI3ODU0ZTEifQ=="/>
  </w:docVars>
  <w:rsids>
    <w:rsidRoot w:val="00172A27"/>
    <w:rsid w:val="0E48057E"/>
    <w:rsid w:val="28E5170B"/>
    <w:rsid w:val="53E90B8E"/>
    <w:rsid w:val="567400AB"/>
    <w:rsid w:val="5A0F369E"/>
    <w:rsid w:val="6B266C8A"/>
    <w:rsid w:val="7E69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Times New Roman" w:hAnsi="Times New Roman" w:eastAsia="黑体"/>
      <w:snapToGrid w:val="0"/>
      <w:kern w:val="0"/>
      <w:sz w:val="18"/>
      <w:szCs w:val="24"/>
    </w:rPr>
  </w:style>
  <w:style w:type="character" w:styleId="6">
    <w:name w:val="page number"/>
    <w:basedOn w:val="5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3858</Words>
  <Characters>4230</Characters>
  <Lines>0</Lines>
  <Paragraphs>0</Paragraphs>
  <TotalTime>76</TotalTime>
  <ScaleCrop>false</ScaleCrop>
  <LinksUpToDate>false</LinksUpToDate>
  <CharactersWithSpaces>4280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2023-03-24T02:58:00Z</dcterms:created>
  <dc:creator>Administrator</dc:creator>
  <cp:lastModifiedBy>Administrator</cp:lastModifiedBy>
  <dcterms:modified xsi:type="dcterms:W3CDTF">2023-07-19T09:28:20Z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FB3D197139214B8C9F6F1AD358B55EDB_13</vt:lpwstr>
  </property>
</Properties>
</file>