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简体" w:eastAsia="方正小标宋简体"/>
          <w:b/>
          <w:sz w:val="24"/>
          <w:szCs w:val="24"/>
        </w:rPr>
      </w:pP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ascii="方正小标宋简体" w:eastAsia="方正小标宋简体"/>
          <w:b/>
          <w:sz w:val="52"/>
          <w:szCs w:val="52"/>
        </w:rPr>
        <w:t>临湘市</w:t>
      </w:r>
      <w:r>
        <w:rPr>
          <w:rFonts w:hint="eastAsia" w:ascii="方正小标宋简体" w:eastAsia="方正小标宋简体"/>
          <w:b/>
          <w:sz w:val="52"/>
          <w:szCs w:val="52"/>
        </w:rPr>
        <w:t>2021年度自然资源局</w:t>
      </w: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部门整体支出</w:t>
      </w:r>
    </w:p>
    <w:p>
      <w:pPr>
        <w:jc w:val="center"/>
        <w:rPr>
          <w:rFonts w:hint="eastAsia" w:ascii="华文行楷" w:eastAsia="华文行楷"/>
          <w:b/>
          <w:sz w:val="72"/>
          <w:szCs w:val="7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绩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效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评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价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报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告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湖南公众会计师事务所有限公司绩效评价工作小组</w:t>
      </w:r>
    </w:p>
    <w:p>
      <w:pPr>
        <w:spacing w:before="156" w:beforeLines="50" w:after="156" w:afterLines="50" w:line="360" w:lineRule="auto"/>
        <w:ind w:left="-424" w:leftChars="-200"/>
        <w:jc w:val="center"/>
        <w:rPr>
          <w:rFonts w:ascii="宋体" w:hAnsi="宋体" w:cs="宋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二〇二二年七月十八日</w:t>
      </w:r>
    </w:p>
    <w:p>
      <w:pPr>
        <w:rPr>
          <w:rFonts w:ascii="宋体" w:hAnsi="宋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 xml:space="preserve">          </w:t>
      </w:r>
      <w:r>
        <w:rPr>
          <w:rFonts w:hint="eastAsia" w:ascii="宋体" w:hAnsi="宋体" w:cs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宋体" w:hAnsi="宋体" w:cs="黑体"/>
          <w:b/>
          <w:sz w:val="48"/>
          <w:szCs w:val="48"/>
        </w:rPr>
      </w:pPr>
    </w:p>
    <w:p>
      <w:pPr>
        <w:jc w:val="center"/>
        <w:rPr>
          <w:rFonts w:ascii="宋体" w:hAnsi="宋体" w:cs="黑体"/>
          <w:b/>
          <w:sz w:val="48"/>
          <w:szCs w:val="48"/>
        </w:rPr>
      </w:pPr>
      <w:r>
        <w:rPr>
          <w:rFonts w:hint="eastAsia" w:ascii="宋体" w:hAnsi="宋体" w:cs="黑体"/>
          <w:b/>
          <w:sz w:val="48"/>
          <w:szCs w:val="48"/>
        </w:rPr>
        <w:t>目   录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</w:p>
    <w:p>
      <w:pPr>
        <w:spacing w:line="600" w:lineRule="exact"/>
        <w:ind w:left="222" w:leftChars="105" w:firstLine="161" w:firstLineChars="5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1.临湘市自然资源局2021年整体支出绩效评价报告书</w:t>
      </w:r>
    </w:p>
    <w:p>
      <w:pPr>
        <w:spacing w:line="600" w:lineRule="exact"/>
        <w:ind w:left="220"/>
        <w:jc w:val="left"/>
        <w:rPr>
          <w:rFonts w:ascii="宋体" w:hAnsi="宋体" w:cs="宋体"/>
          <w:sz w:val="32"/>
          <w:szCs w:val="32"/>
        </w:rPr>
      </w:pPr>
    </w:p>
    <w:p>
      <w:pPr>
        <w:spacing w:line="600" w:lineRule="exact"/>
        <w:ind w:left="286" w:leftChars="135" w:firstLine="161" w:firstLineChars="50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临湘市自然资源局2021年整体</w:t>
      </w:r>
      <w:r>
        <w:rPr>
          <w:rFonts w:hint="eastAsia" w:ascii="宋体" w:hAnsi="宋体"/>
          <w:bCs/>
          <w:sz w:val="32"/>
          <w:szCs w:val="32"/>
        </w:rPr>
        <w:t>支出绩效评价报告</w:t>
      </w:r>
    </w:p>
    <w:p>
      <w:pPr>
        <w:spacing w:line="600" w:lineRule="exact"/>
        <w:jc w:val="left"/>
        <w:rPr>
          <w:rFonts w:ascii="宋体" w:hAnsi="宋体"/>
          <w:bCs/>
          <w:sz w:val="32"/>
          <w:szCs w:val="32"/>
        </w:rPr>
      </w:pPr>
    </w:p>
    <w:p>
      <w:pPr>
        <w:spacing w:line="600" w:lineRule="exact"/>
        <w:ind w:left="286" w:leftChars="135" w:firstLine="161" w:firstLineChars="50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临湘市自然资源局2021年整体</w:t>
      </w:r>
      <w:r>
        <w:rPr>
          <w:rFonts w:hint="eastAsia" w:ascii="宋体" w:hAnsi="宋体"/>
          <w:bCs/>
          <w:sz w:val="32"/>
          <w:szCs w:val="32"/>
        </w:rPr>
        <w:t>支出绩效评价评分表</w:t>
      </w:r>
    </w:p>
    <w:p>
      <w:pPr>
        <w:spacing w:line="600" w:lineRule="exact"/>
        <w:jc w:val="left"/>
        <w:rPr>
          <w:rFonts w:ascii="宋体" w:hAnsi="宋体"/>
          <w:bCs/>
          <w:sz w:val="32"/>
          <w:szCs w:val="32"/>
        </w:rPr>
      </w:pPr>
    </w:p>
    <w:p>
      <w:pPr>
        <w:spacing w:line="600" w:lineRule="exact"/>
        <w:jc w:val="left"/>
        <w:rPr>
          <w:rFonts w:ascii="宋体" w:hAnsi="宋体" w:cs="宋体"/>
          <w:sz w:val="36"/>
          <w:szCs w:val="36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/>
    <w:p/>
    <w:p/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临湘市自然资源局2021年整体支出绩效评价报告书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宋体" w:hAnsi="宋体" w:cs="仿宋_GB2312"/>
          <w:sz w:val="36"/>
          <w:szCs w:val="36"/>
        </w:rPr>
      </w:pPr>
      <w:r>
        <w:rPr>
          <w:rFonts w:hint="eastAsia" w:ascii="宋体" w:hAnsi="宋体" w:cs="仿宋_GB2312"/>
          <w:sz w:val="36"/>
          <w:szCs w:val="36"/>
        </w:rPr>
        <w:t>会计年度：</w:t>
      </w:r>
      <w:r>
        <w:rPr>
          <w:rFonts w:hint="eastAsia" w:ascii="宋体" w:hAnsi="宋体" w:cs="仿宋_GB2312"/>
          <w:sz w:val="36"/>
          <w:szCs w:val="36"/>
          <w:u w:val="single"/>
        </w:rPr>
        <w:t xml:space="preserve">  2021 </w:t>
      </w:r>
      <w:r>
        <w:rPr>
          <w:rFonts w:hint="eastAsia" w:ascii="宋体" w:hAnsi="宋体" w:cs="仿宋_GB2312"/>
          <w:sz w:val="36"/>
          <w:szCs w:val="36"/>
        </w:rPr>
        <w:t>年</w:t>
      </w:r>
    </w:p>
    <w:p>
      <w:pPr>
        <w:ind w:left="1615" w:hanging="1610" w:hanging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1615" w:hanging="1610" w:hanging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单位名称： 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临湘市自然资源局机关              </w:t>
      </w:r>
      <w:r>
        <w:rPr>
          <w:rFonts w:hint="eastAsia" w:ascii="宋体" w:hAnsi="宋体" w:cs="仿宋_GB2312"/>
          <w:sz w:val="32"/>
          <w:szCs w:val="32"/>
          <w:u w:val="none"/>
        </w:rPr>
        <w:t xml:space="preserve">    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          </w:t>
      </w:r>
    </w:p>
    <w:p>
      <w:pPr>
        <w:rPr>
          <w:rFonts w:ascii="宋体" w:hAnsi="宋体" w:cs="仿宋_GB2312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主管部门：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临湘市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自然资源局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  <w:u w:val="non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评价机构： </w:t>
      </w:r>
      <w:r>
        <w:rPr>
          <w:rFonts w:hint="eastAsia" w:ascii="宋体" w:hAnsi="宋体"/>
          <w:sz w:val="32"/>
          <w:szCs w:val="32"/>
          <w:u w:val="single"/>
        </w:rPr>
        <w:t xml:space="preserve">    湖南公众会计师事务所有限公司      </w:t>
      </w:r>
      <w:r>
        <w:rPr>
          <w:rFonts w:hint="eastAsia" w:ascii="宋体" w:hAnsi="宋体"/>
          <w:sz w:val="32"/>
          <w:szCs w:val="32"/>
          <w:u w:val="none"/>
        </w:rPr>
        <w:t xml:space="preserve">     </w:t>
      </w:r>
    </w:p>
    <w:p>
      <w:pPr>
        <w:ind w:left="1615" w:hanging="1610" w:hangingChars="500"/>
        <w:rPr>
          <w:rFonts w:ascii="宋体" w:hAnsi="宋体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评价时间： </w:t>
      </w:r>
      <w:r>
        <w:rPr>
          <w:rFonts w:hint="eastAsia" w:ascii="宋体" w:hAnsi="宋体"/>
          <w:sz w:val="32"/>
          <w:szCs w:val="32"/>
          <w:u w:val="single"/>
        </w:rPr>
        <w:t xml:space="preserve">    202</w:t>
      </w:r>
      <w:r>
        <w:rPr>
          <w:rFonts w:ascii="宋体" w:hAnsi="宋体"/>
          <w:sz w:val="32"/>
          <w:szCs w:val="32"/>
          <w:u w:val="single"/>
        </w:rPr>
        <w:t>1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ascii="宋体" w:hAnsi="宋体"/>
          <w:sz w:val="32"/>
          <w:szCs w:val="32"/>
          <w:u w:val="single"/>
        </w:rPr>
        <w:t>1</w:t>
      </w:r>
      <w:r>
        <w:rPr>
          <w:rFonts w:hint="eastAsia" w:ascii="宋体" w:hAnsi="宋体"/>
          <w:sz w:val="32"/>
          <w:szCs w:val="32"/>
          <w:u w:val="single"/>
        </w:rPr>
        <w:t>月1日至2</w:t>
      </w:r>
      <w:r>
        <w:rPr>
          <w:rFonts w:ascii="宋体" w:hAnsi="宋体"/>
          <w:sz w:val="32"/>
          <w:szCs w:val="32"/>
          <w:u w:val="single"/>
        </w:rPr>
        <w:t>021</w:t>
      </w:r>
      <w:r>
        <w:rPr>
          <w:rFonts w:hint="eastAsia" w:ascii="宋体" w:hAnsi="宋体"/>
          <w:sz w:val="32"/>
          <w:szCs w:val="32"/>
          <w:u w:val="single"/>
        </w:rPr>
        <w:t>年1</w:t>
      </w:r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ascii="宋体" w:hAnsi="宋体"/>
          <w:sz w:val="32"/>
          <w:szCs w:val="32"/>
          <w:u w:val="single"/>
        </w:rPr>
        <w:t>1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non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</w:t>
      </w:r>
    </w:p>
    <w:p>
      <w:pPr>
        <w:rPr>
          <w:rFonts w:ascii="宋体" w:hAnsi="宋体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报告日期：20</w:t>
      </w:r>
      <w:r>
        <w:rPr>
          <w:rFonts w:ascii="宋体" w:hAnsi="宋体"/>
          <w:color w:val="000000"/>
          <w:sz w:val="32"/>
          <w:szCs w:val="32"/>
        </w:rPr>
        <w:t>2</w:t>
      </w:r>
      <w:r>
        <w:rPr>
          <w:rFonts w:hint="eastAsia" w:ascii="宋体" w:hAnsi="宋体"/>
          <w:color w:val="000000"/>
          <w:sz w:val="32"/>
          <w:szCs w:val="32"/>
        </w:rPr>
        <w:t>2年</w:t>
      </w:r>
      <w:r>
        <w:rPr>
          <w:rFonts w:ascii="宋体" w:hAnsi="宋体"/>
          <w:color w:val="000000"/>
          <w:sz w:val="32"/>
          <w:szCs w:val="32"/>
        </w:rPr>
        <w:t>7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ascii="宋体" w:hAnsi="宋体"/>
          <w:color w:val="000000"/>
          <w:sz w:val="32"/>
          <w:szCs w:val="32"/>
        </w:rPr>
        <w:t>18</w:t>
      </w:r>
      <w:r>
        <w:rPr>
          <w:rFonts w:hint="eastAsia" w:ascii="宋体" w:hAnsi="宋体"/>
          <w:color w:val="000000"/>
          <w:sz w:val="32"/>
          <w:szCs w:val="32"/>
        </w:rPr>
        <w:t xml:space="preserve"> 日</w:t>
      </w: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一、部门整体资金概况</w:t>
      </w:r>
    </w:p>
    <w:p>
      <w:pPr>
        <w:ind w:left="1215" w:hanging="1210" w:hangingChars="5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单位：万元</w:t>
      </w: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96"/>
        <w:gridCol w:w="1143"/>
        <w:gridCol w:w="265"/>
        <w:gridCol w:w="1143"/>
        <w:gridCol w:w="116"/>
        <w:gridCol w:w="1695"/>
        <w:gridCol w:w="129"/>
        <w:gridCol w:w="75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一、部门（单位）基本概况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单位负责人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戴季田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0730 3728406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临湘市</w:t>
            </w:r>
            <w:r>
              <w:rPr>
                <w:rFonts w:hint="eastAsia" w:ascii="宋体" w:hAnsi="宋体"/>
                <w:sz w:val="22"/>
                <w:szCs w:val="22"/>
              </w:rPr>
              <w:t>长盛西路37号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人员编制数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432</w:t>
            </w:r>
            <w:r>
              <w:rPr>
                <w:rFonts w:hint="eastAsia" w:ascii="宋体" w:hAnsi="宋体"/>
                <w:sz w:val="22"/>
                <w:szCs w:val="22"/>
              </w:rPr>
              <w:t>人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实有人数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22"/>
                <w:szCs w:val="22"/>
              </w:rPr>
              <w:t>432</w:t>
            </w:r>
            <w:r>
              <w:rPr>
                <w:rFonts w:hint="eastAsia" w:ascii="宋体" w:hAnsi="宋体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7108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行政单位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事业单位（全额拨款□   差额拨款□    自收自支□）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    他（社会团体□    国有企业□）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预算安排资金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42,737,218.11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实际到位资金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74,658,543.79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支出合计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sz w:val="22"/>
                <w:szCs w:val="22"/>
              </w:rPr>
              <w:t>73,862,586.85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其中：基本支出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sz w:val="22"/>
                <w:szCs w:val="22"/>
              </w:rPr>
              <w:t>59,760,237.59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项目支出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14,102,349.26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三公经费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147,261.77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其中：公务用车运行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84,320.77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公务购置费 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公务接待费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62,941.00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二、综合评价结论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评价机构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湖南公众会计师事务所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绩效评价综合得分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绩效绩次级别评定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三、评价人员及机构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  业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 称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  位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谢子文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审计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注册会计师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湖南公众会计师事务所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雷智茗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财务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注册会计师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湖南公众会计师事务所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欧阳绵绵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助审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湖南公众会计师事务所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ind w:firstLine="666" w:firstLineChars="3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3379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中介机构负责人（签字）：   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</w:t>
            </w:r>
          </w:p>
          <w:p>
            <w:pPr>
              <w:spacing w:line="360" w:lineRule="exact"/>
              <w:ind w:firstLine="1998" w:firstLineChars="9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（公章）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年  月   日 </w:t>
            </w:r>
          </w:p>
        </w:tc>
        <w:tc>
          <w:tcPr>
            <w:tcW w:w="5569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评价组负责人（签字）： 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</w:t>
            </w:r>
          </w:p>
          <w:p>
            <w:pPr>
              <w:spacing w:line="360" w:lineRule="exact"/>
              <w:ind w:firstLine="1998" w:firstLineChars="9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（公章）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304" w:right="1587" w:bottom="1134" w:left="1587" w:header="851" w:footer="992" w:gutter="0"/>
          <w:pgNumType w:fmt="decimal"/>
          <w:cols w:space="720" w:num="1"/>
          <w:docGrid w:type="linesAndChars" w:linePitch="312" w:charSpace="609"/>
        </w:sectPr>
      </w:pPr>
    </w:p>
    <w:p>
      <w:pPr>
        <w:keepNext/>
        <w:snapToGrid w:val="0"/>
        <w:spacing w:line="780" w:lineRule="exact"/>
        <w:jc w:val="center"/>
        <w:outlineLvl w:val="0"/>
        <w:rPr>
          <w:rFonts w:ascii="黑体" w:hAnsi="Times New Roman" w:eastAsia="黑体" w:cs="Times New Roman"/>
          <w:b/>
          <w:bCs/>
          <w:spacing w:val="-40"/>
          <w:w w:val="80"/>
          <w:sz w:val="82"/>
          <w:szCs w:val="24"/>
        </w:rPr>
      </w:pPr>
      <w:r>
        <w:rPr>
          <w:rFonts w:hint="eastAsia" w:ascii="黑体" w:hAnsi="Times New Roman" w:eastAsia="黑体" w:cs="Times New Roman"/>
          <w:b/>
          <w:bCs/>
          <w:spacing w:val="-40"/>
          <w:w w:val="80"/>
          <w:sz w:val="82"/>
          <w:szCs w:val="24"/>
        </w:rPr>
        <w:t>湖南公众会计师事务所有限公司</w:t>
      </w:r>
    </w:p>
    <w:p>
      <w:pPr>
        <w:keepNext/>
        <w:snapToGrid w:val="0"/>
        <w:spacing w:line="240" w:lineRule="atLeast"/>
        <w:jc w:val="center"/>
        <w:outlineLvl w:val="0"/>
        <w:rPr>
          <w:rFonts w:ascii="黑体" w:hAnsi="Times New Roman" w:eastAsia="宋体" w:cs="Times New Roman"/>
          <w:b/>
          <w:bCs/>
          <w:w w:val="80"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sz w:val="26"/>
          <w:szCs w:val="24"/>
        </w:rPr>
        <w:t>HUNAN GONGZHONG CERTIFIED PUBLIC ACCOUNTANTS CO.LTD</w:t>
      </w:r>
    </w:p>
    <w:p>
      <w:pPr>
        <w:keepNext/>
        <w:snapToGrid w:val="0"/>
        <w:jc w:val="center"/>
        <w:outlineLvl w:val="0"/>
        <w:rPr>
          <w:rFonts w:ascii="黑体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湘公会司绩字（2022）第015号</w:t>
      </w:r>
    </w:p>
    <w:p>
      <w:pPr>
        <w:snapToGrid w:val="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szCs w:val="24"/>
          <w:u w:val="thick"/>
        </w:rPr>
        <w:t xml:space="preserve">                                                                                </w:t>
      </w:r>
    </w:p>
    <w:p>
      <w:pPr>
        <w:spacing w:line="600" w:lineRule="exact"/>
        <w:ind w:left="1606" w:hanging="1606" w:hangingChars="5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spacing w:line="600" w:lineRule="exact"/>
        <w:ind w:left="1606" w:hanging="1606" w:hangingChars="500"/>
        <w:jc w:val="center"/>
        <w:rPr>
          <w:rFonts w:ascii="宋体" w:hAnsi="宋体" w:cs="方正小标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临湘市自然资源局整体</w:t>
      </w:r>
      <w:r>
        <w:rPr>
          <w:rFonts w:hint="eastAsia" w:ascii="宋体" w:hAnsi="宋体" w:cs="方正小标"/>
          <w:b/>
          <w:bCs/>
          <w:sz w:val="32"/>
          <w:szCs w:val="32"/>
        </w:rPr>
        <w:t>支出绩效评价报告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hanging="1606" w:hangingChars="500"/>
        <w:textAlignment w:val="auto"/>
        <w:rPr>
          <w:rFonts w:ascii="宋体" w:hAnsi="宋体" w:cs="方正小标"/>
          <w:b/>
          <w:bCs/>
          <w:sz w:val="32"/>
          <w:szCs w:val="32"/>
        </w:rPr>
      </w:pPr>
      <w:r>
        <w:rPr>
          <w:rFonts w:hint="eastAsia" w:ascii="宋体" w:hAnsi="宋体" w:cs="方正小标"/>
          <w:b/>
          <w:bCs/>
          <w:sz w:val="32"/>
          <w:szCs w:val="32"/>
        </w:rPr>
        <w:t>临湘市财政局：</w:t>
      </w:r>
    </w:p>
    <w:p>
      <w:pPr>
        <w:spacing w:line="600" w:lineRule="exact"/>
        <w:ind w:firstLine="560" w:firstLineChars="200"/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sz w:val="28"/>
          <w:szCs w:val="28"/>
        </w:rPr>
        <w:t>我们接受临湘市财政局的委托，根据临湘市财政局《</w:t>
      </w:r>
      <w:r>
        <w:rPr>
          <w:rFonts w:ascii="宋体" w:hAnsi="宋体" w:cs="仿宋_GB2312"/>
          <w:sz w:val="28"/>
          <w:szCs w:val="28"/>
        </w:rPr>
        <w:t>关于开展</w:t>
      </w:r>
      <w:r>
        <w:rPr>
          <w:rFonts w:hint="eastAsia" w:ascii="宋体" w:hAnsi="宋体" w:cs="仿宋_GB2312"/>
          <w:sz w:val="28"/>
          <w:szCs w:val="28"/>
        </w:rPr>
        <w:t>2021年市本级财政支出项目重点绩效评价工作的通知》的要求，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于2022年6月</w:t>
      </w:r>
      <w:r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日，对临湘市自然资源局2021年度整体支出情况开展了绩效评价工作，现将情况汇报如下：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一、</w:t>
      </w:r>
      <w:r>
        <w:rPr>
          <w:rFonts w:cs="方正小标" w:asciiTheme="minorEastAsia" w:hAnsiTheme="minorEastAsia"/>
          <w:b/>
          <w:sz w:val="30"/>
          <w:szCs w:val="30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（一）单位基本概况</w:t>
      </w:r>
    </w:p>
    <w:p>
      <w:pPr>
        <w:pStyle w:val="6"/>
        <w:spacing w:before="0" w:beforeAutospacing="0" w:after="0" w:afterAutospacing="0" w:line="33" w:lineRule="atLeast"/>
        <w:ind w:firstLine="560" w:firstLineChars="200"/>
        <w:jc w:val="both"/>
        <w:rPr>
          <w:rFonts w:eastAsia="宋体"/>
          <w:color w:val="FF0000"/>
          <w:sz w:val="28"/>
          <w:szCs w:val="28"/>
        </w:rPr>
      </w:pPr>
      <w:r>
        <w:rPr>
          <w:rFonts w:hint="eastAsia" w:eastAsia="宋体"/>
          <w:sz w:val="28"/>
          <w:szCs w:val="28"/>
        </w:rPr>
        <w:t>临湘市自然资源局是市政府工作部门</w:t>
      </w:r>
      <w:r>
        <w:rPr>
          <w:rFonts w:eastAsia="宋体"/>
          <w:sz w:val="28"/>
          <w:szCs w:val="28"/>
        </w:rPr>
        <w:t>，</w:t>
      </w:r>
      <w:r>
        <w:rPr>
          <w:rFonts w:hint="eastAsia" w:eastAsia="宋体"/>
          <w:sz w:val="28"/>
          <w:szCs w:val="28"/>
        </w:rPr>
        <w:t>为正科级。现有干部职工</w:t>
      </w:r>
      <w:r>
        <w:rPr>
          <w:rFonts w:eastAsia="宋体"/>
          <w:sz w:val="28"/>
          <w:szCs w:val="28"/>
        </w:rPr>
        <w:t>432</w:t>
      </w:r>
      <w:r>
        <w:rPr>
          <w:rFonts w:hint="eastAsia" w:eastAsia="宋体"/>
          <w:sz w:val="28"/>
          <w:szCs w:val="28"/>
        </w:rPr>
        <w:t>人。单位下辖24个内设股室，14个直属机构，14个派出机构。24个内设股室分别为：办公室、法规股、综合调研股、自然自然调查监测股、自然资源确权登记股、国土空间总体规划股、国土空间详细规划股、村镇规划管理股、建筑工程管理股、批后监管股、国土空间用途管制股、自然资源所有者权益股、自然资源开发利用股、国土空间生态修复股、地质灾害防治股、行政审批股、耕地保护监管股、矿产资源管理股、测绘管理股、地理信息与档案管理股、自然资源督查办公室、项目管理股、财务审计股、人事股。</w:t>
      </w:r>
    </w:p>
    <w:p>
      <w:pPr>
        <w:shd w:val="solid" w:color="FFFFFF" w:fill="auto"/>
        <w:autoSpaceDN w:val="0"/>
        <w:spacing w:line="600" w:lineRule="exact"/>
        <w:jc w:val="left"/>
        <w:rPr>
          <w:rFonts w:ascii="楷体_GB2312" w:hAnsi="楷体_GB2312" w:eastAsia="楷体_GB2312" w:cs="楷体_GB2312"/>
          <w:b/>
          <w:bCs/>
          <w:sz w:val="32"/>
        </w:rPr>
      </w:pPr>
    </w:p>
    <w:p>
      <w:pPr>
        <w:shd w:val="solid" w:color="FFFFFF" w:fill="auto"/>
        <w:autoSpaceDN w:val="0"/>
        <w:spacing w:line="600" w:lineRule="exact"/>
        <w:jc w:val="left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（二）部门主要职能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该部门的主要职责如下：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1、依法履行全民所有土地、矿产、森林、草原、湿地、水等自然资源资产所有者和国土空间用途管制职责；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2、负责自然资源调查监测评价；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3、负责自然资源统一确权登记工作；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4、负责自然资源资产有偿使用工作；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5、负责自然资源的合理开发利用；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6、负责建立国土空间规划体系并监督实施；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7、负责制定国土空间规划编制计划，负责组织分区规划，近期建设规划和详细规划（含控制性详细规划）的编制工作；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8、负责城市规划区内建设项目选址定点、核发建设项目选址意见书；核定建设项目用地位置，提供规划设计条件，核发建设用地规划许可证；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9、负责统筹国土空间生态修复；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10、负责组织实施最严格的耕地保护制度；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11、负责管理地质勘查行业和全民地质工作；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12、负责地质灾害预防和治理；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13、负责矿产资源管理工作；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14、推动自然资源领域科技发展；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15、负责地理信息与测绘管理工作；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16、根据授权，对市以下各级政府及相关部门落实市委、市政府关于自然资源、国土空间规划重大政策、决策部署及法规规章执行情况进行督查；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17、完成市委、市政府交办的其他任务；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32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（三）整体收支情况</w:t>
      </w:r>
    </w:p>
    <w:p>
      <w:pPr>
        <w:spacing w:line="600" w:lineRule="exact"/>
        <w:ind w:firstLine="562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1、整体收支情况：</w:t>
      </w:r>
      <w:r>
        <w:rPr>
          <w:rFonts w:ascii="宋体" w:hAnsi="宋体" w:cs="仿宋_GB2312"/>
          <w:sz w:val="28"/>
          <w:szCs w:val="28"/>
        </w:rPr>
        <w:t>20</w:t>
      </w:r>
      <w:r>
        <w:rPr>
          <w:rFonts w:hint="eastAsia" w:ascii="宋体" w:hAnsi="宋体" w:cs="仿宋_GB2312"/>
          <w:sz w:val="28"/>
          <w:szCs w:val="28"/>
        </w:rPr>
        <w:t>21年度部门预算安排</w:t>
      </w:r>
      <w:r>
        <w:rPr>
          <w:rFonts w:ascii="宋体" w:hAnsi="宋体" w:cs="仿宋_GB2312"/>
          <w:sz w:val="28"/>
          <w:szCs w:val="28"/>
        </w:rPr>
        <w:t>42,737,218.11</w:t>
      </w:r>
      <w:r>
        <w:rPr>
          <w:rFonts w:hint="eastAsia" w:ascii="宋体" w:hAnsi="宋体" w:cs="仿宋_GB2312"/>
          <w:sz w:val="28"/>
          <w:szCs w:val="28"/>
        </w:rPr>
        <w:t>元，实际拨入</w:t>
      </w:r>
      <w:r>
        <w:rPr>
          <w:rFonts w:ascii="宋体" w:hAnsi="宋体" w:cs="仿宋_GB2312"/>
          <w:sz w:val="28"/>
          <w:szCs w:val="28"/>
        </w:rPr>
        <w:t>74,658,543.79</w:t>
      </w:r>
      <w:r>
        <w:rPr>
          <w:rFonts w:hint="eastAsia" w:ascii="宋体" w:hAnsi="宋体" w:cs="仿宋_GB2312"/>
          <w:sz w:val="28"/>
          <w:szCs w:val="28"/>
        </w:rPr>
        <w:t>元，实际支出</w:t>
      </w:r>
      <w:r>
        <w:rPr>
          <w:rFonts w:ascii="宋体" w:hAnsi="宋体" w:cs="仿宋_GB2312"/>
          <w:sz w:val="28"/>
          <w:szCs w:val="28"/>
        </w:rPr>
        <w:t>73,862,586.85</w:t>
      </w:r>
      <w:r>
        <w:rPr>
          <w:rFonts w:hint="eastAsia" w:ascii="宋体" w:hAnsi="宋体" w:cs="仿宋_GB2312"/>
          <w:sz w:val="28"/>
          <w:szCs w:val="28"/>
        </w:rPr>
        <w:t>元，当年收支结余</w:t>
      </w:r>
      <w:r>
        <w:rPr>
          <w:rFonts w:ascii="宋体" w:hAnsi="宋体" w:cs="仿宋_GB2312"/>
          <w:sz w:val="28"/>
          <w:szCs w:val="28"/>
        </w:rPr>
        <w:t>795,956.94</w:t>
      </w:r>
      <w:r>
        <w:rPr>
          <w:rFonts w:hint="eastAsia" w:ascii="宋体" w:hAnsi="宋体" w:cs="仿宋_GB2312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15" w:rightChars="150" w:firstLine="560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（1）基本支出</w:t>
      </w:r>
      <w:r>
        <w:rPr>
          <w:rFonts w:ascii="宋体" w:hAnsi="宋体" w:cs="仿宋_GB2312"/>
          <w:sz w:val="28"/>
          <w:szCs w:val="28"/>
        </w:rPr>
        <w:t>59,760,237.59</w:t>
      </w:r>
      <w:r>
        <w:rPr>
          <w:rFonts w:hint="eastAsia" w:ascii="宋体" w:hAnsi="宋体" w:cs="仿宋_GB2312"/>
          <w:sz w:val="28"/>
          <w:szCs w:val="28"/>
        </w:rPr>
        <w:t>元：基本支出包括工资福利支出</w:t>
      </w:r>
    </w:p>
    <w:p>
      <w:pPr>
        <w:spacing w:line="6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4</w:t>
      </w:r>
      <w:r>
        <w:rPr>
          <w:rFonts w:ascii="宋体" w:hAnsi="宋体" w:cs="仿宋_GB2312"/>
          <w:sz w:val="28"/>
          <w:szCs w:val="28"/>
        </w:rPr>
        <w:t>4</w:t>
      </w:r>
      <w:r>
        <w:rPr>
          <w:rFonts w:hint="eastAsia" w:ascii="宋体" w:hAnsi="宋体" w:cs="仿宋_GB2312"/>
          <w:sz w:val="28"/>
          <w:szCs w:val="28"/>
        </w:rPr>
        <w:t>，</w:t>
      </w:r>
      <w:r>
        <w:rPr>
          <w:rFonts w:ascii="宋体" w:hAnsi="宋体" w:cs="仿宋_GB2312"/>
          <w:sz w:val="28"/>
          <w:szCs w:val="28"/>
        </w:rPr>
        <w:t>575,277.82</w:t>
      </w:r>
      <w:r>
        <w:rPr>
          <w:rFonts w:hint="eastAsia" w:ascii="宋体" w:hAnsi="宋体" w:cs="仿宋_GB2312"/>
          <w:sz w:val="28"/>
          <w:szCs w:val="28"/>
        </w:rPr>
        <w:t>元、商品和服务支出</w:t>
      </w:r>
      <w:r>
        <w:rPr>
          <w:rFonts w:ascii="宋体" w:hAnsi="宋体" w:cs="仿宋_GB2312"/>
          <w:sz w:val="28"/>
          <w:szCs w:val="28"/>
        </w:rPr>
        <w:t>9,017,024.79</w:t>
      </w:r>
      <w:r>
        <w:rPr>
          <w:rFonts w:hint="eastAsia" w:ascii="宋体" w:hAnsi="宋体" w:cs="仿宋_GB2312"/>
          <w:sz w:val="28"/>
          <w:szCs w:val="28"/>
        </w:rPr>
        <w:t>元、对个人和家庭的补助支出423，607.00元；资本性支出（基本建设）802,445.98元；资本性支出7,675元；其他支出4</w:t>
      </w:r>
      <w:r>
        <w:rPr>
          <w:rFonts w:ascii="宋体" w:hAnsi="宋体" w:cs="仿宋_GB2312"/>
          <w:sz w:val="28"/>
          <w:szCs w:val="28"/>
        </w:rPr>
        <w:t>,9</w:t>
      </w:r>
      <w:r>
        <w:rPr>
          <w:rFonts w:hint="eastAsia" w:ascii="宋体" w:hAnsi="宋体" w:cs="仿宋_GB2312"/>
          <w:sz w:val="28"/>
          <w:szCs w:val="28"/>
        </w:rPr>
        <w:t>34</w:t>
      </w:r>
      <w:r>
        <w:rPr>
          <w:rFonts w:ascii="宋体" w:hAnsi="宋体" w:cs="仿宋_GB2312"/>
          <w:sz w:val="28"/>
          <w:szCs w:val="28"/>
        </w:rPr>
        <w:t>,</w:t>
      </w:r>
      <w:r>
        <w:rPr>
          <w:rFonts w:hint="eastAsia" w:ascii="宋体" w:hAnsi="宋体" w:cs="仿宋_GB2312"/>
          <w:sz w:val="28"/>
          <w:szCs w:val="28"/>
        </w:rPr>
        <w:t>207</w:t>
      </w:r>
      <w:r>
        <w:rPr>
          <w:rFonts w:ascii="宋体" w:hAnsi="宋体" w:cs="仿宋_GB2312"/>
          <w:sz w:val="28"/>
          <w:szCs w:val="28"/>
        </w:rPr>
        <w:t>.</w:t>
      </w:r>
      <w:r>
        <w:rPr>
          <w:rFonts w:hint="eastAsia" w:ascii="宋体" w:hAnsi="宋体" w:cs="仿宋_GB2312"/>
          <w:sz w:val="28"/>
          <w:szCs w:val="28"/>
        </w:rPr>
        <w:t>00元。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sz w:val="28"/>
          <w:szCs w:val="28"/>
        </w:rPr>
        <w:t>）项目支出</w:t>
      </w:r>
      <w:r>
        <w:rPr>
          <w:rFonts w:ascii="宋体" w:hAnsi="宋体" w:cs="仿宋_GB2312"/>
          <w:sz w:val="28"/>
          <w:szCs w:val="28"/>
        </w:rPr>
        <w:t>14,102,349.26</w:t>
      </w:r>
      <w:r>
        <w:rPr>
          <w:rFonts w:hint="eastAsia" w:ascii="宋体" w:hAnsi="宋体" w:cs="仿宋_GB2312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113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二、绩效评价工作情况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（一）实施依据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</w:rPr>
        <w:t>1、</w:t>
      </w:r>
      <w:r>
        <w:rPr>
          <w:rFonts w:cs="仿宋_GB2312" w:asciiTheme="minorEastAsia" w:hAnsiTheme="minorEastAsia"/>
          <w:color w:val="000000"/>
          <w:sz w:val="28"/>
          <w:szCs w:val="28"/>
        </w:rPr>
        <w:t>《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中共湖南省委办公厅 湖南省人民政府办公厅&lt;关于全面实施预算绩效管理的实施意见&gt;</w:t>
      </w:r>
      <w:r>
        <w:rPr>
          <w:rFonts w:cs="仿宋_GB2312" w:asciiTheme="minorEastAsia" w:hAnsiTheme="minorEastAsia"/>
          <w:color w:val="000000"/>
          <w:sz w:val="28"/>
          <w:szCs w:val="28"/>
        </w:rPr>
        <w:t>》</w:t>
      </w:r>
      <w:r>
        <w:rPr>
          <w:rFonts w:cs="仿宋_GB2312" w:asciiTheme="minorEastAsia" w:hAnsiTheme="minorEastAsia"/>
          <w:sz w:val="28"/>
          <w:szCs w:val="28"/>
        </w:rPr>
        <w:t>（</w:t>
      </w:r>
      <w:r>
        <w:rPr>
          <w:rFonts w:hint="eastAsia" w:cs="仿宋_GB2312" w:asciiTheme="minorEastAsia" w:hAnsiTheme="minorEastAsia"/>
          <w:sz w:val="28"/>
          <w:szCs w:val="28"/>
        </w:rPr>
        <w:t>湘办发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[</w:t>
      </w:r>
      <w:r>
        <w:rPr>
          <w:rFonts w:cs="仿宋_GB2312" w:asciiTheme="minorEastAsia" w:hAnsiTheme="minorEastAsia"/>
          <w:color w:val="000000"/>
          <w:sz w:val="28"/>
          <w:szCs w:val="28"/>
        </w:rPr>
        <w:t>20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19] 10号</w:t>
      </w:r>
      <w:r>
        <w:rPr>
          <w:rFonts w:cs="仿宋_GB2312" w:asciiTheme="minorEastAsia" w:hAnsiTheme="minorEastAsia"/>
          <w:color w:val="000000"/>
          <w:sz w:val="28"/>
          <w:szCs w:val="28"/>
        </w:rPr>
        <w:t>）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2</w:t>
      </w:r>
      <w:r>
        <w:rPr>
          <w:rFonts w:hint="eastAsia" w:cs="仿宋_GB2312" w:asciiTheme="minorEastAsia" w:hAnsiTheme="minorEastAsia"/>
          <w:sz w:val="28"/>
          <w:szCs w:val="28"/>
        </w:rPr>
        <w:t>、</w:t>
      </w:r>
      <w:r>
        <w:rPr>
          <w:rFonts w:cs="仿宋_GB2312" w:asciiTheme="minorEastAsia" w:hAnsiTheme="minorEastAsia"/>
          <w:sz w:val="28"/>
          <w:szCs w:val="28"/>
        </w:rPr>
        <w:t>临湘市</w:t>
      </w:r>
      <w:r>
        <w:rPr>
          <w:rFonts w:hint="eastAsia" w:cs="仿宋_GB2312" w:asciiTheme="minorEastAsia" w:hAnsiTheme="minorEastAsia"/>
          <w:sz w:val="28"/>
          <w:szCs w:val="28"/>
        </w:rPr>
        <w:t>财政局</w:t>
      </w:r>
      <w:r>
        <w:rPr>
          <w:rFonts w:cs="仿宋_GB2312" w:asciiTheme="minorEastAsia" w:hAnsiTheme="minorEastAsia"/>
          <w:sz w:val="28"/>
          <w:szCs w:val="28"/>
        </w:rPr>
        <w:t>《</w:t>
      </w:r>
      <w:r>
        <w:rPr>
          <w:rFonts w:ascii="宋体" w:hAnsi="宋体" w:cs="仿宋_GB2312"/>
          <w:sz w:val="28"/>
          <w:szCs w:val="28"/>
        </w:rPr>
        <w:t>关于开展</w:t>
      </w:r>
      <w:r>
        <w:rPr>
          <w:rFonts w:hint="eastAsia" w:ascii="宋体" w:hAnsi="宋体" w:cs="仿宋_GB2312"/>
          <w:sz w:val="28"/>
          <w:szCs w:val="28"/>
        </w:rPr>
        <w:t>2021年市本级财政支出项目重点绩效评价工作的通知</w:t>
      </w:r>
      <w:r>
        <w:rPr>
          <w:rFonts w:cs="仿宋_GB2312" w:asciiTheme="minorEastAsia" w:hAnsiTheme="minorEastAsia"/>
          <w:sz w:val="28"/>
          <w:szCs w:val="28"/>
        </w:rPr>
        <w:t>》（临财</w:t>
      </w:r>
      <w:r>
        <w:rPr>
          <w:rFonts w:hint="eastAsia" w:cs="仿宋_GB2312" w:asciiTheme="minorEastAsia" w:hAnsiTheme="minorEastAsia"/>
          <w:sz w:val="28"/>
          <w:szCs w:val="28"/>
        </w:rPr>
        <w:t>绩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[2022] 15号</w:t>
      </w:r>
      <w:r>
        <w:rPr>
          <w:rFonts w:cs="仿宋_GB2312" w:asciiTheme="minorEastAsia" w:hAnsiTheme="minorEastAsia"/>
          <w:color w:val="000000"/>
          <w:sz w:val="28"/>
          <w:szCs w:val="28"/>
        </w:rPr>
        <w:t>）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</w:rPr>
        <w:t>3、</w:t>
      </w:r>
      <w:r>
        <w:rPr>
          <w:rFonts w:cs="仿宋_GB2312" w:asciiTheme="minorEastAsia" w:hAnsiTheme="minorEastAsia"/>
          <w:sz w:val="28"/>
          <w:szCs w:val="28"/>
        </w:rPr>
        <w:t>临湘市</w:t>
      </w:r>
      <w:r>
        <w:rPr>
          <w:rFonts w:hint="eastAsia" w:cs="仿宋_GB2312" w:asciiTheme="minorEastAsia" w:hAnsiTheme="minorEastAsia"/>
          <w:sz w:val="28"/>
          <w:szCs w:val="28"/>
        </w:rPr>
        <w:t>财政局</w:t>
      </w:r>
      <w:r>
        <w:rPr>
          <w:rFonts w:cs="仿宋_GB2312" w:asciiTheme="minorEastAsia" w:hAnsiTheme="minorEastAsia"/>
          <w:sz w:val="28"/>
          <w:szCs w:val="28"/>
        </w:rPr>
        <w:t>《</w:t>
      </w:r>
      <w:r>
        <w:rPr>
          <w:rFonts w:ascii="宋体" w:hAnsi="宋体" w:cs="仿宋_GB2312"/>
          <w:sz w:val="28"/>
          <w:szCs w:val="28"/>
        </w:rPr>
        <w:t>关于</w:t>
      </w:r>
      <w:r>
        <w:rPr>
          <w:rFonts w:hint="eastAsia" w:ascii="宋体" w:hAnsi="宋体" w:cs="仿宋_GB2312"/>
          <w:sz w:val="28"/>
          <w:szCs w:val="28"/>
        </w:rPr>
        <w:t>下达2021年度预算计划的通知</w:t>
      </w:r>
      <w:r>
        <w:rPr>
          <w:rFonts w:cs="仿宋_GB2312" w:asciiTheme="minorEastAsia" w:hAnsiTheme="minorEastAsia"/>
          <w:sz w:val="28"/>
          <w:szCs w:val="28"/>
        </w:rPr>
        <w:t>》（临财</w:t>
      </w:r>
      <w:r>
        <w:rPr>
          <w:rFonts w:hint="eastAsia" w:cs="仿宋_GB2312" w:asciiTheme="minorEastAsia" w:hAnsiTheme="minorEastAsia"/>
          <w:sz w:val="28"/>
          <w:szCs w:val="28"/>
        </w:rPr>
        <w:t>预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[2021] 11号</w:t>
      </w:r>
      <w:r>
        <w:rPr>
          <w:rFonts w:cs="仿宋_GB2312" w:asciiTheme="minorEastAsia" w:hAnsiTheme="minorEastAsia"/>
          <w:color w:val="000000"/>
          <w:sz w:val="28"/>
          <w:szCs w:val="28"/>
        </w:rPr>
        <w:t>）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《中华人民共和国会计法》</w:t>
      </w:r>
    </w:p>
    <w:p>
      <w:pPr>
        <w:spacing w:line="600" w:lineRule="exact"/>
        <w:ind w:firstLine="560" w:firstLineChars="200"/>
        <w:rPr>
          <w:rFonts w:ascii="宋体" w:hAnsi="宋体" w:cs="仿宋_GB2312"/>
          <w:color w:val="FF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</w:rPr>
        <w:t>5、</w:t>
      </w:r>
      <w:r>
        <w:rPr>
          <w:rFonts w:hint="eastAsia" w:ascii="宋体" w:hAnsi="宋体" w:cs="仿宋_GB2312"/>
          <w:color w:val="000000"/>
          <w:sz w:val="28"/>
          <w:szCs w:val="28"/>
        </w:rPr>
        <w:t>其他相关法律法规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hint="eastAsia" w:ascii="宋体" w:hAnsi="宋体" w:cs="楷体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（二）绩效评价目的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</w:rPr>
        <w:t>通过对临湘市自然资源局2021年度财政支出项目的预算配置、执行、管理和资产管理、履职情况开展重点绩效考评，达到强化预算绩效责任，提高财政资金配置和使用效益，实现政府公共目标，为决策部门制定政策依据、改进财政预算支出管理提供有价值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（三）绩效评价原则、评价内容和评价方法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1.绩效评价原则：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整体支出绩效评价过程中，我们遵循客观公正，操作简便高效，尊重客观实际，实事求是的原则。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2.绩效评价内容：</w:t>
      </w:r>
      <w:r>
        <w:rPr>
          <w:rFonts w:hint="eastAsia" w:cs="宋体" w:asciiTheme="minorEastAsia" w:hAnsiTheme="minorEastAsia"/>
          <w:bCs/>
          <w:sz w:val="28"/>
          <w:szCs w:val="28"/>
        </w:rPr>
        <w:t>（1）资金和项目绩效目标的设定情况；（2）投入资金和使用管理情况；（3）预算资金的绩效情况；（4）预算支出的政策环境适应情况。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3.整体支出绩效评价方法：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主要采用</w:t>
      </w:r>
      <w:r>
        <w:rPr>
          <w:rFonts w:hint="eastAsia" w:cs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因素分析法、成本效益分析法、比较法等方法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hint="eastAsia"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（四）整体支出绩效评价过程</w:t>
      </w:r>
    </w:p>
    <w:p>
      <w:pPr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1.前期准备：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受临湘市财政局委托，按照临湘市财政局绩效评价业务委托合同的相关工作要求，我所于20</w:t>
      </w:r>
      <w:r>
        <w:rPr>
          <w:rFonts w:cs="仿宋_GB2312" w:asciiTheme="minorEastAsia" w:hAnsiTheme="minorEastAsia"/>
          <w:color w:val="000000"/>
          <w:sz w:val="28"/>
          <w:szCs w:val="28"/>
        </w:rPr>
        <w:t>22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</w:t>
      </w:r>
      <w:r>
        <w:rPr>
          <w:rFonts w:cs="仿宋_GB2312" w:asciiTheme="minorEastAsia" w:hAnsiTheme="minorEastAsia"/>
          <w:color w:val="000000"/>
          <w:sz w:val="28"/>
          <w:szCs w:val="28"/>
        </w:rPr>
        <w:t>5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月</w:t>
      </w:r>
      <w:r>
        <w:rPr>
          <w:rFonts w:cs="仿宋_GB2312" w:asciiTheme="minorEastAsia" w:hAnsiTheme="minorEastAsia"/>
          <w:color w:val="000000"/>
          <w:sz w:val="28"/>
          <w:szCs w:val="28"/>
        </w:rPr>
        <w:t>18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号成立了以谢子文同志为组长的三人绩效评价工作小组，对照相关国家法律法规及临湘市财政局关于印发临湘市</w:t>
      </w:r>
      <w:r>
        <w:rPr>
          <w:rFonts w:cs="仿宋_GB2312" w:asciiTheme="minorEastAsia" w:hAnsiTheme="minorEastAsia"/>
          <w:color w:val="000000"/>
          <w:sz w:val="28"/>
          <w:szCs w:val="28"/>
        </w:rPr>
        <w:t>《关于开展2021年市本级财政支出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项目</w:t>
      </w:r>
      <w:r>
        <w:rPr>
          <w:rFonts w:cs="仿宋_GB2312" w:asciiTheme="minorEastAsia" w:hAnsiTheme="minorEastAsia"/>
          <w:color w:val="000000"/>
          <w:sz w:val="28"/>
          <w:szCs w:val="28"/>
        </w:rPr>
        <w:t>重点绩效评价工作的通知》</w:t>
      </w:r>
      <w:r>
        <w:rPr>
          <w:rFonts w:cs="仿宋_GB2312" w:asciiTheme="minorEastAsia" w:hAnsiTheme="minorEastAsia"/>
          <w:sz w:val="28"/>
          <w:szCs w:val="28"/>
        </w:rPr>
        <w:t>（临财绩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[</w:t>
      </w:r>
      <w:r>
        <w:rPr>
          <w:rFonts w:cs="仿宋_GB2312" w:asciiTheme="minorEastAsia" w:hAnsiTheme="minorEastAsia"/>
          <w:color w:val="000000"/>
          <w:sz w:val="28"/>
          <w:szCs w:val="28"/>
        </w:rPr>
        <w:t>2022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 xml:space="preserve">] </w:t>
      </w:r>
      <w:r>
        <w:rPr>
          <w:rFonts w:cs="仿宋_GB2312" w:asciiTheme="minorEastAsia" w:hAnsiTheme="minorEastAsia"/>
          <w:color w:val="000000"/>
          <w:sz w:val="28"/>
          <w:szCs w:val="28"/>
        </w:rPr>
        <w:t>15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号</w:t>
      </w:r>
      <w:r>
        <w:rPr>
          <w:rFonts w:cs="仿宋_GB2312" w:asciiTheme="minorEastAsia" w:hAnsiTheme="minorEastAsia"/>
          <w:color w:val="000000"/>
          <w:sz w:val="28"/>
          <w:szCs w:val="28"/>
        </w:rPr>
        <w:t>）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的要求，对临湘市自然资源局20</w:t>
      </w:r>
      <w:r>
        <w:rPr>
          <w:rFonts w:cs="仿宋_GB2312" w:asciiTheme="minorEastAsia" w:hAnsiTheme="minorEastAsia"/>
          <w:color w:val="000000"/>
          <w:sz w:val="28"/>
          <w:szCs w:val="28"/>
        </w:rPr>
        <w:t>21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年度整体支出重点绩效评价工作编制了实施方案，制定了部门整体支出绩效评价体系及评分表，报临湘市财政局绩效管理股，由临湘市财政局绩效管理股组织实施。根据临湘市自然资源局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整体支出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的情况设置了相关问题，进行了社会问卷调查。</w:t>
      </w:r>
    </w:p>
    <w:p>
      <w:pPr>
        <w:shd w:val="solid" w:color="FFFFFF" w:fill="auto"/>
        <w:autoSpaceDN w:val="0"/>
        <w:spacing w:line="600" w:lineRule="exact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 xml:space="preserve">   </w:t>
      </w: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 xml:space="preserve"> 2.组织实施：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202</w:t>
      </w:r>
      <w:r>
        <w:rPr>
          <w:rFonts w:cs="仿宋_GB2312" w:asciiTheme="minorEastAsia" w:hAnsiTheme="minorEastAsia"/>
          <w:color w:val="000000"/>
          <w:sz w:val="28"/>
          <w:szCs w:val="28"/>
        </w:rPr>
        <w:t>2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</w:t>
      </w:r>
      <w:r>
        <w:rPr>
          <w:rFonts w:cs="仿宋_GB2312" w:asciiTheme="minorEastAsia" w:hAnsiTheme="minorEastAsia"/>
          <w:color w:val="000000"/>
          <w:sz w:val="28"/>
          <w:szCs w:val="28"/>
        </w:rPr>
        <w:t>6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月</w:t>
      </w:r>
      <w:r>
        <w:rPr>
          <w:rFonts w:cs="仿宋_GB2312" w:asciiTheme="minorEastAsia" w:hAnsiTheme="minorEastAsia"/>
          <w:color w:val="000000"/>
          <w:sz w:val="28"/>
          <w:szCs w:val="28"/>
        </w:rPr>
        <w:t>25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日至</w:t>
      </w:r>
      <w:r>
        <w:rPr>
          <w:rFonts w:cs="仿宋_GB2312" w:asciiTheme="minorEastAsia" w:hAnsiTheme="minorEastAsia"/>
          <w:color w:val="000000"/>
          <w:sz w:val="28"/>
          <w:szCs w:val="28"/>
        </w:rPr>
        <w:t>7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月</w:t>
      </w:r>
      <w:r>
        <w:rPr>
          <w:rFonts w:cs="仿宋_GB2312" w:asciiTheme="minorEastAsia" w:hAnsiTheme="minorEastAsia"/>
          <w:color w:val="000000"/>
          <w:sz w:val="28"/>
          <w:szCs w:val="28"/>
        </w:rPr>
        <w:t>1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日，我所整体支出绩效评价工作小组进驻临湘市自然资源局，采用核查、抽查等方法核查了该中心20</w:t>
      </w:r>
      <w:r>
        <w:rPr>
          <w:rFonts w:cs="仿宋_GB2312" w:asciiTheme="minorEastAsia" w:hAnsiTheme="minorEastAsia"/>
          <w:color w:val="000000"/>
          <w:sz w:val="28"/>
          <w:szCs w:val="28"/>
        </w:rPr>
        <w:t>21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年度财政预算执行情况，着重核查了财务收支、资产管理及内部控制制度等情况，对内设部门根据年初制定的绩效考核目标，进行了实地绩效考评。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分析评价：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通过对资料进行整理，分析汇总，设定的部门整体支出绩效评价指标体系进行了评分，最终形成了综合性书面报告。</w:t>
      </w:r>
    </w:p>
    <w:p/>
    <w:tbl>
      <w:tblPr>
        <w:tblStyle w:val="7"/>
        <w:tblpPr w:leftFromText="180" w:rightFromText="180" w:vertAnchor="text" w:horzAnchor="page" w:tblpX="2186" w:tblpY="701"/>
        <w:tblOverlap w:val="never"/>
        <w:tblW w:w="8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723"/>
        <w:gridCol w:w="1389"/>
        <w:gridCol w:w="10"/>
        <w:gridCol w:w="19"/>
        <w:gridCol w:w="207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2021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年部门整体支出分析表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1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单位：元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370" w:hRule="atLeast"/>
        </w:trPr>
        <w:tc>
          <w:tcPr>
            <w:tcW w:w="3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额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占总支出%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369" w:hRule="atLeast"/>
        </w:trPr>
        <w:tc>
          <w:tcPr>
            <w:tcW w:w="3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7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59,760,237.59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80.91%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34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Hans"/>
              </w:rPr>
              <w:t>项目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14,102,349.26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19.09%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74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其中：非税收入执收费用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1,568,500.00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4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73,862,586.85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三、整体支出管理和使用情况分析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cs="楷体_GB2312" w:asciiTheme="minorEastAsia" w:hAnsiTheme="minorEastAsia"/>
          <w:b/>
          <w:bCs/>
          <w:sz w:val="28"/>
          <w:szCs w:val="28"/>
        </w:rPr>
      </w:pPr>
      <w:r>
        <w:rPr>
          <w:rFonts w:hint="eastAsia" w:cs="楷体_GB2312" w:asciiTheme="minorEastAsia" w:hAnsiTheme="minorEastAsia"/>
          <w:b/>
          <w:bCs/>
          <w:sz w:val="28"/>
          <w:szCs w:val="28"/>
        </w:rPr>
        <w:t>（一）整体支出情况分析</w:t>
      </w:r>
    </w:p>
    <w:p>
      <w:pPr>
        <w:spacing w:line="600" w:lineRule="exact"/>
        <w:ind w:firstLine="587" w:firstLineChars="209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1.整体支出情况分析：</w:t>
      </w:r>
      <w:r>
        <w:rPr>
          <w:rFonts w:cs="宋体" w:asciiTheme="minorEastAsia" w:hAnsiTheme="minorEastAsia"/>
          <w:b/>
          <w:bCs/>
          <w:sz w:val="28"/>
          <w:szCs w:val="28"/>
          <w:shd w:val="clear" w:color="auto" w:fill="FFFFFF"/>
        </w:rPr>
        <w:t>2021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年部门预算</w:t>
      </w:r>
      <w:r>
        <w:rPr>
          <w:rFonts w:cs="仿宋_GB2312" w:asciiTheme="minorEastAsia" w:hAnsiTheme="minorEastAsia"/>
          <w:color w:val="000000"/>
          <w:sz w:val="28"/>
          <w:szCs w:val="28"/>
        </w:rPr>
        <w:t>42,737,218.11</w:t>
      </w:r>
      <w:r>
        <w:rPr>
          <w:rFonts w:hint="eastAsia" w:ascii="宋体" w:hAnsi="宋体" w:cs="仿宋_GB2312"/>
          <w:sz w:val="28"/>
          <w:szCs w:val="28"/>
        </w:rPr>
        <w:t>元</w:t>
      </w:r>
      <w:r>
        <w:rPr>
          <w:rFonts w:hint="eastAsia" w:cs="仿宋_GB2312" w:asciiTheme="minorEastAsia" w:hAnsiTheme="minorEastAsia"/>
          <w:sz w:val="28"/>
          <w:szCs w:val="28"/>
        </w:rPr>
        <w:t>；财政实际拨入</w:t>
      </w:r>
      <w:r>
        <w:rPr>
          <w:rFonts w:cs="仿宋_GB2312" w:asciiTheme="minorEastAsia" w:hAnsiTheme="minorEastAsia"/>
          <w:sz w:val="28"/>
          <w:szCs w:val="28"/>
        </w:rPr>
        <w:t>74,658,543.79</w:t>
      </w:r>
      <w:r>
        <w:rPr>
          <w:rFonts w:hint="eastAsia" w:cs="仿宋_GB2312" w:asciiTheme="minorEastAsia" w:hAnsiTheme="minorEastAsia"/>
          <w:sz w:val="28"/>
          <w:szCs w:val="28"/>
        </w:rPr>
        <w:t>元，实际支出</w:t>
      </w:r>
      <w:r>
        <w:rPr>
          <w:rFonts w:cs="仿宋_GB2312" w:asciiTheme="minorEastAsia" w:hAnsiTheme="minorEastAsia"/>
          <w:sz w:val="28"/>
          <w:szCs w:val="28"/>
        </w:rPr>
        <w:t>73,862,586.85</w:t>
      </w:r>
      <w:r>
        <w:rPr>
          <w:rFonts w:hint="eastAsia" w:cs="仿宋_GB2312" w:asciiTheme="minorEastAsia" w:hAnsiTheme="minorEastAsia"/>
          <w:sz w:val="28"/>
          <w:szCs w:val="28"/>
        </w:rPr>
        <w:t>元</w:t>
      </w:r>
      <w:r>
        <w:rPr>
          <w:rFonts w:hint="eastAsia" w:cs="仿宋_GB2312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ascii="宋体" w:hAnsi="宋体" w:cs="仿宋_GB2312"/>
          <w:sz w:val="28"/>
          <w:szCs w:val="28"/>
        </w:rPr>
        <w:t>当年收支结余</w:t>
      </w:r>
      <w:r>
        <w:rPr>
          <w:rFonts w:ascii="宋体" w:hAnsi="宋体" w:cs="仿宋_GB2312"/>
          <w:sz w:val="28"/>
          <w:szCs w:val="28"/>
        </w:rPr>
        <w:t>795,956.94</w:t>
      </w:r>
      <w:r>
        <w:rPr>
          <w:rFonts w:hint="eastAsia" w:ascii="宋体" w:hAnsi="宋体" w:cs="仿宋_GB2312"/>
          <w:sz w:val="28"/>
          <w:szCs w:val="28"/>
        </w:rPr>
        <w:t>万元</w:t>
      </w:r>
      <w:r>
        <w:rPr>
          <w:rFonts w:hint="eastAsia" w:ascii="宋体" w:hAnsi="宋体" w:cs="仿宋_GB2312"/>
          <w:sz w:val="28"/>
          <w:szCs w:val="28"/>
          <w:lang w:eastAsia="zh-Hans"/>
        </w:rPr>
        <w:t>。</w:t>
      </w:r>
    </w:p>
    <w:p>
      <w:pPr>
        <w:tabs>
          <w:tab w:val="left" w:pos="426"/>
          <w:tab w:val="center" w:pos="4153"/>
        </w:tabs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b/>
          <w:bCs/>
          <w:sz w:val="28"/>
          <w:szCs w:val="28"/>
          <w:shd w:val="clear" w:color="auto" w:fill="FFFFFF"/>
        </w:rPr>
        <w:t>2</w:t>
      </w: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、项目资金拨入情况分析：</w:t>
      </w:r>
      <w:r>
        <w:rPr>
          <w:rFonts w:cs="宋体" w:asciiTheme="minorEastAsia" w:hAnsiTheme="minorEastAsia"/>
          <w:sz w:val="28"/>
          <w:szCs w:val="28"/>
          <w:shd w:val="clear" w:color="auto" w:fill="FFFFFF"/>
        </w:rPr>
        <w:t>2021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年临湘市财政拨入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项目专项资金</w:t>
      </w:r>
      <w:r>
        <w:rPr>
          <w:rFonts w:cs="宋体" w:asciiTheme="minorEastAsia" w:hAnsiTheme="minorEastAsia"/>
          <w:sz w:val="28"/>
          <w:szCs w:val="28"/>
          <w:shd w:val="clear" w:color="auto" w:fill="FFFFFF"/>
        </w:rPr>
        <w:t>14,898,306.20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元，项目专项资金支出</w:t>
      </w:r>
      <w:r>
        <w:rPr>
          <w:rFonts w:cs="宋体" w:asciiTheme="minorEastAsia" w:hAnsiTheme="minorEastAsia"/>
          <w:sz w:val="28"/>
          <w:szCs w:val="28"/>
          <w:shd w:val="clear" w:color="auto" w:fill="FFFFFF"/>
          <w:lang w:eastAsia="zh-Hans"/>
        </w:rPr>
        <w:t>14,102,349.26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元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仿宋_GB2312"/>
          <w:sz w:val="28"/>
          <w:szCs w:val="28"/>
        </w:rPr>
        <w:t>当年收支结余</w:t>
      </w:r>
      <w:r>
        <w:rPr>
          <w:rFonts w:ascii="宋体" w:hAnsi="宋体" w:cs="仿宋_GB2312"/>
          <w:sz w:val="28"/>
          <w:szCs w:val="28"/>
        </w:rPr>
        <w:t>795,956.94</w:t>
      </w:r>
      <w:r>
        <w:rPr>
          <w:rFonts w:hint="eastAsia" w:ascii="宋体" w:hAnsi="宋体" w:cs="仿宋_GB2312"/>
          <w:sz w:val="28"/>
          <w:szCs w:val="28"/>
        </w:rPr>
        <w:t>元。</w:t>
      </w:r>
    </w:p>
    <w:p>
      <w:pPr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cs="楷体_GB2312" w:asciiTheme="minorEastAsia" w:hAnsiTheme="minorEastAsia"/>
          <w:b/>
          <w:bCs/>
          <w:sz w:val="28"/>
          <w:szCs w:val="28"/>
        </w:rPr>
        <w:t>（二）部门整体支出管理情况分析</w:t>
      </w:r>
      <w:r>
        <w:rPr>
          <w:rFonts w:ascii="宋体" w:hAnsi="宋体" w:cs="楷体_GB2312"/>
          <w:b/>
          <w:bCs/>
          <w:sz w:val="28"/>
          <w:szCs w:val="28"/>
        </w:rPr>
        <w:tab/>
      </w:r>
    </w:p>
    <w:p>
      <w:pPr>
        <w:tabs>
          <w:tab w:val="center" w:pos="4153"/>
        </w:tabs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b/>
          <w:color w:val="000000"/>
          <w:sz w:val="28"/>
          <w:szCs w:val="28"/>
        </w:rPr>
        <w:t>1.严格预算支出管理，以收定支编制整体预算。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在职人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员经费按照配置定额，逐人核定编制，公用经费分类编制，根据“总量控制、计划管理”的要求，从严控制行政经费，压缩公务费开支，资产的配置严格政府采购，按照项目资金的规定使用财政资金，保障部门整体支出的规范化、制度化。</w:t>
      </w:r>
    </w:p>
    <w:p>
      <w:pPr>
        <w:tabs>
          <w:tab w:val="center" w:pos="4153"/>
        </w:tabs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  <w:highlight w:val="yellow"/>
        </w:rPr>
      </w:pPr>
      <w:r>
        <w:rPr>
          <w:rFonts w:hint="eastAsia" w:cs="仿宋_GB2312" w:asciiTheme="minorEastAsia" w:hAnsiTheme="minorEastAsia"/>
          <w:b/>
          <w:color w:val="000000"/>
          <w:sz w:val="28"/>
          <w:szCs w:val="28"/>
        </w:rPr>
        <w:t>2.严格财务管理。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按照国家相关法律法规，制定了机关财务收支、预算管理、资产管理、单位政府采购管理等制度，并严格按照制度管理和执行，防范风险，保证财政资金的安全和高效运行。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四、整体支出绩效情况分析</w:t>
      </w:r>
    </w:p>
    <w:p>
      <w:pPr>
        <w:numPr>
          <w:ilvl w:val="0"/>
          <w:numId w:val="2"/>
        </w:numPr>
        <w:tabs>
          <w:tab w:val="center" w:pos="4153"/>
        </w:tabs>
        <w:spacing w:line="600" w:lineRule="exact"/>
        <w:ind w:firstLine="700" w:firstLineChars="25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较好的完成了日常财务核算工作，每月对各机关人员报账的票据进行审核，对开支进行监督，对使用资金进行审批，对资产进行核实，并及时完成当月会计凭证的编制会计账目的登记、月报表的编制。</w:t>
      </w:r>
    </w:p>
    <w:p>
      <w:pPr>
        <w:tabs>
          <w:tab w:val="center" w:pos="4153"/>
        </w:tabs>
        <w:spacing w:line="60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2</w:t>
      </w:r>
      <w:r>
        <w:rPr>
          <w:rFonts w:hint="eastAsia" w:cs="仿宋_GB2312" w:asciiTheme="minorEastAsia" w:hAnsiTheme="minorEastAsia"/>
          <w:sz w:val="28"/>
          <w:szCs w:val="28"/>
        </w:rPr>
        <w:t>、按财政部门的工作要求，按时完成财政预算、决算年报数据的上报工作；确保全局干部职工的工资福利及时发放、及全年工作正常开展，完成了政府对局机关20</w:t>
      </w:r>
      <w:r>
        <w:rPr>
          <w:rFonts w:cs="仿宋_GB2312" w:asciiTheme="minorEastAsia" w:hAnsiTheme="minorEastAsia"/>
          <w:sz w:val="28"/>
          <w:szCs w:val="28"/>
        </w:rPr>
        <w:t>21</w:t>
      </w:r>
      <w:r>
        <w:rPr>
          <w:rFonts w:hint="eastAsia" w:cs="仿宋_GB2312" w:asciiTheme="minorEastAsia" w:hAnsiTheme="minorEastAsia"/>
          <w:sz w:val="28"/>
          <w:szCs w:val="28"/>
        </w:rPr>
        <w:t>年的</w:t>
      </w:r>
      <w:r>
        <w:rPr>
          <w:rFonts w:hint="eastAsia" w:cs="仿宋_GB2312" w:asciiTheme="minorEastAsia" w:hAnsiTheme="minorEastAsia"/>
          <w:sz w:val="28"/>
          <w:szCs w:val="28"/>
          <w:lang w:eastAsia="zh-Hans"/>
        </w:rPr>
        <w:t>预</w:t>
      </w:r>
      <w:r>
        <w:rPr>
          <w:rFonts w:hint="eastAsia" w:cs="仿宋_GB2312" w:asciiTheme="minorEastAsia" w:hAnsiTheme="minorEastAsia"/>
          <w:sz w:val="28"/>
          <w:szCs w:val="28"/>
        </w:rPr>
        <w:t>算工作</w:t>
      </w:r>
      <w:r>
        <w:rPr>
          <w:rFonts w:hint="eastAsia" w:cs="仿宋_GB2312" w:asciiTheme="minorEastAsia" w:hAnsiTheme="minorEastAsia"/>
          <w:sz w:val="28"/>
          <w:szCs w:val="28"/>
          <w:lang w:eastAsia="zh-Hans"/>
        </w:rPr>
        <w:t>。</w:t>
      </w:r>
    </w:p>
    <w:p>
      <w:pPr>
        <w:tabs>
          <w:tab w:val="center" w:pos="4153"/>
        </w:tabs>
        <w:spacing w:line="60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3</w:t>
      </w:r>
      <w:r>
        <w:rPr>
          <w:rFonts w:hint="eastAsia" w:cs="仿宋_GB2312" w:asciiTheme="minorEastAsia" w:hAnsiTheme="minorEastAsia"/>
          <w:sz w:val="28"/>
          <w:szCs w:val="28"/>
        </w:rPr>
        <w:t>、在市委、市政府和市局的坚强领导下，围绕中心工作，服务大局，牢牢抓住“保护资源、保障发展、服务民生”三条主线，较好完成了全年各项目标任务，其中遏制新增违法行为、闲置土地、批而未供土地处置、房地一体发证等工作得到省自然资源厅表扬，房地产信访突出问题化解工作主要成效和经验在全省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五、整体支出综合评价及结论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</w:rPr>
        <w:t>根据考核评分细则，考评组认为：临湘市自然资源局部门20</w:t>
      </w:r>
      <w:r>
        <w:rPr>
          <w:rFonts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整体支出，符合国家的相关财务管理制度规定，财务制度健全、会计核算规范，资金财政预算依照计划管理使用，部门整体支出正常运行，较好的完成了目标及任务。财政资金的投入，对临湘市自然资源局履行职能职责、完成全年工作任务起到了保障作用。按照整体支出绩效评价指标体系对照打分，评价分值为</w:t>
      </w:r>
      <w:r>
        <w:rPr>
          <w:rFonts w:ascii="宋体" w:hAnsi="宋体" w:eastAsia="宋体" w:cs="宋体"/>
          <w:sz w:val="28"/>
          <w:szCs w:val="28"/>
        </w:rPr>
        <w:t>91</w:t>
      </w:r>
      <w:r>
        <w:rPr>
          <w:rFonts w:hint="eastAsia" w:ascii="宋体" w:hAnsi="宋体" w:eastAsia="宋体" w:cs="宋体"/>
          <w:sz w:val="28"/>
          <w:szCs w:val="28"/>
        </w:rPr>
        <w:t>分，等级为“优”。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159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六、存在的问题及建议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159" w:firstLine="281" w:firstLineChars="1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（一）存在的问题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、临湘市</w:t>
      </w:r>
      <w:r>
        <w:rPr>
          <w:rFonts w:hint="eastAsia" w:ascii="宋体" w:hAnsi="宋体" w:eastAsia="宋体" w:cs="宋体"/>
          <w:sz w:val="28"/>
          <w:szCs w:val="28"/>
        </w:rPr>
        <w:t>自然资源局会计核算附件不完善，除支付凭证、往来结算收据外，无其他关键文件作为依据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如2021/1/31记账凭证55#、记账凭证77#；2021/2/28记账凭证19#、2021/11/30记账凭证1#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无公开招投标资料；2021/9/30记账凭证6#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缺少立项、可行性研究报告等附件。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2、合同、协议签订欠规范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2021/1/31记账凭证77#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工程协议书无承包单位信息；2021/9/30记账凭证13#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承包合同没有签约时间。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3、采购验收不规范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2021/9/30记账凭证12#、记账凭证13#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采购验收单无单位盖章。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4、会计核算科目与业务内容不匹配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2021/1/31记账凭证17#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付购买电脑耗材款计入工资费用科目；2021/5/31记账凭证13#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付购买茶叶款计入工资费用科目；2021/3/31记账凭证4#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付公车加油款未计入“公务用车运行维护费”。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5、工资、津贴、补贴及绩效发放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部分无领取人员签名，代领无授权委托书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如：2021/1/31记账凭证66#、2021/3/31记账凭证15#、2021/3/31记账凭证15#、2021/2/28记账凭证16#、2021/2/28记账凭证16#。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6、绩效目标未细化与具体量化，预算欠精准。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存在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挤占整体支出经费</w:t>
      </w:r>
      <w:r>
        <w:rPr>
          <w:rFonts w:hint="eastAsia" w:ascii="宋体" w:hAnsi="宋体" w:eastAsia="宋体" w:cs="宋体"/>
          <w:sz w:val="28"/>
          <w:szCs w:val="28"/>
        </w:rPr>
        <w:t>的现象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eastAsia="zh-Hans"/>
        </w:rPr>
        <w:t>经过核查</w:t>
      </w:r>
      <w:r>
        <w:rPr>
          <w:rFonts w:hint="eastAsia" w:ascii="宋体" w:hAnsi="宋体" w:eastAsia="宋体" w:cs="宋体"/>
          <w:sz w:val="28"/>
          <w:szCs w:val="28"/>
        </w:rPr>
        <w:t>，临湘市自然资源局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年整体支出</w:t>
      </w:r>
      <w:r>
        <w:rPr>
          <w:rFonts w:hint="eastAsia" w:ascii="宋体" w:hAnsi="宋体" w:eastAsia="宋体" w:cs="宋体"/>
          <w:sz w:val="28"/>
          <w:szCs w:val="28"/>
        </w:rPr>
        <w:t>经费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中，</w:t>
      </w:r>
      <w:r>
        <w:rPr>
          <w:rFonts w:hint="eastAsia" w:ascii="宋体" w:hAnsi="宋体" w:eastAsia="宋体" w:cs="宋体"/>
          <w:sz w:val="28"/>
          <w:szCs w:val="28"/>
        </w:rPr>
        <w:t>发放了2020年的绩效资金3,079,073.32元。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（二）建议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根据考评情况，提出以下建议：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1、提高财务人员的自身素质，对财政资金严格按照国家相关法律法规和机关财务收支、预算管理、资产管理、单位政府采购管理等制度管理和执行，防范风险，保证财政资金的安全和高效运行。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临湘市</w:t>
      </w:r>
      <w:r>
        <w:rPr>
          <w:rFonts w:hint="eastAsia" w:ascii="宋体" w:hAnsi="宋体" w:eastAsia="宋体" w:cs="宋体"/>
          <w:sz w:val="28"/>
          <w:szCs w:val="28"/>
        </w:rPr>
        <w:t>自然资源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局</w:t>
      </w:r>
      <w:r>
        <w:rPr>
          <w:rFonts w:hint="eastAsia" w:ascii="宋体" w:hAnsi="宋体" w:eastAsia="宋体" w:cs="宋体"/>
          <w:sz w:val="28"/>
          <w:szCs w:val="28"/>
        </w:rPr>
        <w:t>机关应认真执行财务管理制度，按专项资金管理制度的要求，做到专款专用，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杜绝挤占</w:t>
      </w:r>
      <w:r>
        <w:rPr>
          <w:rFonts w:hint="eastAsia" w:ascii="宋体" w:hAnsi="宋体" w:eastAsia="宋体" w:cs="宋体"/>
          <w:sz w:val="28"/>
          <w:szCs w:val="28"/>
        </w:rPr>
        <w:t>专项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经费的现象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在编制年度预算时，要根据市政府编制预算的总体要求和财政部门的具体部署、国民经济和社会发展规划、部门职能及事业发展规划，科学、合理地测算资金需求，编制预算绩效计划，报送绩效目标。报送的绩效目标应与部门目标高度相关，并且是具体的、可衡量的、一定时期内可实现的。预算绩效计划要详细说明为达到绩效目标拟采取的工作程序、方式方法、资金需求、信息资源等，并有明确的职责和分工。</w:t>
      </w:r>
    </w:p>
    <w:p/>
    <w:p>
      <w:pPr>
        <w:spacing w:line="600" w:lineRule="exac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附件：临湘市自然资源局整体支出绩效评价评分表</w:t>
      </w: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湖南公众会计师事务所有限公司          中国注册会计师：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电话：0730-8841715                    中国注册会计师：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地址：中国•湖南                       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>
      <w:pPr>
        <w:rPr>
          <w:highlight w:val="yellow"/>
        </w:rPr>
      </w:pPr>
    </w:p>
    <w:p>
      <w:pPr>
        <w:rPr>
          <w:highlight w:val="yellow"/>
        </w:rPr>
      </w:pPr>
    </w:p>
    <w:p/>
    <w:sectPr>
      <w:headerReference r:id="rId5" w:type="default"/>
      <w:footerReference r:id="rId6" w:type="default"/>
      <w:pgSz w:w="11906" w:h="16838"/>
      <w:pgMar w:top="1440" w:right="1350" w:bottom="1440" w:left="193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A823C"/>
    <w:multiLevelType w:val="singleLevel"/>
    <w:tmpl w:val="57AA823C"/>
    <w:lvl w:ilvl="0" w:tentative="0">
      <w:start w:val="3"/>
      <w:numFmt w:val="decimal"/>
      <w:suff w:val="nothing"/>
      <w:lvlText w:val="%1."/>
      <w:lvlJc w:val="left"/>
      <w:rPr>
        <w:b/>
      </w:rPr>
    </w:lvl>
  </w:abstractNum>
  <w:abstractNum w:abstractNumId="1">
    <w:nsid w:val="5F471AAC"/>
    <w:multiLevelType w:val="singleLevel"/>
    <w:tmpl w:val="5F471A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TlhYjY3MGQ0ZTdhN2EwYzlkMTQyMzE2NDJlNWIifQ=="/>
  </w:docVars>
  <w:rsids>
    <w:rsidRoot w:val="77E91850"/>
    <w:rsid w:val="00024C6D"/>
    <w:rsid w:val="000500AD"/>
    <w:rsid w:val="00061DBC"/>
    <w:rsid w:val="00062F6A"/>
    <w:rsid w:val="000B10E8"/>
    <w:rsid w:val="000C21B1"/>
    <w:rsid w:val="000C4A60"/>
    <w:rsid w:val="00120EDA"/>
    <w:rsid w:val="00175B5F"/>
    <w:rsid w:val="001844BA"/>
    <w:rsid w:val="001A59E2"/>
    <w:rsid w:val="001C771F"/>
    <w:rsid w:val="002360D5"/>
    <w:rsid w:val="00264F53"/>
    <w:rsid w:val="002948C4"/>
    <w:rsid w:val="00305ADA"/>
    <w:rsid w:val="003927F0"/>
    <w:rsid w:val="003F1E0B"/>
    <w:rsid w:val="004063B7"/>
    <w:rsid w:val="004A6A34"/>
    <w:rsid w:val="004F3D36"/>
    <w:rsid w:val="0050096B"/>
    <w:rsid w:val="005871D5"/>
    <w:rsid w:val="005A1229"/>
    <w:rsid w:val="00666A7F"/>
    <w:rsid w:val="00671EC0"/>
    <w:rsid w:val="0067456E"/>
    <w:rsid w:val="00686D25"/>
    <w:rsid w:val="00695CF4"/>
    <w:rsid w:val="006C1913"/>
    <w:rsid w:val="006C27FC"/>
    <w:rsid w:val="00786021"/>
    <w:rsid w:val="0078748E"/>
    <w:rsid w:val="008100C6"/>
    <w:rsid w:val="00826263"/>
    <w:rsid w:val="00841F27"/>
    <w:rsid w:val="00843B06"/>
    <w:rsid w:val="009723F9"/>
    <w:rsid w:val="00A10725"/>
    <w:rsid w:val="00A25CE6"/>
    <w:rsid w:val="00AB5335"/>
    <w:rsid w:val="00B55E51"/>
    <w:rsid w:val="00B562C7"/>
    <w:rsid w:val="00BA5927"/>
    <w:rsid w:val="00BC4036"/>
    <w:rsid w:val="00BF2AD7"/>
    <w:rsid w:val="00C011CC"/>
    <w:rsid w:val="00C70DF0"/>
    <w:rsid w:val="00C955F4"/>
    <w:rsid w:val="00CA6BA9"/>
    <w:rsid w:val="00CF2F01"/>
    <w:rsid w:val="00D13EFA"/>
    <w:rsid w:val="00D310A3"/>
    <w:rsid w:val="00D547F0"/>
    <w:rsid w:val="00D80407"/>
    <w:rsid w:val="00D87D73"/>
    <w:rsid w:val="00DA48C7"/>
    <w:rsid w:val="00DC5A7B"/>
    <w:rsid w:val="00DD2ED4"/>
    <w:rsid w:val="00DD3457"/>
    <w:rsid w:val="00E00DDB"/>
    <w:rsid w:val="00E12D2E"/>
    <w:rsid w:val="00E251DF"/>
    <w:rsid w:val="00E93E3B"/>
    <w:rsid w:val="00EA7D04"/>
    <w:rsid w:val="00F55403"/>
    <w:rsid w:val="00FB3499"/>
    <w:rsid w:val="02DC1A90"/>
    <w:rsid w:val="0B692D5E"/>
    <w:rsid w:val="0BB86A96"/>
    <w:rsid w:val="0E271A54"/>
    <w:rsid w:val="11345EF3"/>
    <w:rsid w:val="11A40911"/>
    <w:rsid w:val="15B5478C"/>
    <w:rsid w:val="164A7BA9"/>
    <w:rsid w:val="16702BCD"/>
    <w:rsid w:val="17DC737C"/>
    <w:rsid w:val="1BD52A6D"/>
    <w:rsid w:val="1C4D0EB8"/>
    <w:rsid w:val="1D7953B9"/>
    <w:rsid w:val="21273186"/>
    <w:rsid w:val="2287483B"/>
    <w:rsid w:val="238E494F"/>
    <w:rsid w:val="24A5611B"/>
    <w:rsid w:val="25334D49"/>
    <w:rsid w:val="27DB0DDC"/>
    <w:rsid w:val="27F95A5F"/>
    <w:rsid w:val="28D7013E"/>
    <w:rsid w:val="2A3F7D72"/>
    <w:rsid w:val="2C3B00E1"/>
    <w:rsid w:val="30300DC6"/>
    <w:rsid w:val="340D4939"/>
    <w:rsid w:val="35AE4ED6"/>
    <w:rsid w:val="37405B7E"/>
    <w:rsid w:val="374E4F37"/>
    <w:rsid w:val="3CA93697"/>
    <w:rsid w:val="3DCF250B"/>
    <w:rsid w:val="3FF7830A"/>
    <w:rsid w:val="43EF04D9"/>
    <w:rsid w:val="478C0730"/>
    <w:rsid w:val="47B05385"/>
    <w:rsid w:val="497F01EB"/>
    <w:rsid w:val="4B2C5325"/>
    <w:rsid w:val="4D4C10D0"/>
    <w:rsid w:val="4F985216"/>
    <w:rsid w:val="57866DEE"/>
    <w:rsid w:val="60005B55"/>
    <w:rsid w:val="618C6B4A"/>
    <w:rsid w:val="63D80D00"/>
    <w:rsid w:val="64A03D17"/>
    <w:rsid w:val="65462A72"/>
    <w:rsid w:val="65760918"/>
    <w:rsid w:val="677E43BB"/>
    <w:rsid w:val="67F317FC"/>
    <w:rsid w:val="68A77FF6"/>
    <w:rsid w:val="6ACE1AC6"/>
    <w:rsid w:val="6C6A2195"/>
    <w:rsid w:val="6F8D5628"/>
    <w:rsid w:val="71716953"/>
    <w:rsid w:val="72F64C78"/>
    <w:rsid w:val="733734B6"/>
    <w:rsid w:val="74DFC685"/>
    <w:rsid w:val="75AB4063"/>
    <w:rsid w:val="76712AC7"/>
    <w:rsid w:val="77C94EAC"/>
    <w:rsid w:val="77E91850"/>
    <w:rsid w:val="77ED7721"/>
    <w:rsid w:val="7B75712C"/>
    <w:rsid w:val="7E9957F7"/>
    <w:rsid w:val="E747E058"/>
    <w:rsid w:val="EBBF4F94"/>
    <w:rsid w:val="FDFFF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43434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TML Definition"/>
    <w:basedOn w:val="9"/>
    <w:qFormat/>
    <w:uiPriority w:val="0"/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434343"/>
      <w:u w:val="none"/>
    </w:rPr>
  </w:style>
  <w:style w:type="character" w:styleId="18">
    <w:name w:val="HTML Code"/>
    <w:basedOn w:val="9"/>
    <w:qFormat/>
    <w:uiPriority w:val="0"/>
    <w:rPr>
      <w:rFonts w:ascii="Courier New" w:hAnsi="Courier New"/>
      <w:sz w:val="18"/>
      <w:szCs w:val="18"/>
    </w:rPr>
  </w:style>
  <w:style w:type="character" w:styleId="19">
    <w:name w:val="HTML Cite"/>
    <w:basedOn w:val="9"/>
    <w:qFormat/>
    <w:uiPriority w:val="0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4286</Words>
  <Characters>5020</Characters>
  <Lines>40</Lines>
  <Paragraphs>11</Paragraphs>
  <TotalTime>29</TotalTime>
  <ScaleCrop>false</ScaleCrop>
  <LinksUpToDate>false</LinksUpToDate>
  <CharactersWithSpaces>5474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2018-08-03T00:58:00Z</dcterms:created>
  <dc:creator>huangfen</dc:creator>
  <cp:lastModifiedBy>dont ask</cp:lastModifiedBy>
  <dcterms:modified xsi:type="dcterms:W3CDTF">2022-08-25T02:52:12Z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7B9E45062887425AA88667EF9E624FC2</vt:lpwstr>
  </property>
</Properties>
</file>