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岳临环评[2023]7号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年产3万m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竹胶板及废弃竹木屑综合利用项目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环境影响报告表的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临湘市创兴生物科技有限公司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申请报告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及相关附件、岳阳市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出具的《临湘市创兴生物科技有限公司年产3万m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vertAlign w:val="superscript"/>
          <w:lang w:eastAsia="zh-CN"/>
        </w:rPr>
        <w:t>3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竹胶板及废弃竹木屑综合利用项目环境影响报告表技术评估报告》（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3]3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一、你公司拟在现有厂区内扩建年产3万m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竹胶板及废弃竹木屑综合利用项目（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位于临湘市羊楼司镇尖山街10号），该项目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投资1000万元，其中环保投资100.5万元，年产竹胶板3万立方米，并综合利用废弃竹木屑生产成型生物质颗粒9600吨/年。项目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总建筑面积12850m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，其中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竹胶板生产区8700m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（均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依托现有厂房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空置区）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生物质颗粒生产区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vertAlign w:val="baseline"/>
          <w:lang w:val="en-US" w:eastAsia="zh-CN"/>
        </w:rPr>
        <w:t>3750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m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主要建设内容为：成型生物质颗粒生产线（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封闭式钢结构厂房一座，内设竹木屑堆场、破碎区、烘干区、粉碎区、造粒区及成型生物质颗粒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冷却仓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）、竹胶板生产线（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开料及粗刨机增设在2#厂房内，蒸煮窑、烘干窑、过胶机及压机增设在4#厂房内，精刨机增设在5#厂房内，砂光机增设在12#厂房内，竹条养生间增设于10#厂房内，原竹木堆场增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设于1#厂房内、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竹胶板</w:t>
      </w: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成品车间增设在11#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）、成型生物质热风炉1台，及配套环保、储运设施（设备）等，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供水、供电依托现有，其中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竹胶板供热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依托现有6t/h生物质锅炉（2台，一备一用），锅炉废气除尘设备依托现有，排气筒进行改建。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主要生产工艺： 成型生物质颗粒生产线为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破碎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烘干—制粒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—包装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竹胶板生产线为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竹片制备—蒸煮、烘干—精刨— 施胶—热压拼合—砂光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主要原辅材料为原竹木、水性大豆生物基无醛胶黏剂、竹木屑、成型生物质颗粒等。主要产品为竹胶板、成型生物质颗粒。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评估、专家评审意见，从环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原料准入。竹木屑利用公司及周边企业竹木制品加工剩余物，不得含有废旧家具板材、阻燃剂、漆皮、胶黏剂等有害物质。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2、清洁生产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采用先进的工艺、设备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使用低VOC含量的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水性大豆生物基无醛胶黏剂，且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VOC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质量比应小于10%。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大气污染防治工作。生物质锅炉应配套高效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废气处理设施，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烟气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满足《锅炉大气污染物排放标准》（GB13271-2014）表3中燃煤锅炉特别排放限值要求后，通过35m高排气筒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（DA00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排放；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成型生物质颗粒生产线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竹木屑破碎、粉碎、制粒废气，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竹胶板生产线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精刨废气，砂光废气分别经收集管道+旋风除尘器+布袋除尘器处理，满足《大气污染物综合排放标准》（GB16297-1996）表2标准限值要求后，分别经15m高排气筒DA001、DA004、DA005排放；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成型生物质颗粒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烘干废气（含热风炉废气）经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低氮燃烧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+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旋风除尘器+布袋除尘器处理，满足《湖南省工业炉窑大气污染综合治理实施方案》（湘环发[2020]6号）限值要求后，经15m高排气筒DA006排放。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竹胶板生产线施胶、热压产生的有机废气通过车间通风系统排出,蒸煮、烘干工序产生的极少量的有机废气通过与各蒸煮窑、烘干窑排气孔相连的管道引至厂房外;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建设封闭式竹木屑原料车间及输送廊道，加强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厂房通风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确保厂界无组织排放挥发性有机物、颗粒物分别达到《家具制造行业挥发性有机物排放标准》（DB43/1355-2017）、《大气污染物综合排放标准》（GB16297-1996）限值要求，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厂区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监控点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挥发性有机物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达到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《挥发性有机物无组织排放控制标准》（GB37822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-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2019）表 A.1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标准限值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4、废水污染防治工作。按“雨污分流”原则，建设厂区雨水及污水管网。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生活污水经化粪池预处理，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达到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《污水综合排放标准》（ GB8978- 1996） 三级标准及《污水排放城镇下水道水质标准》（GB/T31962-2015）B级标准后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 w:bidi="ar-SA"/>
        </w:rPr>
        <w:t>再进入羊楼司镇污水处理厂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蒸煮废水收集后综合利用，不外排。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选用低噪声设备；各生产设备均布置在封闭厂房内；在厂区西侧及北侧完善实体围墙，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隔声、减震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、消声、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 w:color="auto"/>
          <w:lang w:eastAsia="zh-CN"/>
        </w:rPr>
        <w:t>优化布局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厂界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噪声达标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固体废物防治。建设规范的固体废物暂存场所和管理台帐，灰渣、除尘渣、废包装、边角料、竹糠、竹屑、木粉尘等一般工业固体废物分类收集、综合利用或合理处置;含油废物暂存于危废间，交有资质单位处置；生活垃圾交环卫部门日产日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7、环境管理。设立环保机构，建立环境管理制度，落实排污许可和监测要求，制订应急预案，规范排污口建设，加强日常监管，严格操作规程和功能分区，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切实解决目前存在的环境问题，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做好非正常工况下的各项污染防治措施，确保环保设施正常运行，污染物稳定达标排放，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周边环境安全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6"/>
        <w:keepLines w:val="0"/>
        <w:pageBreakBefore w:val="0"/>
        <w:widowControl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8、污染物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总量控制指标。SO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NOx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≤2.7t/a、VOCs≤0.082t/a，其中，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主要污染物SO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、NOx总量指标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从交易平台上购买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VOCs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排放替代来源于临湘市已有企业的工程或结构减排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2023年8月22日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RjY2EwOTMwZTNhZDdjNzExOTY4Yzg1MGNmYWQifQ=="/>
  </w:docVars>
  <w:rsids>
    <w:rsidRoot w:val="00000000"/>
    <w:rsid w:val="00F034B0"/>
    <w:rsid w:val="02094A42"/>
    <w:rsid w:val="02201D8C"/>
    <w:rsid w:val="02B052A9"/>
    <w:rsid w:val="02C848FD"/>
    <w:rsid w:val="033C2BF5"/>
    <w:rsid w:val="04543BD9"/>
    <w:rsid w:val="05882122"/>
    <w:rsid w:val="06356E85"/>
    <w:rsid w:val="07B860D2"/>
    <w:rsid w:val="09372C1B"/>
    <w:rsid w:val="0B843220"/>
    <w:rsid w:val="0D783CF0"/>
    <w:rsid w:val="0F2B7CF7"/>
    <w:rsid w:val="0FFB0A97"/>
    <w:rsid w:val="105B45EA"/>
    <w:rsid w:val="119E3C43"/>
    <w:rsid w:val="12386C7D"/>
    <w:rsid w:val="145E1773"/>
    <w:rsid w:val="15C670F1"/>
    <w:rsid w:val="16295162"/>
    <w:rsid w:val="176D58E3"/>
    <w:rsid w:val="1C2753DD"/>
    <w:rsid w:val="1CDD6D9F"/>
    <w:rsid w:val="1D885F8D"/>
    <w:rsid w:val="1D9E616E"/>
    <w:rsid w:val="1DE5159F"/>
    <w:rsid w:val="1EA54CDC"/>
    <w:rsid w:val="1EAC29A2"/>
    <w:rsid w:val="1FE02D09"/>
    <w:rsid w:val="20D2125C"/>
    <w:rsid w:val="21BC716B"/>
    <w:rsid w:val="21F20C55"/>
    <w:rsid w:val="229323DA"/>
    <w:rsid w:val="22B32480"/>
    <w:rsid w:val="23FE1AD5"/>
    <w:rsid w:val="257A162F"/>
    <w:rsid w:val="2B281665"/>
    <w:rsid w:val="2C7D37B3"/>
    <w:rsid w:val="2D263666"/>
    <w:rsid w:val="2D632669"/>
    <w:rsid w:val="2E7678C0"/>
    <w:rsid w:val="2FC812C3"/>
    <w:rsid w:val="301E705B"/>
    <w:rsid w:val="31B072CE"/>
    <w:rsid w:val="32566F80"/>
    <w:rsid w:val="337D00C3"/>
    <w:rsid w:val="33BA2B77"/>
    <w:rsid w:val="34F82570"/>
    <w:rsid w:val="36164A44"/>
    <w:rsid w:val="368F480F"/>
    <w:rsid w:val="36D031AF"/>
    <w:rsid w:val="39137979"/>
    <w:rsid w:val="39AC1B82"/>
    <w:rsid w:val="39B7021F"/>
    <w:rsid w:val="3A6C1A43"/>
    <w:rsid w:val="3B8457E6"/>
    <w:rsid w:val="3FBB3C90"/>
    <w:rsid w:val="409331A7"/>
    <w:rsid w:val="425F20D3"/>
    <w:rsid w:val="44A302AB"/>
    <w:rsid w:val="45BB2CC5"/>
    <w:rsid w:val="4635035D"/>
    <w:rsid w:val="4B0101DB"/>
    <w:rsid w:val="4BB072A9"/>
    <w:rsid w:val="4BB91646"/>
    <w:rsid w:val="4CAC5CC3"/>
    <w:rsid w:val="512B1415"/>
    <w:rsid w:val="525168F3"/>
    <w:rsid w:val="52724BEA"/>
    <w:rsid w:val="52B84708"/>
    <w:rsid w:val="53647824"/>
    <w:rsid w:val="53DA3115"/>
    <w:rsid w:val="5429442D"/>
    <w:rsid w:val="54CE3AA7"/>
    <w:rsid w:val="55747599"/>
    <w:rsid w:val="570D1EFB"/>
    <w:rsid w:val="57A24699"/>
    <w:rsid w:val="57C92524"/>
    <w:rsid w:val="57D460CD"/>
    <w:rsid w:val="58F540EC"/>
    <w:rsid w:val="5A225816"/>
    <w:rsid w:val="5AAD149A"/>
    <w:rsid w:val="5BC53E99"/>
    <w:rsid w:val="5FD215C4"/>
    <w:rsid w:val="61377DF9"/>
    <w:rsid w:val="615838CB"/>
    <w:rsid w:val="628C5F22"/>
    <w:rsid w:val="63533FCE"/>
    <w:rsid w:val="63BF2AC1"/>
    <w:rsid w:val="668D2465"/>
    <w:rsid w:val="677A5ED1"/>
    <w:rsid w:val="6B8D38E9"/>
    <w:rsid w:val="6BC73521"/>
    <w:rsid w:val="6BC93D43"/>
    <w:rsid w:val="6C5D6D3E"/>
    <w:rsid w:val="6CD81D64"/>
    <w:rsid w:val="6D547741"/>
    <w:rsid w:val="6FA348AB"/>
    <w:rsid w:val="6FD853B1"/>
    <w:rsid w:val="703260F9"/>
    <w:rsid w:val="715F1F17"/>
    <w:rsid w:val="74D55507"/>
    <w:rsid w:val="75660855"/>
    <w:rsid w:val="76E934EC"/>
    <w:rsid w:val="7A54790D"/>
    <w:rsid w:val="7CA73C2D"/>
    <w:rsid w:val="7D1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7">
    <w:name w:val="Body Text Indent"/>
    <w:basedOn w:val="1"/>
    <w:next w:val="1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8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3"/>
    <w:next w:val="1"/>
    <w:unhideWhenUsed/>
    <w:qFormat/>
    <w:uiPriority w:val="99"/>
    <w:pPr>
      <w:adjustRightInd w:val="0"/>
      <w:snapToGrid w:val="0"/>
      <w:spacing w:after="0"/>
    </w:pPr>
  </w:style>
  <w:style w:type="paragraph" w:styleId="13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xl27"/>
    <w:basedOn w:val="1"/>
    <w:next w:val="8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18">
    <w:name w:val="样式 正文文本缩进 + 行距: 1.5 倍行距"/>
    <w:basedOn w:val="7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19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0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1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2">
    <w:name w:val="正文1"/>
    <w:next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23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24">
    <w:name w:val="表格正文"/>
    <w:basedOn w:val="1"/>
    <w:next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25">
    <w:name w:val="表格文字"/>
    <w:basedOn w:val="1"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1968</Words>
  <Characters>2178</Characters>
  <Lines>0</Lines>
  <Paragraphs>0</Paragraphs>
  <TotalTime>15</TotalTime>
  <ScaleCrop>false</ScaleCrop>
  <LinksUpToDate>false</LinksUpToDate>
  <CharactersWithSpaces>2184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2022-01-27T00:36:00Z</dcterms:created>
  <dc:creator>lenovo</dc:creator>
  <cp:lastModifiedBy>无语</cp:lastModifiedBy>
  <cp:lastPrinted>2023-08-17T00:07:53Z</cp:lastPrinted>
  <dcterms:modified xsi:type="dcterms:W3CDTF">2023-08-17T00:09:38Z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A3BE4E80826E4E448D22C89DCB3E70FD</vt:lpwstr>
  </property>
</Properties>
</file>