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color w:val="FF0000"/>
          <w:lang w:val="en-US" w:eastAsia="zh-CN"/>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spacing w:line="240" w:lineRule="auto"/>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bookmarkStart w:id="0" w:name="_Toc5648"/>
      <w:bookmarkStart w:id="1" w:name="_Toc23998"/>
      <w:bookmarkStart w:id="2" w:name="_Toc31779"/>
      <w:bookmarkStart w:id="3" w:name="_Toc23346"/>
      <w:r>
        <w:rPr>
          <w:rFonts w:hint="eastAsia" w:ascii="方正小标宋_GBK" w:eastAsia="方正小标宋_GBK"/>
          <w:bCs/>
          <w:sz w:val="72"/>
          <w:szCs w:val="72"/>
        </w:rPr>
        <w:t>建设项目环境影响报告表</w:t>
      </w:r>
      <w:bookmarkEnd w:id="0"/>
      <w:bookmarkEnd w:id="1"/>
      <w:bookmarkEnd w:id="2"/>
      <w:bookmarkEnd w:id="3"/>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firstLine="1040"/>
        <w:rPr>
          <w:rFonts w:hint="eastAsia"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2"/>
          <w:szCs w:val="32"/>
          <w:u w:val="single"/>
        </w:rPr>
        <w:t xml:space="preserve">临湘市恒太加油站扩建项目           </w:t>
      </w:r>
      <w:r>
        <w:rPr>
          <w:rFonts w:hint="eastAsia" w:ascii="仿宋_GB2312" w:eastAsia="仿宋_GB2312"/>
          <w:sz w:val="36"/>
          <w:szCs w:val="36"/>
          <w:u w:val="single"/>
        </w:rPr>
        <w:t xml:space="preserve"> </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2"/>
          <w:szCs w:val="32"/>
          <w:u w:val="single"/>
        </w:rPr>
        <w:t xml:space="preserve">临湘市恒太加油站    </w:t>
      </w:r>
      <w:r>
        <w:rPr>
          <w:rFonts w:hint="eastAsia" w:ascii="仿宋_GB2312" w:eastAsia="仿宋_GB2312"/>
          <w:sz w:val="36"/>
          <w:szCs w:val="36"/>
          <w:u w:val="single"/>
        </w:rPr>
        <w:t xml:space="preserve">        </w:t>
      </w:r>
    </w:p>
    <w:p>
      <w:pPr>
        <w:adjustRightInd w:val="0"/>
        <w:snapToGrid w:val="0"/>
        <w:spacing w:line="288" w:lineRule="auto"/>
        <w:ind w:firstLine="1040"/>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hint="eastAsia" w:ascii="仿宋_GB2312" w:eastAsia="仿宋_GB2312"/>
          <w:sz w:val="32"/>
          <w:szCs w:val="32"/>
          <w:u w:val="single"/>
        </w:rPr>
        <w:t>2023年</w:t>
      </w:r>
      <w:r>
        <w:rPr>
          <w:rFonts w:hint="eastAsia" w:ascii="仿宋_GB2312" w:eastAsia="仿宋_GB2312"/>
          <w:sz w:val="32"/>
          <w:szCs w:val="32"/>
          <w:u w:val="single"/>
          <w:lang w:val="en-US" w:eastAsia="zh-CN"/>
        </w:rPr>
        <w:t>11</w:t>
      </w:r>
      <w:r>
        <w:rPr>
          <w:rFonts w:hint="eastAsia" w:ascii="仿宋_GB2312" w:eastAsia="仿宋_GB2312"/>
          <w:sz w:val="32"/>
          <w:szCs w:val="32"/>
          <w:u w:val="single"/>
        </w:rPr>
        <w:t xml:space="preserve">月 </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pPr>
        <w:pStyle w:val="10"/>
        <w:rPr>
          <w:rFonts w:hint="eastAsia"/>
        </w:rPr>
      </w:pPr>
      <w:bookmarkStart w:id="4" w:name="_Hlk57884087"/>
    </w:p>
    <w:p>
      <w:pPr>
        <w:adjustRightInd w:val="0"/>
        <w:snapToGrid w:val="0"/>
        <w:spacing w:line="288" w:lineRule="auto"/>
        <w:ind w:firstLine="1040"/>
        <w:rPr>
          <w:rFonts w:hint="eastAsia" w:ascii="仿宋_GB2312" w:eastAsia="仿宋_GB2312"/>
          <w:sz w:val="36"/>
          <w:szCs w:val="36"/>
        </w:rPr>
      </w:pPr>
    </w:p>
    <w:bookmarkEnd w:id="4"/>
    <w:p>
      <w:pPr>
        <w:adjustRightInd w:val="0"/>
        <w:snapToGrid w:val="0"/>
        <w:spacing w:line="288" w:lineRule="auto"/>
        <w:jc w:val="center"/>
        <w:outlineLvl w:val="0"/>
        <w:rPr>
          <w:rFonts w:hint="eastAsia" w:ascii="楷体_GB2312" w:eastAsia="楷体_GB2312"/>
          <w:sz w:val="36"/>
          <w:szCs w:val="36"/>
        </w:rPr>
      </w:pPr>
      <w:bookmarkStart w:id="5" w:name="_Toc29823"/>
      <w:bookmarkStart w:id="6" w:name="_Toc24831"/>
      <w:bookmarkStart w:id="7" w:name="_Toc16429"/>
      <w:bookmarkStart w:id="8" w:name="_Toc2696"/>
      <w:bookmarkStart w:id="9" w:name="_Toc2354"/>
      <w:r>
        <w:rPr>
          <w:rFonts w:hint="eastAsia" w:ascii="楷体_GB2312" w:eastAsia="楷体_GB2312"/>
          <w:sz w:val="36"/>
          <w:szCs w:val="36"/>
        </w:rPr>
        <w:t>中华人民共和国生态环境部制</w:t>
      </w:r>
      <w:bookmarkEnd w:id="5"/>
      <w:bookmarkEnd w:id="6"/>
      <w:bookmarkEnd w:id="7"/>
      <w:bookmarkEnd w:id="8"/>
      <w:bookmarkEnd w:id="9"/>
    </w:p>
    <w:p>
      <w:pPr>
        <w:adjustRightInd w:val="0"/>
        <w:snapToGrid w:val="0"/>
        <w:spacing w:line="288" w:lineRule="auto"/>
        <w:ind w:firstLine="1040"/>
        <w:rPr>
          <w:rFonts w:ascii="仿宋_GB2312" w:eastAsia="仿宋_GB2312"/>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
        <w:ind w:left="0" w:leftChars="0" w:firstLine="0" w:firstLineChars="0"/>
        <w:rPr>
          <w:rFonts w:hint="eastAsia" w:ascii="宋体" w:hAnsi="宋体" w:eastAsia="宋体" w:cs="宋体"/>
        </w:rPr>
      </w:pPr>
      <w:r>
        <w:rPr>
          <w:rFonts w:hint="eastAsia" w:ascii="宋体" w:hAnsi="宋体" w:eastAsia="宋体" w:cs="宋体"/>
        </w:rPr>
        <w:t>编制单位营业执照</w:t>
      </w:r>
    </w:p>
    <w:p>
      <w:pPr>
        <w:pStyle w:val="2"/>
        <w:ind w:left="0" w:leftChars="0" w:firstLine="0" w:firstLineChars="0"/>
        <w:rPr>
          <w:rFonts w:hint="eastAsia"/>
        </w:rPr>
      </w:pPr>
      <w:r>
        <w:rPr>
          <w:rFonts w:hint="eastAsia"/>
        </w:rPr>
        <w:drawing>
          <wp:inline distT="0" distB="0" distL="114300" distR="114300">
            <wp:extent cx="4209415" cy="5462905"/>
            <wp:effectExtent l="0" t="0" r="4445" b="635"/>
            <wp:docPr id="17" name="图片 39"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9" descr="营业执照"/>
                    <pic:cNvPicPr>
                      <a:picLocks noChangeAspect="1"/>
                    </pic:cNvPicPr>
                  </pic:nvPicPr>
                  <pic:blipFill>
                    <a:blip r:embed="rId10"/>
                    <a:srcRect t="8264"/>
                    <a:stretch>
                      <a:fillRect/>
                    </a:stretch>
                  </pic:blipFill>
                  <pic:spPr>
                    <a:xfrm rot="-5400000">
                      <a:off x="0" y="0"/>
                      <a:ext cx="4209415" cy="5462905"/>
                    </a:xfrm>
                    <a:prstGeom prst="rect">
                      <a:avLst/>
                    </a:prstGeom>
                    <a:noFill/>
                    <a:ln>
                      <a:noFill/>
                    </a:ln>
                  </pic:spPr>
                </pic:pic>
              </a:graphicData>
            </a:graphic>
          </wp:inline>
        </w:drawing>
      </w: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
        <w:ind w:left="0" w:leftChars="0" w:firstLine="0" w:firstLineChars="0"/>
        <w:rPr>
          <w:rFonts w:hint="eastAsia" w:ascii="宋体" w:hAnsi="宋体" w:eastAsia="宋体" w:cs="宋体"/>
        </w:rPr>
      </w:pPr>
      <w:r>
        <w:rPr>
          <w:rFonts w:hint="eastAsia" w:ascii="宋体" w:hAnsi="宋体" w:eastAsia="宋体" w:cs="宋体"/>
        </w:rPr>
        <w:t>编制主持人资格证书</w:t>
      </w:r>
    </w:p>
    <w:p>
      <w:pPr>
        <w:pStyle w:val="2"/>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514340" cy="6669405"/>
            <wp:effectExtent l="0" t="0" r="10160" b="17145"/>
            <wp:docPr id="18" name="图片 40" descr="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0" descr="工程师证"/>
                    <pic:cNvPicPr>
                      <a:picLocks noChangeAspect="1"/>
                    </pic:cNvPicPr>
                  </pic:nvPicPr>
                  <pic:blipFill>
                    <a:blip r:embed="rId11"/>
                    <a:srcRect l="19788" t="14203" r="6320" b="22629"/>
                    <a:stretch>
                      <a:fillRect/>
                    </a:stretch>
                  </pic:blipFill>
                  <pic:spPr>
                    <a:xfrm>
                      <a:off x="0" y="0"/>
                      <a:ext cx="5514340" cy="6669405"/>
                    </a:xfrm>
                    <a:prstGeom prst="rect">
                      <a:avLst/>
                    </a:prstGeom>
                    <a:noFill/>
                    <a:ln>
                      <a:noFill/>
                    </a:ln>
                  </pic:spPr>
                </pic:pic>
              </a:graphicData>
            </a:graphic>
          </wp:inline>
        </w:drawing>
      </w:r>
    </w:p>
    <w:p>
      <w:pPr>
        <w:pStyle w:val="2"/>
        <w:ind w:left="0" w:leftChars="0" w:firstLine="0" w:firstLineChars="0"/>
        <w:rPr>
          <w:rFonts w:hint="eastAsia" w:ascii="宋体" w:hAnsi="宋体" w:eastAsia="宋体" w:cs="宋体"/>
        </w:rPr>
      </w:pPr>
    </w:p>
    <w:p>
      <w:pPr>
        <w:pStyle w:val="2"/>
        <w:ind w:left="0" w:leftChars="0" w:firstLine="0" w:firstLineChars="0"/>
        <w:rPr>
          <w:rFonts w:hint="eastAsia" w:ascii="宋体" w:hAnsi="宋体" w:eastAsia="宋体" w:cs="宋体"/>
        </w:rPr>
      </w:pPr>
    </w:p>
    <w:p>
      <w:pPr>
        <w:pStyle w:val="2"/>
        <w:ind w:left="0" w:leftChars="0" w:firstLine="0" w:firstLineChars="0"/>
        <w:rPr>
          <w:rFonts w:hint="eastAsia" w:ascii="宋体" w:hAnsi="宋体" w:eastAsia="宋体" w:cs="宋体"/>
        </w:rPr>
      </w:pPr>
    </w:p>
    <w:p>
      <w:pPr>
        <w:pStyle w:val="2"/>
        <w:ind w:left="0" w:leftChars="0" w:firstLine="0" w:firstLineChars="0"/>
        <w:rPr>
          <w:rFonts w:hint="eastAsia" w:ascii="宋体" w:hAnsi="宋体" w:eastAsia="宋体" w:cs="宋体"/>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
        <w:ind w:left="0" w:leftChars="0" w:firstLine="0" w:firstLineChars="0"/>
        <w:rPr>
          <w:rFonts w:ascii="宋体" w:hAnsi="宋体" w:eastAsia="宋体" w:cs="宋体"/>
        </w:rPr>
      </w:pPr>
      <w:r>
        <w:rPr>
          <w:rFonts w:hint="eastAsia" w:ascii="宋体" w:hAnsi="宋体" w:eastAsia="宋体" w:cs="宋体"/>
        </w:rPr>
        <w:t>编制单位和编制人员情况表</w:t>
      </w:r>
    </w:p>
    <w:p>
      <w:pPr>
        <w:pStyle w:val="2"/>
        <w:ind w:left="0" w:leftChars="0" w:firstLine="0" w:firstLineChars="0"/>
        <w:rPr>
          <w:rFonts w:hint="eastAsia" w:ascii="宋体" w:hAnsi="宋体" w:eastAsia="宋体" w:cs="宋体"/>
        </w:rPr>
      </w:pPr>
      <w:r>
        <w:rPr>
          <w:rFonts w:hint="eastAsia"/>
        </w:rPr>
        <w:drawing>
          <wp:inline distT="0" distB="0" distL="114300" distR="114300">
            <wp:extent cx="5613400" cy="7944485"/>
            <wp:effectExtent l="0" t="0" r="6350" b="18415"/>
            <wp:docPr id="19" name="图片 44" descr="临湘市恒太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4" descr="临湘市恒太加油站"/>
                    <pic:cNvPicPr>
                      <a:picLocks noChangeAspect="1"/>
                    </pic:cNvPicPr>
                  </pic:nvPicPr>
                  <pic:blipFill>
                    <a:blip r:embed="rId12"/>
                    <a:stretch>
                      <a:fillRect/>
                    </a:stretch>
                  </pic:blipFill>
                  <pic:spPr>
                    <a:xfrm>
                      <a:off x="0" y="0"/>
                      <a:ext cx="5613400" cy="7944485"/>
                    </a:xfrm>
                    <a:prstGeom prst="rect">
                      <a:avLst/>
                    </a:prstGeom>
                    <a:noFill/>
                    <a:ln>
                      <a:noFill/>
                    </a:ln>
                  </pic:spPr>
                </pic:pic>
              </a:graphicData>
            </a:graphic>
          </wp:inline>
        </w:drawing>
      </w:r>
    </w:p>
    <w:p>
      <w:pPr>
        <w:pStyle w:val="2"/>
        <w:ind w:left="0" w:leftChars="0" w:firstLine="0" w:firstLineChars="0"/>
        <w:rPr>
          <w:rFonts w:hint="eastAsia" w:ascii="宋体" w:hAnsi="宋体" w:eastAsia="宋体" w:cs="宋体"/>
        </w:rPr>
      </w:pPr>
    </w:p>
    <w:p>
      <w:pPr>
        <w:pStyle w:val="2"/>
        <w:ind w:left="0" w:leftChars="0" w:firstLine="0" w:firstLineChars="0"/>
        <w:rPr>
          <w:rFonts w:ascii="宋体" w:hAnsi="宋体" w:eastAsia="宋体" w:cs="宋体"/>
        </w:rPr>
      </w:pPr>
      <w:r>
        <w:rPr>
          <w:rFonts w:hint="eastAsia" w:ascii="宋体" w:hAnsi="宋体" w:eastAsia="宋体" w:cs="宋体"/>
        </w:rPr>
        <w:t>承诺书</w:t>
      </w:r>
    </w:p>
    <w:p>
      <w:pPr>
        <w:pStyle w:val="2"/>
        <w:ind w:left="0" w:leftChars="0" w:firstLine="0" w:firstLineChars="0"/>
        <w:rPr>
          <w:rFonts w:hint="eastAsia" w:eastAsia="楷体_GB2312"/>
          <w:lang w:eastAsia="zh-CN"/>
        </w:rPr>
      </w:pPr>
      <w:r>
        <w:rPr>
          <w:rFonts w:hint="eastAsia" w:eastAsia="楷体_GB2312"/>
          <w:lang w:eastAsia="zh-CN"/>
        </w:rPr>
        <w:drawing>
          <wp:inline distT="0" distB="0" distL="114300" distR="114300">
            <wp:extent cx="5614035" cy="7941945"/>
            <wp:effectExtent l="0" t="0" r="5715" b="1905"/>
            <wp:docPr id="20" name="图片 62" descr="20231103072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2" descr="202311030728_01"/>
                    <pic:cNvPicPr>
                      <a:picLocks noChangeAspect="1"/>
                    </pic:cNvPicPr>
                  </pic:nvPicPr>
                  <pic:blipFill>
                    <a:blip r:embed="rId13"/>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eastAsia="楷体_GB2312"/>
          <w:lang w:eastAsia="zh-CN"/>
        </w:rPr>
      </w:pPr>
      <w:r>
        <w:rPr>
          <w:rFonts w:hint="eastAsia" w:eastAsia="楷体_GB2312"/>
          <w:lang w:eastAsia="zh-CN"/>
        </w:rPr>
        <w:drawing>
          <wp:inline distT="0" distB="0" distL="114300" distR="114300">
            <wp:extent cx="5614035" cy="7941945"/>
            <wp:effectExtent l="0" t="0" r="5715" b="1905"/>
            <wp:docPr id="21" name="图片 61" descr="20231103072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1" descr="202311030728_00"/>
                    <pic:cNvPicPr>
                      <a:picLocks noChangeAspect="1"/>
                    </pic:cNvPicPr>
                  </pic:nvPicPr>
                  <pic:blipFill>
                    <a:blip r:embed="rId14"/>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spacing w:line="360" w:lineRule="auto"/>
        <w:jc w:val="center"/>
        <w:outlineLvl w:val="0"/>
        <w:rPr>
          <w:rFonts w:hint="eastAsia"/>
          <w:b/>
          <w:bCs/>
          <w:sz w:val="30"/>
          <w:szCs w:val="30"/>
        </w:rPr>
      </w:pPr>
      <w:bookmarkStart w:id="10" w:name="_Toc25794"/>
      <w:bookmarkStart w:id="11" w:name="_Toc26923"/>
      <w:bookmarkStart w:id="12" w:name="_Toc1225"/>
      <w:bookmarkStart w:id="13" w:name="_Toc7198"/>
      <w:bookmarkStart w:id="14" w:name="_Toc26301"/>
      <w:r>
        <w:rPr>
          <w:rFonts w:hint="eastAsia"/>
          <w:b/>
          <w:bCs/>
          <w:sz w:val="30"/>
          <w:szCs w:val="30"/>
        </w:rPr>
        <w:t>临湘市恒太加油站扩建项目环境影响报告表专家审查意见</w:t>
      </w:r>
      <w:bookmarkEnd w:id="10"/>
      <w:bookmarkEnd w:id="11"/>
      <w:bookmarkEnd w:id="12"/>
      <w:bookmarkEnd w:id="13"/>
      <w:bookmarkEnd w:id="14"/>
    </w:p>
    <w:p>
      <w:pPr>
        <w:pStyle w:val="13"/>
        <w:spacing w:line="240" w:lineRule="auto"/>
        <w:ind w:left="0" w:leftChars="0"/>
        <w:jc w:val="center"/>
        <w:rPr>
          <w:rFonts w:hint="eastAsia"/>
          <w:b/>
          <w:bCs/>
          <w:sz w:val="30"/>
          <w:szCs w:val="30"/>
        </w:rPr>
      </w:pPr>
      <w:r>
        <w:rPr>
          <w:rFonts w:hint="eastAsia"/>
          <w:b/>
          <w:bCs/>
          <w:sz w:val="30"/>
          <w:szCs w:val="30"/>
        </w:rPr>
        <w:t>修改清单</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3729"/>
        <w:gridCol w:w="1019"/>
        <w:gridCol w:w="3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13" w:type="pct"/>
            <w:noWrap w:val="0"/>
            <w:vAlign w:val="center"/>
          </w:tcPr>
          <w:p>
            <w:pPr>
              <w:pStyle w:val="81"/>
              <w:adjustRightInd w:val="0"/>
              <w:snapToGrid w:val="0"/>
              <w:ind w:firstLine="0" w:firstLineChars="0"/>
              <w:jc w:val="center"/>
              <w:rPr>
                <w:b/>
                <w:bCs/>
                <w:sz w:val="24"/>
                <w:szCs w:val="24"/>
              </w:rPr>
            </w:pPr>
            <w:r>
              <w:rPr>
                <w:b/>
                <w:bCs/>
                <w:sz w:val="24"/>
                <w:szCs w:val="24"/>
              </w:rPr>
              <w:t>序号</w:t>
            </w:r>
          </w:p>
        </w:tc>
        <w:tc>
          <w:tcPr>
            <w:tcW w:w="2057" w:type="pct"/>
            <w:noWrap w:val="0"/>
            <w:vAlign w:val="center"/>
          </w:tcPr>
          <w:p>
            <w:pPr>
              <w:pStyle w:val="81"/>
              <w:adjustRightInd w:val="0"/>
              <w:snapToGrid w:val="0"/>
              <w:ind w:firstLine="0" w:firstLineChars="0"/>
              <w:jc w:val="center"/>
              <w:rPr>
                <w:b/>
                <w:bCs/>
                <w:sz w:val="24"/>
                <w:szCs w:val="24"/>
              </w:rPr>
            </w:pPr>
            <w:r>
              <w:rPr>
                <w:b/>
                <w:bCs/>
                <w:sz w:val="24"/>
                <w:szCs w:val="24"/>
              </w:rPr>
              <w:t>技术评审意见</w:t>
            </w:r>
          </w:p>
        </w:tc>
        <w:tc>
          <w:tcPr>
            <w:tcW w:w="562" w:type="pct"/>
            <w:noWrap w:val="0"/>
            <w:vAlign w:val="center"/>
          </w:tcPr>
          <w:p>
            <w:pPr>
              <w:pStyle w:val="81"/>
              <w:adjustRightInd w:val="0"/>
              <w:snapToGrid w:val="0"/>
              <w:ind w:firstLine="0" w:firstLineChars="0"/>
              <w:jc w:val="center"/>
              <w:rPr>
                <w:rFonts w:hint="eastAsia"/>
                <w:b/>
                <w:bCs/>
                <w:sz w:val="24"/>
                <w:szCs w:val="24"/>
              </w:rPr>
            </w:pPr>
            <w:r>
              <w:rPr>
                <w:rFonts w:hint="eastAsia"/>
                <w:b/>
                <w:bCs/>
                <w:sz w:val="24"/>
                <w:szCs w:val="24"/>
              </w:rPr>
              <w:t>是否</w:t>
            </w:r>
          </w:p>
          <w:p>
            <w:pPr>
              <w:pStyle w:val="81"/>
              <w:adjustRightInd w:val="0"/>
              <w:snapToGrid w:val="0"/>
              <w:ind w:firstLine="0" w:firstLineChars="0"/>
              <w:jc w:val="center"/>
              <w:rPr>
                <w:b/>
                <w:bCs/>
                <w:sz w:val="24"/>
                <w:szCs w:val="24"/>
              </w:rPr>
            </w:pPr>
            <w:r>
              <w:rPr>
                <w:rFonts w:hint="eastAsia"/>
                <w:b/>
                <w:bCs/>
                <w:sz w:val="24"/>
                <w:szCs w:val="24"/>
              </w:rPr>
              <w:t>采纳</w:t>
            </w:r>
          </w:p>
        </w:tc>
        <w:tc>
          <w:tcPr>
            <w:tcW w:w="1966" w:type="pct"/>
            <w:noWrap w:val="0"/>
            <w:vAlign w:val="center"/>
          </w:tcPr>
          <w:p>
            <w:pPr>
              <w:pStyle w:val="81"/>
              <w:adjustRightInd w:val="0"/>
              <w:snapToGrid w:val="0"/>
              <w:ind w:firstLine="0" w:firstLineChars="0"/>
              <w:jc w:val="center"/>
              <w:rPr>
                <w:b/>
                <w:bCs/>
                <w:sz w:val="24"/>
                <w:szCs w:val="24"/>
              </w:rPr>
            </w:pPr>
            <w:r>
              <w:rPr>
                <w:b/>
                <w:bCs/>
                <w:sz w:val="24"/>
                <w:szCs w:val="24"/>
              </w:rPr>
              <w:t>修改内容及索引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1</w:t>
            </w:r>
          </w:p>
        </w:tc>
        <w:tc>
          <w:tcPr>
            <w:tcW w:w="2057" w:type="pct"/>
            <w:noWrap w:val="0"/>
            <w:vAlign w:val="center"/>
          </w:tcPr>
          <w:p>
            <w:pPr>
              <w:pStyle w:val="81"/>
              <w:adjustRightInd w:val="0"/>
              <w:snapToGrid w:val="0"/>
              <w:ind w:firstLine="480"/>
              <w:jc w:val="left"/>
              <w:rPr>
                <w:sz w:val="24"/>
                <w:szCs w:val="24"/>
              </w:rPr>
            </w:pPr>
            <w:r>
              <w:rPr>
                <w:sz w:val="24"/>
                <w:szCs w:val="24"/>
              </w:rPr>
              <w:t>细化项目由来，核实国民经济行业类别，提供项目所在地属于建成区的支撑材料,说明编制报告表的理由；核实项目建设性质；补充项目建设与《岳阳市成品油零售体系“十四五”发展规划》相符性分析。强化项目建设与VOC污染防治技术政策相符性分析。</w:t>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rPr>
                <w:rFonts w:hint="eastAsia" w:eastAsia="宋体"/>
                <w:color w:val="0000FF"/>
                <w:sz w:val="24"/>
                <w:szCs w:val="24"/>
                <w:lang w:eastAsia="zh-CN"/>
              </w:rPr>
            </w:pPr>
            <w:r>
              <w:rPr>
                <w:color w:val="0000FF"/>
                <w:sz w:val="24"/>
                <w:szCs w:val="24"/>
              </w:rPr>
              <w:t>细化项目由来</w:t>
            </w:r>
            <w:r>
              <w:rPr>
                <w:rFonts w:hint="eastAsia"/>
                <w:color w:val="0000FF"/>
                <w:sz w:val="24"/>
                <w:szCs w:val="24"/>
                <w:lang w:val="en-US" w:eastAsia="zh-CN"/>
              </w:rPr>
              <w:t>见</w:t>
            </w:r>
            <w:r>
              <w:rPr>
                <w:rFonts w:hint="eastAsia"/>
                <w:color w:val="0000FF"/>
                <w:sz w:val="24"/>
                <w:szCs w:val="24"/>
              </w:rPr>
              <w:t>P</w:t>
            </w:r>
            <w:r>
              <w:rPr>
                <w:rFonts w:hint="eastAsia"/>
                <w:color w:val="0000FF"/>
                <w:sz w:val="24"/>
                <w:szCs w:val="24"/>
                <w:lang w:val="en-US" w:eastAsia="zh-CN"/>
              </w:rPr>
              <w:t>10</w:t>
            </w:r>
            <w:r>
              <w:rPr>
                <w:rFonts w:hint="eastAsia"/>
                <w:color w:val="0000FF"/>
                <w:sz w:val="24"/>
                <w:szCs w:val="24"/>
              </w:rPr>
              <w:t>、</w:t>
            </w:r>
            <w:r>
              <w:rPr>
                <w:color w:val="0000FF"/>
                <w:sz w:val="24"/>
                <w:szCs w:val="24"/>
              </w:rPr>
              <w:t>核实国民经济行业类别</w:t>
            </w:r>
            <w:r>
              <w:rPr>
                <w:rFonts w:hint="eastAsia"/>
                <w:color w:val="0000FF"/>
                <w:sz w:val="24"/>
                <w:szCs w:val="24"/>
              </w:rPr>
              <w:t>P2、</w:t>
            </w:r>
            <w:r>
              <w:rPr>
                <w:color w:val="0000FF"/>
                <w:sz w:val="24"/>
                <w:szCs w:val="24"/>
              </w:rPr>
              <w:t>提供项目所在地属于建成区的支撑材料</w:t>
            </w:r>
            <w:r>
              <w:rPr>
                <w:rFonts w:hint="eastAsia"/>
                <w:color w:val="0000FF"/>
                <w:sz w:val="24"/>
                <w:szCs w:val="24"/>
                <w:lang w:val="en-US" w:eastAsia="zh-CN"/>
              </w:rPr>
              <w:t>见</w:t>
            </w:r>
            <w:r>
              <w:rPr>
                <w:rFonts w:hint="eastAsia"/>
                <w:color w:val="0000FF"/>
                <w:sz w:val="24"/>
                <w:szCs w:val="24"/>
              </w:rPr>
              <w:t>附图七、</w:t>
            </w:r>
            <w:r>
              <w:rPr>
                <w:color w:val="0000FF"/>
                <w:sz w:val="24"/>
                <w:szCs w:val="24"/>
              </w:rPr>
              <w:t>说明编制报告表的理由</w:t>
            </w:r>
            <w:r>
              <w:rPr>
                <w:rFonts w:hint="eastAsia"/>
                <w:color w:val="0000FF"/>
                <w:sz w:val="24"/>
                <w:szCs w:val="24"/>
              </w:rPr>
              <w:t>P</w:t>
            </w:r>
            <w:r>
              <w:rPr>
                <w:rFonts w:hint="eastAsia"/>
                <w:color w:val="0000FF"/>
                <w:sz w:val="24"/>
                <w:szCs w:val="24"/>
                <w:lang w:val="en-US" w:eastAsia="zh-CN"/>
              </w:rPr>
              <w:t>10</w:t>
            </w:r>
            <w:r>
              <w:rPr>
                <w:rFonts w:hint="eastAsia"/>
                <w:color w:val="0000FF"/>
                <w:sz w:val="24"/>
                <w:szCs w:val="24"/>
              </w:rPr>
              <w:t>、</w:t>
            </w:r>
            <w:r>
              <w:rPr>
                <w:color w:val="0000FF"/>
                <w:sz w:val="24"/>
                <w:szCs w:val="24"/>
              </w:rPr>
              <w:t>核实项目建设性质</w:t>
            </w:r>
            <w:r>
              <w:rPr>
                <w:rFonts w:hint="eastAsia"/>
                <w:color w:val="0000FF"/>
                <w:sz w:val="24"/>
                <w:szCs w:val="24"/>
                <w:lang w:val="en-US" w:eastAsia="zh-CN"/>
              </w:rPr>
              <w:t>见</w:t>
            </w:r>
            <w:r>
              <w:rPr>
                <w:rFonts w:hint="eastAsia"/>
                <w:color w:val="0000FF"/>
                <w:sz w:val="24"/>
                <w:szCs w:val="24"/>
              </w:rPr>
              <w:t>P2、本项目于“十三五”已规划、</w:t>
            </w:r>
            <w:r>
              <w:rPr>
                <w:color w:val="0000FF"/>
                <w:sz w:val="24"/>
                <w:szCs w:val="24"/>
              </w:rPr>
              <w:t>强化项目建设与VOC污染防治技术政策相符性分析</w:t>
            </w:r>
            <w:r>
              <w:rPr>
                <w:rFonts w:hint="eastAsia"/>
                <w:color w:val="0000FF"/>
                <w:sz w:val="24"/>
                <w:szCs w:val="24"/>
                <w:lang w:val="en-US" w:eastAsia="zh-CN"/>
              </w:rPr>
              <w:t>见</w:t>
            </w:r>
            <w:r>
              <w:rPr>
                <w:rFonts w:hint="eastAsia"/>
                <w:color w:val="0000FF"/>
                <w:sz w:val="24"/>
                <w:szCs w:val="24"/>
              </w:rPr>
              <w:t>P4</w:t>
            </w:r>
            <w:r>
              <w:rPr>
                <w:rFonts w:hint="eastAsia"/>
                <w:color w:val="0000FF"/>
                <w:sz w:val="24"/>
                <w:szCs w:val="24"/>
                <w:lang w:val="en-US" w:eastAsia="zh-CN"/>
              </w:rPr>
              <w:t>-P5</w:t>
            </w:r>
            <w:r>
              <w:rPr>
                <w:rFonts w:hint="eastAsia"/>
                <w:color w:val="0000FF"/>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2</w:t>
            </w:r>
          </w:p>
        </w:tc>
        <w:tc>
          <w:tcPr>
            <w:tcW w:w="2057" w:type="pct"/>
            <w:noWrap w:val="0"/>
            <w:vAlign w:val="center"/>
          </w:tcPr>
          <w:p>
            <w:pPr>
              <w:pStyle w:val="81"/>
              <w:adjustRightInd w:val="0"/>
              <w:snapToGrid w:val="0"/>
              <w:ind w:firstLine="480"/>
              <w:jc w:val="left"/>
              <w:rPr>
                <w:sz w:val="24"/>
                <w:szCs w:val="24"/>
              </w:rPr>
            </w:pPr>
            <w:r>
              <w:rPr>
                <w:sz w:val="24"/>
                <w:szCs w:val="24"/>
              </w:rPr>
              <w:t>核实扩建前后储罐设置情况，明确是否有洗车服务，明确隔油沉淀池的建设规格，明确地下水监测井的建设情况，核实建设内容一览表，核实给排水内容。</w:t>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jc w:val="left"/>
              <w:rPr>
                <w:color w:val="0000FF"/>
                <w:sz w:val="24"/>
                <w:szCs w:val="24"/>
              </w:rPr>
            </w:pPr>
            <w:r>
              <w:rPr>
                <w:color w:val="0000FF"/>
                <w:sz w:val="24"/>
                <w:szCs w:val="24"/>
              </w:rPr>
              <w:t>核实扩建前后储罐设置情况</w:t>
            </w:r>
            <w:r>
              <w:rPr>
                <w:rFonts w:hint="eastAsia"/>
                <w:color w:val="0000FF"/>
                <w:sz w:val="24"/>
                <w:szCs w:val="24"/>
                <w:lang w:val="en-US" w:eastAsia="zh-CN"/>
              </w:rPr>
              <w:t>见</w:t>
            </w:r>
            <w:r>
              <w:rPr>
                <w:rFonts w:hint="eastAsia"/>
                <w:color w:val="0000FF"/>
                <w:sz w:val="24"/>
                <w:szCs w:val="24"/>
              </w:rPr>
              <w:t>P</w:t>
            </w:r>
            <w:r>
              <w:rPr>
                <w:rFonts w:hint="eastAsia"/>
                <w:color w:val="0000FF"/>
                <w:sz w:val="24"/>
                <w:szCs w:val="24"/>
                <w:lang w:val="en-US" w:eastAsia="zh-CN"/>
              </w:rPr>
              <w:t>10</w:t>
            </w:r>
            <w:r>
              <w:rPr>
                <w:rFonts w:hint="eastAsia"/>
                <w:color w:val="0000FF"/>
                <w:sz w:val="24"/>
                <w:szCs w:val="24"/>
              </w:rPr>
              <w:t>、</w:t>
            </w:r>
            <w:r>
              <w:rPr>
                <w:color w:val="0000FF"/>
                <w:sz w:val="24"/>
                <w:szCs w:val="24"/>
              </w:rPr>
              <w:t>明确是否有洗车服务</w:t>
            </w:r>
            <w:r>
              <w:rPr>
                <w:rFonts w:hint="eastAsia"/>
                <w:color w:val="0000FF"/>
                <w:sz w:val="24"/>
                <w:szCs w:val="24"/>
                <w:lang w:val="en-US" w:eastAsia="zh-CN"/>
              </w:rPr>
              <w:t>见</w:t>
            </w:r>
            <w:r>
              <w:rPr>
                <w:rFonts w:hint="eastAsia"/>
                <w:color w:val="0000FF"/>
                <w:sz w:val="24"/>
                <w:szCs w:val="24"/>
              </w:rPr>
              <w:t>P1</w:t>
            </w:r>
            <w:r>
              <w:rPr>
                <w:rFonts w:hint="eastAsia"/>
                <w:color w:val="0000FF"/>
                <w:sz w:val="24"/>
                <w:szCs w:val="24"/>
                <w:lang w:val="en-US" w:eastAsia="zh-CN"/>
              </w:rPr>
              <w:t>2</w:t>
            </w:r>
            <w:r>
              <w:rPr>
                <w:rFonts w:hint="eastAsia"/>
                <w:color w:val="0000FF"/>
                <w:sz w:val="24"/>
                <w:szCs w:val="24"/>
              </w:rPr>
              <w:t>、</w:t>
            </w:r>
            <w:r>
              <w:rPr>
                <w:color w:val="0000FF"/>
                <w:sz w:val="24"/>
                <w:szCs w:val="24"/>
              </w:rPr>
              <w:t>明确隔油沉淀池的建设规格</w:t>
            </w:r>
            <w:r>
              <w:rPr>
                <w:rFonts w:hint="eastAsia"/>
                <w:color w:val="0000FF"/>
                <w:sz w:val="24"/>
                <w:szCs w:val="24"/>
                <w:lang w:val="en-US" w:eastAsia="zh-CN"/>
              </w:rPr>
              <w:t>见</w:t>
            </w:r>
            <w:r>
              <w:rPr>
                <w:rFonts w:hint="eastAsia"/>
                <w:color w:val="0000FF"/>
                <w:sz w:val="24"/>
                <w:szCs w:val="24"/>
              </w:rPr>
              <w:t>P1</w:t>
            </w:r>
            <w:r>
              <w:rPr>
                <w:rFonts w:hint="eastAsia"/>
                <w:color w:val="0000FF"/>
                <w:sz w:val="24"/>
                <w:szCs w:val="24"/>
                <w:lang w:val="en-US" w:eastAsia="zh-CN"/>
              </w:rPr>
              <w:t>6</w:t>
            </w:r>
            <w:r>
              <w:rPr>
                <w:rFonts w:hint="eastAsia"/>
                <w:color w:val="0000FF"/>
                <w:sz w:val="24"/>
                <w:szCs w:val="24"/>
              </w:rPr>
              <w:t>、</w:t>
            </w:r>
            <w:r>
              <w:rPr>
                <w:color w:val="0000FF"/>
                <w:sz w:val="24"/>
                <w:szCs w:val="24"/>
              </w:rPr>
              <w:t>明确地下水监测井的建设情况</w:t>
            </w:r>
            <w:r>
              <w:rPr>
                <w:rFonts w:hint="eastAsia"/>
                <w:color w:val="0000FF"/>
                <w:sz w:val="24"/>
                <w:szCs w:val="24"/>
              </w:rPr>
              <w:t>P51、</w:t>
            </w:r>
            <w:r>
              <w:rPr>
                <w:color w:val="0000FF"/>
                <w:sz w:val="24"/>
                <w:szCs w:val="24"/>
              </w:rPr>
              <w:t>核实建设内容一览表</w:t>
            </w:r>
            <w:r>
              <w:rPr>
                <w:rFonts w:hint="eastAsia"/>
                <w:color w:val="0000FF"/>
                <w:sz w:val="24"/>
                <w:szCs w:val="24"/>
              </w:rPr>
              <w:t>P1</w:t>
            </w:r>
            <w:r>
              <w:rPr>
                <w:rFonts w:hint="eastAsia"/>
                <w:color w:val="0000FF"/>
                <w:sz w:val="24"/>
                <w:szCs w:val="24"/>
                <w:lang w:val="en-US" w:eastAsia="zh-CN"/>
              </w:rPr>
              <w:t>1</w:t>
            </w:r>
            <w:r>
              <w:rPr>
                <w:rFonts w:hint="eastAsia"/>
                <w:color w:val="0000FF"/>
                <w:sz w:val="24"/>
                <w:szCs w:val="24"/>
              </w:rPr>
              <w:t>-P1</w:t>
            </w:r>
            <w:r>
              <w:rPr>
                <w:rFonts w:hint="eastAsia"/>
                <w:color w:val="0000FF"/>
                <w:sz w:val="24"/>
                <w:szCs w:val="24"/>
                <w:lang w:val="en-US" w:eastAsia="zh-CN"/>
              </w:rPr>
              <w:t>2</w:t>
            </w:r>
            <w:r>
              <w:rPr>
                <w:rFonts w:hint="eastAsia"/>
                <w:color w:val="0000FF"/>
                <w:sz w:val="24"/>
                <w:szCs w:val="24"/>
              </w:rPr>
              <w:t>、</w:t>
            </w:r>
            <w:r>
              <w:rPr>
                <w:color w:val="0000FF"/>
                <w:sz w:val="24"/>
                <w:szCs w:val="24"/>
              </w:rPr>
              <w:t>核实给排水内容</w:t>
            </w:r>
            <w:r>
              <w:rPr>
                <w:rFonts w:hint="eastAsia"/>
                <w:color w:val="0000FF"/>
                <w:sz w:val="24"/>
                <w:szCs w:val="24"/>
                <w:lang w:val="en-US" w:eastAsia="zh-CN"/>
              </w:rPr>
              <w:t>见</w:t>
            </w:r>
            <w:r>
              <w:rPr>
                <w:rFonts w:hint="eastAsia"/>
                <w:color w:val="0000FF"/>
                <w:sz w:val="24"/>
                <w:szCs w:val="24"/>
              </w:rPr>
              <w:t>P1</w:t>
            </w:r>
            <w:r>
              <w:rPr>
                <w:rFonts w:hint="eastAsia"/>
                <w:color w:val="0000FF"/>
                <w:sz w:val="24"/>
                <w:szCs w:val="24"/>
                <w:lang w:val="en-US" w:eastAsia="zh-CN"/>
              </w:rPr>
              <w:t>6</w:t>
            </w:r>
            <w:r>
              <w:rPr>
                <w:rFonts w:hint="eastAsia"/>
                <w:color w:val="0000FF"/>
                <w:sz w:val="24"/>
                <w:szCs w:val="24"/>
              </w:rPr>
              <w:t>-P17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3</w:t>
            </w:r>
          </w:p>
        </w:tc>
        <w:tc>
          <w:tcPr>
            <w:tcW w:w="2057" w:type="pct"/>
            <w:noWrap w:val="0"/>
            <w:vAlign w:val="center"/>
          </w:tcPr>
          <w:p>
            <w:pPr>
              <w:pStyle w:val="81"/>
              <w:adjustRightInd w:val="0"/>
              <w:snapToGrid w:val="0"/>
              <w:ind w:firstLine="480"/>
              <w:jc w:val="left"/>
              <w:rPr>
                <w:sz w:val="24"/>
                <w:szCs w:val="24"/>
              </w:rPr>
            </w:pPr>
            <w:r>
              <w:rPr>
                <w:sz w:val="24"/>
                <w:szCs w:val="24"/>
              </w:rPr>
              <w:t>收集2022年临湘市常规大气监测点监测数据，完善大气环境质量现状排放内容，完善地表水环境质量现状评价，补充敏感点声环境质量现状监测，调查核实环境保护目标方位、距离及规模。核实评价执行标准。</w:t>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rPr>
                <w:rFonts w:hint="eastAsia" w:eastAsia="宋体"/>
                <w:color w:val="0000FF"/>
                <w:sz w:val="24"/>
                <w:szCs w:val="24"/>
                <w:lang w:val="en-US" w:eastAsia="zh-CN"/>
              </w:rPr>
            </w:pPr>
            <w:r>
              <w:rPr>
                <w:color w:val="0000FF"/>
                <w:sz w:val="24"/>
                <w:szCs w:val="24"/>
              </w:rPr>
              <w:t>收集2022年临湘市常规大气监测点监测数据</w:t>
            </w:r>
            <w:r>
              <w:rPr>
                <w:rFonts w:hint="eastAsia"/>
                <w:color w:val="0000FF"/>
                <w:sz w:val="24"/>
                <w:szCs w:val="24"/>
                <w:lang w:val="en-US" w:eastAsia="zh-CN"/>
              </w:rPr>
              <w:t>见</w:t>
            </w:r>
            <w:r>
              <w:rPr>
                <w:rFonts w:hint="eastAsia"/>
                <w:color w:val="0000FF"/>
                <w:sz w:val="24"/>
                <w:szCs w:val="24"/>
              </w:rPr>
              <w:t>P2</w:t>
            </w:r>
            <w:r>
              <w:rPr>
                <w:rFonts w:hint="eastAsia"/>
                <w:color w:val="0000FF"/>
                <w:sz w:val="24"/>
                <w:szCs w:val="24"/>
                <w:lang w:val="en-US" w:eastAsia="zh-CN"/>
              </w:rPr>
              <w:t>9</w:t>
            </w:r>
            <w:r>
              <w:rPr>
                <w:rFonts w:hint="eastAsia"/>
                <w:color w:val="0000FF"/>
                <w:sz w:val="24"/>
                <w:szCs w:val="24"/>
              </w:rPr>
              <w:t>、</w:t>
            </w:r>
            <w:r>
              <w:rPr>
                <w:color w:val="0000FF"/>
                <w:sz w:val="24"/>
                <w:szCs w:val="24"/>
              </w:rPr>
              <w:t>完善大气环境质量现状排放内容</w:t>
            </w:r>
            <w:r>
              <w:rPr>
                <w:rFonts w:hint="eastAsia"/>
                <w:color w:val="0000FF"/>
                <w:sz w:val="24"/>
                <w:szCs w:val="24"/>
                <w:lang w:val="en-US" w:eastAsia="zh-CN"/>
              </w:rPr>
              <w:t>见</w:t>
            </w:r>
            <w:r>
              <w:rPr>
                <w:rFonts w:hint="eastAsia"/>
                <w:color w:val="0000FF"/>
                <w:sz w:val="24"/>
                <w:szCs w:val="24"/>
              </w:rPr>
              <w:t>P2</w:t>
            </w:r>
            <w:r>
              <w:rPr>
                <w:rFonts w:hint="eastAsia"/>
                <w:color w:val="0000FF"/>
                <w:sz w:val="24"/>
                <w:szCs w:val="24"/>
                <w:lang w:val="en-US" w:eastAsia="zh-CN"/>
              </w:rPr>
              <w:t>6</w:t>
            </w:r>
            <w:r>
              <w:rPr>
                <w:rFonts w:hint="eastAsia"/>
                <w:color w:val="0000FF"/>
                <w:sz w:val="24"/>
                <w:szCs w:val="24"/>
              </w:rPr>
              <w:t>、</w:t>
            </w:r>
            <w:r>
              <w:rPr>
                <w:color w:val="0000FF"/>
                <w:sz w:val="24"/>
                <w:szCs w:val="24"/>
              </w:rPr>
              <w:t>完善地表水环境质量现状评价</w:t>
            </w:r>
            <w:r>
              <w:rPr>
                <w:rFonts w:hint="eastAsia"/>
                <w:color w:val="0000FF"/>
                <w:sz w:val="24"/>
                <w:szCs w:val="24"/>
                <w:lang w:val="en-US" w:eastAsia="zh-CN"/>
              </w:rPr>
              <w:t>见</w:t>
            </w:r>
            <w:r>
              <w:rPr>
                <w:rFonts w:hint="eastAsia"/>
                <w:color w:val="0000FF"/>
                <w:sz w:val="24"/>
                <w:szCs w:val="24"/>
              </w:rPr>
              <w:t>P29、</w:t>
            </w:r>
            <w:r>
              <w:rPr>
                <w:color w:val="0000FF"/>
                <w:sz w:val="24"/>
                <w:szCs w:val="24"/>
              </w:rPr>
              <w:t>调查核实环境保护目标方位</w:t>
            </w:r>
            <w:r>
              <w:rPr>
                <w:rFonts w:hint="eastAsia"/>
                <w:color w:val="0000FF"/>
                <w:sz w:val="24"/>
                <w:szCs w:val="24"/>
                <w:lang w:val="en-US" w:eastAsia="zh-CN"/>
              </w:rPr>
              <w:t>见</w:t>
            </w:r>
            <w:r>
              <w:rPr>
                <w:rFonts w:hint="eastAsia"/>
                <w:color w:val="0000FF"/>
                <w:sz w:val="24"/>
                <w:szCs w:val="24"/>
              </w:rPr>
              <w:t>P3</w:t>
            </w:r>
            <w:r>
              <w:rPr>
                <w:rFonts w:hint="eastAsia"/>
                <w:color w:val="0000FF"/>
                <w:sz w:val="24"/>
                <w:szCs w:val="24"/>
                <w:lang w:val="en-US" w:eastAsia="zh-CN"/>
              </w:rPr>
              <w:t>2</w:t>
            </w:r>
            <w:r>
              <w:rPr>
                <w:rFonts w:hint="eastAsia"/>
                <w:color w:val="0000FF"/>
                <w:sz w:val="24"/>
                <w:szCs w:val="24"/>
              </w:rPr>
              <w:t>、</w:t>
            </w:r>
            <w:r>
              <w:rPr>
                <w:color w:val="0000FF"/>
                <w:sz w:val="24"/>
                <w:szCs w:val="24"/>
              </w:rPr>
              <w:t>核实评价执行标准。</w:t>
            </w:r>
            <w:r>
              <w:rPr>
                <w:rFonts w:hint="eastAsia"/>
                <w:color w:val="0000FF"/>
                <w:sz w:val="24"/>
                <w:szCs w:val="24"/>
                <w:lang w:val="en-US" w:eastAsia="zh-CN"/>
              </w:rPr>
              <w:t>见</w:t>
            </w:r>
            <w:r>
              <w:rPr>
                <w:rFonts w:hint="eastAsia"/>
                <w:color w:val="0000FF"/>
                <w:sz w:val="24"/>
                <w:szCs w:val="24"/>
              </w:rPr>
              <w:t>P32-P3</w:t>
            </w:r>
            <w:r>
              <w:rPr>
                <w:rFonts w:hint="eastAsia"/>
                <w:color w:val="0000FF"/>
                <w:sz w:val="24"/>
                <w:szCs w:val="24"/>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4</w:t>
            </w:r>
          </w:p>
        </w:tc>
        <w:tc>
          <w:tcPr>
            <w:tcW w:w="2057" w:type="pct"/>
            <w:noWrap w:val="0"/>
            <w:vAlign w:val="center"/>
          </w:tcPr>
          <w:p>
            <w:pPr>
              <w:pStyle w:val="81"/>
              <w:adjustRightInd w:val="0"/>
              <w:snapToGrid w:val="0"/>
              <w:ind w:firstLine="480"/>
              <w:jc w:val="left"/>
              <w:rPr>
                <w:sz w:val="24"/>
                <w:szCs w:val="24"/>
              </w:rPr>
            </w:pPr>
            <w:r>
              <w:rPr>
                <w:sz w:val="24"/>
                <w:szCs w:val="24"/>
              </w:rPr>
              <w:t>调查核实工程目前采取的污防措施、产排污现状及存在的环境问题，提出相应的整改措施及要求；提出施工期现有储罐更换过程的污防措施及管理要求。</w:t>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rPr>
                <w:rFonts w:hint="eastAsia" w:eastAsia="宋体"/>
                <w:color w:val="0000FF"/>
                <w:sz w:val="24"/>
                <w:szCs w:val="24"/>
                <w:lang w:val="en-US" w:eastAsia="zh-CN"/>
              </w:rPr>
            </w:pPr>
            <w:r>
              <w:rPr>
                <w:color w:val="0000FF"/>
                <w:sz w:val="24"/>
                <w:szCs w:val="24"/>
              </w:rPr>
              <w:t>调查核实工程目前采取的污防措施、产排污现状及存在的环境问题</w:t>
            </w:r>
            <w:r>
              <w:rPr>
                <w:rFonts w:hint="eastAsia"/>
                <w:color w:val="0000FF"/>
                <w:sz w:val="24"/>
                <w:szCs w:val="24"/>
                <w:lang w:eastAsia="zh-CN"/>
              </w:rPr>
              <w:t>，</w:t>
            </w:r>
            <w:r>
              <w:rPr>
                <w:color w:val="0000FF"/>
                <w:sz w:val="24"/>
                <w:szCs w:val="24"/>
              </w:rPr>
              <w:t>提出相应的整改措施及要求</w:t>
            </w:r>
            <w:r>
              <w:rPr>
                <w:rFonts w:hint="eastAsia"/>
                <w:color w:val="0000FF"/>
                <w:sz w:val="24"/>
                <w:szCs w:val="24"/>
                <w:lang w:val="en-US" w:eastAsia="zh-CN"/>
              </w:rPr>
              <w:t>见</w:t>
            </w:r>
            <w:r>
              <w:rPr>
                <w:rFonts w:hint="eastAsia"/>
                <w:color w:val="0000FF"/>
                <w:sz w:val="24"/>
                <w:szCs w:val="24"/>
              </w:rPr>
              <w:t>P2</w:t>
            </w:r>
            <w:r>
              <w:rPr>
                <w:rFonts w:hint="eastAsia"/>
                <w:color w:val="0000FF"/>
                <w:sz w:val="24"/>
                <w:szCs w:val="24"/>
                <w:lang w:val="en-US" w:eastAsia="zh-CN"/>
              </w:rPr>
              <w:t>4-P28</w:t>
            </w:r>
            <w:r>
              <w:rPr>
                <w:rFonts w:hint="eastAsia"/>
                <w:color w:val="0000FF"/>
                <w:sz w:val="24"/>
                <w:szCs w:val="24"/>
              </w:rPr>
              <w:t>、</w:t>
            </w:r>
            <w:r>
              <w:rPr>
                <w:color w:val="0000FF"/>
                <w:sz w:val="24"/>
                <w:szCs w:val="24"/>
              </w:rPr>
              <w:t>提出施工期现有储罐更换过程的污防措施及管理要求</w:t>
            </w:r>
            <w:r>
              <w:rPr>
                <w:rFonts w:hint="eastAsia"/>
                <w:color w:val="0000FF"/>
                <w:sz w:val="24"/>
                <w:szCs w:val="24"/>
                <w:lang w:val="en-US" w:eastAsia="zh-CN"/>
              </w:rPr>
              <w:t>见</w:t>
            </w:r>
            <w:r>
              <w:rPr>
                <w:rFonts w:hint="eastAsia"/>
                <w:color w:val="0000FF"/>
                <w:sz w:val="24"/>
                <w:szCs w:val="24"/>
              </w:rPr>
              <w:t>P3</w:t>
            </w:r>
            <w:r>
              <w:rPr>
                <w:rFonts w:hint="eastAsia"/>
                <w:color w:val="0000FF"/>
                <w:sz w:val="24"/>
                <w:szCs w:val="24"/>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5</w:t>
            </w:r>
          </w:p>
        </w:tc>
        <w:tc>
          <w:tcPr>
            <w:tcW w:w="2057" w:type="pct"/>
            <w:noWrap w:val="0"/>
            <w:vAlign w:val="center"/>
          </w:tcPr>
          <w:p>
            <w:pPr>
              <w:pStyle w:val="81"/>
              <w:adjustRightInd w:val="0"/>
              <w:snapToGrid w:val="0"/>
              <w:ind w:firstLine="480"/>
              <w:jc w:val="left"/>
              <w:rPr>
                <w:sz w:val="24"/>
                <w:szCs w:val="24"/>
              </w:rPr>
            </w:pPr>
            <w:r>
              <w:rPr>
                <w:sz w:val="24"/>
                <w:szCs w:val="24"/>
              </w:rPr>
              <w:t xml:space="preserve">核实有机废气产生源强，细化油气回收工艺说明，细化油气回收工艺图，核实油气回收有机废气处理效率；明确废水排放路径，提出生活污水、生产废水可行的污防措施，完善水环境影响分析；完善敏感点噪声影响预测内容。 </w:t>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rPr>
                <w:rFonts w:hint="default" w:eastAsia="宋体"/>
                <w:color w:val="0000FF"/>
                <w:sz w:val="24"/>
                <w:szCs w:val="24"/>
                <w:lang w:val="en-US" w:eastAsia="zh-CN"/>
              </w:rPr>
            </w:pPr>
            <w:r>
              <w:rPr>
                <w:color w:val="0000FF"/>
                <w:sz w:val="24"/>
                <w:szCs w:val="24"/>
              </w:rPr>
              <w:t>核实有机废气产生源强</w:t>
            </w:r>
            <w:r>
              <w:rPr>
                <w:rFonts w:hint="eastAsia"/>
                <w:color w:val="0000FF"/>
                <w:sz w:val="24"/>
                <w:szCs w:val="24"/>
              </w:rPr>
              <w:t>P39-P41、</w:t>
            </w:r>
            <w:r>
              <w:rPr>
                <w:color w:val="0000FF"/>
                <w:sz w:val="24"/>
                <w:szCs w:val="24"/>
              </w:rPr>
              <w:t>细化油气回收工艺图</w:t>
            </w:r>
            <w:r>
              <w:rPr>
                <w:rFonts w:hint="eastAsia"/>
                <w:color w:val="0000FF"/>
                <w:sz w:val="24"/>
                <w:szCs w:val="24"/>
                <w:lang w:val="en-US" w:eastAsia="zh-CN"/>
              </w:rPr>
              <w:t>见</w:t>
            </w:r>
            <w:r>
              <w:rPr>
                <w:rFonts w:hint="eastAsia"/>
                <w:color w:val="0000FF"/>
                <w:sz w:val="24"/>
                <w:szCs w:val="24"/>
              </w:rPr>
              <w:t>P</w:t>
            </w:r>
            <w:r>
              <w:rPr>
                <w:rFonts w:hint="eastAsia"/>
                <w:color w:val="0000FF"/>
                <w:sz w:val="24"/>
                <w:szCs w:val="24"/>
                <w:lang w:val="en-US" w:eastAsia="zh-CN"/>
              </w:rPr>
              <w:t>22</w:t>
            </w:r>
            <w:r>
              <w:rPr>
                <w:rFonts w:hint="eastAsia"/>
                <w:color w:val="0000FF"/>
                <w:sz w:val="24"/>
                <w:szCs w:val="24"/>
              </w:rPr>
              <w:t>-P</w:t>
            </w:r>
            <w:r>
              <w:rPr>
                <w:rFonts w:hint="eastAsia"/>
                <w:color w:val="0000FF"/>
                <w:sz w:val="24"/>
                <w:szCs w:val="24"/>
                <w:lang w:val="en-US" w:eastAsia="zh-CN"/>
              </w:rPr>
              <w:t>2</w:t>
            </w:r>
            <w:r>
              <w:rPr>
                <w:rFonts w:hint="eastAsia"/>
                <w:color w:val="0000FF"/>
                <w:sz w:val="24"/>
                <w:szCs w:val="24"/>
              </w:rPr>
              <w:t>3、</w:t>
            </w:r>
            <w:r>
              <w:rPr>
                <w:color w:val="0000FF"/>
                <w:sz w:val="24"/>
                <w:szCs w:val="24"/>
              </w:rPr>
              <w:t>核实油气回收有机废气处理效率</w:t>
            </w:r>
            <w:r>
              <w:rPr>
                <w:rFonts w:hint="eastAsia"/>
                <w:color w:val="0000FF"/>
                <w:sz w:val="24"/>
                <w:szCs w:val="24"/>
                <w:lang w:val="en-US" w:eastAsia="zh-CN"/>
              </w:rPr>
              <w:t>见P40，</w:t>
            </w:r>
            <w:r>
              <w:rPr>
                <w:color w:val="0000FF"/>
                <w:sz w:val="24"/>
                <w:szCs w:val="24"/>
              </w:rPr>
              <w:t>明确废水排放路径，提出生活污水、生产废水可行的污防措施，完善水环境影响分析</w:t>
            </w:r>
            <w:r>
              <w:rPr>
                <w:rFonts w:hint="eastAsia"/>
                <w:color w:val="0000FF"/>
                <w:sz w:val="24"/>
                <w:szCs w:val="24"/>
                <w:lang w:val="en-US" w:eastAsia="zh-CN"/>
              </w:rPr>
              <w:t>见</w:t>
            </w:r>
            <w:r>
              <w:rPr>
                <w:rFonts w:hint="eastAsia"/>
                <w:color w:val="0000FF"/>
                <w:sz w:val="24"/>
                <w:szCs w:val="24"/>
              </w:rPr>
              <w:t>P4</w:t>
            </w:r>
            <w:r>
              <w:rPr>
                <w:rFonts w:hint="eastAsia"/>
                <w:color w:val="0000FF"/>
                <w:sz w:val="24"/>
                <w:szCs w:val="24"/>
                <w:lang w:val="en-US" w:eastAsia="zh-CN"/>
              </w:rPr>
              <w:t>2</w:t>
            </w:r>
            <w:r>
              <w:rPr>
                <w:rFonts w:hint="eastAsia"/>
                <w:color w:val="0000FF"/>
                <w:sz w:val="24"/>
                <w:szCs w:val="24"/>
              </w:rPr>
              <w:t>-P4</w:t>
            </w:r>
            <w:r>
              <w:rPr>
                <w:rFonts w:hint="eastAsia"/>
                <w:color w:val="0000FF"/>
                <w:sz w:val="24"/>
                <w:szCs w:val="24"/>
                <w:lang w:val="en-US" w:eastAsia="zh-CN"/>
              </w:rPr>
              <w:t>3</w:t>
            </w:r>
            <w:r>
              <w:rPr>
                <w:rFonts w:hint="eastAsia"/>
                <w:color w:val="0000FF"/>
                <w:sz w:val="24"/>
                <w:szCs w:val="24"/>
              </w:rPr>
              <w:t>、</w:t>
            </w:r>
            <w:r>
              <w:rPr>
                <w:color w:val="0000FF"/>
                <w:sz w:val="24"/>
                <w:szCs w:val="24"/>
              </w:rPr>
              <w:t>完善敏感点噪声影响预测内容</w:t>
            </w:r>
            <w:r>
              <w:rPr>
                <w:rFonts w:hint="eastAsia"/>
                <w:color w:val="0000FF"/>
                <w:sz w:val="24"/>
                <w:szCs w:val="24"/>
                <w:lang w:val="en-US" w:eastAsia="zh-CN"/>
              </w:rPr>
              <w:t>见</w:t>
            </w:r>
            <w:r>
              <w:rPr>
                <w:rFonts w:hint="eastAsia"/>
                <w:color w:val="0000FF"/>
                <w:sz w:val="24"/>
                <w:szCs w:val="24"/>
              </w:rPr>
              <w:t>P4</w:t>
            </w:r>
            <w:r>
              <w:rPr>
                <w:rFonts w:hint="eastAsia"/>
                <w:color w:val="0000FF"/>
                <w:sz w:val="24"/>
                <w:szCs w:val="24"/>
                <w:lang w:val="en-US" w:eastAsia="zh-CN"/>
              </w:rPr>
              <w:t>3-P44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sz w:val="24"/>
                <w:szCs w:val="24"/>
              </w:rPr>
              <w:t>6</w:t>
            </w:r>
          </w:p>
        </w:tc>
        <w:tc>
          <w:tcPr>
            <w:tcW w:w="2057" w:type="pct"/>
            <w:noWrap w:val="0"/>
            <w:vAlign w:val="center"/>
          </w:tcPr>
          <w:p>
            <w:pPr>
              <w:adjustRightInd w:val="0"/>
              <w:snapToGrid w:val="0"/>
              <w:ind w:firstLine="480" w:firstLineChars="200"/>
              <w:rPr>
                <w:sz w:val="24"/>
              </w:rPr>
            </w:pPr>
            <w:r>
              <w:rPr>
                <w:rFonts w:hint="eastAsia"/>
                <w:sz w:val="24"/>
              </w:rPr>
              <w:t>调查核实危废产生情况，结合《危险废物贮存污染控制标准》（GB18597-20</w:t>
            </w:r>
            <w:r>
              <w:rPr>
                <w:sz w:val="24"/>
              </w:rPr>
              <w:t>23</w:t>
            </w:r>
            <w:r>
              <w:rPr>
                <w:rFonts w:hint="eastAsia"/>
                <w:sz w:val="24"/>
              </w:rPr>
              <w:t>），调查现有危废暂存间是否满足要求；细化风险防范与应急措施。</w:t>
            </w:r>
            <w:r>
              <w:rPr>
                <w:rFonts w:hint="eastAsia"/>
                <w:sz w:val="24"/>
              </w:rPr>
              <w:tab/>
            </w:r>
          </w:p>
        </w:tc>
        <w:tc>
          <w:tcPr>
            <w:tcW w:w="562" w:type="pct"/>
            <w:noWrap w:val="0"/>
            <w:vAlign w:val="center"/>
          </w:tcPr>
          <w:p>
            <w:pPr>
              <w:pStyle w:val="81"/>
              <w:adjustRightInd w:val="0"/>
              <w:snapToGrid w:val="0"/>
              <w:ind w:firstLine="0" w:firstLineChars="0"/>
              <w:jc w:val="center"/>
              <w:rPr>
                <w:sz w:val="24"/>
                <w:szCs w:val="24"/>
              </w:rPr>
            </w:pPr>
            <w:r>
              <w:rPr>
                <w:rFonts w:hint="eastAsia"/>
                <w:sz w:val="24"/>
                <w:szCs w:val="24"/>
              </w:rPr>
              <w:t>已采纳</w:t>
            </w:r>
          </w:p>
        </w:tc>
        <w:tc>
          <w:tcPr>
            <w:tcW w:w="1966" w:type="pct"/>
            <w:noWrap w:val="0"/>
            <w:vAlign w:val="center"/>
          </w:tcPr>
          <w:p>
            <w:pPr>
              <w:pStyle w:val="81"/>
              <w:adjustRightInd w:val="0"/>
              <w:snapToGrid w:val="0"/>
              <w:ind w:firstLine="480" w:firstLineChars="200"/>
              <w:rPr>
                <w:rFonts w:hint="eastAsia" w:eastAsia="宋体"/>
                <w:color w:val="0000FF"/>
                <w:sz w:val="24"/>
                <w:szCs w:val="24"/>
                <w:lang w:val="en-US" w:eastAsia="zh-CN"/>
              </w:rPr>
            </w:pPr>
            <w:r>
              <w:rPr>
                <w:rFonts w:hint="eastAsia"/>
                <w:color w:val="0000FF"/>
                <w:sz w:val="24"/>
              </w:rPr>
              <w:t>调查核实危废产生情况，结合《危险废物贮存污染控制标准》（GB18597-20</w:t>
            </w:r>
            <w:r>
              <w:rPr>
                <w:color w:val="0000FF"/>
                <w:sz w:val="24"/>
              </w:rPr>
              <w:t>23</w:t>
            </w:r>
            <w:r>
              <w:rPr>
                <w:rFonts w:hint="eastAsia"/>
                <w:color w:val="0000FF"/>
                <w:sz w:val="24"/>
              </w:rPr>
              <w:t>），调查现有危废暂存间是否满足要求</w:t>
            </w:r>
            <w:r>
              <w:rPr>
                <w:rFonts w:hint="eastAsia"/>
                <w:color w:val="0000FF"/>
                <w:sz w:val="24"/>
                <w:lang w:val="en-US" w:eastAsia="zh-CN"/>
              </w:rPr>
              <w:t>见</w:t>
            </w:r>
            <w:r>
              <w:rPr>
                <w:rFonts w:hint="eastAsia"/>
                <w:color w:val="0000FF"/>
                <w:sz w:val="24"/>
                <w:szCs w:val="24"/>
              </w:rPr>
              <w:t>P4</w:t>
            </w:r>
            <w:r>
              <w:rPr>
                <w:rFonts w:hint="eastAsia"/>
                <w:color w:val="0000FF"/>
                <w:sz w:val="24"/>
                <w:szCs w:val="24"/>
                <w:lang w:val="en-US" w:eastAsia="zh-CN"/>
              </w:rPr>
              <w:t>4</w:t>
            </w:r>
            <w:r>
              <w:rPr>
                <w:rFonts w:hint="eastAsia"/>
                <w:color w:val="0000FF"/>
                <w:sz w:val="24"/>
                <w:szCs w:val="24"/>
              </w:rPr>
              <w:t>-P4</w:t>
            </w:r>
            <w:r>
              <w:rPr>
                <w:rFonts w:hint="eastAsia"/>
                <w:color w:val="0000FF"/>
                <w:sz w:val="24"/>
                <w:szCs w:val="24"/>
                <w:lang w:val="en-US" w:eastAsia="zh-CN"/>
              </w:rPr>
              <w:t>7</w:t>
            </w:r>
            <w:r>
              <w:rPr>
                <w:rFonts w:hint="eastAsia"/>
                <w:color w:val="0000FF"/>
                <w:sz w:val="24"/>
                <w:szCs w:val="24"/>
              </w:rPr>
              <w:t>、P2</w:t>
            </w:r>
            <w:r>
              <w:rPr>
                <w:rFonts w:hint="eastAsia"/>
                <w:color w:val="0000FF"/>
                <w:sz w:val="24"/>
                <w:szCs w:val="24"/>
                <w:lang w:val="en-US" w:eastAsia="zh-CN"/>
              </w:rPr>
              <w:t>4</w:t>
            </w:r>
            <w:r>
              <w:rPr>
                <w:rFonts w:hint="eastAsia"/>
                <w:color w:val="0000FF"/>
                <w:sz w:val="24"/>
                <w:szCs w:val="24"/>
              </w:rPr>
              <w:t>-P2</w:t>
            </w:r>
            <w:r>
              <w:rPr>
                <w:rFonts w:hint="eastAsia"/>
                <w:color w:val="0000FF"/>
                <w:sz w:val="24"/>
                <w:szCs w:val="24"/>
                <w:lang w:val="en-US" w:eastAsia="zh-CN"/>
              </w:rPr>
              <w:t>8</w:t>
            </w:r>
            <w:r>
              <w:rPr>
                <w:rFonts w:hint="eastAsia"/>
                <w:color w:val="0000FF"/>
                <w:sz w:val="24"/>
                <w:szCs w:val="24"/>
              </w:rPr>
              <w:t>、</w:t>
            </w:r>
            <w:r>
              <w:rPr>
                <w:rFonts w:hint="eastAsia"/>
                <w:color w:val="0000FF"/>
                <w:sz w:val="24"/>
              </w:rPr>
              <w:t>细化风险防范与应急措施</w:t>
            </w:r>
            <w:r>
              <w:rPr>
                <w:rFonts w:hint="eastAsia"/>
                <w:color w:val="0000FF"/>
                <w:sz w:val="24"/>
                <w:lang w:val="en-US" w:eastAsia="zh-CN"/>
              </w:rPr>
              <w:t>见</w:t>
            </w:r>
            <w:r>
              <w:rPr>
                <w:rFonts w:hint="eastAsia"/>
                <w:color w:val="0000FF"/>
                <w:sz w:val="24"/>
                <w:szCs w:val="24"/>
              </w:rPr>
              <w:t>P</w:t>
            </w:r>
            <w:r>
              <w:rPr>
                <w:rFonts w:hint="eastAsia"/>
                <w:color w:val="0000FF"/>
                <w:sz w:val="24"/>
                <w:szCs w:val="24"/>
                <w:lang w:val="en-US" w:eastAsia="zh-CN"/>
              </w:rPr>
              <w:t>49</w:t>
            </w:r>
            <w:r>
              <w:rPr>
                <w:rFonts w:hint="eastAsia"/>
                <w:color w:val="0000FF"/>
                <w:sz w:val="24"/>
                <w:szCs w:val="24"/>
              </w:rPr>
              <w:t>-P5</w:t>
            </w:r>
            <w:r>
              <w:rPr>
                <w:rFonts w:hint="eastAsia"/>
                <w:color w:val="0000FF"/>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pPr>
              <w:pStyle w:val="81"/>
              <w:adjustRightInd w:val="0"/>
              <w:snapToGrid w:val="0"/>
              <w:ind w:firstLine="0" w:firstLineChars="0"/>
              <w:jc w:val="center"/>
              <w:rPr>
                <w:sz w:val="24"/>
                <w:szCs w:val="24"/>
              </w:rPr>
            </w:pPr>
            <w:r>
              <w:rPr>
                <w:rFonts w:hint="eastAsia"/>
                <w:sz w:val="24"/>
                <w:szCs w:val="24"/>
              </w:rPr>
              <w:t>7</w:t>
            </w:r>
          </w:p>
        </w:tc>
        <w:tc>
          <w:tcPr>
            <w:tcW w:w="2057" w:type="pct"/>
            <w:noWrap w:val="0"/>
            <w:vAlign w:val="center"/>
          </w:tcPr>
          <w:p>
            <w:pPr>
              <w:adjustRightInd w:val="0"/>
              <w:snapToGrid w:val="0"/>
              <w:ind w:firstLine="480" w:firstLineChars="200"/>
              <w:rPr>
                <w:rFonts w:hint="eastAsia"/>
                <w:sz w:val="24"/>
              </w:rPr>
            </w:pPr>
            <w:r>
              <w:rPr>
                <w:rFonts w:hint="eastAsia"/>
                <w:sz w:val="24"/>
              </w:rPr>
              <w:t>强化平面布局的合理性分析，细化平面布局图，核实新增环保投资，核实环境监测内容，完善措施清单及建设项目污染物排放量汇总表。</w:t>
            </w:r>
          </w:p>
        </w:tc>
        <w:tc>
          <w:tcPr>
            <w:tcW w:w="562" w:type="pct"/>
            <w:noWrap w:val="0"/>
            <w:vAlign w:val="center"/>
          </w:tcPr>
          <w:p>
            <w:pPr>
              <w:adjustRightInd w:val="0"/>
              <w:snapToGrid w:val="0"/>
              <w:rPr>
                <w:rFonts w:hint="eastAsia"/>
                <w:sz w:val="24"/>
              </w:rPr>
            </w:pPr>
            <w:r>
              <w:rPr>
                <w:rFonts w:hint="eastAsia"/>
                <w:sz w:val="24"/>
              </w:rPr>
              <w:t>已采纳</w:t>
            </w:r>
          </w:p>
        </w:tc>
        <w:tc>
          <w:tcPr>
            <w:tcW w:w="1966" w:type="pct"/>
            <w:noWrap w:val="0"/>
            <w:vAlign w:val="center"/>
          </w:tcPr>
          <w:p>
            <w:pPr>
              <w:pStyle w:val="81"/>
              <w:adjustRightInd w:val="0"/>
              <w:snapToGrid w:val="0"/>
              <w:ind w:firstLine="480" w:firstLineChars="200"/>
              <w:rPr>
                <w:rFonts w:hint="eastAsia" w:eastAsia="宋体"/>
                <w:color w:val="0000FF"/>
                <w:sz w:val="24"/>
                <w:szCs w:val="24"/>
                <w:lang w:val="en-US" w:eastAsia="zh-CN"/>
              </w:rPr>
            </w:pPr>
            <w:r>
              <w:rPr>
                <w:rFonts w:hint="eastAsia"/>
                <w:color w:val="0000FF"/>
                <w:sz w:val="24"/>
              </w:rPr>
              <w:t>强化平面布局的合理性分析</w:t>
            </w:r>
            <w:r>
              <w:rPr>
                <w:rFonts w:hint="eastAsia"/>
                <w:color w:val="0000FF"/>
                <w:sz w:val="24"/>
                <w:szCs w:val="24"/>
              </w:rPr>
              <w:t>P4、</w:t>
            </w:r>
            <w:r>
              <w:rPr>
                <w:rFonts w:hint="eastAsia"/>
                <w:color w:val="0000FF"/>
                <w:sz w:val="24"/>
              </w:rPr>
              <w:t>细化平面布局图</w:t>
            </w:r>
            <w:r>
              <w:rPr>
                <w:rFonts w:hint="eastAsia"/>
                <w:color w:val="0000FF"/>
                <w:sz w:val="24"/>
                <w:lang w:val="en-US" w:eastAsia="zh-CN"/>
              </w:rPr>
              <w:t>见</w:t>
            </w:r>
            <w:r>
              <w:rPr>
                <w:rFonts w:hint="eastAsia"/>
                <w:color w:val="0000FF"/>
                <w:sz w:val="24"/>
                <w:szCs w:val="24"/>
              </w:rPr>
              <w:t>附图二、</w:t>
            </w:r>
            <w:r>
              <w:rPr>
                <w:rFonts w:hint="eastAsia"/>
                <w:color w:val="0000FF"/>
                <w:sz w:val="24"/>
              </w:rPr>
              <w:t>核实新增环保投资，核实环境监测内容</w:t>
            </w:r>
            <w:r>
              <w:rPr>
                <w:rFonts w:hint="eastAsia"/>
                <w:color w:val="0000FF"/>
                <w:sz w:val="24"/>
                <w:lang w:val="en-US" w:eastAsia="zh-CN"/>
              </w:rPr>
              <w:t>见</w:t>
            </w:r>
            <w:r>
              <w:rPr>
                <w:rFonts w:hint="eastAsia"/>
                <w:color w:val="0000FF"/>
                <w:sz w:val="24"/>
                <w:szCs w:val="24"/>
              </w:rPr>
              <w:t>P5</w:t>
            </w:r>
            <w:r>
              <w:rPr>
                <w:rFonts w:hint="eastAsia"/>
                <w:color w:val="0000FF"/>
                <w:sz w:val="24"/>
                <w:szCs w:val="24"/>
                <w:lang w:val="en-US" w:eastAsia="zh-CN"/>
              </w:rPr>
              <w:t>6</w:t>
            </w:r>
            <w:r>
              <w:rPr>
                <w:rFonts w:hint="eastAsia"/>
                <w:color w:val="0000FF"/>
                <w:sz w:val="24"/>
                <w:szCs w:val="24"/>
              </w:rPr>
              <w:t>、</w:t>
            </w:r>
            <w:r>
              <w:rPr>
                <w:rFonts w:hint="eastAsia"/>
                <w:color w:val="0000FF"/>
                <w:sz w:val="24"/>
              </w:rPr>
              <w:t>完善措施清单及建设项目污染物排放量汇总表</w:t>
            </w:r>
            <w:r>
              <w:rPr>
                <w:rFonts w:hint="eastAsia"/>
                <w:color w:val="0000FF"/>
                <w:sz w:val="24"/>
                <w:lang w:val="en-US" w:eastAsia="zh-CN"/>
              </w:rPr>
              <w:t>见</w:t>
            </w:r>
            <w:r>
              <w:rPr>
                <w:rFonts w:hint="eastAsia"/>
                <w:color w:val="0000FF"/>
                <w:sz w:val="24"/>
                <w:szCs w:val="24"/>
              </w:rPr>
              <w:t>P5</w:t>
            </w:r>
            <w:r>
              <w:rPr>
                <w:rFonts w:hint="eastAsia"/>
                <w:color w:val="0000FF"/>
                <w:sz w:val="24"/>
                <w:szCs w:val="24"/>
                <w:lang w:val="en-US" w:eastAsia="zh-CN"/>
              </w:rPr>
              <w:t>7</w:t>
            </w:r>
            <w:r>
              <w:rPr>
                <w:rFonts w:hint="eastAsia"/>
                <w:color w:val="0000FF"/>
                <w:sz w:val="24"/>
                <w:szCs w:val="24"/>
              </w:rPr>
              <w:t>、P6</w:t>
            </w:r>
            <w:r>
              <w:rPr>
                <w:rFonts w:hint="eastAsia"/>
                <w:color w:val="0000FF"/>
                <w:sz w:val="24"/>
                <w:szCs w:val="24"/>
                <w:lang w:val="en-US" w:eastAsia="zh-CN"/>
              </w:rPr>
              <w:t>1</w:t>
            </w:r>
          </w:p>
        </w:tc>
      </w:tr>
    </w:tbl>
    <w:p>
      <w:pPr>
        <w:rPr>
          <w:rFonts w:hint="eastAsia"/>
        </w:rPr>
      </w:pPr>
      <w:r>
        <w:rPr>
          <w:rFonts w:hint="eastAsia"/>
          <w:lang w:eastAsia="zh-CN"/>
        </w:rPr>
        <w:t>、</w:t>
      </w:r>
      <w:r>
        <w:rPr>
          <w:rFonts w:hint="eastAsia" w:eastAsia="宋体"/>
          <w:lang w:eastAsia="zh-CN"/>
        </w:rPr>
        <w:drawing>
          <wp:inline distT="0" distB="0" distL="114300" distR="114300">
            <wp:extent cx="5602605" cy="5456555"/>
            <wp:effectExtent l="0" t="0" r="17145" b="10795"/>
            <wp:docPr id="22" name="图片 56" descr="198716238ad07d910ae52e20936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6" descr="198716238ad07d910ae52e209368cc0"/>
                    <pic:cNvPicPr>
                      <a:picLocks noChangeAspect="1"/>
                    </pic:cNvPicPr>
                  </pic:nvPicPr>
                  <pic:blipFill>
                    <a:blip r:embed="rId15"/>
                    <a:srcRect b="38568"/>
                    <a:stretch>
                      <a:fillRect/>
                    </a:stretch>
                  </pic:blipFill>
                  <pic:spPr>
                    <a:xfrm>
                      <a:off x="0" y="0"/>
                      <a:ext cx="5602605" cy="5456555"/>
                    </a:xfrm>
                    <a:prstGeom prst="rect">
                      <a:avLst/>
                    </a:prstGeom>
                    <a:noFill/>
                    <a:ln>
                      <a:noFill/>
                    </a:ln>
                  </pic:spPr>
                </pic:pic>
              </a:graphicData>
            </a:graphic>
          </wp:inline>
        </w:drawing>
      </w:r>
    </w:p>
    <w:p>
      <w:pPr>
        <w:rPr>
          <w:rFonts w:hint="eastAsia"/>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jc w:val="center"/>
        <w:rPr>
          <w:rFonts w:hint="eastAsia" w:ascii="楷体" w:hAnsi="楷体" w:eastAsia="楷体" w:cs="楷体"/>
          <w:sz w:val="36"/>
          <w:szCs w:val="44"/>
        </w:rPr>
      </w:pPr>
      <w:r>
        <w:rPr>
          <w:rFonts w:hint="eastAsia" w:ascii="楷体" w:hAnsi="楷体" w:eastAsia="楷体" w:cs="楷体"/>
          <w:sz w:val="36"/>
          <w:szCs w:val="44"/>
        </w:rPr>
        <w:t>目  录</w:t>
      </w:r>
    </w:p>
    <w:p>
      <w:pPr>
        <w:pStyle w:val="17"/>
        <w:tabs>
          <w:tab w:val="right" w:leader="dot" w:pos="8844"/>
        </w:tabs>
      </w:pPr>
      <w:r>
        <w:rPr>
          <w:rFonts w:hint="eastAsia"/>
          <w:sz w:val="24"/>
        </w:rPr>
        <w:fldChar w:fldCharType="begin"/>
      </w:r>
      <w:r>
        <w:rPr>
          <w:rFonts w:hint="eastAsia"/>
          <w:sz w:val="24"/>
        </w:rPr>
        <w:instrText xml:space="preserve">TOC \o "1-1" \h \u </w:instrText>
      </w:r>
      <w:r>
        <w:rPr>
          <w:rFonts w:hint="eastAsia"/>
          <w:sz w:val="24"/>
        </w:rPr>
        <w:fldChar w:fldCharType="separate"/>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_Toc19274 </w:instrText>
      </w:r>
      <w:r>
        <w:rPr>
          <w:rFonts w:hint="eastAsia"/>
          <w:sz w:val="24"/>
          <w:szCs w:val="32"/>
        </w:rPr>
        <w:fldChar w:fldCharType="separate"/>
      </w:r>
      <w:r>
        <w:rPr>
          <w:rFonts w:hint="eastAsia"/>
          <w:sz w:val="24"/>
          <w:szCs w:val="32"/>
        </w:rPr>
        <w:t>一、建设项目基本情况</w:t>
      </w:r>
      <w:r>
        <w:rPr>
          <w:sz w:val="24"/>
          <w:szCs w:val="32"/>
        </w:rPr>
        <w:tab/>
      </w:r>
      <w:r>
        <w:rPr>
          <w:sz w:val="24"/>
          <w:szCs w:val="32"/>
        </w:rPr>
        <w:fldChar w:fldCharType="begin"/>
      </w:r>
      <w:r>
        <w:rPr>
          <w:sz w:val="24"/>
          <w:szCs w:val="32"/>
        </w:rPr>
        <w:instrText xml:space="preserve"> PAGEREF _Toc19274 \h </w:instrText>
      </w:r>
      <w:r>
        <w:rPr>
          <w:sz w:val="24"/>
          <w:szCs w:val="32"/>
        </w:rPr>
        <w:fldChar w:fldCharType="separate"/>
      </w:r>
      <w:r>
        <w:rPr>
          <w:sz w:val="24"/>
          <w:szCs w:val="32"/>
        </w:rPr>
        <w:t>3</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_Toc20122 </w:instrText>
      </w:r>
      <w:r>
        <w:rPr>
          <w:rFonts w:hint="eastAsia"/>
          <w:sz w:val="24"/>
          <w:szCs w:val="32"/>
        </w:rPr>
        <w:fldChar w:fldCharType="separate"/>
      </w:r>
      <w:r>
        <w:rPr>
          <w:rFonts w:hint="eastAsia"/>
          <w:sz w:val="24"/>
          <w:szCs w:val="32"/>
        </w:rPr>
        <w:t>二、建设项目工程分析</w:t>
      </w:r>
      <w:r>
        <w:rPr>
          <w:sz w:val="24"/>
          <w:szCs w:val="32"/>
        </w:rPr>
        <w:tab/>
      </w:r>
      <w:r>
        <w:rPr>
          <w:sz w:val="24"/>
          <w:szCs w:val="32"/>
        </w:rPr>
        <w:fldChar w:fldCharType="begin"/>
      </w:r>
      <w:r>
        <w:rPr>
          <w:sz w:val="24"/>
          <w:szCs w:val="32"/>
        </w:rPr>
        <w:instrText xml:space="preserve"> PAGEREF _Toc20122 \h </w:instrText>
      </w:r>
      <w:r>
        <w:rPr>
          <w:sz w:val="24"/>
          <w:szCs w:val="32"/>
        </w:rPr>
        <w:fldChar w:fldCharType="separate"/>
      </w:r>
      <w:r>
        <w:rPr>
          <w:sz w:val="24"/>
          <w:szCs w:val="32"/>
        </w:rPr>
        <w:t>13</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_Toc26399 </w:instrText>
      </w:r>
      <w:r>
        <w:rPr>
          <w:rFonts w:hint="eastAsia"/>
          <w:sz w:val="24"/>
          <w:szCs w:val="32"/>
        </w:rPr>
        <w:fldChar w:fldCharType="separate"/>
      </w:r>
      <w:r>
        <w:rPr>
          <w:rFonts w:hint="eastAsia"/>
          <w:sz w:val="24"/>
          <w:szCs w:val="32"/>
        </w:rPr>
        <w:t>三、区域环境质量现状、环境保护目标及评价标准</w:t>
      </w:r>
      <w:r>
        <w:rPr>
          <w:sz w:val="24"/>
          <w:szCs w:val="32"/>
        </w:rPr>
        <w:tab/>
      </w:r>
      <w:r>
        <w:rPr>
          <w:sz w:val="24"/>
          <w:szCs w:val="32"/>
        </w:rPr>
        <w:fldChar w:fldCharType="begin"/>
      </w:r>
      <w:r>
        <w:rPr>
          <w:sz w:val="24"/>
          <w:szCs w:val="32"/>
        </w:rPr>
        <w:instrText xml:space="preserve"> PAGEREF _Toc26399 \h </w:instrText>
      </w:r>
      <w:r>
        <w:rPr>
          <w:sz w:val="24"/>
          <w:szCs w:val="32"/>
        </w:rPr>
        <w:fldChar w:fldCharType="separate"/>
      </w:r>
      <w:r>
        <w:rPr>
          <w:sz w:val="24"/>
          <w:szCs w:val="32"/>
        </w:rPr>
        <w:t>33</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_Toc23704 </w:instrText>
      </w:r>
      <w:r>
        <w:rPr>
          <w:rFonts w:hint="eastAsia"/>
          <w:sz w:val="24"/>
          <w:szCs w:val="32"/>
        </w:rPr>
        <w:fldChar w:fldCharType="separate"/>
      </w:r>
      <w:r>
        <w:rPr>
          <w:rFonts w:hint="eastAsia"/>
          <w:sz w:val="24"/>
          <w:szCs w:val="32"/>
        </w:rPr>
        <w:t>四、主要环境影响和保护措施</w:t>
      </w:r>
      <w:r>
        <w:rPr>
          <w:sz w:val="24"/>
          <w:szCs w:val="32"/>
        </w:rPr>
        <w:tab/>
      </w:r>
      <w:r>
        <w:rPr>
          <w:sz w:val="24"/>
          <w:szCs w:val="32"/>
        </w:rPr>
        <w:fldChar w:fldCharType="begin"/>
      </w:r>
      <w:r>
        <w:rPr>
          <w:sz w:val="24"/>
          <w:szCs w:val="32"/>
        </w:rPr>
        <w:instrText xml:space="preserve"> PAGEREF _Toc23704 \h </w:instrText>
      </w:r>
      <w:r>
        <w:rPr>
          <w:sz w:val="24"/>
          <w:szCs w:val="32"/>
        </w:rPr>
        <w:fldChar w:fldCharType="separate"/>
      </w:r>
      <w:r>
        <w:rPr>
          <w:sz w:val="24"/>
          <w:szCs w:val="32"/>
        </w:rPr>
        <w:t>40</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_Toc15677 </w:instrText>
      </w:r>
      <w:r>
        <w:rPr>
          <w:rFonts w:hint="eastAsia"/>
          <w:sz w:val="24"/>
          <w:szCs w:val="32"/>
        </w:rPr>
        <w:fldChar w:fldCharType="separate"/>
      </w:r>
      <w:r>
        <w:rPr>
          <w:rFonts w:hint="eastAsia"/>
          <w:sz w:val="24"/>
          <w:szCs w:val="32"/>
        </w:rPr>
        <w:t>五、环境保护措施监督检查清单</w:t>
      </w:r>
      <w:r>
        <w:rPr>
          <w:rFonts w:hint="eastAsia"/>
          <w:sz w:val="24"/>
          <w:szCs w:val="32"/>
          <w:lang w:eastAsia="zh-CN"/>
        </w:rPr>
        <w:t>：废气</w:t>
      </w:r>
      <w:r>
        <w:rPr>
          <w:sz w:val="24"/>
          <w:szCs w:val="32"/>
        </w:rPr>
        <w:tab/>
      </w:r>
      <w:r>
        <w:rPr>
          <w:sz w:val="24"/>
          <w:szCs w:val="32"/>
        </w:rPr>
        <w:fldChar w:fldCharType="begin"/>
      </w:r>
      <w:r>
        <w:rPr>
          <w:sz w:val="24"/>
          <w:szCs w:val="32"/>
        </w:rPr>
        <w:instrText xml:space="preserve"> PAGEREF _Toc15677 \h </w:instrText>
      </w:r>
      <w:r>
        <w:rPr>
          <w:sz w:val="24"/>
          <w:szCs w:val="32"/>
        </w:rPr>
        <w:fldChar w:fldCharType="separate"/>
      </w:r>
      <w:r>
        <w:rPr>
          <w:sz w:val="24"/>
          <w:szCs w:val="32"/>
        </w:rPr>
        <w:t>64</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_Toc6860 </w:instrText>
      </w:r>
      <w:r>
        <w:rPr>
          <w:rFonts w:hint="eastAsia"/>
          <w:sz w:val="24"/>
          <w:szCs w:val="32"/>
        </w:rPr>
        <w:fldChar w:fldCharType="separate"/>
      </w:r>
      <w:r>
        <w:rPr>
          <w:rFonts w:hint="eastAsia"/>
          <w:sz w:val="24"/>
          <w:szCs w:val="32"/>
        </w:rPr>
        <w:t>六、结论</w:t>
      </w:r>
      <w:r>
        <w:rPr>
          <w:sz w:val="24"/>
          <w:szCs w:val="32"/>
        </w:rPr>
        <w:tab/>
      </w:r>
      <w:r>
        <w:rPr>
          <w:sz w:val="24"/>
          <w:szCs w:val="32"/>
        </w:rPr>
        <w:fldChar w:fldCharType="begin"/>
      </w:r>
      <w:r>
        <w:rPr>
          <w:sz w:val="24"/>
          <w:szCs w:val="32"/>
        </w:rPr>
        <w:instrText xml:space="preserve"> PAGEREF _Toc6860 \h </w:instrText>
      </w:r>
      <w:r>
        <w:rPr>
          <w:sz w:val="24"/>
          <w:szCs w:val="32"/>
        </w:rPr>
        <w:fldChar w:fldCharType="separate"/>
      </w:r>
      <w:r>
        <w:rPr>
          <w:sz w:val="24"/>
          <w:szCs w:val="32"/>
        </w:rPr>
        <w:t>66</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_Toc31641 </w:instrText>
      </w:r>
      <w:r>
        <w:rPr>
          <w:rFonts w:hint="eastAsia"/>
          <w:sz w:val="24"/>
          <w:szCs w:val="32"/>
        </w:rPr>
        <w:fldChar w:fldCharType="separate"/>
      </w:r>
      <w:r>
        <w:rPr>
          <w:rFonts w:hint="eastAsia" w:ascii="黑体" w:hAnsi="黑体" w:eastAsia="黑体"/>
          <w:snapToGrid w:val="0"/>
          <w:sz w:val="24"/>
          <w:szCs w:val="40"/>
        </w:rPr>
        <w:t>附表</w:t>
      </w:r>
      <w:r>
        <w:rPr>
          <w:sz w:val="24"/>
          <w:szCs w:val="32"/>
        </w:rPr>
        <w:tab/>
      </w:r>
      <w:r>
        <w:rPr>
          <w:sz w:val="24"/>
          <w:szCs w:val="32"/>
        </w:rPr>
        <w:fldChar w:fldCharType="begin"/>
      </w:r>
      <w:r>
        <w:rPr>
          <w:sz w:val="24"/>
          <w:szCs w:val="32"/>
        </w:rPr>
        <w:instrText xml:space="preserve"> PAGEREF _Toc31641 \h </w:instrText>
      </w:r>
      <w:r>
        <w:rPr>
          <w:sz w:val="24"/>
          <w:szCs w:val="32"/>
        </w:rPr>
        <w:fldChar w:fldCharType="separate"/>
      </w:r>
      <w:r>
        <w:rPr>
          <w:sz w:val="24"/>
          <w:szCs w:val="32"/>
        </w:rPr>
        <w:t>67</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_Toc17658 </w:instrText>
      </w:r>
      <w:r>
        <w:rPr>
          <w:rFonts w:hint="eastAsia"/>
          <w:sz w:val="24"/>
          <w:szCs w:val="32"/>
        </w:rPr>
        <w:fldChar w:fldCharType="separate"/>
      </w:r>
      <w:r>
        <w:rPr>
          <w:rFonts w:hint="eastAsia"/>
          <w:sz w:val="24"/>
          <w:szCs w:val="32"/>
        </w:rPr>
        <w:t>建设项目污染物排放量汇总表</w:t>
      </w:r>
      <w:r>
        <w:rPr>
          <w:sz w:val="24"/>
          <w:szCs w:val="32"/>
        </w:rPr>
        <w:tab/>
      </w:r>
      <w:r>
        <w:rPr>
          <w:sz w:val="24"/>
          <w:szCs w:val="32"/>
        </w:rPr>
        <w:fldChar w:fldCharType="begin"/>
      </w:r>
      <w:r>
        <w:rPr>
          <w:sz w:val="24"/>
          <w:szCs w:val="32"/>
        </w:rPr>
        <w:instrText xml:space="preserve"> PAGEREF _Toc17658 \h </w:instrText>
      </w:r>
      <w:r>
        <w:rPr>
          <w:sz w:val="24"/>
          <w:szCs w:val="32"/>
        </w:rPr>
        <w:fldChar w:fldCharType="separate"/>
      </w:r>
      <w:r>
        <w:rPr>
          <w:sz w:val="24"/>
          <w:szCs w:val="32"/>
        </w:rPr>
        <w:t>67</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_Toc23793 </w:instrText>
      </w:r>
      <w:r>
        <w:rPr>
          <w:rFonts w:hint="eastAsia"/>
          <w:sz w:val="24"/>
          <w:szCs w:val="32"/>
        </w:rPr>
        <w:fldChar w:fldCharType="separate"/>
      </w:r>
      <w:r>
        <w:rPr>
          <w:rFonts w:hint="eastAsia"/>
          <w:sz w:val="24"/>
          <w:szCs w:val="32"/>
          <w:highlight w:val="none"/>
        </w:rPr>
        <w:t>附件一  环评委托书</w:t>
      </w:r>
      <w:r>
        <w:rPr>
          <w:sz w:val="24"/>
          <w:szCs w:val="32"/>
        </w:rPr>
        <w:tab/>
      </w:r>
      <w:r>
        <w:rPr>
          <w:sz w:val="24"/>
          <w:szCs w:val="32"/>
        </w:rPr>
        <w:fldChar w:fldCharType="begin"/>
      </w:r>
      <w:r>
        <w:rPr>
          <w:sz w:val="24"/>
          <w:szCs w:val="32"/>
        </w:rPr>
        <w:instrText xml:space="preserve"> PAGEREF _Toc23793 \h </w:instrText>
      </w:r>
      <w:r>
        <w:rPr>
          <w:sz w:val="24"/>
          <w:szCs w:val="32"/>
        </w:rPr>
        <w:fldChar w:fldCharType="separate"/>
      </w:r>
      <w:r>
        <w:rPr>
          <w:sz w:val="24"/>
          <w:szCs w:val="32"/>
        </w:rPr>
        <w:t>68</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_Toc21099 </w:instrText>
      </w:r>
      <w:r>
        <w:rPr>
          <w:rFonts w:hint="eastAsia"/>
          <w:sz w:val="24"/>
          <w:szCs w:val="32"/>
        </w:rPr>
        <w:fldChar w:fldCharType="separate"/>
      </w:r>
      <w:r>
        <w:rPr>
          <w:rFonts w:hint="eastAsia"/>
          <w:sz w:val="24"/>
          <w:szCs w:val="32"/>
        </w:rPr>
        <w:t>附件二 营业执照</w:t>
      </w:r>
      <w:r>
        <w:rPr>
          <w:sz w:val="24"/>
          <w:szCs w:val="32"/>
        </w:rPr>
        <w:tab/>
      </w:r>
      <w:r>
        <w:rPr>
          <w:sz w:val="24"/>
          <w:szCs w:val="32"/>
        </w:rPr>
        <w:fldChar w:fldCharType="begin"/>
      </w:r>
      <w:r>
        <w:rPr>
          <w:sz w:val="24"/>
          <w:szCs w:val="32"/>
        </w:rPr>
        <w:instrText xml:space="preserve"> PAGEREF _Toc21099 \h </w:instrText>
      </w:r>
      <w:r>
        <w:rPr>
          <w:sz w:val="24"/>
          <w:szCs w:val="32"/>
        </w:rPr>
        <w:fldChar w:fldCharType="separate"/>
      </w:r>
      <w:r>
        <w:rPr>
          <w:sz w:val="24"/>
          <w:szCs w:val="32"/>
        </w:rPr>
        <w:t>69</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_Toc11470 </w:instrText>
      </w:r>
      <w:r>
        <w:rPr>
          <w:rFonts w:hint="eastAsia"/>
          <w:sz w:val="24"/>
          <w:szCs w:val="32"/>
        </w:rPr>
        <w:fldChar w:fldCharType="separate"/>
      </w:r>
      <w:r>
        <w:rPr>
          <w:rFonts w:hint="eastAsia"/>
          <w:sz w:val="24"/>
          <w:szCs w:val="32"/>
        </w:rPr>
        <w:t>附件三 项目扩建申报表</w:t>
      </w:r>
      <w:r>
        <w:rPr>
          <w:sz w:val="24"/>
          <w:szCs w:val="32"/>
        </w:rPr>
        <w:tab/>
      </w:r>
      <w:r>
        <w:rPr>
          <w:sz w:val="24"/>
          <w:szCs w:val="32"/>
        </w:rPr>
        <w:fldChar w:fldCharType="begin"/>
      </w:r>
      <w:r>
        <w:rPr>
          <w:sz w:val="24"/>
          <w:szCs w:val="32"/>
        </w:rPr>
        <w:instrText xml:space="preserve"> PAGEREF _Toc11470 \h </w:instrText>
      </w:r>
      <w:r>
        <w:rPr>
          <w:sz w:val="24"/>
          <w:szCs w:val="32"/>
        </w:rPr>
        <w:fldChar w:fldCharType="separate"/>
      </w:r>
      <w:r>
        <w:rPr>
          <w:sz w:val="24"/>
          <w:szCs w:val="32"/>
        </w:rPr>
        <w:t>70</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_Toc21603 </w:instrText>
      </w:r>
      <w:r>
        <w:rPr>
          <w:rFonts w:hint="eastAsia"/>
          <w:sz w:val="24"/>
          <w:szCs w:val="32"/>
        </w:rPr>
        <w:fldChar w:fldCharType="separate"/>
      </w:r>
      <w:r>
        <w:rPr>
          <w:rFonts w:hint="eastAsia"/>
          <w:sz w:val="24"/>
          <w:szCs w:val="32"/>
        </w:rPr>
        <w:t>附件四 项目现状检测报告</w:t>
      </w:r>
      <w:r>
        <w:rPr>
          <w:sz w:val="24"/>
          <w:szCs w:val="32"/>
        </w:rPr>
        <w:tab/>
      </w:r>
      <w:r>
        <w:rPr>
          <w:sz w:val="24"/>
          <w:szCs w:val="32"/>
        </w:rPr>
        <w:fldChar w:fldCharType="begin"/>
      </w:r>
      <w:r>
        <w:rPr>
          <w:sz w:val="24"/>
          <w:szCs w:val="32"/>
        </w:rPr>
        <w:instrText xml:space="preserve"> PAGEREF _Toc21603 \h </w:instrText>
      </w:r>
      <w:r>
        <w:rPr>
          <w:sz w:val="24"/>
          <w:szCs w:val="32"/>
        </w:rPr>
        <w:fldChar w:fldCharType="separate"/>
      </w:r>
      <w:r>
        <w:rPr>
          <w:sz w:val="24"/>
          <w:szCs w:val="32"/>
        </w:rPr>
        <w:t>71</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_Toc17364 </w:instrText>
      </w:r>
      <w:r>
        <w:rPr>
          <w:rFonts w:hint="eastAsia"/>
          <w:sz w:val="24"/>
          <w:szCs w:val="32"/>
        </w:rPr>
        <w:fldChar w:fldCharType="separate"/>
      </w:r>
      <w:r>
        <w:rPr>
          <w:rFonts w:hint="eastAsia"/>
          <w:sz w:val="24"/>
          <w:szCs w:val="32"/>
        </w:rPr>
        <w:t>附件</w:t>
      </w:r>
      <w:r>
        <w:rPr>
          <w:rFonts w:hint="eastAsia"/>
          <w:sz w:val="24"/>
          <w:szCs w:val="32"/>
          <w:lang w:val="en-US" w:eastAsia="zh-CN"/>
        </w:rPr>
        <w:t>五</w:t>
      </w:r>
      <w:r>
        <w:rPr>
          <w:rFonts w:hint="eastAsia"/>
          <w:sz w:val="24"/>
          <w:szCs w:val="32"/>
        </w:rPr>
        <w:t xml:space="preserve"> </w:t>
      </w:r>
      <w:r>
        <w:rPr>
          <w:rFonts w:hint="eastAsia"/>
          <w:sz w:val="24"/>
          <w:szCs w:val="32"/>
          <w:lang w:val="en-US" w:eastAsia="zh-CN"/>
        </w:rPr>
        <w:t>2009年环境影响评价登记表</w:t>
      </w:r>
      <w:r>
        <w:rPr>
          <w:sz w:val="24"/>
          <w:szCs w:val="32"/>
        </w:rPr>
        <w:tab/>
      </w:r>
      <w:r>
        <w:rPr>
          <w:sz w:val="24"/>
          <w:szCs w:val="32"/>
        </w:rPr>
        <w:fldChar w:fldCharType="begin"/>
      </w:r>
      <w:r>
        <w:rPr>
          <w:sz w:val="24"/>
          <w:szCs w:val="32"/>
        </w:rPr>
        <w:instrText xml:space="preserve"> PAGEREF _Toc17364 \h </w:instrText>
      </w:r>
      <w:r>
        <w:rPr>
          <w:sz w:val="24"/>
          <w:szCs w:val="32"/>
        </w:rPr>
        <w:fldChar w:fldCharType="separate"/>
      </w:r>
      <w:r>
        <w:rPr>
          <w:sz w:val="24"/>
          <w:szCs w:val="32"/>
        </w:rPr>
        <w:t>83</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_Toc25504 </w:instrText>
      </w:r>
      <w:r>
        <w:rPr>
          <w:rFonts w:hint="eastAsia"/>
          <w:sz w:val="24"/>
          <w:szCs w:val="32"/>
        </w:rPr>
        <w:fldChar w:fldCharType="separate"/>
      </w:r>
      <w:r>
        <w:rPr>
          <w:rFonts w:hint="eastAsia"/>
          <w:sz w:val="24"/>
          <w:szCs w:val="32"/>
        </w:rPr>
        <w:t>附件</w:t>
      </w:r>
      <w:r>
        <w:rPr>
          <w:rFonts w:hint="eastAsia"/>
          <w:sz w:val="24"/>
          <w:szCs w:val="32"/>
          <w:lang w:val="en-US" w:eastAsia="zh-CN"/>
        </w:rPr>
        <w:t>六</w:t>
      </w:r>
      <w:r>
        <w:rPr>
          <w:rFonts w:hint="eastAsia"/>
          <w:sz w:val="24"/>
          <w:szCs w:val="32"/>
        </w:rPr>
        <w:t xml:space="preserve"> </w:t>
      </w:r>
      <w:r>
        <w:rPr>
          <w:rFonts w:hint="eastAsia"/>
          <w:sz w:val="24"/>
          <w:szCs w:val="32"/>
          <w:lang w:val="en-US" w:eastAsia="zh-CN"/>
        </w:rPr>
        <w:t>危险废物处置协议</w:t>
      </w:r>
      <w:r>
        <w:rPr>
          <w:sz w:val="24"/>
          <w:szCs w:val="32"/>
        </w:rPr>
        <w:tab/>
      </w:r>
      <w:r>
        <w:rPr>
          <w:sz w:val="24"/>
          <w:szCs w:val="32"/>
        </w:rPr>
        <w:fldChar w:fldCharType="begin"/>
      </w:r>
      <w:r>
        <w:rPr>
          <w:sz w:val="24"/>
          <w:szCs w:val="32"/>
        </w:rPr>
        <w:instrText xml:space="preserve"> PAGEREF _Toc25504 \h </w:instrText>
      </w:r>
      <w:r>
        <w:rPr>
          <w:sz w:val="24"/>
          <w:szCs w:val="32"/>
        </w:rPr>
        <w:fldChar w:fldCharType="separate"/>
      </w:r>
      <w:r>
        <w:rPr>
          <w:sz w:val="24"/>
          <w:szCs w:val="32"/>
        </w:rPr>
        <w:t>92</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_Toc6097 </w:instrText>
      </w:r>
      <w:r>
        <w:rPr>
          <w:rFonts w:hint="eastAsia"/>
          <w:sz w:val="24"/>
          <w:szCs w:val="32"/>
        </w:rPr>
        <w:fldChar w:fldCharType="separate"/>
      </w:r>
      <w:r>
        <w:rPr>
          <w:rFonts w:hint="eastAsia"/>
          <w:sz w:val="24"/>
          <w:szCs w:val="32"/>
        </w:rPr>
        <w:t>附件</w:t>
      </w:r>
      <w:r>
        <w:rPr>
          <w:rFonts w:hint="eastAsia"/>
          <w:sz w:val="24"/>
          <w:szCs w:val="32"/>
          <w:lang w:val="en-US" w:eastAsia="zh-CN"/>
        </w:rPr>
        <w:t>七</w:t>
      </w:r>
      <w:r>
        <w:rPr>
          <w:rFonts w:hint="eastAsia"/>
          <w:sz w:val="24"/>
          <w:szCs w:val="32"/>
        </w:rPr>
        <w:t xml:space="preserve"> </w:t>
      </w:r>
      <w:r>
        <w:rPr>
          <w:rFonts w:hint="eastAsia"/>
          <w:sz w:val="24"/>
          <w:szCs w:val="32"/>
          <w:lang w:val="en-US" w:eastAsia="zh-CN"/>
        </w:rPr>
        <w:t>排污口设置登记表</w:t>
      </w:r>
      <w:r>
        <w:rPr>
          <w:sz w:val="24"/>
          <w:szCs w:val="32"/>
        </w:rPr>
        <w:tab/>
      </w:r>
      <w:r>
        <w:rPr>
          <w:sz w:val="24"/>
          <w:szCs w:val="32"/>
        </w:rPr>
        <w:fldChar w:fldCharType="begin"/>
      </w:r>
      <w:r>
        <w:rPr>
          <w:sz w:val="24"/>
          <w:szCs w:val="32"/>
        </w:rPr>
        <w:instrText xml:space="preserve"> PAGEREF _Toc6097 \h </w:instrText>
      </w:r>
      <w:r>
        <w:rPr>
          <w:sz w:val="24"/>
          <w:szCs w:val="32"/>
        </w:rPr>
        <w:fldChar w:fldCharType="separate"/>
      </w:r>
      <w:r>
        <w:rPr>
          <w:sz w:val="24"/>
          <w:szCs w:val="32"/>
        </w:rPr>
        <w:t>94</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_Toc26289 </w:instrText>
      </w:r>
      <w:r>
        <w:rPr>
          <w:rFonts w:hint="eastAsia"/>
          <w:sz w:val="24"/>
          <w:szCs w:val="32"/>
        </w:rPr>
        <w:fldChar w:fldCharType="separate"/>
      </w:r>
      <w:r>
        <w:rPr>
          <w:rFonts w:hint="eastAsia"/>
          <w:sz w:val="24"/>
          <w:szCs w:val="32"/>
        </w:rPr>
        <w:t>附件</w:t>
      </w:r>
      <w:r>
        <w:rPr>
          <w:rFonts w:hint="eastAsia"/>
          <w:sz w:val="24"/>
          <w:szCs w:val="32"/>
          <w:lang w:val="en-US" w:eastAsia="zh-CN"/>
        </w:rPr>
        <w:t>八</w:t>
      </w:r>
      <w:r>
        <w:rPr>
          <w:rFonts w:hint="eastAsia"/>
          <w:sz w:val="24"/>
          <w:szCs w:val="32"/>
        </w:rPr>
        <w:t xml:space="preserve"> </w:t>
      </w:r>
      <w:r>
        <w:rPr>
          <w:rFonts w:hint="eastAsia"/>
          <w:sz w:val="24"/>
          <w:szCs w:val="32"/>
          <w:lang w:val="en-US" w:eastAsia="zh-CN"/>
        </w:rPr>
        <w:t>排污许可证</w:t>
      </w:r>
      <w:r>
        <w:rPr>
          <w:sz w:val="24"/>
          <w:szCs w:val="32"/>
        </w:rPr>
        <w:tab/>
      </w:r>
      <w:r>
        <w:rPr>
          <w:sz w:val="24"/>
          <w:szCs w:val="32"/>
        </w:rPr>
        <w:fldChar w:fldCharType="begin"/>
      </w:r>
      <w:r>
        <w:rPr>
          <w:sz w:val="24"/>
          <w:szCs w:val="32"/>
        </w:rPr>
        <w:instrText xml:space="preserve"> PAGEREF _Toc26289 \h </w:instrText>
      </w:r>
      <w:r>
        <w:rPr>
          <w:sz w:val="24"/>
          <w:szCs w:val="32"/>
        </w:rPr>
        <w:fldChar w:fldCharType="separate"/>
      </w:r>
      <w:r>
        <w:rPr>
          <w:sz w:val="24"/>
          <w:szCs w:val="32"/>
        </w:rPr>
        <w:t>99</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_Toc1317 </w:instrText>
      </w:r>
      <w:r>
        <w:rPr>
          <w:rFonts w:hint="eastAsia"/>
          <w:sz w:val="24"/>
          <w:szCs w:val="32"/>
        </w:rPr>
        <w:fldChar w:fldCharType="separate"/>
      </w:r>
      <w:r>
        <w:rPr>
          <w:rFonts w:hint="eastAsia" w:ascii="Times New Roman" w:hAnsi="Times New Roman" w:cs="Times New Roman"/>
          <w:sz w:val="24"/>
          <w:szCs w:val="32"/>
        </w:rPr>
        <w:t>附件</w:t>
      </w:r>
      <w:r>
        <w:rPr>
          <w:rFonts w:hint="eastAsia" w:ascii="Times New Roman" w:hAnsi="Times New Roman" w:cs="Times New Roman"/>
          <w:sz w:val="24"/>
          <w:szCs w:val="32"/>
          <w:lang w:val="en-US" w:eastAsia="zh-CN"/>
        </w:rPr>
        <w:t>九</w:t>
      </w:r>
      <w:r>
        <w:rPr>
          <w:rFonts w:hint="eastAsia" w:ascii="Times New Roman" w:hAnsi="Times New Roman" w:cs="Times New Roman"/>
          <w:sz w:val="24"/>
          <w:szCs w:val="32"/>
        </w:rPr>
        <w:t xml:space="preserve"> </w:t>
      </w:r>
      <w:r>
        <w:rPr>
          <w:rFonts w:hint="eastAsia" w:ascii="Times New Roman" w:hAnsi="Times New Roman" w:cs="Times New Roman"/>
          <w:sz w:val="24"/>
          <w:szCs w:val="32"/>
          <w:lang w:val="en-US" w:eastAsia="zh-CN"/>
        </w:rPr>
        <w:t>《</w:t>
      </w:r>
      <w:r>
        <w:rPr>
          <w:rFonts w:hint="default" w:ascii="Times New Roman" w:hAnsi="Times New Roman" w:cs="Times New Roman"/>
          <w:sz w:val="24"/>
          <w:szCs w:val="32"/>
          <w:lang w:val="en-US" w:eastAsia="zh-CN"/>
        </w:rPr>
        <w:t>岳阳市2022年度生态环境质量公报</w:t>
      </w:r>
      <w:r>
        <w:rPr>
          <w:rFonts w:hint="eastAsia" w:ascii="Times New Roman" w:hAnsi="Times New Roman" w:cs="Times New Roman"/>
          <w:sz w:val="24"/>
          <w:szCs w:val="32"/>
          <w:lang w:val="en-US" w:eastAsia="zh-CN"/>
        </w:rPr>
        <w:t>》</w:t>
      </w:r>
      <w:r>
        <w:rPr>
          <w:sz w:val="24"/>
          <w:szCs w:val="32"/>
        </w:rPr>
        <w:tab/>
      </w:r>
      <w:r>
        <w:rPr>
          <w:sz w:val="24"/>
          <w:szCs w:val="32"/>
        </w:rPr>
        <w:fldChar w:fldCharType="begin"/>
      </w:r>
      <w:r>
        <w:rPr>
          <w:sz w:val="24"/>
          <w:szCs w:val="32"/>
        </w:rPr>
        <w:instrText xml:space="preserve"> PAGEREF _Toc1317 \h </w:instrText>
      </w:r>
      <w:r>
        <w:rPr>
          <w:sz w:val="24"/>
          <w:szCs w:val="32"/>
        </w:rPr>
        <w:fldChar w:fldCharType="separate"/>
      </w:r>
      <w:r>
        <w:rPr>
          <w:sz w:val="24"/>
          <w:szCs w:val="32"/>
        </w:rPr>
        <w:t>100</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_Toc24642 </w:instrText>
      </w:r>
      <w:r>
        <w:rPr>
          <w:rFonts w:hint="eastAsia"/>
          <w:sz w:val="24"/>
          <w:szCs w:val="32"/>
        </w:rPr>
        <w:fldChar w:fldCharType="separate"/>
      </w:r>
      <w:r>
        <w:rPr>
          <w:rFonts w:hint="eastAsia"/>
          <w:sz w:val="24"/>
          <w:szCs w:val="32"/>
        </w:rPr>
        <w:t>附图一 地理位置图</w:t>
      </w:r>
      <w:r>
        <w:rPr>
          <w:sz w:val="24"/>
          <w:szCs w:val="32"/>
        </w:rPr>
        <w:tab/>
      </w:r>
      <w:r>
        <w:rPr>
          <w:sz w:val="24"/>
          <w:szCs w:val="32"/>
        </w:rPr>
        <w:fldChar w:fldCharType="begin"/>
      </w:r>
      <w:r>
        <w:rPr>
          <w:sz w:val="24"/>
          <w:szCs w:val="32"/>
        </w:rPr>
        <w:instrText xml:space="preserve"> PAGEREF _Toc24642 \h </w:instrText>
      </w:r>
      <w:r>
        <w:rPr>
          <w:sz w:val="24"/>
          <w:szCs w:val="32"/>
        </w:rPr>
        <w:fldChar w:fldCharType="separate"/>
      </w:r>
      <w:r>
        <w:rPr>
          <w:sz w:val="24"/>
          <w:szCs w:val="32"/>
        </w:rPr>
        <w:t>101</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_Toc25709 </w:instrText>
      </w:r>
      <w:r>
        <w:rPr>
          <w:rFonts w:hint="eastAsia"/>
          <w:sz w:val="24"/>
          <w:szCs w:val="32"/>
        </w:rPr>
        <w:fldChar w:fldCharType="separate"/>
      </w:r>
      <w:r>
        <w:rPr>
          <w:rFonts w:hint="eastAsia"/>
          <w:sz w:val="24"/>
          <w:szCs w:val="32"/>
        </w:rPr>
        <w:t>附图二 平面布置图</w:t>
      </w:r>
      <w:r>
        <w:rPr>
          <w:sz w:val="24"/>
          <w:szCs w:val="32"/>
        </w:rPr>
        <w:tab/>
      </w:r>
      <w:r>
        <w:rPr>
          <w:sz w:val="24"/>
          <w:szCs w:val="32"/>
        </w:rPr>
        <w:fldChar w:fldCharType="begin"/>
      </w:r>
      <w:r>
        <w:rPr>
          <w:sz w:val="24"/>
          <w:szCs w:val="32"/>
        </w:rPr>
        <w:instrText xml:space="preserve"> PAGEREF _Toc25709 \h </w:instrText>
      </w:r>
      <w:r>
        <w:rPr>
          <w:sz w:val="24"/>
          <w:szCs w:val="32"/>
        </w:rPr>
        <w:fldChar w:fldCharType="separate"/>
      </w:r>
      <w:r>
        <w:rPr>
          <w:sz w:val="24"/>
          <w:szCs w:val="32"/>
        </w:rPr>
        <w:t>102</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_Toc11410 </w:instrText>
      </w:r>
      <w:r>
        <w:rPr>
          <w:rFonts w:hint="eastAsia"/>
          <w:sz w:val="24"/>
          <w:szCs w:val="32"/>
        </w:rPr>
        <w:fldChar w:fldCharType="separate"/>
      </w:r>
      <w:r>
        <w:rPr>
          <w:rFonts w:hint="eastAsia"/>
          <w:sz w:val="24"/>
          <w:szCs w:val="32"/>
        </w:rPr>
        <w:t>附图三 大气环境保护示意图</w:t>
      </w:r>
      <w:r>
        <w:rPr>
          <w:sz w:val="24"/>
          <w:szCs w:val="32"/>
        </w:rPr>
        <w:tab/>
      </w:r>
      <w:r>
        <w:rPr>
          <w:sz w:val="24"/>
          <w:szCs w:val="32"/>
        </w:rPr>
        <w:fldChar w:fldCharType="begin"/>
      </w:r>
      <w:r>
        <w:rPr>
          <w:sz w:val="24"/>
          <w:szCs w:val="32"/>
        </w:rPr>
        <w:instrText xml:space="preserve"> PAGEREF _Toc11410 \h </w:instrText>
      </w:r>
      <w:r>
        <w:rPr>
          <w:sz w:val="24"/>
          <w:szCs w:val="32"/>
        </w:rPr>
        <w:fldChar w:fldCharType="separate"/>
      </w:r>
      <w:r>
        <w:rPr>
          <w:sz w:val="24"/>
          <w:szCs w:val="32"/>
        </w:rPr>
        <w:t>103</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_Toc22179 </w:instrText>
      </w:r>
      <w:r>
        <w:rPr>
          <w:rFonts w:hint="eastAsia"/>
          <w:sz w:val="24"/>
          <w:szCs w:val="32"/>
        </w:rPr>
        <w:fldChar w:fldCharType="separate"/>
      </w:r>
      <w:r>
        <w:rPr>
          <w:rFonts w:hint="eastAsia"/>
          <w:sz w:val="24"/>
          <w:szCs w:val="32"/>
        </w:rPr>
        <w:t>附图四 声环境保护示意图</w:t>
      </w:r>
      <w:r>
        <w:rPr>
          <w:sz w:val="24"/>
          <w:szCs w:val="32"/>
        </w:rPr>
        <w:tab/>
      </w:r>
      <w:r>
        <w:rPr>
          <w:sz w:val="24"/>
          <w:szCs w:val="32"/>
        </w:rPr>
        <w:fldChar w:fldCharType="begin"/>
      </w:r>
      <w:r>
        <w:rPr>
          <w:sz w:val="24"/>
          <w:szCs w:val="32"/>
        </w:rPr>
        <w:instrText xml:space="preserve"> PAGEREF _Toc22179 \h </w:instrText>
      </w:r>
      <w:r>
        <w:rPr>
          <w:sz w:val="24"/>
          <w:szCs w:val="32"/>
        </w:rPr>
        <w:fldChar w:fldCharType="separate"/>
      </w:r>
      <w:r>
        <w:rPr>
          <w:sz w:val="24"/>
          <w:szCs w:val="32"/>
        </w:rPr>
        <w:t>104</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_Toc4000 </w:instrText>
      </w:r>
      <w:r>
        <w:rPr>
          <w:rFonts w:hint="eastAsia"/>
          <w:sz w:val="24"/>
          <w:szCs w:val="32"/>
        </w:rPr>
        <w:fldChar w:fldCharType="separate"/>
      </w:r>
      <w:r>
        <w:rPr>
          <w:rFonts w:hint="eastAsia"/>
          <w:sz w:val="24"/>
          <w:szCs w:val="32"/>
        </w:rPr>
        <w:t>附图五 项目监测布点图</w:t>
      </w:r>
      <w:r>
        <w:rPr>
          <w:sz w:val="24"/>
          <w:szCs w:val="32"/>
        </w:rPr>
        <w:tab/>
      </w:r>
      <w:r>
        <w:rPr>
          <w:sz w:val="24"/>
          <w:szCs w:val="32"/>
        </w:rPr>
        <w:fldChar w:fldCharType="begin"/>
      </w:r>
      <w:r>
        <w:rPr>
          <w:sz w:val="24"/>
          <w:szCs w:val="32"/>
        </w:rPr>
        <w:instrText xml:space="preserve"> PAGEREF _Toc4000 \h </w:instrText>
      </w:r>
      <w:r>
        <w:rPr>
          <w:sz w:val="24"/>
          <w:szCs w:val="32"/>
        </w:rPr>
        <w:fldChar w:fldCharType="separate"/>
      </w:r>
      <w:r>
        <w:rPr>
          <w:sz w:val="24"/>
          <w:szCs w:val="32"/>
        </w:rPr>
        <w:t>105</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_Toc17161 </w:instrText>
      </w:r>
      <w:r>
        <w:rPr>
          <w:rFonts w:hint="eastAsia"/>
          <w:sz w:val="24"/>
          <w:szCs w:val="32"/>
        </w:rPr>
        <w:fldChar w:fldCharType="separate"/>
      </w:r>
      <w:r>
        <w:rPr>
          <w:rFonts w:hint="eastAsia"/>
          <w:sz w:val="24"/>
          <w:szCs w:val="32"/>
        </w:rPr>
        <w:t>附图六 环境质量现状监测布点图</w:t>
      </w:r>
      <w:r>
        <w:rPr>
          <w:sz w:val="24"/>
          <w:szCs w:val="32"/>
        </w:rPr>
        <w:tab/>
      </w:r>
      <w:r>
        <w:rPr>
          <w:sz w:val="24"/>
          <w:szCs w:val="32"/>
        </w:rPr>
        <w:fldChar w:fldCharType="begin"/>
      </w:r>
      <w:r>
        <w:rPr>
          <w:sz w:val="24"/>
          <w:szCs w:val="32"/>
        </w:rPr>
        <w:instrText xml:space="preserve"> PAGEREF _Toc17161 \h </w:instrText>
      </w:r>
      <w:r>
        <w:rPr>
          <w:sz w:val="24"/>
          <w:szCs w:val="32"/>
        </w:rPr>
        <w:fldChar w:fldCharType="separate"/>
      </w:r>
      <w:r>
        <w:rPr>
          <w:sz w:val="24"/>
          <w:szCs w:val="32"/>
        </w:rPr>
        <w:t>106</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_Toc16863 </w:instrText>
      </w:r>
      <w:r>
        <w:rPr>
          <w:rFonts w:hint="eastAsia"/>
          <w:sz w:val="24"/>
          <w:szCs w:val="32"/>
        </w:rPr>
        <w:fldChar w:fldCharType="separate"/>
      </w:r>
      <w:r>
        <w:rPr>
          <w:rFonts w:hint="eastAsia"/>
          <w:sz w:val="24"/>
          <w:szCs w:val="32"/>
        </w:rPr>
        <w:t>附图七 项目所在建成区位置图</w:t>
      </w:r>
      <w:r>
        <w:rPr>
          <w:sz w:val="24"/>
          <w:szCs w:val="32"/>
        </w:rPr>
        <w:tab/>
      </w:r>
      <w:r>
        <w:rPr>
          <w:sz w:val="24"/>
          <w:szCs w:val="32"/>
        </w:rPr>
        <w:fldChar w:fldCharType="begin"/>
      </w:r>
      <w:r>
        <w:rPr>
          <w:sz w:val="24"/>
          <w:szCs w:val="32"/>
        </w:rPr>
        <w:instrText xml:space="preserve"> PAGEREF _Toc16863 \h </w:instrText>
      </w:r>
      <w:r>
        <w:rPr>
          <w:sz w:val="24"/>
          <w:szCs w:val="32"/>
        </w:rPr>
        <w:fldChar w:fldCharType="separate"/>
      </w:r>
      <w:r>
        <w:rPr>
          <w:sz w:val="24"/>
          <w:szCs w:val="32"/>
        </w:rPr>
        <w:t>107</w:t>
      </w:r>
      <w:r>
        <w:rPr>
          <w:sz w:val="24"/>
          <w:szCs w:val="32"/>
        </w:rPr>
        <w:fldChar w:fldCharType="end"/>
      </w:r>
      <w:r>
        <w:rPr>
          <w:rFonts w:hint="eastAsia"/>
          <w:sz w:val="24"/>
          <w:szCs w:val="32"/>
        </w:rPr>
        <w:fldChar w:fldCharType="end"/>
      </w:r>
    </w:p>
    <w:p>
      <w:pPr>
        <w:pStyle w:val="17"/>
        <w:tabs>
          <w:tab w:val="right" w:leader="dot" w:pos="8844"/>
        </w:tabs>
        <w:spacing w:line="360" w:lineRule="auto"/>
        <w:rPr>
          <w:sz w:val="24"/>
          <w:szCs w:val="32"/>
        </w:rPr>
      </w:pPr>
      <w:r>
        <w:rPr>
          <w:rFonts w:hint="eastAsia"/>
          <w:sz w:val="24"/>
          <w:szCs w:val="32"/>
        </w:rPr>
        <w:fldChar w:fldCharType="begin"/>
      </w:r>
      <w:r>
        <w:rPr>
          <w:rFonts w:hint="eastAsia"/>
          <w:sz w:val="24"/>
          <w:szCs w:val="32"/>
        </w:rPr>
        <w:instrText xml:space="preserve"> HYPERLINK \l _Toc7576 </w:instrText>
      </w:r>
      <w:r>
        <w:rPr>
          <w:rFonts w:hint="eastAsia"/>
          <w:sz w:val="24"/>
          <w:szCs w:val="32"/>
        </w:rPr>
        <w:fldChar w:fldCharType="separate"/>
      </w:r>
      <w:r>
        <w:rPr>
          <w:rFonts w:hint="eastAsia"/>
          <w:sz w:val="24"/>
          <w:szCs w:val="32"/>
        </w:rPr>
        <w:t>附图</w:t>
      </w:r>
      <w:r>
        <w:rPr>
          <w:rFonts w:hint="eastAsia"/>
          <w:sz w:val="24"/>
          <w:szCs w:val="32"/>
          <w:lang w:val="en-US" w:eastAsia="zh-CN"/>
        </w:rPr>
        <w:t>八</w:t>
      </w:r>
      <w:r>
        <w:rPr>
          <w:rFonts w:hint="eastAsia"/>
          <w:sz w:val="24"/>
          <w:szCs w:val="32"/>
        </w:rPr>
        <w:t xml:space="preserve"> 项目</w:t>
      </w:r>
      <w:r>
        <w:rPr>
          <w:rFonts w:hint="eastAsia"/>
          <w:sz w:val="24"/>
          <w:szCs w:val="32"/>
          <w:lang w:val="en-US" w:eastAsia="zh-CN"/>
        </w:rPr>
        <w:t>现有</w:t>
      </w:r>
      <w:r>
        <w:rPr>
          <w:rFonts w:hint="eastAsia" w:ascii="Times New Roman" w:hAnsi="Times New Roman" w:cs="Times New Roman"/>
          <w:sz w:val="24"/>
          <w:szCs w:val="32"/>
          <w:lang w:val="en-US" w:eastAsia="zh-CN"/>
        </w:rPr>
        <w:t>工程、污染防治设施照片</w:t>
      </w:r>
      <w:r>
        <w:rPr>
          <w:sz w:val="24"/>
          <w:szCs w:val="32"/>
        </w:rPr>
        <w:tab/>
      </w:r>
      <w:r>
        <w:rPr>
          <w:sz w:val="24"/>
          <w:szCs w:val="32"/>
        </w:rPr>
        <w:fldChar w:fldCharType="begin"/>
      </w:r>
      <w:r>
        <w:rPr>
          <w:sz w:val="24"/>
          <w:szCs w:val="32"/>
        </w:rPr>
        <w:instrText xml:space="preserve"> PAGEREF _Toc7576 \h </w:instrText>
      </w:r>
      <w:r>
        <w:rPr>
          <w:sz w:val="24"/>
          <w:szCs w:val="32"/>
        </w:rPr>
        <w:fldChar w:fldCharType="separate"/>
      </w:r>
      <w:r>
        <w:rPr>
          <w:sz w:val="24"/>
          <w:szCs w:val="32"/>
        </w:rPr>
        <w:t>108</w:t>
      </w:r>
      <w:r>
        <w:rPr>
          <w:sz w:val="24"/>
          <w:szCs w:val="32"/>
        </w:rPr>
        <w:fldChar w:fldCharType="end"/>
      </w:r>
      <w:r>
        <w:rPr>
          <w:rFonts w:hint="eastAsia"/>
          <w:sz w:val="24"/>
          <w:szCs w:val="32"/>
        </w:rPr>
        <w:fldChar w:fldCharType="end"/>
      </w:r>
    </w:p>
    <w:p>
      <w:pPr>
        <w:spacing w:line="360" w:lineRule="auto"/>
        <w:rPr>
          <w:rFonts w:hint="eastAsia"/>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rPr>
        <w:fldChar w:fldCharType="end"/>
      </w:r>
    </w:p>
    <w:p>
      <w:pPr>
        <w:pStyle w:val="4"/>
        <w:jc w:val="center"/>
        <w:rPr>
          <w:rFonts w:hint="eastAsia" w:ascii="黑体" w:hAnsi="黑体"/>
          <w:snapToGrid w:val="0"/>
        </w:rPr>
      </w:pPr>
      <w:bookmarkStart w:id="15" w:name="_Toc19274"/>
      <w:r>
        <w:rPr>
          <w:rFonts w:hint="eastAsia"/>
        </w:rPr>
        <w:t>一、建设项目基本情况</w:t>
      </w:r>
      <w:bookmarkEnd w:id="15"/>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61"/>
        <w:gridCol w:w="2158"/>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建设项目名称</w:t>
            </w:r>
          </w:p>
        </w:tc>
        <w:tc>
          <w:tcPr>
            <w:tcW w:w="7009" w:type="dxa"/>
            <w:gridSpan w:val="3"/>
            <w:noWrap w:val="0"/>
            <w:vAlign w:val="center"/>
          </w:tcPr>
          <w:p>
            <w:pPr>
              <w:adjustRightInd w:val="0"/>
              <w:snapToGrid w:val="0"/>
              <w:jc w:val="center"/>
              <w:rPr>
                <w:rFonts w:ascii="宋体" w:hAnsi="宋体" w:cs="宋体"/>
                <w:szCs w:val="21"/>
              </w:rPr>
            </w:pPr>
            <w:r>
              <w:rPr>
                <w:rFonts w:hint="eastAsia" w:ascii="宋体" w:hAnsi="宋体" w:cs="宋体"/>
                <w:szCs w:val="21"/>
                <w:u w:val="single"/>
              </w:rPr>
              <w:t>临湘市恒太加油站扩建项目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hint="eastAsia"/>
              </w:rPr>
            </w:pPr>
            <w:r>
              <w:rPr>
                <w:rFonts w:hint="eastAsia"/>
              </w:rPr>
              <w:t>项目代码</w:t>
            </w:r>
          </w:p>
        </w:tc>
        <w:tc>
          <w:tcPr>
            <w:tcW w:w="7009" w:type="dxa"/>
            <w:gridSpan w:val="3"/>
            <w:noWrap w:val="0"/>
            <w:vAlign w:val="center"/>
          </w:tcPr>
          <w:p>
            <w:pPr>
              <w:adjustRightInd w:val="0"/>
              <w:snapToGrid w:val="0"/>
              <w:jc w:val="center"/>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建设单位联系人</w:t>
            </w:r>
          </w:p>
        </w:tc>
        <w:tc>
          <w:tcPr>
            <w:tcW w:w="215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李利香</w:t>
            </w:r>
          </w:p>
        </w:tc>
        <w:tc>
          <w:tcPr>
            <w:tcW w:w="2212" w:type="dxa"/>
            <w:noWrap w:val="0"/>
            <w:vAlign w:val="center"/>
          </w:tcPr>
          <w:p>
            <w:pPr>
              <w:adjustRightInd w:val="0"/>
              <w:snapToGrid w:val="0"/>
              <w:jc w:val="center"/>
              <w:rPr>
                <w:rFonts w:ascii="宋体" w:hAnsi="宋体" w:cs="宋体"/>
                <w:szCs w:val="21"/>
              </w:rPr>
            </w:pPr>
            <w:r>
              <w:rPr>
                <w:rFonts w:hint="eastAsia" w:ascii="宋体" w:hAnsi="宋体" w:cs="宋体"/>
                <w:szCs w:val="21"/>
              </w:rPr>
              <w:t>联系方式</w:t>
            </w:r>
          </w:p>
        </w:tc>
        <w:tc>
          <w:tcPr>
            <w:tcW w:w="2639" w:type="dxa"/>
            <w:noWrap w:val="0"/>
            <w:vAlign w:val="center"/>
          </w:tcPr>
          <w:p>
            <w:pPr>
              <w:adjustRightInd w:val="0"/>
              <w:snapToGrid w:val="0"/>
              <w:jc w:val="center"/>
              <w:rPr>
                <w:rFonts w:ascii="宋体" w:hAnsi="宋体" w:cs="宋体"/>
                <w:szCs w:val="21"/>
              </w:rPr>
            </w:pPr>
            <w:r>
              <w:rPr>
                <w:rFonts w:hint="eastAsia"/>
              </w:rPr>
              <w:t>13873099012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建设地点</w:t>
            </w:r>
          </w:p>
        </w:tc>
        <w:tc>
          <w:tcPr>
            <w:tcW w:w="7009" w:type="dxa"/>
            <w:gridSpan w:val="3"/>
            <w:noWrap w:val="0"/>
            <w:vAlign w:val="center"/>
          </w:tcPr>
          <w:p>
            <w:pPr>
              <w:adjustRightInd w:val="0"/>
              <w:snapToGrid w:val="0"/>
              <w:jc w:val="center"/>
              <w:rPr>
                <w:rFonts w:ascii="宋体" w:hAnsi="宋体" w:cs="宋体"/>
                <w:szCs w:val="21"/>
              </w:rPr>
            </w:pPr>
            <w:r>
              <w:rPr>
                <w:rFonts w:hint="eastAsia" w:ascii="宋体" w:hAnsi="宋体" w:cs="宋体"/>
                <w:szCs w:val="21"/>
                <w:u w:val="single"/>
              </w:rPr>
              <w:t>湖南</w:t>
            </w:r>
            <w:r>
              <w:rPr>
                <w:rFonts w:hint="eastAsia" w:ascii="宋体" w:hAnsi="宋体" w:cs="宋体"/>
                <w:szCs w:val="21"/>
              </w:rPr>
              <w:t>省</w:t>
            </w:r>
            <w:r>
              <w:rPr>
                <w:rFonts w:hint="eastAsia" w:ascii="宋体" w:hAnsi="宋体" w:cs="宋体"/>
                <w:szCs w:val="21"/>
                <w:u w:val="single"/>
              </w:rPr>
              <w:t>岳阳</w:t>
            </w:r>
            <w:r>
              <w:rPr>
                <w:rFonts w:hint="eastAsia" w:ascii="宋体" w:hAnsi="宋体" w:cs="宋体"/>
                <w:szCs w:val="21"/>
              </w:rPr>
              <w:t>市</w:t>
            </w:r>
            <w:r>
              <w:rPr>
                <w:rFonts w:hint="eastAsia" w:ascii="宋体" w:hAnsi="宋体" w:cs="宋体"/>
                <w:szCs w:val="21"/>
                <w:u w:val="single"/>
              </w:rPr>
              <w:t>临湘</w:t>
            </w:r>
            <w:r>
              <w:rPr>
                <w:rFonts w:hint="eastAsia" w:ascii="宋体" w:hAnsi="宋体" w:cs="宋体"/>
                <w:szCs w:val="21"/>
              </w:rPr>
              <w:t>市</w:t>
            </w:r>
            <w:r>
              <w:rPr>
                <w:rFonts w:hint="eastAsia" w:ascii="宋体" w:hAnsi="宋体" w:cs="宋体"/>
                <w:szCs w:val="21"/>
                <w:u w:val="single"/>
              </w:rPr>
              <w:t>长安</w:t>
            </w:r>
            <w:r>
              <w:rPr>
                <w:rFonts w:hint="eastAsia" w:ascii="宋体" w:hAnsi="宋体" w:cs="宋体"/>
                <w:szCs w:val="21"/>
              </w:rPr>
              <w:t>街道</w:t>
            </w:r>
            <w:r>
              <w:rPr>
                <w:rFonts w:hint="eastAsia" w:ascii="宋体" w:hAnsi="宋体" w:cs="宋体"/>
                <w:szCs w:val="21"/>
                <w:u w:val="single"/>
              </w:rPr>
              <w:t>水井</w:t>
            </w:r>
            <w:r>
              <w:rPr>
                <w:rFonts w:hint="eastAsia" w:ascii="宋体" w:hAnsi="宋体" w:cs="宋体"/>
                <w:szCs w:val="21"/>
              </w:rPr>
              <w:t>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地理坐标</w:t>
            </w:r>
          </w:p>
        </w:tc>
        <w:tc>
          <w:tcPr>
            <w:tcW w:w="7009" w:type="dxa"/>
            <w:gridSpan w:val="3"/>
            <w:noWrap w:val="0"/>
            <w:vAlign w:val="center"/>
          </w:tcPr>
          <w:p>
            <w:pPr>
              <w:jc w:val="center"/>
              <w:rPr>
                <w:rFonts w:hint="eastAsia" w:ascii="宋体" w:hAnsi="宋体" w:cs="宋体"/>
                <w:szCs w:val="21"/>
              </w:rPr>
            </w:pPr>
            <w:r>
              <w:rPr>
                <w:rFonts w:hint="eastAsia" w:ascii="宋体" w:hAnsi="宋体" w:cs="宋体"/>
                <w:szCs w:val="21"/>
              </w:rPr>
              <w:t>（</w:t>
            </w:r>
            <w:r>
              <w:rPr>
                <w:rFonts w:ascii="宋体" w:hAnsi="宋体" w:cs="宋体"/>
                <w:szCs w:val="21"/>
                <w:u w:val="single"/>
              </w:rPr>
              <w:t xml:space="preserve"> </w:t>
            </w:r>
            <w:r>
              <w:rPr>
                <w:rFonts w:hint="eastAsia" w:ascii="宋体" w:hAnsi="宋体" w:cs="宋体"/>
                <w:szCs w:val="21"/>
                <w:u w:val="single"/>
              </w:rPr>
              <w:t>113</w:t>
            </w:r>
            <w:r>
              <w:rPr>
                <w:rFonts w:ascii="宋体" w:hAnsi="宋体" w:cs="宋体"/>
                <w:szCs w:val="21"/>
                <w:u w:val="single"/>
              </w:rPr>
              <w:t xml:space="preserve"> </w:t>
            </w:r>
            <w:r>
              <w:rPr>
                <w:rFonts w:hint="eastAsia" w:ascii="宋体" w:hAnsi="宋体" w:cs="宋体"/>
                <w:szCs w:val="21"/>
              </w:rPr>
              <w:t>度</w:t>
            </w:r>
            <w:r>
              <w:rPr>
                <w:rFonts w:ascii="宋体" w:hAnsi="宋体" w:cs="宋体"/>
                <w:szCs w:val="21"/>
                <w:u w:val="single"/>
              </w:rPr>
              <w:t xml:space="preserve"> </w:t>
            </w:r>
            <w:r>
              <w:rPr>
                <w:rFonts w:hint="eastAsia" w:ascii="宋体" w:hAnsi="宋体" w:cs="宋体"/>
                <w:szCs w:val="21"/>
                <w:u w:val="single"/>
              </w:rPr>
              <w:t>25</w:t>
            </w:r>
            <w:r>
              <w:rPr>
                <w:rFonts w:ascii="宋体" w:hAnsi="宋体" w:cs="宋体"/>
                <w:szCs w:val="21"/>
                <w:u w:val="single"/>
              </w:rPr>
              <w:t xml:space="preserve"> </w:t>
            </w:r>
            <w:r>
              <w:rPr>
                <w:rFonts w:hint="eastAsia" w:ascii="宋体" w:hAnsi="宋体" w:cs="宋体"/>
                <w:szCs w:val="21"/>
              </w:rPr>
              <w:t>分</w:t>
            </w:r>
            <w:r>
              <w:rPr>
                <w:rFonts w:ascii="宋体" w:hAnsi="宋体" w:cs="宋体"/>
                <w:szCs w:val="21"/>
                <w:u w:val="single"/>
              </w:rPr>
              <w:t xml:space="preserve"> </w:t>
            </w:r>
            <w:r>
              <w:rPr>
                <w:rFonts w:hint="eastAsia" w:ascii="宋体" w:hAnsi="宋体" w:cs="宋体"/>
                <w:szCs w:val="21"/>
                <w:u w:val="single"/>
              </w:rPr>
              <w:t>26.621</w:t>
            </w:r>
            <w:r>
              <w:rPr>
                <w:rFonts w:ascii="宋体" w:hAnsi="宋体" w:cs="宋体"/>
                <w:szCs w:val="21"/>
                <w:u w:val="single"/>
              </w:rPr>
              <w:t xml:space="preserve"> </w:t>
            </w:r>
            <w:r>
              <w:rPr>
                <w:rFonts w:hint="eastAsia" w:ascii="宋体" w:hAnsi="宋体" w:cs="宋体"/>
                <w:szCs w:val="21"/>
              </w:rPr>
              <w:t>秒，</w:t>
            </w:r>
            <w:r>
              <w:rPr>
                <w:rFonts w:ascii="宋体" w:hAnsi="宋体" w:cs="宋体"/>
                <w:szCs w:val="21"/>
                <w:u w:val="single"/>
              </w:rPr>
              <w:t xml:space="preserve"> </w:t>
            </w:r>
            <w:r>
              <w:rPr>
                <w:rFonts w:hint="eastAsia" w:ascii="宋体" w:hAnsi="宋体" w:cs="宋体"/>
                <w:szCs w:val="21"/>
                <w:u w:val="single"/>
              </w:rPr>
              <w:t>29</w:t>
            </w:r>
            <w:r>
              <w:rPr>
                <w:rFonts w:ascii="宋体" w:hAnsi="宋体" w:cs="宋体"/>
                <w:szCs w:val="21"/>
                <w:u w:val="single"/>
              </w:rPr>
              <w:t xml:space="preserve"> </w:t>
            </w:r>
            <w:r>
              <w:rPr>
                <w:rFonts w:hint="eastAsia" w:ascii="宋体" w:hAnsi="宋体" w:cs="宋体"/>
                <w:szCs w:val="21"/>
              </w:rPr>
              <w:t>度</w:t>
            </w:r>
            <w:r>
              <w:rPr>
                <w:rFonts w:ascii="宋体" w:hAnsi="宋体" w:cs="宋体"/>
                <w:szCs w:val="21"/>
                <w:u w:val="single"/>
              </w:rPr>
              <w:t xml:space="preserve"> </w:t>
            </w:r>
            <w:r>
              <w:rPr>
                <w:rFonts w:hint="eastAsia" w:ascii="宋体" w:hAnsi="宋体" w:cs="宋体"/>
                <w:szCs w:val="21"/>
                <w:u w:val="single"/>
              </w:rPr>
              <w:t>30</w:t>
            </w:r>
            <w:r>
              <w:rPr>
                <w:rFonts w:hint="eastAsia" w:ascii="宋体" w:hAnsi="宋体" w:cs="宋体"/>
                <w:szCs w:val="21"/>
              </w:rPr>
              <w:t>分</w:t>
            </w:r>
            <w:r>
              <w:rPr>
                <w:rFonts w:ascii="宋体" w:hAnsi="宋体" w:cs="宋体"/>
                <w:szCs w:val="21"/>
                <w:u w:val="single"/>
              </w:rPr>
              <w:t xml:space="preserve"> </w:t>
            </w:r>
            <w:r>
              <w:rPr>
                <w:rFonts w:hint="eastAsia" w:ascii="宋体" w:hAnsi="宋体" w:cs="宋体"/>
                <w:szCs w:val="21"/>
                <w:u w:val="single"/>
              </w:rPr>
              <w:t>37.084</w:t>
            </w:r>
            <w:r>
              <w:rPr>
                <w:rFonts w:ascii="宋体" w:hAnsi="宋体" w:cs="宋体"/>
                <w:szCs w:val="21"/>
                <w:u w:val="single"/>
              </w:rPr>
              <w:t xml:space="preserve"> </w:t>
            </w:r>
            <w:r>
              <w:rPr>
                <w:rFonts w:hint="eastAsia" w:ascii="宋体" w:hAnsi="宋体" w:cs="宋体"/>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61"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国民经济</w:t>
            </w:r>
          </w:p>
          <w:p>
            <w:pPr>
              <w:adjustRightInd w:val="0"/>
              <w:snapToGrid w:val="0"/>
              <w:jc w:val="center"/>
              <w:rPr>
                <w:rFonts w:ascii="宋体" w:hAnsi="宋体" w:cs="宋体"/>
                <w:szCs w:val="21"/>
              </w:rPr>
            </w:pPr>
            <w:r>
              <w:rPr>
                <w:rFonts w:hint="eastAsia" w:ascii="宋体" w:hAnsi="宋体" w:cs="宋体"/>
                <w:szCs w:val="21"/>
              </w:rPr>
              <w:t>行业类别</w:t>
            </w:r>
          </w:p>
        </w:tc>
        <w:tc>
          <w:tcPr>
            <w:tcW w:w="2158" w:type="dxa"/>
            <w:noWrap w:val="0"/>
            <w:vAlign w:val="center"/>
          </w:tcPr>
          <w:p>
            <w:pPr>
              <w:adjustRightInd w:val="0"/>
              <w:snapToGrid w:val="0"/>
              <w:jc w:val="center"/>
              <w:rPr>
                <w:rFonts w:ascii="宋体" w:hAnsi="宋体" w:cs="宋体"/>
                <w:szCs w:val="21"/>
              </w:rPr>
            </w:pPr>
            <w:r>
              <w:rPr>
                <w:rFonts w:hint="eastAsia" w:ascii="宋体" w:hAnsi="宋体" w:cs="宋体"/>
                <w:szCs w:val="21"/>
                <w:u w:val="single"/>
              </w:rPr>
              <w:t>F5265机动车燃油零售</w:t>
            </w:r>
          </w:p>
        </w:tc>
        <w:tc>
          <w:tcPr>
            <w:tcW w:w="2212" w:type="dxa"/>
            <w:noWrap w:val="0"/>
            <w:vAlign w:val="center"/>
          </w:tcPr>
          <w:p>
            <w:pPr>
              <w:adjustRightInd w:val="0"/>
              <w:snapToGrid w:val="0"/>
              <w:jc w:val="center"/>
              <w:rPr>
                <w:rFonts w:ascii="宋体" w:hAnsi="宋体" w:cs="宋体"/>
                <w:szCs w:val="21"/>
              </w:rPr>
            </w:pPr>
            <w:bookmarkStart w:id="16" w:name="_Hlk49843745"/>
            <w:r>
              <w:rPr>
                <w:rFonts w:hint="eastAsia" w:ascii="宋体" w:hAnsi="宋体" w:cs="宋体"/>
                <w:szCs w:val="21"/>
              </w:rPr>
              <w:t>建设项目</w:t>
            </w:r>
          </w:p>
          <w:p>
            <w:pPr>
              <w:adjustRightInd w:val="0"/>
              <w:snapToGrid w:val="0"/>
              <w:jc w:val="center"/>
              <w:rPr>
                <w:rFonts w:ascii="宋体" w:hAnsi="宋体" w:cs="宋体"/>
                <w:szCs w:val="21"/>
              </w:rPr>
            </w:pPr>
            <w:r>
              <w:rPr>
                <w:rFonts w:hint="eastAsia" w:ascii="宋体" w:hAnsi="宋体" w:cs="宋体"/>
                <w:szCs w:val="21"/>
              </w:rPr>
              <w:t>行业类别</w:t>
            </w:r>
            <w:bookmarkEnd w:id="16"/>
          </w:p>
        </w:tc>
        <w:tc>
          <w:tcPr>
            <w:tcW w:w="2639" w:type="dxa"/>
            <w:noWrap w:val="0"/>
            <w:vAlign w:val="center"/>
          </w:tcPr>
          <w:p>
            <w:pPr>
              <w:adjustRightInd w:val="0"/>
              <w:snapToGrid w:val="0"/>
              <w:rPr>
                <w:rFonts w:ascii="宋体" w:hAnsi="宋体" w:cs="宋体"/>
                <w:szCs w:val="21"/>
              </w:rPr>
            </w:pPr>
            <w:r>
              <w:rPr>
                <w:rFonts w:hint="eastAsia" w:ascii="宋体" w:hAnsi="宋体" w:cs="宋体"/>
                <w:color w:val="0000FF"/>
                <w:szCs w:val="21"/>
              </w:rPr>
              <w:t>第五</w:t>
            </w:r>
            <w:r>
              <w:rPr>
                <w:rFonts w:hint="eastAsia" w:ascii="宋体" w:hAnsi="宋体" w:eastAsia="宋体" w:cs="宋体"/>
                <w:color w:val="0000FF"/>
                <w:szCs w:val="21"/>
              </w:rPr>
              <w:t>十类 社会事业与服务业 119加油、加气站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建设性质</w:t>
            </w:r>
          </w:p>
        </w:tc>
        <w:tc>
          <w:tcPr>
            <w:tcW w:w="2158" w:type="dxa"/>
            <w:noWrap w:val="0"/>
            <w:vAlign w:val="center"/>
          </w:tcPr>
          <w:p>
            <w:pPr>
              <w:jc w:val="left"/>
              <w:rPr>
                <w:rFonts w:ascii="宋体" w:hAnsi="宋体" w:cs="宋体"/>
                <w:szCs w:val="21"/>
              </w:rPr>
            </w:pPr>
            <w:r>
              <w:rPr>
                <w:rFonts w:hint="eastAsia" w:ascii="宋体" w:hAnsi="宋体" w:cs="宋体"/>
                <w:szCs w:val="21"/>
              </w:rPr>
              <w:t>□新建（迁建）</w:t>
            </w:r>
          </w:p>
          <w:p>
            <w:pPr>
              <w:jc w:val="left"/>
              <w:rPr>
                <w:rFonts w:hint="eastAsia" w:ascii="宋体" w:hAnsi="宋体" w:cs="宋体"/>
                <w:szCs w:val="21"/>
              </w:rPr>
            </w:pPr>
            <w:r>
              <w:rPr>
                <w:rFonts w:hint="eastAsia" w:ascii="宋体" w:hAnsi="宋体" w:cs="宋体"/>
                <w:szCs w:val="21"/>
              </w:rPr>
              <w:t>□改建</w:t>
            </w:r>
          </w:p>
          <w:p>
            <w:pPr>
              <w:jc w:val="left"/>
              <w:rPr>
                <w:rFonts w:hint="eastAsia" w:ascii="宋体" w:hAnsi="宋体" w:cs="宋体"/>
                <w:szCs w:val="21"/>
              </w:rPr>
            </w:pPr>
            <w:r>
              <w:rPr>
                <w:rFonts w:hint="eastAsia" w:ascii="宋体" w:hAnsi="宋体" w:cs="宋体"/>
                <w:szCs w:val="21"/>
              </w:rPr>
              <w:t>☑扩建</w:t>
            </w:r>
          </w:p>
          <w:p>
            <w:pPr>
              <w:jc w:val="left"/>
              <w:rPr>
                <w:rFonts w:ascii="宋体" w:hAnsi="宋体" w:cs="宋体"/>
                <w:szCs w:val="21"/>
              </w:rPr>
            </w:pPr>
            <w:r>
              <w:rPr>
                <w:rFonts w:hint="eastAsia" w:ascii="宋体" w:hAnsi="宋体" w:cs="宋体"/>
                <w:szCs w:val="21"/>
              </w:rPr>
              <w:t>□技术改造</w:t>
            </w:r>
          </w:p>
        </w:tc>
        <w:tc>
          <w:tcPr>
            <w:tcW w:w="2212"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建设项目</w:t>
            </w:r>
          </w:p>
          <w:p>
            <w:pPr>
              <w:adjustRightInd w:val="0"/>
              <w:snapToGrid w:val="0"/>
              <w:jc w:val="center"/>
              <w:rPr>
                <w:rFonts w:ascii="宋体" w:hAnsi="宋体" w:cs="宋体"/>
                <w:szCs w:val="21"/>
              </w:rPr>
            </w:pPr>
            <w:r>
              <w:rPr>
                <w:rFonts w:hint="eastAsia" w:ascii="宋体" w:hAnsi="宋体" w:cs="宋体"/>
                <w:szCs w:val="21"/>
              </w:rPr>
              <w:t>申报情形</w:t>
            </w:r>
          </w:p>
        </w:tc>
        <w:tc>
          <w:tcPr>
            <w:tcW w:w="2639" w:type="dxa"/>
            <w:noWrap w:val="0"/>
            <w:vAlign w:val="center"/>
          </w:tcPr>
          <w:p>
            <w:pPr>
              <w:jc w:val="left"/>
              <w:rPr>
                <w:rFonts w:ascii="宋体" w:hAnsi="宋体" w:cs="宋体"/>
                <w:szCs w:val="21"/>
              </w:rPr>
            </w:pPr>
            <w:r>
              <w:rPr>
                <w:rFonts w:hint="eastAsia" w:ascii="宋体" w:hAnsi="宋体" w:cs="宋体"/>
                <w:szCs w:val="21"/>
              </w:rPr>
              <w:t>☑首次申报项目</w:t>
            </w:r>
            <w:r>
              <w:rPr>
                <w:rFonts w:ascii="宋体" w:hAnsi="宋体" w:cs="宋体"/>
                <w:szCs w:val="21"/>
              </w:rPr>
              <w:t xml:space="preserve">             </w:t>
            </w:r>
          </w:p>
          <w:p>
            <w:pPr>
              <w:jc w:val="left"/>
              <w:rPr>
                <w:rFonts w:ascii="宋体" w:hAnsi="宋体" w:cs="宋体"/>
                <w:szCs w:val="21"/>
              </w:rPr>
            </w:pPr>
            <w:r>
              <w:rPr>
                <w:rFonts w:hint="eastAsia" w:ascii="宋体" w:hAnsi="宋体" w:cs="宋体"/>
                <w:szCs w:val="21"/>
              </w:rPr>
              <w:t>□不予批准后再次申报项目</w:t>
            </w:r>
          </w:p>
          <w:p>
            <w:pPr>
              <w:jc w:val="left"/>
              <w:rPr>
                <w:rFonts w:ascii="宋体" w:hAnsi="宋体" w:cs="宋体"/>
                <w:szCs w:val="21"/>
              </w:rPr>
            </w:pPr>
            <w:r>
              <w:rPr>
                <w:rFonts w:hint="eastAsia" w:ascii="宋体" w:hAnsi="宋体" w:cs="宋体"/>
                <w:szCs w:val="21"/>
              </w:rPr>
              <w:t>□超五年重新审核项目</w:t>
            </w:r>
            <w:r>
              <w:rPr>
                <w:rFonts w:ascii="宋体" w:hAnsi="宋体" w:cs="宋体"/>
                <w:szCs w:val="21"/>
              </w:rPr>
              <w:t xml:space="preserve">     </w:t>
            </w:r>
          </w:p>
          <w:p>
            <w:pPr>
              <w:jc w:val="left"/>
              <w:rPr>
                <w:rFonts w:ascii="宋体" w:hAnsi="宋体" w:cs="宋体"/>
                <w:szCs w:val="21"/>
              </w:rPr>
            </w:pPr>
            <w:r>
              <w:rPr>
                <w:rFonts w:hint="eastAsia" w:ascii="宋体" w:hAnsi="宋体" w:cs="宋体"/>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61"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项目审批（核准</w:t>
            </w:r>
            <w:r>
              <w:rPr>
                <w:rFonts w:ascii="宋体" w:hAnsi="宋体" w:cs="宋体"/>
                <w:szCs w:val="21"/>
              </w:rPr>
              <w:t>/</w:t>
            </w:r>
          </w:p>
          <w:p>
            <w:pPr>
              <w:adjustRightInd w:val="0"/>
              <w:snapToGrid w:val="0"/>
              <w:jc w:val="center"/>
              <w:rPr>
                <w:rFonts w:ascii="宋体" w:hAnsi="宋体" w:cs="宋体"/>
                <w:szCs w:val="21"/>
              </w:rPr>
            </w:pPr>
            <w:r>
              <w:rPr>
                <w:rFonts w:hint="eastAsia" w:ascii="宋体" w:hAnsi="宋体" w:cs="宋体"/>
                <w:szCs w:val="21"/>
              </w:rPr>
              <w:t>备案）部门（选填）</w:t>
            </w:r>
          </w:p>
        </w:tc>
        <w:tc>
          <w:tcPr>
            <w:tcW w:w="2158"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color w:val="0000FF"/>
                <w:szCs w:val="21"/>
                <w:lang w:val="en-US" w:eastAsia="zh-CN"/>
              </w:rPr>
              <w:t>临湘市商务粮食局</w:t>
            </w:r>
          </w:p>
        </w:tc>
        <w:tc>
          <w:tcPr>
            <w:tcW w:w="2212"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项目审批（核准</w:t>
            </w:r>
            <w:r>
              <w:rPr>
                <w:rFonts w:ascii="宋体" w:hAnsi="宋体" w:cs="宋体"/>
                <w:szCs w:val="21"/>
              </w:rPr>
              <w:t>/</w:t>
            </w:r>
          </w:p>
          <w:p>
            <w:pPr>
              <w:adjustRightInd w:val="0"/>
              <w:snapToGrid w:val="0"/>
              <w:jc w:val="center"/>
              <w:rPr>
                <w:rFonts w:hint="eastAsia" w:ascii="宋体" w:hAnsi="宋体" w:cs="宋体"/>
                <w:szCs w:val="21"/>
              </w:rPr>
            </w:pPr>
            <w:r>
              <w:rPr>
                <w:rFonts w:hint="eastAsia" w:ascii="宋体" w:hAnsi="宋体" w:cs="宋体"/>
                <w:szCs w:val="21"/>
              </w:rPr>
              <w:t>备案）文号（选填）</w:t>
            </w:r>
          </w:p>
        </w:tc>
        <w:tc>
          <w:tcPr>
            <w:tcW w:w="2639" w:type="dxa"/>
            <w:noWrap w:val="0"/>
            <w:vAlign w:val="center"/>
          </w:tcPr>
          <w:p>
            <w:pPr>
              <w:adjustRightInd w:val="0"/>
              <w:snapToGrid w:val="0"/>
              <w:jc w:val="center"/>
              <w:rPr>
                <w:rFonts w:ascii="宋体" w:hAnsi="宋体" w:cs="宋体"/>
                <w:szCs w:val="21"/>
              </w:rPr>
            </w:pPr>
            <w:r>
              <w:rPr>
                <w:rFonts w:hint="eastAsia" w:ascii="宋体" w:hAnsi="宋体" w:cs="宋体"/>
                <w:color w:val="0000FF"/>
                <w:szCs w:val="21"/>
                <w:lang w:eastAsia="zh-CN"/>
              </w:rPr>
              <w:t>湖南省加油站扩建申报表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总投资（万元）</w:t>
            </w:r>
          </w:p>
        </w:tc>
        <w:tc>
          <w:tcPr>
            <w:tcW w:w="2158" w:type="dxa"/>
            <w:noWrap w:val="0"/>
            <w:vAlign w:val="center"/>
          </w:tcPr>
          <w:p>
            <w:pPr>
              <w:adjustRightInd w:val="0"/>
              <w:snapToGrid w:val="0"/>
              <w:jc w:val="center"/>
              <w:rPr>
                <w:rFonts w:ascii="宋体" w:hAnsi="宋体" w:cs="宋体"/>
                <w:szCs w:val="21"/>
              </w:rPr>
            </w:pPr>
            <w:r>
              <w:rPr>
                <w:rFonts w:hint="eastAsia" w:ascii="宋体" w:hAnsi="宋体" w:cs="宋体"/>
                <w:szCs w:val="21"/>
              </w:rPr>
              <w:t>360</w:t>
            </w:r>
          </w:p>
        </w:tc>
        <w:tc>
          <w:tcPr>
            <w:tcW w:w="2212"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环保投资（万元）</w:t>
            </w:r>
          </w:p>
        </w:tc>
        <w:tc>
          <w:tcPr>
            <w:tcW w:w="2639" w:type="dxa"/>
            <w:noWrap w:val="0"/>
            <w:vAlign w:val="center"/>
          </w:tcPr>
          <w:p>
            <w:pPr>
              <w:adjustRightInd w:val="0"/>
              <w:snapToGrid w:val="0"/>
              <w:jc w:val="center"/>
              <w:rPr>
                <w:rFonts w:ascii="宋体" w:hAnsi="宋体" w:cs="宋体"/>
                <w:szCs w:val="21"/>
              </w:rPr>
            </w:pPr>
            <w:r>
              <w:rPr>
                <w:rFonts w:hint="eastAsia" w:ascii="宋体" w:hAnsi="宋体" w:cs="宋体"/>
                <w:szCs w:val="21"/>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环保投资占比（</w:t>
            </w:r>
            <w:r>
              <w:rPr>
                <w:rFonts w:ascii="宋体" w:hAnsi="宋体" w:cs="宋体"/>
                <w:szCs w:val="21"/>
              </w:rPr>
              <w:t>%</w:t>
            </w:r>
            <w:r>
              <w:rPr>
                <w:rFonts w:hint="eastAsia" w:ascii="宋体" w:hAnsi="宋体" w:cs="宋体"/>
                <w:szCs w:val="21"/>
              </w:rPr>
              <w:t>）</w:t>
            </w:r>
          </w:p>
        </w:tc>
        <w:tc>
          <w:tcPr>
            <w:tcW w:w="2158" w:type="dxa"/>
            <w:noWrap w:val="0"/>
            <w:vAlign w:val="center"/>
          </w:tcPr>
          <w:p>
            <w:pPr>
              <w:adjustRightInd w:val="0"/>
              <w:snapToGrid w:val="0"/>
              <w:jc w:val="center"/>
              <w:rPr>
                <w:rFonts w:ascii="宋体" w:hAnsi="宋体" w:cs="宋体"/>
                <w:szCs w:val="21"/>
              </w:rPr>
            </w:pPr>
            <w:r>
              <w:rPr>
                <w:rFonts w:hint="eastAsia" w:ascii="宋体" w:hAnsi="宋体" w:cs="宋体"/>
                <w:szCs w:val="21"/>
              </w:rPr>
              <w:t>13.89</w:t>
            </w:r>
          </w:p>
        </w:tc>
        <w:tc>
          <w:tcPr>
            <w:tcW w:w="2212" w:type="dxa"/>
            <w:noWrap w:val="0"/>
            <w:tcMar>
              <w:top w:w="16" w:type="dxa"/>
              <w:left w:w="16" w:type="dxa"/>
              <w:right w:w="16" w:type="dxa"/>
            </w:tcMar>
            <w:vAlign w:val="center"/>
          </w:tcPr>
          <w:p>
            <w:pPr>
              <w:adjustRightInd w:val="0"/>
              <w:snapToGrid w:val="0"/>
              <w:jc w:val="center"/>
              <w:rPr>
                <w:rFonts w:ascii="宋体" w:hAnsi="宋体" w:cs="宋体"/>
                <w:szCs w:val="21"/>
              </w:rPr>
            </w:pPr>
            <w:r>
              <w:rPr>
                <w:rFonts w:hint="eastAsia" w:ascii="宋体" w:hAnsi="宋体" w:cs="宋体"/>
                <w:szCs w:val="21"/>
              </w:rPr>
              <w:t>施工工期</w:t>
            </w:r>
          </w:p>
        </w:tc>
        <w:tc>
          <w:tcPr>
            <w:tcW w:w="2639"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1" w:type="dxa"/>
            <w:noWrap w:val="0"/>
            <w:tcMar>
              <w:top w:w="16" w:type="dxa"/>
              <w:left w:w="16" w:type="dxa"/>
              <w:right w:w="16" w:type="dxa"/>
            </w:tcMar>
            <w:vAlign w:val="center"/>
          </w:tcPr>
          <w:p>
            <w:pPr>
              <w:adjustRightInd w:val="0"/>
              <w:snapToGrid w:val="0"/>
              <w:jc w:val="center"/>
              <w:rPr>
                <w:rFonts w:hint="eastAsia" w:ascii="宋体" w:hAnsi="宋体" w:cs="宋体"/>
                <w:szCs w:val="21"/>
              </w:rPr>
            </w:pPr>
            <w:r>
              <w:rPr>
                <w:rFonts w:hint="eastAsia" w:ascii="宋体" w:hAnsi="宋体" w:cs="宋体"/>
                <w:szCs w:val="21"/>
              </w:rPr>
              <w:t>是否开工建设</w:t>
            </w:r>
          </w:p>
        </w:tc>
        <w:tc>
          <w:tcPr>
            <w:tcW w:w="2158" w:type="dxa"/>
            <w:noWrap w:val="0"/>
            <w:vAlign w:val="center"/>
          </w:tcPr>
          <w:p>
            <w:pPr>
              <w:adjustRightInd w:val="0"/>
              <w:snapToGrid w:val="0"/>
              <w:rPr>
                <w:rFonts w:ascii="宋体" w:hAnsi="宋体" w:cs="宋体"/>
                <w:szCs w:val="21"/>
              </w:rPr>
            </w:pPr>
            <w:r>
              <w:rPr>
                <w:rFonts w:hint="eastAsia" w:ascii="宋体" w:hAnsi="宋体" w:cs="宋体"/>
                <w:szCs w:val="21"/>
              </w:rPr>
              <w:t>☑否</w:t>
            </w:r>
          </w:p>
          <w:p>
            <w:pPr>
              <w:adjustRightInd w:val="0"/>
              <w:snapToGrid w:val="0"/>
              <w:rPr>
                <w:rFonts w:ascii="宋体" w:hAnsi="宋体" w:cs="宋体"/>
                <w:szCs w:val="21"/>
              </w:rPr>
            </w:pPr>
            <w:r>
              <w:rPr>
                <w:rFonts w:hint="eastAsia" w:ascii="宋体" w:hAnsi="宋体" w:cs="宋体"/>
                <w:szCs w:val="21"/>
              </w:rPr>
              <w:t>□是：</w:t>
            </w:r>
            <w:r>
              <w:rPr>
                <w:rFonts w:hint="eastAsia" w:ascii="宋体" w:hAnsi="宋体" w:cs="宋体"/>
                <w:szCs w:val="21"/>
                <w:u w:val="single"/>
              </w:rPr>
              <w:t xml:space="preserve">             </w:t>
            </w:r>
          </w:p>
        </w:tc>
        <w:tc>
          <w:tcPr>
            <w:tcW w:w="2212" w:type="dxa"/>
            <w:noWrap w:val="0"/>
            <w:tcMar>
              <w:top w:w="16" w:type="dxa"/>
              <w:left w:w="16" w:type="dxa"/>
              <w:right w:w="16" w:type="dxa"/>
            </w:tcMar>
            <w:vAlign w:val="center"/>
          </w:tcPr>
          <w:p>
            <w:pPr>
              <w:adjustRightInd w:val="0"/>
              <w:snapToGrid w:val="0"/>
              <w:jc w:val="center"/>
              <w:rPr>
                <w:rFonts w:ascii="宋体" w:hAnsi="宋体" w:cs="宋体"/>
                <w:spacing w:val="-6"/>
                <w:szCs w:val="21"/>
              </w:rPr>
            </w:pPr>
            <w:r>
              <w:rPr>
                <w:rFonts w:hint="eastAsia" w:ascii="宋体" w:hAnsi="宋体" w:cs="宋体"/>
                <w:spacing w:val="-6"/>
                <w:szCs w:val="21"/>
              </w:rPr>
              <w:t>用地（用海）</w:t>
            </w:r>
          </w:p>
          <w:p>
            <w:pPr>
              <w:adjustRightInd w:val="0"/>
              <w:snapToGrid w:val="0"/>
              <w:jc w:val="center"/>
              <w:rPr>
                <w:rFonts w:hint="eastAsia" w:ascii="宋体" w:hAnsi="宋体" w:cs="宋体"/>
                <w:szCs w:val="21"/>
              </w:rPr>
            </w:pPr>
            <w:r>
              <w:rPr>
                <w:rFonts w:hint="eastAsia" w:ascii="宋体" w:hAnsi="宋体" w:cs="宋体"/>
                <w:spacing w:val="-6"/>
                <w:szCs w:val="21"/>
              </w:rPr>
              <w:t>面积（</w:t>
            </w:r>
            <w:r>
              <w:rPr>
                <w:rFonts w:ascii="宋体" w:hAnsi="宋体" w:cs="宋体"/>
                <w:spacing w:val="-6"/>
                <w:szCs w:val="21"/>
              </w:rPr>
              <w:t>m</w:t>
            </w:r>
            <w:r>
              <w:rPr>
                <w:rFonts w:ascii="宋体" w:hAnsi="宋体" w:cs="宋体"/>
                <w:spacing w:val="-6"/>
                <w:szCs w:val="21"/>
                <w:vertAlign w:val="superscript"/>
              </w:rPr>
              <w:t>2</w:t>
            </w:r>
            <w:r>
              <w:rPr>
                <w:rFonts w:hint="eastAsia" w:ascii="宋体" w:hAnsi="宋体" w:cs="宋体"/>
                <w:spacing w:val="-6"/>
                <w:szCs w:val="21"/>
              </w:rPr>
              <w:t>）</w:t>
            </w:r>
          </w:p>
        </w:tc>
        <w:tc>
          <w:tcPr>
            <w:tcW w:w="2639"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color w:val="0000FF"/>
                <w:szCs w:val="21"/>
                <w:lang w:val="en-US" w:eastAsia="zh-CN"/>
              </w:rPr>
              <w:t>现有使用面积</w:t>
            </w:r>
            <w:r>
              <w:rPr>
                <w:rFonts w:hint="eastAsia" w:ascii="宋体" w:hAnsi="宋体" w:cs="宋体"/>
                <w:color w:val="0000FF"/>
                <w:szCs w:val="21"/>
              </w:rPr>
              <w:t>1184</w:t>
            </w:r>
            <w:r>
              <w:rPr>
                <w:rFonts w:hint="eastAsia" w:ascii="宋体" w:hAnsi="宋体" w:cs="宋体"/>
                <w:color w:val="0000FF"/>
                <w:szCs w:val="21"/>
                <w:lang w:val="en-US" w:eastAsia="zh-CN"/>
              </w:rPr>
              <w:t>m</w:t>
            </w:r>
            <w:r>
              <w:rPr>
                <w:rFonts w:hint="eastAsia" w:ascii="宋体" w:hAnsi="宋体" w:cs="宋体"/>
                <w:color w:val="0000FF"/>
                <w:szCs w:val="21"/>
                <w:vertAlign w:val="superscript"/>
                <w:lang w:val="en-US" w:eastAsia="zh-CN"/>
              </w:rPr>
              <w:t>2</w:t>
            </w:r>
            <w:r>
              <w:rPr>
                <w:rFonts w:hint="eastAsia" w:ascii="宋体" w:hAnsi="宋体" w:cs="宋体"/>
                <w:color w:val="0000FF"/>
                <w:szCs w:val="21"/>
                <w:lang w:val="en-US" w:eastAsia="zh-CN"/>
              </w:rPr>
              <w:t>，扩建不增加用地面积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1" w:type="dxa"/>
            <w:noWrap w:val="0"/>
            <w:vAlign w:val="center"/>
          </w:tcPr>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专项评价设置情况</w:t>
            </w:r>
          </w:p>
        </w:tc>
        <w:tc>
          <w:tcPr>
            <w:tcW w:w="7009" w:type="dxa"/>
            <w:gridSpan w:val="3"/>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1"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szCs w:val="21"/>
              </w:rPr>
              <w:t>规划情况</w:t>
            </w:r>
          </w:p>
        </w:tc>
        <w:tc>
          <w:tcPr>
            <w:tcW w:w="7009" w:type="dxa"/>
            <w:gridSpan w:val="3"/>
            <w:noWrap w:val="0"/>
            <w:vAlign w:val="center"/>
          </w:tcPr>
          <w:p>
            <w:pPr>
              <w:pStyle w:val="23"/>
              <w:spacing w:before="0" w:beforeAutospacing="0" w:after="0" w:afterAutospacing="0" w:line="360" w:lineRule="auto"/>
              <w:jc w:val="both"/>
              <w:rPr>
                <w:rFonts w:cs="宋体"/>
                <w:szCs w:val="24"/>
                <w:u w:val="single"/>
              </w:rPr>
            </w:pPr>
            <w:r>
              <w:rPr>
                <w:rFonts w:hint="eastAsia" w:cs="宋体"/>
                <w:szCs w:val="24"/>
                <w:u w:val="single"/>
              </w:rPr>
              <w:t>1、</w:t>
            </w:r>
            <w:r>
              <w:rPr>
                <w:rFonts w:cs="宋体"/>
                <w:szCs w:val="24"/>
                <w:u w:val="single"/>
              </w:rPr>
              <w:t>《临湘市城市总体规划（2016-2030）》；</w:t>
            </w:r>
          </w:p>
          <w:p>
            <w:pPr>
              <w:pStyle w:val="23"/>
              <w:spacing w:before="0" w:beforeAutospacing="0" w:after="0" w:afterAutospacing="0" w:line="360" w:lineRule="auto"/>
              <w:jc w:val="both"/>
              <w:rPr>
                <w:rFonts w:cs="宋体"/>
                <w:szCs w:val="21"/>
              </w:rPr>
            </w:pPr>
            <w:r>
              <w:rPr>
                <w:rFonts w:hint="eastAsia" w:cs="宋体"/>
                <w:szCs w:val="24"/>
                <w:u w:val="single"/>
              </w:rPr>
              <w:t>2、</w:t>
            </w:r>
            <w:r>
              <w:rPr>
                <w:rFonts w:cs="宋体"/>
                <w:szCs w:val="24"/>
                <w:u w:val="single"/>
              </w:rPr>
              <w:t>《临湘市加油站布局规划（2018-2030）》；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1" w:type="dxa"/>
            <w:noWrap w:val="0"/>
            <w:vAlign w:val="center"/>
          </w:tcPr>
          <w:p>
            <w:pPr>
              <w:adjustRightInd w:val="0"/>
              <w:snapToGrid w:val="0"/>
              <w:jc w:val="center"/>
              <w:rPr>
                <w:rFonts w:ascii="宋体" w:hAnsi="宋体" w:cs="宋体"/>
                <w:szCs w:val="21"/>
              </w:rPr>
            </w:pPr>
            <w:r>
              <w:rPr>
                <w:rFonts w:hint="eastAsia" w:ascii="宋体" w:hAnsi="宋体" w:cs="宋体"/>
                <w:szCs w:val="21"/>
              </w:rPr>
              <w:t>规划环境影响</w:t>
            </w:r>
          </w:p>
          <w:p>
            <w:pPr>
              <w:adjustRightInd w:val="0"/>
              <w:snapToGrid w:val="0"/>
              <w:jc w:val="center"/>
              <w:rPr>
                <w:rFonts w:hint="eastAsia" w:ascii="宋体" w:hAnsi="宋体" w:cs="宋体"/>
                <w:kern w:val="0"/>
                <w:szCs w:val="21"/>
              </w:rPr>
            </w:pPr>
            <w:r>
              <w:rPr>
                <w:rFonts w:hint="eastAsia" w:ascii="宋体" w:hAnsi="宋体" w:cs="宋体"/>
                <w:szCs w:val="21"/>
              </w:rPr>
              <w:t>评价情况</w:t>
            </w:r>
          </w:p>
        </w:tc>
        <w:tc>
          <w:tcPr>
            <w:tcW w:w="7009" w:type="dxa"/>
            <w:gridSpan w:val="3"/>
            <w:noWrap w:val="0"/>
            <w:vAlign w:val="center"/>
          </w:tcPr>
          <w:p>
            <w:pPr>
              <w:autoSpaceDE w:val="0"/>
              <w:autoSpaceDN w:val="0"/>
              <w:adjustRightInd w:val="0"/>
              <w:snapToGrid w:val="0"/>
              <w:spacing w:line="360" w:lineRule="auto"/>
              <w:jc w:val="center"/>
              <w:rPr>
                <w:rFonts w:ascii="宋体" w:hAnsi="宋体" w:cs="宋体"/>
                <w:kern w:val="0"/>
                <w:szCs w:val="21"/>
              </w:rPr>
            </w:pPr>
            <w:r>
              <w:rPr>
                <w:rFonts w:hint="eastAsia" w:ascii="宋体" w:hAnsi="宋体" w:cs="宋体"/>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1"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kern w:val="0"/>
                <w:szCs w:val="21"/>
              </w:rPr>
              <w:t>规划及规划环境</w:t>
            </w:r>
          </w:p>
          <w:p>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影响评价符合性分析</w:t>
            </w:r>
          </w:p>
        </w:tc>
        <w:tc>
          <w:tcPr>
            <w:tcW w:w="7009" w:type="dxa"/>
            <w:gridSpan w:val="3"/>
            <w:noWrap w:val="0"/>
            <w:vAlign w:val="center"/>
          </w:tcPr>
          <w:p>
            <w:pPr>
              <w:pStyle w:val="23"/>
              <w:spacing w:before="0" w:beforeAutospacing="0" w:after="0" w:afterAutospacing="0" w:line="360" w:lineRule="auto"/>
              <w:jc w:val="center"/>
              <w:rPr>
                <w:rFonts w:hint="eastAsia" w:cs="宋体"/>
                <w:szCs w:val="21"/>
              </w:rPr>
            </w:pPr>
            <w:r>
              <w:rPr>
                <w:rFonts w:hint="eastAsia" w:ascii="Times New Roman" w:hAnsi="Times New Roman"/>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1" w:type="dxa"/>
            <w:noWrap w:val="0"/>
            <w:vAlign w:val="center"/>
          </w:tcPr>
          <w:p>
            <w:pPr>
              <w:autoSpaceDE w:val="0"/>
              <w:autoSpaceDN w:val="0"/>
              <w:adjustRightInd w:val="0"/>
              <w:snapToGrid w:val="0"/>
              <w:jc w:val="center"/>
              <w:rPr>
                <w:rFonts w:hint="eastAsia" w:ascii="宋体" w:hAnsi="宋体" w:cs="宋体"/>
                <w:kern w:val="0"/>
                <w:szCs w:val="21"/>
              </w:rPr>
            </w:pPr>
            <w:r>
              <w:rPr>
                <w:rFonts w:hint="eastAsia" w:ascii="宋体" w:hAnsi="宋体" w:cs="宋体"/>
                <w:kern w:val="0"/>
                <w:szCs w:val="21"/>
              </w:rPr>
              <w:t>其他符合性分析</w:t>
            </w:r>
          </w:p>
        </w:tc>
        <w:tc>
          <w:tcPr>
            <w:tcW w:w="7009" w:type="dxa"/>
            <w:gridSpan w:val="3"/>
            <w:noWrap w:val="0"/>
            <w:vAlign w:val="center"/>
          </w:tcPr>
          <w:p>
            <w:pPr>
              <w:adjustRightInd w:val="0"/>
              <w:snapToGrid w:val="0"/>
              <w:spacing w:line="360" w:lineRule="auto"/>
              <w:rPr>
                <w:b/>
                <w:sz w:val="24"/>
                <w:u w:val="single"/>
              </w:rPr>
            </w:pPr>
            <w:r>
              <w:rPr>
                <w:rFonts w:hint="eastAsia"/>
                <w:b/>
                <w:sz w:val="24"/>
                <w:u w:val="single"/>
              </w:rPr>
              <w:t>1.1、与《临湘市城市总体规划（2016-2030）》的符合性分析</w:t>
            </w:r>
          </w:p>
          <w:p>
            <w:pPr>
              <w:adjustRightInd w:val="0"/>
              <w:snapToGrid w:val="0"/>
              <w:spacing w:line="360" w:lineRule="auto"/>
              <w:ind w:firstLine="480"/>
              <w:rPr>
                <w:rFonts w:hint="eastAsia" w:ascii="宋体" w:hAnsi="宋体" w:eastAsia="宋体" w:cs="宋体"/>
                <w:color w:val="0000FF"/>
                <w:sz w:val="24"/>
                <w:u w:val="single"/>
                <w:lang w:eastAsia="zh-CN"/>
              </w:rPr>
            </w:pPr>
            <w:r>
              <w:rPr>
                <w:rFonts w:ascii="宋体" w:hAnsi="宋体" w:cs="宋体"/>
                <w:sz w:val="24"/>
                <w:u w:val="single"/>
              </w:rPr>
              <w:t>本项目为</w:t>
            </w:r>
            <w:r>
              <w:rPr>
                <w:rFonts w:hint="eastAsia" w:ascii="宋体" w:hAnsi="宋体" w:cs="宋体"/>
                <w:sz w:val="24"/>
                <w:u w:val="single"/>
              </w:rPr>
              <w:t>扩建</w:t>
            </w:r>
            <w:r>
              <w:rPr>
                <w:rFonts w:ascii="宋体" w:hAnsi="宋体" w:cs="宋体"/>
                <w:sz w:val="24"/>
                <w:u w:val="single"/>
              </w:rPr>
              <w:t>项目，</w:t>
            </w:r>
            <w:r>
              <w:rPr>
                <w:rFonts w:hint="eastAsia"/>
                <w:sz w:val="24"/>
                <w:u w:val="single"/>
              </w:rPr>
              <w:t>用地所在地</w:t>
            </w:r>
            <w:r>
              <w:rPr>
                <w:rFonts w:hint="eastAsia"/>
                <w:color w:val="0000FF"/>
                <w:sz w:val="24"/>
                <w:u w:val="single"/>
              </w:rPr>
              <w:t>为</w:t>
            </w:r>
            <w:r>
              <w:rPr>
                <w:rFonts w:hint="eastAsia"/>
                <w:color w:val="0000FF"/>
                <w:sz w:val="24"/>
                <w:u w:val="single"/>
                <w:lang w:val="en-US" w:eastAsia="zh-CN"/>
              </w:rPr>
              <w:t>城市</w:t>
            </w:r>
            <w:r>
              <w:rPr>
                <w:rFonts w:hint="eastAsia"/>
                <w:color w:val="0000FF"/>
                <w:sz w:val="24"/>
                <w:u w:val="single"/>
              </w:rPr>
              <w:t>建成区，用途为加油站用地</w:t>
            </w:r>
            <w:r>
              <w:rPr>
                <w:rFonts w:ascii="宋体" w:hAnsi="宋体" w:cs="宋体"/>
                <w:color w:val="0000FF"/>
                <w:sz w:val="24"/>
                <w:u w:val="single"/>
              </w:rPr>
              <w:t>，项目建设符合临湘市城市总体规划</w:t>
            </w:r>
            <w:r>
              <w:rPr>
                <w:rFonts w:hint="eastAsia" w:ascii="宋体" w:hAnsi="宋体" w:cs="宋体"/>
                <w:color w:val="0000FF"/>
                <w:sz w:val="24"/>
                <w:u w:val="single"/>
              </w:rPr>
              <w:t>。</w:t>
            </w:r>
          </w:p>
          <w:p>
            <w:pPr>
              <w:adjustRightInd w:val="0"/>
              <w:snapToGrid w:val="0"/>
              <w:spacing w:line="360" w:lineRule="auto"/>
              <w:rPr>
                <w:rFonts w:hint="eastAsia"/>
                <w:b/>
                <w:sz w:val="24"/>
                <w:u w:val="single"/>
              </w:rPr>
            </w:pPr>
            <w:r>
              <w:rPr>
                <w:rFonts w:hint="eastAsia"/>
                <w:b/>
                <w:sz w:val="24"/>
                <w:u w:val="single"/>
              </w:rPr>
              <w:t xml:space="preserve">1.2、与《临湘市加油站布局规划（2018-2030）》相符性分析 </w:t>
            </w:r>
          </w:p>
          <w:p>
            <w:pPr>
              <w:adjustRightInd w:val="0"/>
              <w:snapToGrid w:val="0"/>
              <w:spacing w:line="360" w:lineRule="auto"/>
              <w:ind w:firstLine="480" w:firstLineChars="200"/>
              <w:rPr>
                <w:rFonts w:hint="default" w:eastAsia="宋体"/>
                <w:b/>
                <w:color w:val="0000FF"/>
                <w:sz w:val="24"/>
                <w:u w:val="single"/>
                <w:lang w:val="en-US" w:eastAsia="zh-CN"/>
              </w:rPr>
            </w:pPr>
            <w:r>
              <w:rPr>
                <w:rFonts w:hint="eastAsia"/>
                <w:color w:val="0000FF"/>
                <w:sz w:val="24"/>
                <w:u w:val="single"/>
                <w:lang w:val="en-US" w:eastAsia="zh-CN"/>
              </w:rPr>
              <w:t>现有加油站已通过</w:t>
            </w:r>
            <w:r>
              <w:rPr>
                <w:rFonts w:hint="eastAsia"/>
                <w:color w:val="0000FF"/>
                <w:sz w:val="24"/>
                <w:u w:val="single"/>
              </w:rPr>
              <w:t>“岳阳市成品油零售体系“十三五”发展规划”，</w:t>
            </w:r>
            <w:r>
              <w:rPr>
                <w:rFonts w:hint="eastAsia"/>
                <w:color w:val="0000FF"/>
                <w:sz w:val="24"/>
                <w:u w:val="single"/>
                <w:lang w:val="en-US" w:eastAsia="zh-CN"/>
              </w:rPr>
              <w:t>被</w:t>
            </w:r>
            <w:r>
              <w:rPr>
                <w:rFonts w:hint="eastAsia"/>
                <w:color w:val="0000FF"/>
                <w:sz w:val="24"/>
                <w:u w:val="single"/>
              </w:rPr>
              <w:t>批准为加油站市本级第34号站点</w:t>
            </w:r>
            <w:r>
              <w:rPr>
                <w:rFonts w:hint="eastAsia"/>
                <w:color w:val="0000FF"/>
                <w:sz w:val="24"/>
                <w:u w:val="single"/>
                <w:lang w:eastAsia="zh-CN"/>
              </w:rPr>
              <w:t>，</w:t>
            </w:r>
            <w:r>
              <w:rPr>
                <w:rFonts w:hint="eastAsia" w:ascii="宋体" w:hAnsi="宋体" w:cs="宋体"/>
                <w:color w:val="0000FF"/>
                <w:sz w:val="24"/>
                <w:u w:val="single"/>
                <w:lang w:val="en-US" w:eastAsia="zh-CN"/>
              </w:rPr>
              <w:t>本次扩建</w:t>
            </w:r>
            <w:r>
              <w:rPr>
                <w:rFonts w:ascii="宋体" w:hAnsi="宋体" w:cs="宋体"/>
                <w:color w:val="0000FF"/>
                <w:sz w:val="24"/>
                <w:u w:val="single"/>
              </w:rPr>
              <w:t>项目经岳阳市商务粮食局和临湘市商务粮食局审批通过，选址符合规划</w:t>
            </w:r>
            <w:r>
              <w:rPr>
                <w:rFonts w:hint="eastAsia" w:ascii="宋体" w:hAnsi="宋体" w:cs="宋体"/>
                <w:color w:val="0000FF"/>
                <w:sz w:val="24"/>
                <w:u w:val="single"/>
              </w:rPr>
              <w:t>。</w:t>
            </w:r>
          </w:p>
          <w:p>
            <w:pPr>
              <w:adjustRightInd w:val="0"/>
              <w:snapToGrid w:val="0"/>
              <w:spacing w:line="360" w:lineRule="auto"/>
              <w:rPr>
                <w:b/>
                <w:sz w:val="24"/>
              </w:rPr>
            </w:pPr>
            <w:r>
              <w:rPr>
                <w:rFonts w:hint="eastAsia"/>
                <w:b/>
                <w:sz w:val="24"/>
              </w:rPr>
              <w:t>1.3、</w:t>
            </w:r>
            <w:r>
              <w:rPr>
                <w:b/>
                <w:sz w:val="24"/>
              </w:rPr>
              <w:t>项目产业政策符合性分析</w:t>
            </w:r>
          </w:p>
          <w:p>
            <w:pPr>
              <w:spacing w:line="360" w:lineRule="auto"/>
              <w:ind w:firstLine="480" w:firstLineChars="200"/>
              <w:rPr>
                <w:sz w:val="24"/>
              </w:rPr>
            </w:pPr>
            <w:r>
              <w:rPr>
                <w:kern w:val="0"/>
                <w:sz w:val="24"/>
              </w:rPr>
              <w:t>本项目为</w:t>
            </w:r>
            <w:r>
              <w:rPr>
                <w:rFonts w:hint="eastAsia"/>
                <w:kern w:val="0"/>
                <w:sz w:val="24"/>
              </w:rPr>
              <w:t>加油站</w:t>
            </w:r>
            <w:r>
              <w:rPr>
                <w:kern w:val="0"/>
                <w:sz w:val="24"/>
              </w:rPr>
              <w:t>建设项目，</w:t>
            </w:r>
            <w:r>
              <w:rPr>
                <w:color w:val="000000"/>
                <w:sz w:val="24"/>
              </w:rPr>
              <w:t>根据</w:t>
            </w:r>
            <w:r>
              <w:rPr>
                <w:sz w:val="24"/>
              </w:rPr>
              <w:t>《产业结构调整指导目录（2019年本）》</w:t>
            </w:r>
            <w:r>
              <w:rPr>
                <w:color w:val="000000"/>
                <w:sz w:val="24"/>
              </w:rPr>
              <w:t>，</w:t>
            </w:r>
            <w:r>
              <w:rPr>
                <w:sz w:val="24"/>
              </w:rPr>
              <w:t>本项目不属于《产业结构调整指导目录（2019 年本）》</w:t>
            </w:r>
            <w:r>
              <w:rPr>
                <w:kern w:val="0"/>
                <w:sz w:val="24"/>
              </w:rPr>
              <w:t>中的限制类和淘汰类项目，</w:t>
            </w:r>
            <w:r>
              <w:rPr>
                <w:sz w:val="24"/>
              </w:rPr>
              <w:t>属于允许类生产项目</w:t>
            </w:r>
            <w:r>
              <w:rPr>
                <w:rFonts w:hint="eastAsia"/>
                <w:sz w:val="24"/>
              </w:rPr>
              <w:t>，</w:t>
            </w:r>
            <w:r>
              <w:rPr>
                <w:sz w:val="24"/>
              </w:rPr>
              <w:t>因此本项目符合国家产业政策。</w:t>
            </w:r>
          </w:p>
          <w:p>
            <w:pPr>
              <w:adjustRightInd w:val="0"/>
              <w:snapToGrid w:val="0"/>
              <w:spacing w:line="360" w:lineRule="auto"/>
              <w:rPr>
                <w:rFonts w:hint="eastAsia" w:ascii="Times New Roman" w:hAnsi="Times New Roman" w:eastAsia="宋体" w:cs="Times New Roman"/>
                <w:b/>
                <w:color w:val="0000FF"/>
                <w:sz w:val="24"/>
                <w:lang w:eastAsia="zh-CN"/>
              </w:rPr>
            </w:pPr>
            <w:r>
              <w:rPr>
                <w:rFonts w:hint="eastAsia" w:ascii="Times New Roman" w:hAnsi="Times New Roman" w:eastAsia="宋体" w:cs="Times New Roman"/>
                <w:b/>
                <w:color w:val="0000FF"/>
                <w:sz w:val="24"/>
                <w:lang w:val="en-US" w:eastAsia="zh-CN"/>
              </w:rPr>
              <w:t>1.4、与</w:t>
            </w:r>
            <w:r>
              <w:rPr>
                <w:rFonts w:hint="eastAsia" w:ascii="Times New Roman" w:hAnsi="Times New Roman" w:eastAsia="宋体" w:cs="Times New Roman"/>
                <w:b/>
                <w:color w:val="0000FF"/>
                <w:sz w:val="24"/>
                <w:lang w:eastAsia="zh-CN"/>
              </w:rPr>
              <w:t>《建筑设计防火规范》（GB50016—2014）中储罐和建筑物的间距分析</w:t>
            </w:r>
          </w:p>
          <w:p>
            <w:pPr>
              <w:adjustRightInd w:val="0"/>
              <w:snapToGrid w:val="0"/>
              <w:spacing w:line="360" w:lineRule="auto"/>
              <w:ind w:firstLine="422" w:firstLineChars="200"/>
              <w:rPr>
                <w:rFonts w:hint="eastAsia" w:ascii="Times New Roman" w:hAnsi="Times New Roman" w:eastAsia="宋体" w:cs="Times New Roman"/>
                <w:b/>
                <w:color w:val="0000FF"/>
                <w:szCs w:val="21"/>
                <w:u w:val="single"/>
              </w:rPr>
            </w:pPr>
            <w:r>
              <w:rPr>
                <w:rFonts w:hint="eastAsia" w:ascii="Times New Roman" w:hAnsi="Times New Roman" w:eastAsia="宋体" w:cs="Times New Roman"/>
                <w:b/>
                <w:color w:val="0000FF"/>
                <w:szCs w:val="21"/>
                <w:u w:val="single"/>
                <w:lang w:val="en-US" w:eastAsia="zh-CN"/>
              </w:rPr>
              <w:t xml:space="preserve">表1-1 </w:t>
            </w:r>
            <w:r>
              <w:rPr>
                <w:rFonts w:hint="eastAsia" w:ascii="Times New Roman" w:hAnsi="Times New Roman" w:eastAsia="宋体" w:cs="Times New Roman"/>
                <w:b/>
                <w:color w:val="0000FF"/>
                <w:szCs w:val="21"/>
                <w:u w:val="single"/>
              </w:rPr>
              <w:t>项目站内建（构）筑物及场地安全距离设计情况一览表</w:t>
            </w:r>
          </w:p>
          <w:tbl>
            <w:tblPr>
              <w:tblStyle w:val="26"/>
              <w:tblW w:w="680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21"/>
              <w:gridCol w:w="517"/>
              <w:gridCol w:w="1280"/>
              <w:gridCol w:w="1108"/>
              <w:gridCol w:w="1508"/>
              <w:gridCol w:w="116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871" w:type="dxa"/>
                  <w:gridSpan w:val="3"/>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b w:val="0"/>
                      <w:bCs/>
                      <w:color w:val="0000FF"/>
                      <w:sz w:val="21"/>
                      <w:szCs w:val="21"/>
                      <w:highlight w:val="none"/>
                      <w:u w:val="none"/>
                    </w:rPr>
                  </w:pPr>
                  <w:r>
                    <w:rPr>
                      <w:rFonts w:ascii="Times New Roman" w:hAnsi="Times New Roman" w:eastAsia="宋体" w:cs="Times New Roman"/>
                      <w:b w:val="0"/>
                      <w:bCs/>
                      <w:color w:val="0000FF"/>
                      <w:sz w:val="21"/>
                      <w:szCs w:val="21"/>
                      <w:highlight w:val="none"/>
                      <w:u w:val="none"/>
                    </w:rPr>
                    <w:t>检查内容</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b w:val="0"/>
                      <w:bCs/>
                      <w:color w:val="0000FF"/>
                      <w:sz w:val="21"/>
                      <w:szCs w:val="21"/>
                      <w:highlight w:val="none"/>
                      <w:u w:val="none"/>
                    </w:rPr>
                  </w:pPr>
                  <w:r>
                    <w:rPr>
                      <w:rFonts w:ascii="Times New Roman" w:hAnsi="Times New Roman" w:eastAsia="宋体" w:cs="Times New Roman"/>
                      <w:b w:val="0"/>
                      <w:bCs/>
                      <w:color w:val="0000FF"/>
                      <w:sz w:val="21"/>
                      <w:szCs w:val="21"/>
                      <w:highlight w:val="none"/>
                      <w:u w:val="none"/>
                    </w:rPr>
                    <w:t>规范要求</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b w:val="0"/>
                      <w:bCs/>
                      <w:color w:val="0000FF"/>
                      <w:sz w:val="21"/>
                      <w:szCs w:val="21"/>
                      <w:highlight w:val="none"/>
                      <w:u w:val="none"/>
                    </w:rPr>
                  </w:pPr>
                  <w:r>
                    <w:rPr>
                      <w:rFonts w:hint="eastAsia" w:ascii="Times New Roman" w:hAnsi="Times New Roman" w:eastAsia="宋体" w:cs="Times New Roman"/>
                      <w:b w:val="0"/>
                      <w:bCs/>
                      <w:color w:val="0000FF"/>
                      <w:sz w:val="21"/>
                      <w:szCs w:val="21"/>
                      <w:highlight w:val="none"/>
                      <w:u w:val="none"/>
                      <w:lang w:val="en-US" w:eastAsia="zh-CN"/>
                    </w:rPr>
                    <w:t>建设</w:t>
                  </w:r>
                  <w:r>
                    <w:rPr>
                      <w:rFonts w:ascii="Times New Roman" w:hAnsi="Times New Roman" w:eastAsia="宋体" w:cs="Times New Roman"/>
                      <w:b w:val="0"/>
                      <w:bCs/>
                      <w:color w:val="0000FF"/>
                      <w:sz w:val="21"/>
                      <w:szCs w:val="21"/>
                      <w:highlight w:val="none"/>
                      <w:u w:val="none"/>
                    </w:rPr>
                    <w:t>参数</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b w:val="0"/>
                      <w:bCs/>
                      <w:color w:val="0000FF"/>
                      <w:sz w:val="21"/>
                      <w:szCs w:val="21"/>
                      <w:highlight w:val="none"/>
                      <w:u w:val="none"/>
                    </w:rPr>
                  </w:pPr>
                  <w:r>
                    <w:rPr>
                      <w:rFonts w:ascii="Times New Roman" w:hAnsi="Times New Roman" w:eastAsia="宋体" w:cs="Times New Roman"/>
                      <w:b w:val="0"/>
                      <w:bCs/>
                      <w:color w:val="0000FF"/>
                      <w:sz w:val="21"/>
                      <w:szCs w:val="21"/>
                      <w:highlight w:val="none"/>
                      <w:u w:val="none"/>
                    </w:rPr>
                    <w:t>评价结论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柴油罐</w:t>
                  </w:r>
                </w:p>
              </w:tc>
              <w:tc>
                <w:tcPr>
                  <w:tcW w:w="624"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至</w:t>
                  </w: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汽油罐</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0.5m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0.5m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eastAsia="zh-CN"/>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站房</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3m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val="en-US" w:eastAsia="zh-CN"/>
                    </w:rPr>
                  </w:pPr>
                  <w:r>
                    <w:rPr>
                      <w:rFonts w:hint="eastAsia" w:ascii="Times New Roman" w:hAnsi="Times New Roman" w:eastAsia="宋体" w:cs="Times New Roman"/>
                      <w:color w:val="0000FF"/>
                      <w:sz w:val="21"/>
                      <w:szCs w:val="21"/>
                      <w:highlight w:val="none"/>
                      <w:u w:val="none"/>
                      <w:lang w:val="en-US" w:eastAsia="zh-CN"/>
                    </w:rPr>
                    <w:t>配电房</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val="en-US" w:eastAsia="zh-CN"/>
                    </w:rPr>
                  </w:pPr>
                  <w:r>
                    <w:rPr>
                      <w:rFonts w:hint="eastAsia" w:ascii="Times New Roman" w:hAnsi="Times New Roman" w:eastAsia="宋体" w:cs="Times New Roman"/>
                      <w:color w:val="0000FF"/>
                      <w:sz w:val="21"/>
                      <w:szCs w:val="21"/>
                      <w:highlight w:val="none"/>
                      <w:u w:val="none"/>
                      <w:lang w:val="en-US" w:eastAsia="zh-CN"/>
                    </w:rPr>
                    <w:t>6m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7.4</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厂界围墙</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2m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7</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汽油罐</w:t>
                  </w:r>
                </w:p>
              </w:tc>
              <w:tc>
                <w:tcPr>
                  <w:tcW w:w="624"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至</w:t>
                  </w: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站房</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4m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eastAsia="zh-CN"/>
                    </w:rPr>
                  </w:pPr>
                  <w:r>
                    <w:rPr>
                      <w:rFonts w:hint="eastAsia" w:ascii="Times New Roman" w:hAnsi="Times New Roman" w:eastAsia="宋体" w:cs="Times New Roman"/>
                      <w:color w:val="0000FF"/>
                      <w:sz w:val="21"/>
                      <w:szCs w:val="21"/>
                      <w:highlight w:val="none"/>
                      <w:u w:val="none"/>
                      <w:lang w:val="en-US" w:eastAsia="zh-CN"/>
                    </w:rPr>
                    <w:t>配电房</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val="en-US" w:eastAsia="zh-CN"/>
                    </w:rPr>
                  </w:pPr>
                  <w:r>
                    <w:rPr>
                      <w:rFonts w:hint="eastAsia" w:ascii="Times New Roman" w:hAnsi="Times New Roman" w:eastAsia="宋体" w:cs="Times New Roman"/>
                      <w:color w:val="0000FF"/>
                      <w:sz w:val="21"/>
                      <w:szCs w:val="21"/>
                      <w:highlight w:val="none"/>
                      <w:u w:val="none"/>
                      <w:lang w:val="en-US" w:eastAsia="zh-CN"/>
                    </w:rPr>
                    <w:t>8m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8.5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厂界围墙</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3m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站房</w:t>
                  </w:r>
                </w:p>
              </w:tc>
              <w:tc>
                <w:tcPr>
                  <w:tcW w:w="624" w:type="dxa"/>
                  <w:vMerge w:val="restart"/>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至</w:t>
                  </w: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柴油通气管口</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3.5m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汽油通气管口</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4m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eastAsia="zh-CN"/>
                    </w:rPr>
                  </w:pPr>
                  <w:r>
                    <w:rPr>
                      <w:rFonts w:hint="eastAsia" w:ascii="Times New Roman" w:hAnsi="Times New Roman" w:eastAsia="宋体" w:cs="Times New Roman"/>
                      <w:color w:val="0000FF"/>
                      <w:sz w:val="21"/>
                      <w:szCs w:val="21"/>
                      <w:highlight w:val="none"/>
                      <w:u w:val="none"/>
                      <w:lang w:eastAsia="zh-CN"/>
                    </w:rPr>
                    <w:t>卸油点</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hint="eastAsia" w:ascii="Times New Roman" w:hAnsi="Times New Roman" w:eastAsia="宋体" w:cs="Times New Roman"/>
                      <w:color w:val="0000FF"/>
                      <w:sz w:val="21"/>
                      <w:szCs w:val="21"/>
                      <w:highlight w:val="none"/>
                      <w:u w:val="none"/>
                      <w:lang w:val="en-US" w:eastAsia="zh-CN"/>
                    </w:rPr>
                  </w:pPr>
                  <w:r>
                    <w:rPr>
                      <w:rFonts w:hint="eastAsia" w:ascii="Times New Roman" w:hAnsi="Times New Roman" w:eastAsia="宋体" w:cs="Times New Roman"/>
                      <w:color w:val="0000FF"/>
                      <w:sz w:val="21"/>
                      <w:szCs w:val="21"/>
                      <w:highlight w:val="none"/>
                      <w:u w:val="none"/>
                      <w:lang w:val="en-US" w:eastAsia="zh-CN"/>
                    </w:rPr>
                    <w:t>5m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11.6</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3"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624" w:type="dxa"/>
                  <w:vMerge w:val="continue"/>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p>
              </w:tc>
              <w:tc>
                <w:tcPr>
                  <w:tcW w:w="1664"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加油机</w:t>
                  </w:r>
                </w:p>
              </w:tc>
              <w:tc>
                <w:tcPr>
                  <w:tcW w:w="1429"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ascii="Times New Roman" w:hAnsi="Times New Roman" w:eastAsia="宋体" w:cs="Times New Roman"/>
                      <w:color w:val="0000FF"/>
                      <w:sz w:val="21"/>
                      <w:szCs w:val="21"/>
                      <w:highlight w:val="none"/>
                      <w:u w:val="none"/>
                    </w:rPr>
                    <w:t>5m</w:t>
                  </w:r>
                </w:p>
              </w:tc>
              <w:tc>
                <w:tcPr>
                  <w:tcW w:w="1975"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val="en-US" w:eastAsia="zh-CN"/>
                    </w:rPr>
                    <w:t>5</w:t>
                  </w:r>
                  <w:r>
                    <w:rPr>
                      <w:rFonts w:ascii="Times New Roman" w:hAnsi="Times New Roman" w:eastAsia="宋体" w:cs="Times New Roman"/>
                      <w:color w:val="0000FF"/>
                      <w:sz w:val="21"/>
                      <w:szCs w:val="21"/>
                      <w:highlight w:val="none"/>
                      <w:u w:val="none"/>
                    </w:rPr>
                    <w:t>m</w:t>
                  </w:r>
                </w:p>
              </w:tc>
              <w:tc>
                <w:tcPr>
                  <w:tcW w:w="1512" w:type="dxa"/>
                  <w:noWrap w:val="0"/>
                  <w:vAlign w:val="center"/>
                </w:tcPr>
                <w:p>
                  <w:pPr>
                    <w:keepNext w:val="0"/>
                    <w:keepLines w:val="0"/>
                    <w:pageBreakBefore w:val="0"/>
                    <w:kinsoku/>
                    <w:wordWrap/>
                    <w:overflowPunct/>
                    <w:topLinePunct w:val="0"/>
                    <w:bidi w:val="0"/>
                    <w:adjustRightInd w:val="0"/>
                    <w:snapToGrid w:val="0"/>
                    <w:ind w:left="0" w:leftChars="0"/>
                    <w:jc w:val="center"/>
                    <w:outlineLvl w:val="9"/>
                    <w:rPr>
                      <w:rFonts w:ascii="Times New Roman" w:hAnsi="Times New Roman" w:eastAsia="宋体" w:cs="Times New Roman"/>
                      <w:color w:val="0000FF"/>
                      <w:sz w:val="21"/>
                      <w:szCs w:val="21"/>
                      <w:highlight w:val="none"/>
                      <w:u w:val="none"/>
                    </w:rPr>
                  </w:pPr>
                  <w:r>
                    <w:rPr>
                      <w:rFonts w:hint="eastAsia" w:ascii="Times New Roman" w:hAnsi="Times New Roman" w:eastAsia="宋体" w:cs="Times New Roman"/>
                      <w:color w:val="0000FF"/>
                      <w:sz w:val="21"/>
                      <w:szCs w:val="21"/>
                      <w:highlight w:val="none"/>
                      <w:u w:val="none"/>
                      <w:lang w:eastAsia="zh-CN"/>
                    </w:rPr>
                    <w:t>符合</w:t>
                  </w:r>
                </w:p>
              </w:tc>
            </w:tr>
          </w:tbl>
          <w:p>
            <w:pPr>
              <w:adjustRightInd w:val="0"/>
              <w:snapToGrid w:val="0"/>
              <w:spacing w:line="360" w:lineRule="auto"/>
              <w:rPr>
                <w:rFonts w:hint="default" w:eastAsia="宋体"/>
                <w:b w:val="0"/>
                <w:bCs/>
                <w:color w:val="0000FF"/>
                <w:sz w:val="24"/>
                <w:lang w:val="en-US" w:eastAsia="zh-CN"/>
              </w:rPr>
            </w:pPr>
            <w:r>
              <w:rPr>
                <w:rFonts w:hint="eastAsia"/>
                <w:b w:val="0"/>
                <w:bCs/>
                <w:color w:val="0000FF"/>
                <w:sz w:val="24"/>
                <w:lang w:val="en-US" w:eastAsia="zh-CN"/>
              </w:rPr>
              <w:t xml:space="preserve">    由上表可知，项目站内建（构）筑物及场地间距符合《建筑设计防火规范》（GB50016-2014）中要求。</w:t>
            </w:r>
          </w:p>
          <w:p>
            <w:pPr>
              <w:adjustRightInd w:val="0"/>
              <w:snapToGrid w:val="0"/>
              <w:spacing w:line="360" w:lineRule="auto"/>
              <w:rPr>
                <w:rFonts w:hint="eastAsia" w:ascii="Times New Roman" w:hAnsi="Times New Roman" w:eastAsia="宋体" w:cs="Times New Roman"/>
                <w:b/>
                <w:color w:val="0000FF"/>
                <w:sz w:val="24"/>
                <w:lang w:val="en-US" w:eastAsia="zh-CN"/>
              </w:rPr>
            </w:pPr>
            <w:r>
              <w:rPr>
                <w:rFonts w:hint="eastAsia"/>
                <w:b/>
                <w:sz w:val="24"/>
              </w:rPr>
              <w:t>1.</w:t>
            </w:r>
            <w:r>
              <w:rPr>
                <w:rFonts w:hint="eastAsia"/>
                <w:b/>
                <w:sz w:val="24"/>
                <w:lang w:val="en-US" w:eastAsia="zh-CN"/>
              </w:rPr>
              <w:t>5</w:t>
            </w:r>
            <w:r>
              <w:rPr>
                <w:rFonts w:hint="eastAsia"/>
                <w:b/>
                <w:sz w:val="24"/>
                <w:lang w:eastAsia="zh-CN"/>
              </w:rPr>
              <w:t>、</w:t>
            </w:r>
            <w:r>
              <w:rPr>
                <w:rFonts w:hint="eastAsia"/>
                <w:b/>
                <w:sz w:val="24"/>
              </w:rPr>
              <w:t>选址合理性分析</w:t>
            </w:r>
          </w:p>
          <w:p>
            <w:pPr>
              <w:adjustRightInd w:val="0"/>
              <w:snapToGrid w:val="0"/>
              <w:spacing w:line="360" w:lineRule="auto"/>
              <w:ind w:firstLine="480" w:firstLineChars="200"/>
              <w:rPr>
                <w:rFonts w:hint="eastAsia"/>
                <w:sz w:val="24"/>
                <w:u w:val="single"/>
              </w:rPr>
            </w:pPr>
            <w:r>
              <w:rPr>
                <w:rFonts w:hint="eastAsia"/>
                <w:sz w:val="24"/>
                <w:u w:val="single"/>
              </w:rPr>
              <w:t>根据“岳阳市成品油零售体系“十三五”发展规划”，本项目已批准为为加油站市本级第34号站点，用地用途为加油站用地，根据临湘市城市总体规划，本项目位于建成区，符合城市规划。本项目已通过临湘市商务粮食局及岳阳市商务局审批，选址合理。</w:t>
            </w:r>
          </w:p>
          <w:p>
            <w:pPr>
              <w:adjustRightInd w:val="0"/>
              <w:snapToGrid w:val="0"/>
              <w:spacing w:line="360" w:lineRule="auto"/>
              <w:ind w:firstLine="480" w:firstLineChars="200"/>
              <w:rPr>
                <w:rFonts w:ascii="宋体" w:hAnsi="宋体" w:cs="宋体"/>
                <w:sz w:val="24"/>
              </w:rPr>
            </w:pPr>
            <w:r>
              <w:rPr>
                <w:rFonts w:ascii="宋体" w:hAnsi="宋体" w:cs="宋体"/>
                <w:sz w:val="24"/>
              </w:rPr>
              <w:t>根据《汽车加油加气加氢站技术标准》(GB50156-2021)，汽油、柴油工艺设备与站外构筑物的距离符合《汽车加油加气加氢站技术标准》(GB50156-2021)中安全间距要求，详见下表。</w:t>
            </w:r>
          </w:p>
          <w:p>
            <w:pPr>
              <w:adjustRightInd w:val="0"/>
              <w:snapToGrid w:val="0"/>
              <w:spacing w:line="360" w:lineRule="auto"/>
              <w:jc w:val="center"/>
              <w:rPr>
                <w:rFonts w:hint="eastAsia" w:eastAsia="宋体"/>
                <w:sz w:val="24"/>
                <w:lang w:eastAsia="zh-CN"/>
              </w:rPr>
            </w:pPr>
            <w:r>
              <w:rPr>
                <w:rFonts w:hint="eastAsia"/>
                <w:b/>
                <w:szCs w:val="21"/>
                <w:u w:val="single"/>
              </w:rPr>
              <w:t>表1-</w:t>
            </w:r>
            <w:r>
              <w:rPr>
                <w:rFonts w:hint="eastAsia"/>
                <w:b/>
                <w:szCs w:val="21"/>
                <w:u w:val="single"/>
                <w:lang w:val="en-US" w:eastAsia="zh-CN"/>
              </w:rPr>
              <w:t>2</w:t>
            </w:r>
            <w:r>
              <w:rPr>
                <w:rFonts w:hint="eastAsia"/>
                <w:b/>
                <w:szCs w:val="21"/>
                <w:u w:val="single"/>
              </w:rPr>
              <w:t xml:space="preserve"> 与</w:t>
            </w:r>
            <w:r>
              <w:rPr>
                <w:rFonts w:hint="eastAsia" w:ascii="Times New Roman" w:hAnsi="Times New Roman" w:eastAsia="宋体" w:cs="Times New Roman"/>
                <w:b/>
                <w:szCs w:val="21"/>
                <w:u w:val="single"/>
              </w:rPr>
              <w:t>《汽车加油加气加氢站技术标准》(GB50156-2021)</w:t>
            </w:r>
            <w:r>
              <w:rPr>
                <w:rFonts w:hint="eastAsia"/>
                <w:b/>
                <w:szCs w:val="21"/>
                <w:u w:val="single"/>
              </w:rPr>
              <w:t>符合性分析</w:t>
            </w:r>
          </w:p>
          <w:tbl>
            <w:tblPr>
              <w:tblStyle w:val="26"/>
              <w:tblW w:w="67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1"/>
              <w:gridCol w:w="1804"/>
              <w:gridCol w:w="1024"/>
              <w:gridCol w:w="1024"/>
              <w:gridCol w:w="1024"/>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vMerge w:val="restart"/>
                  <w:noWrap w:val="0"/>
                  <w:vAlign w:val="center"/>
                </w:tcPr>
                <w:p>
                  <w:pPr>
                    <w:adjustRightInd w:val="0"/>
                    <w:snapToGrid w:val="0"/>
                    <w:jc w:val="center"/>
                    <w:rPr>
                      <w:szCs w:val="21"/>
                    </w:rPr>
                  </w:pPr>
                  <w:r>
                    <w:rPr>
                      <w:rFonts w:hint="eastAsia"/>
                      <w:szCs w:val="21"/>
                    </w:rPr>
                    <w:t>项目</w:t>
                  </w:r>
                </w:p>
              </w:tc>
              <w:tc>
                <w:tcPr>
                  <w:tcW w:w="2048" w:type="dxa"/>
                  <w:gridSpan w:val="2"/>
                  <w:noWrap w:val="0"/>
                  <w:vAlign w:val="center"/>
                </w:tcPr>
                <w:p>
                  <w:pPr>
                    <w:adjustRightInd w:val="0"/>
                    <w:snapToGrid w:val="0"/>
                    <w:jc w:val="center"/>
                    <w:rPr>
                      <w:rFonts w:hint="eastAsia"/>
                      <w:szCs w:val="21"/>
                    </w:rPr>
                  </w:pPr>
                  <w:r>
                    <w:rPr>
                      <w:rFonts w:hint="eastAsia"/>
                      <w:szCs w:val="21"/>
                    </w:rPr>
                    <w:t>埋地油罐</w:t>
                  </w:r>
                </w:p>
              </w:tc>
              <w:tc>
                <w:tcPr>
                  <w:tcW w:w="2050" w:type="dxa"/>
                  <w:gridSpan w:val="2"/>
                  <w:noWrap w:val="0"/>
                  <w:vAlign w:val="center"/>
                </w:tcPr>
                <w:p>
                  <w:pPr>
                    <w:adjustRightInd w:val="0"/>
                    <w:snapToGrid w:val="0"/>
                    <w:jc w:val="center"/>
                    <w:rPr>
                      <w:szCs w:val="21"/>
                    </w:rPr>
                  </w:pPr>
                  <w:r>
                    <w:rPr>
                      <w:rFonts w:hint="eastAsia"/>
                      <w:szCs w:val="21"/>
                    </w:rPr>
                    <w:t>通气管管口/加油机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vMerge w:val="continue"/>
                  <w:noWrap w:val="0"/>
                  <w:vAlign w:val="center"/>
                </w:tcPr>
                <w:p>
                  <w:pPr>
                    <w:adjustRightInd w:val="0"/>
                    <w:snapToGrid w:val="0"/>
                    <w:jc w:val="center"/>
                    <w:rPr>
                      <w:rFonts w:hint="eastAsia"/>
                      <w:szCs w:val="21"/>
                    </w:rPr>
                  </w:pPr>
                </w:p>
              </w:tc>
              <w:tc>
                <w:tcPr>
                  <w:tcW w:w="1024" w:type="dxa"/>
                  <w:noWrap w:val="0"/>
                  <w:vAlign w:val="center"/>
                </w:tcPr>
                <w:p>
                  <w:pPr>
                    <w:adjustRightInd w:val="0"/>
                    <w:snapToGrid w:val="0"/>
                    <w:jc w:val="center"/>
                    <w:rPr>
                      <w:szCs w:val="21"/>
                    </w:rPr>
                  </w:pPr>
                  <w:r>
                    <w:rPr>
                      <w:rFonts w:hint="eastAsia"/>
                      <w:szCs w:val="21"/>
                    </w:rPr>
                    <w:t>规定值</w:t>
                  </w:r>
                </w:p>
              </w:tc>
              <w:tc>
                <w:tcPr>
                  <w:tcW w:w="1024" w:type="dxa"/>
                  <w:noWrap w:val="0"/>
                  <w:vAlign w:val="center"/>
                </w:tcPr>
                <w:p>
                  <w:pPr>
                    <w:adjustRightInd w:val="0"/>
                    <w:snapToGrid w:val="0"/>
                    <w:jc w:val="center"/>
                    <w:rPr>
                      <w:szCs w:val="21"/>
                    </w:rPr>
                  </w:pPr>
                  <w:r>
                    <w:rPr>
                      <w:rFonts w:hint="eastAsia"/>
                      <w:szCs w:val="21"/>
                    </w:rPr>
                    <w:t>设计值</w:t>
                  </w:r>
                </w:p>
              </w:tc>
              <w:tc>
                <w:tcPr>
                  <w:tcW w:w="1024" w:type="dxa"/>
                  <w:noWrap w:val="0"/>
                  <w:vAlign w:val="center"/>
                </w:tcPr>
                <w:p>
                  <w:pPr>
                    <w:adjustRightInd w:val="0"/>
                    <w:snapToGrid w:val="0"/>
                    <w:jc w:val="center"/>
                    <w:rPr>
                      <w:rFonts w:hint="eastAsia"/>
                      <w:szCs w:val="21"/>
                    </w:rPr>
                  </w:pPr>
                  <w:r>
                    <w:rPr>
                      <w:rFonts w:hint="eastAsia"/>
                      <w:szCs w:val="21"/>
                    </w:rPr>
                    <w:t>规定值</w:t>
                  </w:r>
                </w:p>
              </w:tc>
              <w:tc>
                <w:tcPr>
                  <w:tcW w:w="1026" w:type="dxa"/>
                  <w:noWrap w:val="0"/>
                  <w:vAlign w:val="center"/>
                </w:tcPr>
                <w:p>
                  <w:pPr>
                    <w:adjustRightInd w:val="0"/>
                    <w:snapToGrid w:val="0"/>
                    <w:jc w:val="center"/>
                    <w:rPr>
                      <w:rFonts w:hint="eastAsia"/>
                      <w:szCs w:val="21"/>
                    </w:rPr>
                  </w:pPr>
                  <w:r>
                    <w:rPr>
                      <w:rFonts w:hint="eastAsia"/>
                      <w:szCs w:val="21"/>
                    </w:rPr>
                    <w:t>设计值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szCs w:val="21"/>
                    </w:rPr>
                  </w:pPr>
                  <w:r>
                    <w:rPr>
                      <w:rFonts w:hint="eastAsia"/>
                      <w:szCs w:val="21"/>
                    </w:rPr>
                    <w:t>明火或散发火花地点</w:t>
                  </w:r>
                </w:p>
              </w:tc>
              <w:tc>
                <w:tcPr>
                  <w:tcW w:w="1024" w:type="dxa"/>
                  <w:noWrap w:val="0"/>
                  <w:vAlign w:val="center"/>
                </w:tcPr>
                <w:p>
                  <w:pPr>
                    <w:adjustRightInd w:val="0"/>
                    <w:snapToGrid w:val="0"/>
                    <w:jc w:val="center"/>
                    <w:rPr>
                      <w:szCs w:val="21"/>
                    </w:rPr>
                  </w:pPr>
                  <w:r>
                    <w:rPr>
                      <w:rFonts w:hint="eastAsia"/>
                      <w:szCs w:val="21"/>
                    </w:rPr>
                    <w:t>17.5</w:t>
                  </w:r>
                </w:p>
              </w:tc>
              <w:tc>
                <w:tcPr>
                  <w:tcW w:w="1024" w:type="dxa"/>
                  <w:noWrap w:val="0"/>
                  <w:vAlign w:val="center"/>
                </w:tcPr>
                <w:p>
                  <w:pPr>
                    <w:adjustRightInd w:val="0"/>
                    <w:snapToGrid w:val="0"/>
                    <w:jc w:val="center"/>
                    <w:rPr>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12.5</w:t>
                  </w:r>
                </w:p>
              </w:tc>
              <w:tc>
                <w:tcPr>
                  <w:tcW w:w="1026" w:type="dxa"/>
                  <w:noWrap w:val="0"/>
                  <w:vAlign w:val="center"/>
                </w:tcPr>
                <w:p>
                  <w:pPr>
                    <w:adjustRightInd w:val="0"/>
                    <w:snapToGrid w:val="0"/>
                    <w:jc w:val="center"/>
                    <w:rPr>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restart"/>
                  <w:noWrap w:val="0"/>
                  <w:vAlign w:val="center"/>
                </w:tcPr>
                <w:p>
                  <w:pPr>
                    <w:adjustRightInd w:val="0"/>
                    <w:snapToGrid w:val="0"/>
                    <w:jc w:val="center"/>
                    <w:rPr>
                      <w:szCs w:val="21"/>
                    </w:rPr>
                  </w:pPr>
                  <w:r>
                    <w:rPr>
                      <w:rFonts w:hint="eastAsia"/>
                      <w:szCs w:val="21"/>
                    </w:rPr>
                    <w:t>民用建筑物保护类别</w:t>
                  </w:r>
                </w:p>
              </w:tc>
              <w:tc>
                <w:tcPr>
                  <w:tcW w:w="1804" w:type="dxa"/>
                  <w:noWrap w:val="0"/>
                  <w:vAlign w:val="center"/>
                </w:tcPr>
                <w:p>
                  <w:pPr>
                    <w:adjustRightInd w:val="0"/>
                    <w:snapToGrid w:val="0"/>
                    <w:jc w:val="center"/>
                    <w:rPr>
                      <w:szCs w:val="21"/>
                    </w:rPr>
                  </w:pPr>
                  <w:r>
                    <w:rPr>
                      <w:rFonts w:hint="eastAsia"/>
                      <w:szCs w:val="21"/>
                    </w:rPr>
                    <w:t>一类建筑物</w:t>
                  </w:r>
                </w:p>
              </w:tc>
              <w:tc>
                <w:tcPr>
                  <w:tcW w:w="1024" w:type="dxa"/>
                  <w:noWrap w:val="0"/>
                  <w:vAlign w:val="center"/>
                </w:tcPr>
                <w:p>
                  <w:pPr>
                    <w:adjustRightInd w:val="0"/>
                    <w:snapToGrid w:val="0"/>
                    <w:jc w:val="center"/>
                    <w:rPr>
                      <w:szCs w:val="21"/>
                    </w:rPr>
                  </w:pPr>
                  <w:r>
                    <w:rPr>
                      <w:rFonts w:hint="eastAsia"/>
                      <w:szCs w:val="21"/>
                    </w:rPr>
                    <w:t>14</w:t>
                  </w:r>
                </w:p>
              </w:tc>
              <w:tc>
                <w:tcPr>
                  <w:tcW w:w="1024" w:type="dxa"/>
                  <w:noWrap w:val="0"/>
                  <w:vAlign w:val="center"/>
                </w:tcPr>
                <w:p>
                  <w:pPr>
                    <w:adjustRightInd w:val="0"/>
                    <w:snapToGrid w:val="0"/>
                    <w:jc w:val="center"/>
                    <w:rPr>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11</w:t>
                  </w:r>
                </w:p>
              </w:tc>
              <w:tc>
                <w:tcPr>
                  <w:tcW w:w="1026" w:type="dxa"/>
                  <w:noWrap w:val="0"/>
                  <w:vAlign w:val="center"/>
                </w:tcPr>
                <w:p>
                  <w:pPr>
                    <w:adjustRightInd w:val="0"/>
                    <w:snapToGrid w:val="0"/>
                    <w:jc w:val="center"/>
                    <w:rPr>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continue"/>
                  <w:noWrap w:val="0"/>
                  <w:vAlign w:val="center"/>
                </w:tcPr>
                <w:p>
                  <w:pPr>
                    <w:adjustRightInd w:val="0"/>
                    <w:snapToGrid w:val="0"/>
                    <w:jc w:val="center"/>
                    <w:rPr>
                      <w:rFonts w:hint="eastAsia"/>
                      <w:szCs w:val="21"/>
                    </w:rPr>
                  </w:pPr>
                </w:p>
              </w:tc>
              <w:tc>
                <w:tcPr>
                  <w:tcW w:w="1804" w:type="dxa"/>
                  <w:noWrap w:val="0"/>
                  <w:vAlign w:val="center"/>
                </w:tcPr>
                <w:p>
                  <w:pPr>
                    <w:adjustRightInd w:val="0"/>
                    <w:snapToGrid w:val="0"/>
                    <w:jc w:val="center"/>
                    <w:rPr>
                      <w:szCs w:val="21"/>
                    </w:rPr>
                  </w:pPr>
                  <w:r>
                    <w:rPr>
                      <w:rFonts w:hint="eastAsia"/>
                      <w:szCs w:val="21"/>
                    </w:rPr>
                    <w:t>二类建筑物</w:t>
                  </w:r>
                </w:p>
              </w:tc>
              <w:tc>
                <w:tcPr>
                  <w:tcW w:w="1024" w:type="dxa"/>
                  <w:noWrap w:val="0"/>
                  <w:vAlign w:val="center"/>
                </w:tcPr>
                <w:p>
                  <w:pPr>
                    <w:adjustRightInd w:val="0"/>
                    <w:snapToGrid w:val="0"/>
                    <w:jc w:val="center"/>
                    <w:rPr>
                      <w:szCs w:val="21"/>
                    </w:rPr>
                  </w:pPr>
                  <w:r>
                    <w:rPr>
                      <w:rFonts w:hint="eastAsia"/>
                      <w:szCs w:val="21"/>
                    </w:rPr>
                    <w:t>11</w:t>
                  </w:r>
                </w:p>
              </w:tc>
              <w:tc>
                <w:tcPr>
                  <w:tcW w:w="1024" w:type="dxa"/>
                  <w:noWrap w:val="0"/>
                  <w:vAlign w:val="center"/>
                </w:tcPr>
                <w:p>
                  <w:pPr>
                    <w:adjustRightInd w:val="0"/>
                    <w:snapToGrid w:val="0"/>
                    <w:jc w:val="center"/>
                    <w:rPr>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8.5</w:t>
                  </w:r>
                </w:p>
              </w:tc>
              <w:tc>
                <w:tcPr>
                  <w:tcW w:w="1026" w:type="dxa"/>
                  <w:noWrap w:val="0"/>
                  <w:vAlign w:val="center"/>
                </w:tcPr>
                <w:p>
                  <w:pPr>
                    <w:adjustRightInd w:val="0"/>
                    <w:snapToGrid w:val="0"/>
                    <w:jc w:val="center"/>
                    <w:rPr>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continue"/>
                  <w:noWrap w:val="0"/>
                  <w:vAlign w:val="center"/>
                </w:tcPr>
                <w:p>
                  <w:pPr>
                    <w:adjustRightInd w:val="0"/>
                    <w:snapToGrid w:val="0"/>
                    <w:jc w:val="center"/>
                    <w:rPr>
                      <w:rFonts w:hint="eastAsia"/>
                      <w:szCs w:val="21"/>
                    </w:rPr>
                  </w:pPr>
                </w:p>
              </w:tc>
              <w:tc>
                <w:tcPr>
                  <w:tcW w:w="1804" w:type="dxa"/>
                  <w:noWrap w:val="0"/>
                  <w:vAlign w:val="center"/>
                </w:tcPr>
                <w:p>
                  <w:pPr>
                    <w:adjustRightInd w:val="0"/>
                    <w:snapToGrid w:val="0"/>
                    <w:jc w:val="center"/>
                    <w:rPr>
                      <w:szCs w:val="21"/>
                    </w:rPr>
                  </w:pPr>
                  <w:r>
                    <w:rPr>
                      <w:rFonts w:hint="eastAsia"/>
                      <w:szCs w:val="21"/>
                    </w:rPr>
                    <w:t>三类建筑物</w:t>
                  </w:r>
                </w:p>
              </w:tc>
              <w:tc>
                <w:tcPr>
                  <w:tcW w:w="1024" w:type="dxa"/>
                  <w:noWrap w:val="0"/>
                  <w:vAlign w:val="center"/>
                </w:tcPr>
                <w:p>
                  <w:pPr>
                    <w:adjustRightInd w:val="0"/>
                    <w:snapToGrid w:val="0"/>
                    <w:jc w:val="center"/>
                    <w:rPr>
                      <w:szCs w:val="21"/>
                    </w:rPr>
                  </w:pPr>
                  <w:r>
                    <w:rPr>
                      <w:rFonts w:hint="eastAsia"/>
                      <w:szCs w:val="21"/>
                    </w:rPr>
                    <w:t>8.5</w:t>
                  </w:r>
                </w:p>
              </w:tc>
              <w:tc>
                <w:tcPr>
                  <w:tcW w:w="1024" w:type="dxa"/>
                  <w:noWrap w:val="0"/>
                  <w:vAlign w:val="center"/>
                </w:tcPr>
                <w:p>
                  <w:pPr>
                    <w:adjustRightInd w:val="0"/>
                    <w:snapToGrid w:val="0"/>
                    <w:jc w:val="center"/>
                    <w:rPr>
                      <w:szCs w:val="21"/>
                    </w:rPr>
                  </w:pPr>
                  <w:r>
                    <w:rPr>
                      <w:rFonts w:hint="eastAsia"/>
                      <w:szCs w:val="21"/>
                    </w:rPr>
                    <w:t>15</w:t>
                  </w:r>
                </w:p>
              </w:tc>
              <w:tc>
                <w:tcPr>
                  <w:tcW w:w="1024" w:type="dxa"/>
                  <w:noWrap w:val="0"/>
                  <w:vAlign w:val="center"/>
                </w:tcPr>
                <w:p>
                  <w:pPr>
                    <w:adjustRightInd w:val="0"/>
                    <w:snapToGrid w:val="0"/>
                    <w:jc w:val="center"/>
                    <w:rPr>
                      <w:szCs w:val="21"/>
                    </w:rPr>
                  </w:pPr>
                  <w:r>
                    <w:rPr>
                      <w:rFonts w:hint="eastAsia"/>
                      <w:szCs w:val="21"/>
                    </w:rPr>
                    <w:t>7</w:t>
                  </w:r>
                </w:p>
              </w:tc>
              <w:tc>
                <w:tcPr>
                  <w:tcW w:w="1026" w:type="dxa"/>
                  <w:noWrap w:val="0"/>
                  <w:vAlign w:val="center"/>
                </w:tcPr>
                <w:p>
                  <w:pPr>
                    <w:adjustRightInd w:val="0"/>
                    <w:snapToGrid w:val="0"/>
                    <w:jc w:val="center"/>
                    <w:rPr>
                      <w:szCs w:val="21"/>
                    </w:rPr>
                  </w:pPr>
                  <w:r>
                    <w:rPr>
                      <w:rFonts w:hint="eastAsia"/>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szCs w:val="21"/>
                    </w:rPr>
                  </w:pPr>
                  <w:r>
                    <w:rPr>
                      <w:rFonts w:hint="eastAsia"/>
                      <w:szCs w:val="21"/>
                    </w:rPr>
                    <w:t>甲、乙类物品生产厂房</w:t>
                  </w:r>
                </w:p>
              </w:tc>
              <w:tc>
                <w:tcPr>
                  <w:tcW w:w="1024" w:type="dxa"/>
                  <w:noWrap w:val="0"/>
                  <w:vAlign w:val="center"/>
                </w:tcPr>
                <w:p>
                  <w:pPr>
                    <w:adjustRightInd w:val="0"/>
                    <w:snapToGrid w:val="0"/>
                    <w:jc w:val="center"/>
                    <w:rPr>
                      <w:szCs w:val="21"/>
                    </w:rPr>
                  </w:pPr>
                  <w:r>
                    <w:rPr>
                      <w:rFonts w:hint="eastAsia"/>
                      <w:szCs w:val="21"/>
                    </w:rPr>
                    <w:t>15.5</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12.5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szCs w:val="21"/>
                    </w:rPr>
                  </w:pPr>
                  <w:r>
                    <w:rPr>
                      <w:rFonts w:hint="eastAsia"/>
                      <w:szCs w:val="21"/>
                    </w:rPr>
                    <w:t>丙、丁、戊类物品生产厂房</w:t>
                  </w:r>
                </w:p>
              </w:tc>
              <w:tc>
                <w:tcPr>
                  <w:tcW w:w="1024" w:type="dxa"/>
                  <w:noWrap w:val="0"/>
                  <w:vAlign w:val="center"/>
                </w:tcPr>
                <w:p>
                  <w:pPr>
                    <w:adjustRightInd w:val="0"/>
                    <w:snapToGrid w:val="0"/>
                    <w:jc w:val="center"/>
                    <w:rPr>
                      <w:szCs w:val="21"/>
                    </w:rPr>
                  </w:pPr>
                  <w:r>
                    <w:rPr>
                      <w:rFonts w:hint="eastAsia"/>
                      <w:szCs w:val="21"/>
                    </w:rPr>
                    <w:t>11</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10.5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rFonts w:hint="eastAsia"/>
                      <w:szCs w:val="21"/>
                    </w:rPr>
                  </w:pPr>
                  <w:r>
                    <w:rPr>
                      <w:bCs/>
                      <w:spacing w:val="4"/>
                      <w:szCs w:val="21"/>
                    </w:rPr>
                    <w:t>室外变配电站</w:t>
                  </w:r>
                </w:p>
              </w:tc>
              <w:tc>
                <w:tcPr>
                  <w:tcW w:w="1024" w:type="dxa"/>
                  <w:noWrap w:val="0"/>
                  <w:vAlign w:val="center"/>
                </w:tcPr>
                <w:p>
                  <w:pPr>
                    <w:adjustRightInd w:val="0"/>
                    <w:snapToGrid w:val="0"/>
                    <w:jc w:val="center"/>
                    <w:rPr>
                      <w:szCs w:val="21"/>
                    </w:rPr>
                  </w:pPr>
                  <w:r>
                    <w:rPr>
                      <w:rFonts w:hint="eastAsia"/>
                      <w:szCs w:val="21"/>
                    </w:rPr>
                    <w:t>15.5</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12.5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szCs w:val="21"/>
                    </w:rPr>
                  </w:pPr>
                  <w:r>
                    <w:rPr>
                      <w:rFonts w:hint="eastAsia"/>
                      <w:szCs w:val="21"/>
                    </w:rPr>
                    <w:t>铁路</w:t>
                  </w:r>
                </w:p>
              </w:tc>
              <w:tc>
                <w:tcPr>
                  <w:tcW w:w="1024" w:type="dxa"/>
                  <w:noWrap w:val="0"/>
                  <w:vAlign w:val="center"/>
                </w:tcPr>
                <w:p>
                  <w:pPr>
                    <w:adjustRightInd w:val="0"/>
                    <w:snapToGrid w:val="0"/>
                    <w:jc w:val="center"/>
                    <w:rPr>
                      <w:szCs w:val="21"/>
                    </w:rPr>
                  </w:pPr>
                  <w:r>
                    <w:rPr>
                      <w:rFonts w:hint="eastAsia"/>
                      <w:szCs w:val="21"/>
                    </w:rPr>
                    <w:t>15.5</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15.5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restart"/>
                  <w:noWrap w:val="0"/>
                  <w:vAlign w:val="center"/>
                </w:tcPr>
                <w:p>
                  <w:pPr>
                    <w:adjustRightInd w:val="0"/>
                    <w:snapToGrid w:val="0"/>
                    <w:jc w:val="center"/>
                    <w:rPr>
                      <w:rFonts w:hint="eastAsia"/>
                      <w:szCs w:val="21"/>
                    </w:rPr>
                  </w:pPr>
                  <w:r>
                    <w:rPr>
                      <w:szCs w:val="21"/>
                    </w:rPr>
                    <w:t>城市道路</w:t>
                  </w:r>
                </w:p>
              </w:tc>
              <w:tc>
                <w:tcPr>
                  <w:tcW w:w="1804" w:type="dxa"/>
                  <w:noWrap w:val="0"/>
                  <w:vAlign w:val="center"/>
                </w:tcPr>
                <w:p>
                  <w:pPr>
                    <w:adjustRightInd w:val="0"/>
                    <w:snapToGrid w:val="0"/>
                    <w:jc w:val="center"/>
                    <w:rPr>
                      <w:rFonts w:hint="eastAsia"/>
                      <w:szCs w:val="21"/>
                    </w:rPr>
                  </w:pPr>
                  <w:r>
                    <w:rPr>
                      <w:szCs w:val="21"/>
                    </w:rPr>
                    <w:t>快速路、主干路</w:t>
                  </w:r>
                </w:p>
              </w:tc>
              <w:tc>
                <w:tcPr>
                  <w:tcW w:w="1024" w:type="dxa"/>
                  <w:noWrap w:val="0"/>
                  <w:vAlign w:val="center"/>
                </w:tcPr>
                <w:p>
                  <w:pPr>
                    <w:adjustRightInd w:val="0"/>
                    <w:snapToGrid w:val="0"/>
                    <w:jc w:val="center"/>
                    <w:rPr>
                      <w:szCs w:val="21"/>
                    </w:rPr>
                  </w:pPr>
                  <w:r>
                    <w:rPr>
                      <w:rFonts w:hint="eastAsia"/>
                      <w:szCs w:val="21"/>
                    </w:rPr>
                    <w:t>5.5</w:t>
                  </w:r>
                </w:p>
              </w:tc>
              <w:tc>
                <w:tcPr>
                  <w:tcW w:w="1024" w:type="dxa"/>
                  <w:noWrap w:val="0"/>
                  <w:vAlign w:val="center"/>
                </w:tcPr>
                <w:p>
                  <w:pPr>
                    <w:adjustRightInd w:val="0"/>
                    <w:snapToGrid w:val="0"/>
                    <w:jc w:val="center"/>
                    <w:rPr>
                      <w:szCs w:val="21"/>
                    </w:rPr>
                  </w:pPr>
                  <w:r>
                    <w:rPr>
                      <w:rFonts w:hint="eastAsia"/>
                      <w:szCs w:val="21"/>
                    </w:rPr>
                    <w:t>33.7</w:t>
                  </w:r>
                </w:p>
              </w:tc>
              <w:tc>
                <w:tcPr>
                  <w:tcW w:w="1024" w:type="dxa"/>
                  <w:noWrap w:val="0"/>
                  <w:vAlign w:val="center"/>
                </w:tcPr>
                <w:p>
                  <w:pPr>
                    <w:adjustRightInd w:val="0"/>
                    <w:snapToGrid w:val="0"/>
                    <w:jc w:val="center"/>
                    <w:rPr>
                      <w:szCs w:val="21"/>
                    </w:rPr>
                  </w:pPr>
                  <w:r>
                    <w:rPr>
                      <w:rFonts w:hint="eastAsia"/>
                      <w:szCs w:val="21"/>
                    </w:rPr>
                    <w:t>5</w:t>
                  </w:r>
                </w:p>
              </w:tc>
              <w:tc>
                <w:tcPr>
                  <w:tcW w:w="1026" w:type="dxa"/>
                  <w:noWrap w:val="0"/>
                  <w:vAlign w:val="center"/>
                </w:tcPr>
                <w:p>
                  <w:pPr>
                    <w:adjustRightInd w:val="0"/>
                    <w:snapToGrid w:val="0"/>
                    <w:jc w:val="center"/>
                    <w:rPr>
                      <w:szCs w:val="21"/>
                    </w:rPr>
                  </w:pPr>
                  <w:r>
                    <w:rPr>
                      <w:rFonts w:hint="eastAsia"/>
                      <w:szCs w:val="21"/>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continue"/>
                  <w:noWrap w:val="0"/>
                  <w:vAlign w:val="center"/>
                </w:tcPr>
                <w:p>
                  <w:pPr>
                    <w:adjustRightInd w:val="0"/>
                    <w:snapToGrid w:val="0"/>
                    <w:jc w:val="center"/>
                    <w:rPr>
                      <w:rFonts w:hint="eastAsia"/>
                      <w:szCs w:val="21"/>
                    </w:rPr>
                  </w:pPr>
                </w:p>
              </w:tc>
              <w:tc>
                <w:tcPr>
                  <w:tcW w:w="1804" w:type="dxa"/>
                  <w:noWrap w:val="0"/>
                  <w:vAlign w:val="center"/>
                </w:tcPr>
                <w:p>
                  <w:pPr>
                    <w:adjustRightInd w:val="0"/>
                    <w:snapToGrid w:val="0"/>
                    <w:jc w:val="center"/>
                    <w:rPr>
                      <w:rFonts w:hint="eastAsia"/>
                      <w:szCs w:val="21"/>
                    </w:rPr>
                  </w:pPr>
                  <w:r>
                    <w:rPr>
                      <w:szCs w:val="21"/>
                    </w:rPr>
                    <w:t>次干路、支路</w:t>
                  </w:r>
                </w:p>
              </w:tc>
              <w:tc>
                <w:tcPr>
                  <w:tcW w:w="1024" w:type="dxa"/>
                  <w:noWrap w:val="0"/>
                  <w:vAlign w:val="center"/>
                </w:tcPr>
                <w:p>
                  <w:pPr>
                    <w:adjustRightInd w:val="0"/>
                    <w:snapToGrid w:val="0"/>
                    <w:jc w:val="center"/>
                    <w:rPr>
                      <w:szCs w:val="21"/>
                    </w:rPr>
                  </w:pPr>
                  <w:r>
                    <w:rPr>
                      <w:rFonts w:hint="eastAsia"/>
                      <w:szCs w:val="21"/>
                    </w:rPr>
                    <w:t>5</w:t>
                  </w:r>
                </w:p>
              </w:tc>
              <w:tc>
                <w:tcPr>
                  <w:tcW w:w="1024" w:type="dxa"/>
                  <w:noWrap w:val="0"/>
                  <w:vAlign w:val="center"/>
                </w:tcPr>
                <w:p>
                  <w:pPr>
                    <w:adjustRightInd w:val="0"/>
                    <w:snapToGrid w:val="0"/>
                    <w:jc w:val="center"/>
                    <w:rPr>
                      <w:szCs w:val="21"/>
                    </w:rPr>
                  </w:pPr>
                  <w:r>
                    <w:rPr>
                      <w:rFonts w:hint="eastAsia"/>
                      <w:szCs w:val="21"/>
                    </w:rPr>
                    <w:t>81</w:t>
                  </w:r>
                </w:p>
              </w:tc>
              <w:tc>
                <w:tcPr>
                  <w:tcW w:w="1024" w:type="dxa"/>
                  <w:noWrap w:val="0"/>
                  <w:vAlign w:val="center"/>
                </w:tcPr>
                <w:p>
                  <w:pPr>
                    <w:adjustRightInd w:val="0"/>
                    <w:snapToGrid w:val="0"/>
                    <w:jc w:val="center"/>
                    <w:rPr>
                      <w:szCs w:val="21"/>
                    </w:rPr>
                  </w:pPr>
                  <w:r>
                    <w:rPr>
                      <w:rFonts w:hint="eastAsia"/>
                      <w:szCs w:val="21"/>
                    </w:rPr>
                    <w:t>5</w:t>
                  </w:r>
                </w:p>
              </w:tc>
              <w:tc>
                <w:tcPr>
                  <w:tcW w:w="1026" w:type="dxa"/>
                  <w:noWrap w:val="0"/>
                  <w:vAlign w:val="center"/>
                </w:tcPr>
                <w:p>
                  <w:pPr>
                    <w:adjustRightInd w:val="0"/>
                    <w:snapToGrid w:val="0"/>
                    <w:jc w:val="center"/>
                    <w:rPr>
                      <w:szCs w:val="21"/>
                    </w:rPr>
                  </w:pPr>
                  <w:r>
                    <w:rPr>
                      <w:rFonts w:hint="eastAsia"/>
                      <w:szCs w:val="21"/>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95" w:type="dxa"/>
                  <w:gridSpan w:val="2"/>
                  <w:noWrap w:val="0"/>
                  <w:vAlign w:val="center"/>
                </w:tcPr>
                <w:p>
                  <w:pPr>
                    <w:adjustRightInd w:val="0"/>
                    <w:snapToGrid w:val="0"/>
                    <w:jc w:val="center"/>
                    <w:rPr>
                      <w:rFonts w:hint="eastAsia"/>
                      <w:szCs w:val="21"/>
                    </w:rPr>
                  </w:pPr>
                  <w:r>
                    <w:rPr>
                      <w:rFonts w:hint="eastAsia"/>
                      <w:szCs w:val="21"/>
                    </w:rPr>
                    <w:t>架空通信线和通信发射塔</w:t>
                  </w:r>
                </w:p>
              </w:tc>
              <w:tc>
                <w:tcPr>
                  <w:tcW w:w="1024" w:type="dxa"/>
                  <w:noWrap w:val="0"/>
                  <w:vAlign w:val="center"/>
                </w:tcPr>
                <w:p>
                  <w:pPr>
                    <w:adjustRightInd w:val="0"/>
                    <w:snapToGrid w:val="0"/>
                    <w:jc w:val="center"/>
                    <w:rPr>
                      <w:szCs w:val="21"/>
                    </w:rPr>
                  </w:pPr>
                  <w:r>
                    <w:rPr>
                      <w:rFonts w:hint="eastAsia"/>
                      <w:szCs w:val="21"/>
                    </w:rPr>
                    <w:t>5</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restart"/>
                  <w:noWrap w:val="0"/>
                  <w:vAlign w:val="center"/>
                </w:tcPr>
                <w:p>
                  <w:pPr>
                    <w:spacing w:line="400" w:lineRule="exact"/>
                    <w:jc w:val="center"/>
                    <w:rPr>
                      <w:rFonts w:hint="eastAsia"/>
                      <w:szCs w:val="21"/>
                    </w:rPr>
                  </w:pPr>
                  <w:r>
                    <w:rPr>
                      <w:bCs/>
                      <w:spacing w:val="4"/>
                      <w:szCs w:val="21"/>
                    </w:rPr>
                    <w:t>架空电力线路</w:t>
                  </w:r>
                </w:p>
              </w:tc>
              <w:tc>
                <w:tcPr>
                  <w:tcW w:w="1804" w:type="dxa"/>
                  <w:noWrap w:val="0"/>
                  <w:vAlign w:val="center"/>
                </w:tcPr>
                <w:p>
                  <w:pPr>
                    <w:spacing w:line="400" w:lineRule="exact"/>
                    <w:jc w:val="center"/>
                    <w:rPr>
                      <w:rFonts w:hint="eastAsia"/>
                      <w:szCs w:val="21"/>
                    </w:rPr>
                  </w:pPr>
                  <w:r>
                    <w:rPr>
                      <w:bCs/>
                      <w:spacing w:val="4"/>
                      <w:szCs w:val="21"/>
                    </w:rPr>
                    <w:t>无绝缘层</w:t>
                  </w:r>
                </w:p>
              </w:tc>
              <w:tc>
                <w:tcPr>
                  <w:tcW w:w="1024" w:type="dxa"/>
                  <w:noWrap w:val="0"/>
                  <w:vAlign w:val="center"/>
                </w:tcPr>
                <w:p>
                  <w:pPr>
                    <w:adjustRightInd w:val="0"/>
                    <w:snapToGrid w:val="0"/>
                    <w:jc w:val="center"/>
                    <w:rPr>
                      <w:szCs w:val="21"/>
                    </w:rPr>
                  </w:pPr>
                  <w:r>
                    <w:rPr>
                      <w:rFonts w:hint="eastAsia"/>
                      <w:szCs w:val="21"/>
                    </w:rPr>
                    <w:t>无</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6.5</w:t>
                  </w:r>
                </w:p>
              </w:tc>
              <w:tc>
                <w:tcPr>
                  <w:tcW w:w="1026" w:type="dxa"/>
                  <w:noWrap w:val="0"/>
                  <w:vAlign w:val="center"/>
                </w:tcPr>
                <w:p>
                  <w:pPr>
                    <w:adjustRightInd w:val="0"/>
                    <w:snapToGrid w:val="0"/>
                    <w:jc w:val="center"/>
                    <w:rPr>
                      <w:rFonts w:hint="eastAsia"/>
                      <w:szCs w:val="21"/>
                    </w:rPr>
                  </w:pPr>
                  <w:r>
                    <w:rPr>
                      <w:rFonts w:hint="eastAsia"/>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1" w:type="dxa"/>
                  <w:vMerge w:val="continue"/>
                  <w:noWrap w:val="0"/>
                  <w:vAlign w:val="center"/>
                </w:tcPr>
                <w:p>
                  <w:pPr>
                    <w:spacing w:line="400" w:lineRule="exact"/>
                    <w:jc w:val="center"/>
                    <w:rPr>
                      <w:rFonts w:hint="eastAsia"/>
                      <w:szCs w:val="21"/>
                    </w:rPr>
                  </w:pPr>
                </w:p>
              </w:tc>
              <w:tc>
                <w:tcPr>
                  <w:tcW w:w="1804" w:type="dxa"/>
                  <w:noWrap w:val="0"/>
                  <w:vAlign w:val="center"/>
                </w:tcPr>
                <w:p>
                  <w:pPr>
                    <w:spacing w:line="400" w:lineRule="exact"/>
                    <w:jc w:val="center"/>
                    <w:rPr>
                      <w:rFonts w:hint="eastAsia"/>
                      <w:szCs w:val="21"/>
                    </w:rPr>
                  </w:pPr>
                  <w:r>
                    <w:rPr>
                      <w:bCs/>
                      <w:spacing w:val="4"/>
                      <w:szCs w:val="21"/>
                    </w:rPr>
                    <w:t>有绝缘层</w:t>
                  </w:r>
                </w:p>
              </w:tc>
              <w:tc>
                <w:tcPr>
                  <w:tcW w:w="1024" w:type="dxa"/>
                  <w:noWrap w:val="0"/>
                  <w:vAlign w:val="center"/>
                </w:tcPr>
                <w:p>
                  <w:pPr>
                    <w:adjustRightInd w:val="0"/>
                    <w:snapToGrid w:val="0"/>
                    <w:jc w:val="center"/>
                    <w:rPr>
                      <w:szCs w:val="21"/>
                    </w:rPr>
                  </w:pPr>
                  <w:r>
                    <w:rPr>
                      <w:rFonts w:hint="eastAsia"/>
                      <w:szCs w:val="21"/>
                    </w:rPr>
                    <w:t>无</w:t>
                  </w:r>
                </w:p>
              </w:tc>
              <w:tc>
                <w:tcPr>
                  <w:tcW w:w="1024" w:type="dxa"/>
                  <w:noWrap w:val="0"/>
                  <w:vAlign w:val="center"/>
                </w:tcPr>
                <w:p>
                  <w:pPr>
                    <w:adjustRightInd w:val="0"/>
                    <w:snapToGrid w:val="0"/>
                    <w:jc w:val="center"/>
                    <w:rPr>
                      <w:rFonts w:hint="eastAsia"/>
                      <w:szCs w:val="21"/>
                    </w:rPr>
                  </w:pPr>
                  <w:r>
                    <w:rPr>
                      <w:rFonts w:hint="eastAsia"/>
                      <w:szCs w:val="21"/>
                    </w:rPr>
                    <w:t>无</w:t>
                  </w:r>
                </w:p>
              </w:tc>
              <w:tc>
                <w:tcPr>
                  <w:tcW w:w="1024" w:type="dxa"/>
                  <w:noWrap w:val="0"/>
                  <w:vAlign w:val="center"/>
                </w:tcPr>
                <w:p>
                  <w:pPr>
                    <w:adjustRightInd w:val="0"/>
                    <w:snapToGrid w:val="0"/>
                    <w:jc w:val="center"/>
                    <w:rPr>
                      <w:szCs w:val="21"/>
                    </w:rPr>
                  </w:pPr>
                  <w:r>
                    <w:rPr>
                      <w:rFonts w:hint="eastAsia"/>
                      <w:szCs w:val="21"/>
                    </w:rPr>
                    <w:t>5</w:t>
                  </w:r>
                </w:p>
              </w:tc>
              <w:tc>
                <w:tcPr>
                  <w:tcW w:w="1026" w:type="dxa"/>
                  <w:noWrap w:val="0"/>
                  <w:vAlign w:val="center"/>
                </w:tcPr>
                <w:p>
                  <w:pPr>
                    <w:adjustRightInd w:val="0"/>
                    <w:snapToGrid w:val="0"/>
                    <w:jc w:val="center"/>
                    <w:rPr>
                      <w:rFonts w:hint="eastAsia"/>
                      <w:szCs w:val="21"/>
                    </w:rPr>
                  </w:pPr>
                  <w:r>
                    <w:rPr>
                      <w:rFonts w:hint="eastAsia"/>
                      <w:szCs w:val="21"/>
                    </w:rPr>
                    <w:t>无</w:t>
                  </w:r>
                </w:p>
              </w:tc>
            </w:tr>
          </w:tbl>
          <w:p>
            <w:pPr>
              <w:adjustRightInd w:val="0"/>
              <w:snapToGrid w:val="0"/>
              <w:spacing w:line="360" w:lineRule="auto"/>
              <w:rPr>
                <w:b/>
                <w:sz w:val="24"/>
              </w:rPr>
            </w:pPr>
            <w:r>
              <w:rPr>
                <w:rFonts w:hint="eastAsia"/>
                <w:b/>
                <w:sz w:val="24"/>
              </w:rPr>
              <w:t>1.</w:t>
            </w:r>
            <w:r>
              <w:rPr>
                <w:rFonts w:hint="eastAsia"/>
                <w:b/>
                <w:sz w:val="24"/>
                <w:lang w:val="en-US" w:eastAsia="zh-CN"/>
              </w:rPr>
              <w:t>6</w:t>
            </w:r>
            <w:r>
              <w:rPr>
                <w:rFonts w:hint="eastAsia"/>
                <w:b/>
                <w:sz w:val="24"/>
              </w:rPr>
              <w:t xml:space="preserve"> 平面布局合理性分析</w:t>
            </w:r>
          </w:p>
          <w:p>
            <w:pPr>
              <w:adjustRightInd w:val="0"/>
              <w:snapToGrid w:val="0"/>
              <w:spacing w:line="360" w:lineRule="auto"/>
              <w:ind w:firstLine="480" w:firstLineChars="200"/>
              <w:rPr>
                <w:rFonts w:hint="eastAsia"/>
                <w:b/>
                <w:sz w:val="24"/>
                <w:u w:val="single"/>
              </w:rPr>
            </w:pPr>
            <w:r>
              <w:rPr>
                <w:sz w:val="24"/>
                <w:u w:val="single"/>
              </w:rPr>
              <w:t>项目</w:t>
            </w:r>
            <w:r>
              <w:rPr>
                <w:rFonts w:hint="eastAsia"/>
                <w:sz w:val="24"/>
                <w:u w:val="single"/>
              </w:rPr>
              <w:t>建设地块</w:t>
            </w:r>
            <w:r>
              <w:rPr>
                <w:sz w:val="24"/>
                <w:u w:val="single"/>
              </w:rPr>
              <w:t>为</w:t>
            </w:r>
            <w:r>
              <w:rPr>
                <w:rFonts w:hint="eastAsia"/>
                <w:sz w:val="24"/>
                <w:u w:val="single"/>
              </w:rPr>
              <w:t>一不规则多边形，自西向东分别为辅助用房、消防器材间、卸油口、储罐区（4座</w:t>
            </w:r>
            <w:r>
              <w:rPr>
                <w:kern w:val="21"/>
                <w:sz w:val="24"/>
                <w:u w:val="single"/>
              </w:rPr>
              <w:t>地埋式</w:t>
            </w:r>
            <w:r>
              <w:rPr>
                <w:rFonts w:hint="eastAsia"/>
                <w:kern w:val="21"/>
                <w:sz w:val="24"/>
                <w:u w:val="single"/>
              </w:rPr>
              <w:t>双</w:t>
            </w:r>
            <w:r>
              <w:rPr>
                <w:kern w:val="21"/>
                <w:sz w:val="24"/>
                <w:u w:val="single"/>
              </w:rPr>
              <w:t>层储罐</w:t>
            </w:r>
            <w:r>
              <w:rPr>
                <w:rFonts w:hint="eastAsia"/>
                <w:sz w:val="24"/>
                <w:u w:val="single"/>
              </w:rPr>
              <w:t>）、罩棚区（内设</w:t>
            </w:r>
            <w:r>
              <w:rPr>
                <w:rFonts w:hint="eastAsia"/>
                <w:kern w:val="21"/>
                <w:sz w:val="24"/>
                <w:u w:val="single"/>
              </w:rPr>
              <w:t>4</w:t>
            </w:r>
            <w:r>
              <w:rPr>
                <w:kern w:val="21"/>
                <w:sz w:val="24"/>
                <w:u w:val="single"/>
              </w:rPr>
              <w:t>台</w:t>
            </w:r>
            <w:r>
              <w:rPr>
                <w:rFonts w:hint="eastAsia"/>
                <w:kern w:val="21"/>
                <w:sz w:val="24"/>
                <w:u w:val="single"/>
              </w:rPr>
              <w:t>2枪2油</w:t>
            </w:r>
            <w:r>
              <w:rPr>
                <w:kern w:val="21"/>
                <w:sz w:val="24"/>
                <w:u w:val="single"/>
              </w:rPr>
              <w:t>加油机</w:t>
            </w:r>
            <w:r>
              <w:rPr>
                <w:rFonts w:hint="eastAsia"/>
                <w:sz w:val="24"/>
                <w:u w:val="single"/>
              </w:rPr>
              <w:t>）与站房（1F，内设</w:t>
            </w:r>
            <w:r>
              <w:rPr>
                <w:sz w:val="24"/>
                <w:u w:val="single"/>
              </w:rPr>
              <w:t>卫生间、便利店、办公室、配电间</w:t>
            </w:r>
            <w:r>
              <w:rPr>
                <w:rFonts w:hint="eastAsia"/>
                <w:sz w:val="24"/>
                <w:u w:val="single"/>
              </w:rPr>
              <w:t>、休息室等）、停车位等（同一经度，自北往南分布），项目油罐区处于离居民较远位置，</w:t>
            </w:r>
            <w:r>
              <w:rPr>
                <w:sz w:val="24"/>
                <w:u w:val="single"/>
              </w:rPr>
              <w:t>本项目平面布局设置合理可行。</w:t>
            </w:r>
            <w:r>
              <w:rPr>
                <w:rFonts w:hint="eastAsia"/>
                <w:sz w:val="24"/>
                <w:u w:val="single"/>
              </w:rPr>
              <w:t>详情参见附图二。</w:t>
            </w:r>
          </w:p>
          <w:p>
            <w:pPr>
              <w:adjustRightInd w:val="0"/>
              <w:snapToGrid w:val="0"/>
              <w:spacing w:line="360" w:lineRule="auto"/>
              <w:rPr>
                <w:b/>
                <w:sz w:val="24"/>
                <w:u w:val="single"/>
              </w:rPr>
            </w:pPr>
            <w:r>
              <w:rPr>
                <w:rFonts w:hint="eastAsia"/>
                <w:b/>
                <w:sz w:val="24"/>
                <w:u w:val="single"/>
              </w:rPr>
              <w:t>1.</w:t>
            </w:r>
            <w:r>
              <w:rPr>
                <w:rFonts w:hint="eastAsia"/>
                <w:b/>
                <w:sz w:val="24"/>
                <w:u w:val="single"/>
                <w:lang w:val="en-US" w:eastAsia="zh-CN"/>
              </w:rPr>
              <w:t>7</w:t>
            </w:r>
            <w:r>
              <w:rPr>
                <w:rFonts w:hint="eastAsia"/>
                <w:b/>
                <w:sz w:val="24"/>
                <w:u w:val="single"/>
              </w:rPr>
              <w:t>、与《重点行业挥发性有机物综合治理方案》（环大气[2019]53 号）相符性分析</w:t>
            </w:r>
          </w:p>
          <w:p>
            <w:pPr>
              <w:pStyle w:val="73"/>
              <w:ind w:firstLine="480"/>
              <w:rPr>
                <w:rFonts w:hint="eastAsia"/>
                <w:szCs w:val="24"/>
                <w:u w:val="single"/>
              </w:rPr>
            </w:pPr>
            <w:r>
              <w:rPr>
                <w:rFonts w:ascii="宋体" w:hAnsi="宋体" w:cs="宋体"/>
                <w:szCs w:val="24"/>
                <w:u w:val="single"/>
              </w:rPr>
              <w:t>根据《重点行业挥发性有机物综合治理方案》（环大气[2019]53号）的要求：“（二）全面加强无组织排放控制。重点对含VOCs物料（包括含VOCs原辅材料、含VOCs产品、含VOCs废料以及有机聚合物材料等）储存、转移和输送、设备与管线组件泄露、敞开液面逸散以及工艺过程等五类排放源实施管控，通过采取设备与场所密闭、工艺改进、废气有效收集等措施，削减 VOCs无组织排放。”以及“（五）油品储运销VOCs综合治理。加大汽油（含乙醇汽油）、石脑油、煤油（含航 空煤油）以及原油等 VOCs 排放控制，重点推进加油站、油罐车、储油库油气回收治理。重点区域还应推进油船油气回收治理工作。”本项目拟采用卸油油气回收、分散式加油油气回收系统，以减少有机废气外排，因此与《重点行业挥发性有机物综合治理方案》中相关管 控要求相符</w:t>
            </w:r>
            <w:r>
              <w:rPr>
                <w:rFonts w:hint="eastAsia"/>
                <w:szCs w:val="24"/>
                <w:u w:val="single"/>
              </w:rPr>
              <w:t>。</w:t>
            </w:r>
          </w:p>
          <w:p>
            <w:pPr>
              <w:adjustRightInd w:val="0"/>
              <w:snapToGrid w:val="0"/>
              <w:spacing w:line="360" w:lineRule="auto"/>
              <w:rPr>
                <w:b/>
                <w:color w:val="0000FF"/>
                <w:sz w:val="24"/>
                <w:u w:val="none"/>
              </w:rPr>
            </w:pPr>
            <w:r>
              <w:rPr>
                <w:rFonts w:hint="eastAsia"/>
                <w:b/>
                <w:color w:val="0000FF"/>
                <w:sz w:val="24"/>
                <w:u w:val="none"/>
              </w:rPr>
              <w:t>1.</w:t>
            </w:r>
            <w:r>
              <w:rPr>
                <w:rFonts w:hint="eastAsia"/>
                <w:b/>
                <w:color w:val="0000FF"/>
                <w:sz w:val="24"/>
                <w:u w:val="none"/>
                <w:lang w:val="en-US" w:eastAsia="zh-CN"/>
              </w:rPr>
              <w:t>8</w:t>
            </w:r>
            <w:r>
              <w:rPr>
                <w:rFonts w:hint="eastAsia"/>
                <w:b/>
                <w:color w:val="0000FF"/>
                <w:sz w:val="24"/>
                <w:u w:val="none"/>
              </w:rPr>
              <w:t>、</w:t>
            </w:r>
            <w:r>
              <w:rPr>
                <w:rFonts w:hint="eastAsia" w:ascii="Times New Roman" w:hAnsi="Times New Roman" w:eastAsia="宋体" w:cs="Times New Roman"/>
                <w:b/>
                <w:color w:val="0000FF"/>
                <w:sz w:val="24"/>
                <w:u w:val="none"/>
              </w:rPr>
              <w:t>与</w:t>
            </w:r>
            <w:r>
              <w:rPr>
                <w:rFonts w:hint="eastAsia" w:ascii="Times New Roman" w:hAnsi="Times New Roman" w:eastAsia="宋体" w:cs="Times New Roman"/>
                <w:b/>
                <w:color w:val="0000FF"/>
                <w:sz w:val="24"/>
                <w:u w:val="none"/>
                <w:lang w:eastAsia="zh-CN"/>
              </w:rPr>
              <w:t>《</w:t>
            </w:r>
            <w:r>
              <w:rPr>
                <w:rFonts w:hint="eastAsia" w:ascii="Times New Roman" w:hAnsi="Times New Roman" w:eastAsia="宋体" w:cs="Times New Roman"/>
                <w:b/>
                <w:color w:val="0000FF"/>
                <w:sz w:val="24"/>
                <w:u w:val="none"/>
              </w:rPr>
              <w:t>关于加快解决当前挥发性有机物治理突出问题的通知</w:t>
            </w:r>
            <w:r>
              <w:rPr>
                <w:rFonts w:hint="eastAsia" w:ascii="Times New Roman" w:hAnsi="Times New Roman" w:eastAsia="宋体" w:cs="Times New Roman"/>
                <w:b/>
                <w:color w:val="0000FF"/>
                <w:sz w:val="24"/>
                <w:u w:val="none"/>
                <w:lang w:eastAsia="zh-CN"/>
              </w:rPr>
              <w:t>》（</w:t>
            </w:r>
            <w:r>
              <w:rPr>
                <w:rFonts w:hint="eastAsia" w:ascii="Times New Roman" w:hAnsi="Times New Roman" w:eastAsia="宋体" w:cs="Times New Roman"/>
                <w:b/>
                <w:color w:val="0000FF"/>
                <w:sz w:val="24"/>
                <w:u w:val="none"/>
                <w:lang w:val="en-US" w:eastAsia="zh-CN"/>
              </w:rPr>
              <w:t>2021</w:t>
            </w:r>
            <w:r>
              <w:rPr>
                <w:rFonts w:hint="eastAsia" w:ascii="Times New Roman" w:hAnsi="Times New Roman" w:eastAsia="宋体" w:cs="Times New Roman"/>
                <w:b/>
                <w:color w:val="0000FF"/>
                <w:sz w:val="24"/>
                <w:u w:val="none"/>
                <w:lang w:eastAsia="zh-CN"/>
              </w:rPr>
              <w:t>）</w:t>
            </w:r>
            <w:r>
              <w:rPr>
                <w:rFonts w:hint="eastAsia" w:ascii="Times New Roman" w:hAnsi="Times New Roman" w:eastAsia="宋体" w:cs="Times New Roman"/>
                <w:b/>
                <w:color w:val="0000FF"/>
                <w:sz w:val="24"/>
                <w:u w:val="none"/>
                <w:lang w:val="en-US" w:eastAsia="zh-CN"/>
              </w:rPr>
              <w:t>65号</w:t>
            </w:r>
            <w:r>
              <w:rPr>
                <w:rFonts w:hint="eastAsia" w:ascii="Times New Roman" w:hAnsi="Times New Roman" w:eastAsia="宋体" w:cs="Times New Roman"/>
                <w:b/>
                <w:color w:val="0000FF"/>
                <w:sz w:val="24"/>
                <w:u w:val="none"/>
              </w:rPr>
              <w:t>相符性分</w:t>
            </w:r>
            <w:r>
              <w:rPr>
                <w:rFonts w:hint="eastAsia"/>
                <w:b/>
                <w:color w:val="0000FF"/>
                <w:sz w:val="24"/>
                <w:u w:val="none"/>
              </w:rPr>
              <w:t>析</w:t>
            </w:r>
          </w:p>
          <w:p>
            <w:pPr>
              <w:adjustRightInd w:val="0"/>
              <w:snapToGrid w:val="0"/>
              <w:spacing w:line="360" w:lineRule="auto"/>
              <w:ind w:firstLine="480" w:firstLineChars="200"/>
              <w:rPr>
                <w:rFonts w:hint="eastAsia" w:ascii="Times New Roman" w:hAnsi="Times New Roman" w:eastAsia="宋体" w:cs="Times New Roman"/>
                <w:color w:val="0000FF"/>
                <w:sz w:val="24"/>
                <w:u w:val="none"/>
                <w:lang w:val="en-US" w:eastAsia="zh-CN"/>
              </w:rPr>
            </w:pPr>
            <w:r>
              <w:rPr>
                <w:rFonts w:hint="eastAsia" w:ascii="Times New Roman" w:hAnsi="Times New Roman" w:eastAsia="宋体" w:cs="Times New Roman"/>
                <w:color w:val="0000FF"/>
                <w:sz w:val="24"/>
                <w:u w:val="none"/>
                <w:lang w:val="en-US" w:eastAsia="zh-CN"/>
              </w:rPr>
              <w:t>根据《关于加快解决当前挥发性有机物治理突出问题的通知》（2021）65号中“挥发性有机物治理突出问题排查整治工作要求:“</w:t>
            </w:r>
            <w:r>
              <w:rPr>
                <w:rFonts w:ascii="宋体" w:hAnsi="宋体" w:eastAsia="宋体" w:cs="宋体"/>
                <w:color w:val="0000FF"/>
                <w:sz w:val="24"/>
                <w:szCs w:val="24"/>
                <w:u w:val="none"/>
              </w:rPr>
              <w:t>加油站应全面建立覆盖标准全部要求的油气回收系统日常运行管理制度，建立定期的油气回收系统相关零部件检查、维护台账记录。卸油接口、油气回收接口、卸油软管接头的管径以及操作应满足标准要求。地下油罐应采用电子液位仪密闭量油，除必要的仪器校准、巡查抽查、维修等需人工计量外，不得进行人工量油。未安装P/V阀的汽油排放管手动阀门应保持关闭，应急开启应及时报告当地生态环境部门并及时进行维护，期间不得进行卸油操作。油气处理装置应保持正常运行，不得随意设置为手动模式或关闭。油气泄漏浓度超标的油气回收系统密闭点位应通过更换密封圈、密封方式、设备零部件等实现达标排放。对气液比超标的加油枪应查找原因，通过更换集气罩、加油枪或真空泵零部件、调节回气阀等方式保持油气回收系统达标运行。鼓励汽油年销售量5000吨及以上的加油站、纳入地方重点排污单位名录的加油站建设油气回收在线监测系统。</w:t>
            </w:r>
            <w:r>
              <w:rPr>
                <w:rFonts w:hint="eastAsia" w:ascii="Times New Roman" w:hAnsi="Times New Roman" w:eastAsia="宋体" w:cs="Times New Roman"/>
                <w:color w:val="0000FF"/>
                <w:sz w:val="24"/>
                <w:u w:val="none"/>
                <w:lang w:val="en-US" w:eastAsia="zh-CN"/>
              </w:rPr>
              <w:t>”</w:t>
            </w:r>
            <w:r>
              <w:rPr>
                <w:rFonts w:hint="eastAsia" w:ascii="宋体" w:hAnsi="宋体" w:eastAsia="宋体" w:cs="宋体"/>
                <w:color w:val="0000FF"/>
                <w:sz w:val="24"/>
                <w:szCs w:val="24"/>
                <w:u w:val="none"/>
              </w:rPr>
              <w:t>本项目拟采用</w:t>
            </w:r>
            <w:r>
              <w:rPr>
                <w:rFonts w:hint="eastAsia" w:ascii="宋体" w:hAnsi="宋体" w:cs="宋体"/>
                <w:color w:val="0000FF"/>
                <w:sz w:val="24"/>
                <w:szCs w:val="24"/>
                <w:u w:val="none"/>
                <w:lang w:val="en-US" w:eastAsia="zh-CN"/>
              </w:rPr>
              <w:t>三级</w:t>
            </w:r>
            <w:r>
              <w:rPr>
                <w:rFonts w:hint="eastAsia" w:ascii="宋体" w:hAnsi="宋体" w:eastAsia="宋体" w:cs="宋体"/>
                <w:color w:val="0000FF"/>
                <w:sz w:val="24"/>
                <w:szCs w:val="24"/>
                <w:u w:val="none"/>
              </w:rPr>
              <w:t>油气回收系统</w:t>
            </w:r>
            <w:r>
              <w:rPr>
                <w:rFonts w:hint="eastAsia" w:ascii="宋体" w:hAnsi="宋体" w:eastAsia="宋体" w:cs="宋体"/>
                <w:color w:val="0000FF"/>
                <w:sz w:val="24"/>
                <w:szCs w:val="24"/>
                <w:u w:val="none"/>
                <w:lang w:val="en-US" w:eastAsia="zh-CN"/>
              </w:rPr>
              <w:t>并建立油气回收系统日常运行管理制度</w:t>
            </w:r>
            <w:r>
              <w:rPr>
                <w:rFonts w:hint="eastAsia" w:ascii="宋体" w:hAnsi="宋体" w:eastAsia="宋体" w:cs="宋体"/>
                <w:color w:val="0000FF"/>
                <w:sz w:val="24"/>
                <w:szCs w:val="24"/>
                <w:u w:val="none"/>
              </w:rPr>
              <w:t>，以减少有机废气外排，</w:t>
            </w:r>
            <w:r>
              <w:rPr>
                <w:rFonts w:hint="eastAsia" w:ascii="宋体" w:hAnsi="宋体" w:eastAsia="宋体" w:cs="宋体"/>
                <w:color w:val="0000FF"/>
                <w:sz w:val="24"/>
                <w:szCs w:val="24"/>
                <w:u w:val="none"/>
                <w:lang w:val="en-US" w:eastAsia="zh-CN"/>
              </w:rPr>
              <w:t>项目已设置监测井及液位报警仪，有效应对环境突发事件的发生，项目汽油年销售量低于5000吨，无需纳入</w:t>
            </w:r>
            <w:r>
              <w:rPr>
                <w:rFonts w:ascii="宋体" w:hAnsi="宋体" w:eastAsia="宋体" w:cs="宋体"/>
                <w:color w:val="0000FF"/>
                <w:sz w:val="24"/>
                <w:szCs w:val="24"/>
                <w:u w:val="none"/>
              </w:rPr>
              <w:t>地方重点排污单位名录的加油站建设油气回收在线监测系统</w:t>
            </w:r>
            <w:r>
              <w:rPr>
                <w:rFonts w:hint="eastAsia" w:ascii="宋体" w:hAnsi="宋体" w:eastAsia="宋体" w:cs="宋体"/>
                <w:color w:val="0000FF"/>
                <w:sz w:val="24"/>
                <w:szCs w:val="24"/>
                <w:u w:val="none"/>
                <w:lang w:eastAsia="zh-CN"/>
              </w:rPr>
              <w:t>。</w:t>
            </w:r>
            <w:r>
              <w:rPr>
                <w:rFonts w:hint="eastAsia" w:ascii="宋体" w:hAnsi="宋体" w:eastAsia="宋体" w:cs="宋体"/>
                <w:color w:val="0000FF"/>
                <w:sz w:val="24"/>
                <w:szCs w:val="24"/>
                <w:u w:val="none"/>
                <w:lang w:val="en-US" w:eastAsia="zh-CN"/>
              </w:rPr>
              <w:t>因此，项目符合</w:t>
            </w:r>
            <w:r>
              <w:rPr>
                <w:rFonts w:hint="eastAsia" w:ascii="Times New Roman" w:hAnsi="Times New Roman" w:eastAsia="宋体" w:cs="Times New Roman"/>
                <w:color w:val="0000FF"/>
                <w:sz w:val="24"/>
                <w:u w:val="none"/>
                <w:lang w:val="en-US" w:eastAsia="zh-CN"/>
              </w:rPr>
              <w:t>《关于加快解决当前挥发性有机物治理突出问题的通知》（2021）65号中“挥发性有机物治理突出问题排查整治工作要求。</w:t>
            </w:r>
          </w:p>
          <w:p>
            <w:pPr>
              <w:adjustRightInd w:val="0"/>
              <w:snapToGrid w:val="0"/>
              <w:spacing w:line="360" w:lineRule="auto"/>
              <w:rPr>
                <w:rFonts w:hint="eastAsia" w:ascii="Times New Roman" w:hAnsi="Times New Roman" w:eastAsia="宋体" w:cs="Times New Roman"/>
                <w:b/>
                <w:color w:val="0000FF"/>
                <w:sz w:val="24"/>
                <w:u w:val="none"/>
                <w:lang w:val="en-US" w:eastAsia="zh-CN"/>
              </w:rPr>
            </w:pPr>
            <w:r>
              <w:rPr>
                <w:rFonts w:hint="eastAsia" w:ascii="Times New Roman" w:hAnsi="Times New Roman" w:eastAsia="宋体" w:cs="Times New Roman"/>
                <w:b/>
                <w:color w:val="0000FF"/>
                <w:sz w:val="24"/>
                <w:u w:val="none"/>
                <w:lang w:val="en-US" w:eastAsia="zh-CN"/>
              </w:rPr>
              <w:t>1.9、</w:t>
            </w:r>
            <w:r>
              <w:rPr>
                <w:rFonts w:hint="eastAsia" w:ascii="Times New Roman" w:hAnsi="Times New Roman" w:eastAsia="宋体" w:cs="Times New Roman"/>
                <w:b/>
                <w:color w:val="0000FF"/>
                <w:sz w:val="24"/>
                <w:u w:val="none"/>
              </w:rPr>
              <w:t>与</w:t>
            </w:r>
            <w:r>
              <w:rPr>
                <w:rFonts w:hint="eastAsia" w:ascii="Times New Roman" w:hAnsi="Times New Roman" w:eastAsia="宋体" w:cs="Times New Roman"/>
                <w:b/>
                <w:color w:val="0000FF"/>
                <w:sz w:val="24"/>
                <w:u w:val="none"/>
                <w:lang w:eastAsia="zh-CN"/>
              </w:rPr>
              <w:t>《</w:t>
            </w:r>
            <w:r>
              <w:rPr>
                <w:b/>
                <w:color w:val="0000FF"/>
                <w:sz w:val="24"/>
              </w:rPr>
              <w:t>挥发性有机物无组织排放控制标准》</w:t>
            </w:r>
            <w:r>
              <w:rPr>
                <w:rFonts w:hint="eastAsia" w:ascii="Times New Roman" w:hAnsi="Times New Roman" w:eastAsia="宋体" w:cs="Times New Roman"/>
                <w:b/>
                <w:color w:val="0000FF"/>
                <w:sz w:val="24"/>
                <w:u w:val="none"/>
              </w:rPr>
              <w:t>（GB 37822—2019）相符性</w:t>
            </w:r>
            <w:r>
              <w:rPr>
                <w:rFonts w:hint="eastAsia" w:ascii="Times New Roman" w:hAnsi="Times New Roman" w:eastAsia="宋体" w:cs="Times New Roman"/>
                <w:b/>
                <w:color w:val="0000FF"/>
                <w:sz w:val="24"/>
                <w:u w:val="none"/>
                <w:lang w:val="en-US" w:eastAsia="zh-CN"/>
              </w:rPr>
              <w:t>分析</w:t>
            </w:r>
          </w:p>
          <w:p>
            <w:pPr>
              <w:adjustRightInd w:val="0"/>
              <w:snapToGrid w:val="0"/>
              <w:spacing w:line="360" w:lineRule="auto"/>
              <w:jc w:val="center"/>
              <w:rPr>
                <w:rFonts w:hint="eastAsia" w:ascii="Times New Roman" w:hAnsi="Times New Roman" w:eastAsia="宋体" w:cs="Times New Roman"/>
                <w:b w:val="0"/>
                <w:bCs/>
                <w:color w:val="0000FF"/>
                <w:sz w:val="24"/>
                <w:u w:val="none"/>
                <w:lang w:val="en-US" w:eastAsia="zh-CN"/>
              </w:rPr>
            </w:pPr>
            <w:r>
              <w:rPr>
                <w:rFonts w:hint="eastAsia" w:ascii="Times New Roman" w:hAnsi="Times New Roman" w:eastAsia="宋体" w:cs="Times New Roman"/>
                <w:b/>
                <w:color w:val="0000FF"/>
                <w:szCs w:val="21"/>
                <w:u w:val="none"/>
                <w:lang w:val="en-US" w:eastAsia="zh-CN"/>
              </w:rPr>
              <w:t>表1-3 与《挥发性有机物无组织排放控制标准》符合性分析</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5"/>
              <w:gridCol w:w="1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895" w:type="dxa"/>
                  <w:noWrap w:val="0"/>
                  <w:vAlign w:val="center"/>
                </w:tcPr>
                <w:p>
                  <w:pPr>
                    <w:adjustRightInd w:val="0"/>
                    <w:snapToGrid w:val="0"/>
                    <w:spacing w:line="240" w:lineRule="auto"/>
                    <w:jc w:val="center"/>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要求</w:t>
                  </w:r>
                </w:p>
              </w:tc>
              <w:tc>
                <w:tcPr>
                  <w:tcW w:w="1888" w:type="dxa"/>
                  <w:noWrap w:val="0"/>
                  <w:vAlign w:val="center"/>
                </w:tcPr>
                <w:p>
                  <w:pPr>
                    <w:adjustRightInd w:val="0"/>
                    <w:snapToGrid w:val="0"/>
                    <w:spacing w:line="240" w:lineRule="auto"/>
                    <w:jc w:val="center"/>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895" w:type="dxa"/>
                  <w:noWrap w:val="0"/>
                  <w:vAlign w:val="center"/>
                </w:tcPr>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1 储罐控制要求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（1）储存真实蒸气压&gt;76.6 kPa 且储罐容积&gt;75 的挥发性有机液体储罐，应采用低压罐、压力罐或其他等效措施。</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（2）储存真实蒸气压&gt;27.6 kPa但&lt;76.6 kPa 且储罐容积75 m的挥发性有机液体储罐，应符合下列规定之一:</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3）采用浮顶罐。对于内浮顶罐，浮顶与罐壁之间应采用浸液式密封、机械式鞋形密封等高效密封方式;对于外浮顶罐，浮顶与罐壁之间应采用双重密封，且一次密封应采用浸液式密封、机械式鞋形密封等高效密封方式。</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（4）采用固定顶罐，排放的废气应收集处理并满足相关行业排放标准的要求(无行业排放标准的应满足 GB 16297的要求)，或者处理效率不低于 80%。</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（5）采用气相平衡系统。</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（6）采取其他等效措施。</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储罐特别控制要求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储存真实蒸气压&gt;76.6 kPa 的挥发性有机液体储罐，应采用低压罐、压力罐或其他等效措施。储存真实蒸气压&gt;27.6 kPa 但&lt;76.6 kPa 且储罐容积75 m的挥发性有机液体储罐，以及储存真实蒸气压≥5.2 kPa 但&lt;27.6 kPa 且储罐容积150 的挥发性有机液体储罐，应符合下列规定之采用浮顶罐。对于内浮顶罐，浮顶与罐壁之间应采用浸液式密封、机械式鞋形密封等高效密封方式:对于外浮顶罐，浮顶与罐壁之间应采用双重密封，日一次密封应采用浸液式密封、机械式鞋形密封等高效密封方式。采用固定顶罐，排放的废气应收集处理并满足相关行业排放标准的要求(无行业排放标准的应满足 GB 16297 的要求)，或者处理效率不低于90%。采用气相平衡系统。采取其他等效措施</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储罐运行维护要求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浮顶罐</w:t>
                  </w:r>
                </w:p>
                <w:p>
                  <w:pPr>
                    <w:numPr>
                      <w:ilvl w:val="0"/>
                      <w:numId w:val="1"/>
                    </w:num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浮顶罐罐体应保持完好，不应有孔洞、缝隙。浮顶边缘密封不应有破损。</w:t>
                  </w:r>
                </w:p>
                <w:p>
                  <w:pPr>
                    <w:numPr>
                      <w:ilvl w:val="0"/>
                      <w:numId w:val="1"/>
                    </w:numPr>
                    <w:adjustRightInd w:val="0"/>
                    <w:snapToGrid w:val="0"/>
                    <w:spacing w:line="240" w:lineRule="auto"/>
                    <w:ind w:left="0" w:leftChars="0" w:firstLine="0" w:firstLineChars="0"/>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储罐附件开口(孔)，除采样、计量、例行检查、维护和其他正常活动外，应密闭。</w:t>
                  </w:r>
                </w:p>
                <w:p>
                  <w:pPr>
                    <w:numPr>
                      <w:ilvl w:val="0"/>
                      <w:numId w:val="0"/>
                    </w:numPr>
                    <w:adjustRightInd w:val="0"/>
                    <w:snapToGrid w:val="0"/>
                    <w:spacing w:line="240" w:lineRule="auto"/>
                    <w:ind w:leftChars="0"/>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c) 支柱、导向装置等储罐附件穿过浮顶时，应采取密封措施。</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d) 除储罐排空作业外，浮顶应始终漂浮于储存物料的表面。</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e)自动通气阀在浮顶处于漂浮状态时应关闭且密封良好，仅在浮顶处于支撑状态时开启。</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边缘呼吸阀在浮顶处于漂浮状态时应密封良好，并定期检查定压是否符合设定要求。g)除自动通气阀、边缘呼吸阀外，浮顶的外边缘板及所有通过浮顶的开孔接管均应浸入液面下</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（7）固定顶罐</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a) 固定顶罐罐体应保持完好，不应有孔洞、缝隙。</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b) 储罐附件开口(孔)，除采样、计量、例行检查、维护和其他正常活动外，应密闭。</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rPr>
                  </w:pPr>
                  <w:r>
                    <w:rPr>
                      <w:rFonts w:hint="eastAsia" w:ascii="Times New Roman" w:hAnsi="Times New Roman" w:eastAsia="宋体" w:cs="Times New Roman"/>
                      <w:b w:val="0"/>
                      <w:bCs/>
                      <w:color w:val="0000FF"/>
                      <w:sz w:val="21"/>
                      <w:szCs w:val="21"/>
                      <w:u w:val="none"/>
                      <w:vertAlign w:val="baseline"/>
                      <w:lang w:val="en-US" w:eastAsia="zh-CN"/>
                    </w:rPr>
                    <w:t>c) 定期检查呼吸阀的定压是否符合设定要求。</w:t>
                  </w:r>
                </w:p>
              </w:tc>
              <w:tc>
                <w:tcPr>
                  <w:tcW w:w="1888" w:type="dxa"/>
                  <w:noWrap w:val="0"/>
                  <w:vAlign w:val="center"/>
                </w:tcPr>
                <w:p>
                  <w:pPr>
                    <w:adjustRightInd w:val="0"/>
                    <w:snapToGrid w:val="0"/>
                    <w:spacing w:line="240" w:lineRule="auto"/>
                    <w:jc w:val="center"/>
                    <w:rPr>
                      <w:rFonts w:hint="default"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项目采用双层罐，拟设置液压、液位计，监控储罐情况。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895" w:type="dxa"/>
                  <w:noWrap w:val="0"/>
                  <w:vAlign w:val="center"/>
                </w:tcPr>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VOCs物料转移和输送无组织排放控制要求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1、基本要求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（1）液态 VOCs 物料应采用密闭管道输送。采用非管道输送方式转移液态 VOCs物料时，应采用密闭容器、罐车。</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（2）粉状、粒状 VOCs 物料应采用气力输送设备、管状带式输送机、螺旋输送机等密闭输送方式或者采用密闭的包装袋、容器或罐车进行物料转移。</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（3）对挥发性有机液体进行装载时，应符合 6.2 条规定</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2、挥发性有机液体装载</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（1）装载方式</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挥发性有机液体应采用底部装载方式: 若采用顶部浸没式装载，出料管口距离槽(罐)底部高度应小于 200 mm。</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（2）装载控制要求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装载物料真实蒸气压&gt;27.6 kPa 且单一装载设施的年装载量&gt;500 m’的，装载过程应符合下列规定</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a)排放的废气应收集处理并满足相关行业排放标准的要求(无行业排放标准的应满足 GB 1629的要求)，或者处理效率不低于 80%;</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b) 排放的废气连接至气相平衡系统。</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（3）装载特别控制要求</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装载物料真实蒸气压≥27.6kPa 且单一装载设施的年装载量≥500 m，以及装载物料真实蒸气压&gt;5.2 kPa 但&lt;27.6kPa 且单一装载设施的年装载量&gt;2500 m’的，装载过程应符合下列规定之一:</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a)排放的废气应收集处理并满足相关行业排放标准的要求(无行业排放标准的应满足 GB 16297的要求)，或者处理效率不低于 90%;</w:t>
                  </w:r>
                </w:p>
                <w:p>
                  <w:pPr>
                    <w:adjustRightInd w:val="0"/>
                    <w:snapToGrid w:val="0"/>
                    <w:spacing w:line="240" w:lineRule="auto"/>
                    <w:jc w:val="both"/>
                    <w:rPr>
                      <w:rFonts w:hint="eastAsia"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b) 排放的废气连接至气相平衡系统</w:t>
                  </w:r>
                </w:p>
              </w:tc>
              <w:tc>
                <w:tcPr>
                  <w:tcW w:w="1888" w:type="dxa"/>
                  <w:noWrap w:val="0"/>
                  <w:vAlign w:val="center"/>
                </w:tcPr>
                <w:p>
                  <w:pPr>
                    <w:adjustRightInd w:val="0"/>
                    <w:snapToGrid w:val="0"/>
                    <w:spacing w:line="240" w:lineRule="auto"/>
                    <w:jc w:val="center"/>
                    <w:rPr>
                      <w:rFonts w:hint="default" w:ascii="Times New Roman" w:hAnsi="Times New Roman" w:eastAsia="宋体" w:cs="Times New Roman"/>
                      <w:b w:val="0"/>
                      <w:bCs/>
                      <w:color w:val="0000FF"/>
                      <w:sz w:val="21"/>
                      <w:szCs w:val="21"/>
                      <w:u w:val="none"/>
                      <w:vertAlign w:val="baseline"/>
                      <w:lang w:val="en-US" w:eastAsia="zh-CN"/>
                    </w:rPr>
                  </w:pPr>
                  <w:r>
                    <w:rPr>
                      <w:rFonts w:hint="eastAsia" w:ascii="Times New Roman" w:hAnsi="Times New Roman" w:eastAsia="宋体" w:cs="Times New Roman"/>
                      <w:b w:val="0"/>
                      <w:bCs/>
                      <w:color w:val="0000FF"/>
                      <w:sz w:val="21"/>
                      <w:szCs w:val="21"/>
                      <w:u w:val="none"/>
                      <w:vertAlign w:val="baseline"/>
                      <w:lang w:val="en-US" w:eastAsia="zh-CN"/>
                    </w:rPr>
                    <w:t>项目</w:t>
                  </w:r>
                  <w:r>
                    <w:rPr>
                      <w:rFonts w:hint="eastAsia" w:cs="Times New Roman"/>
                      <w:b w:val="0"/>
                      <w:bCs/>
                      <w:color w:val="0000FF"/>
                      <w:sz w:val="21"/>
                      <w:szCs w:val="21"/>
                      <w:u w:val="none"/>
                      <w:vertAlign w:val="baseline"/>
                      <w:lang w:val="en-US" w:eastAsia="zh-CN"/>
                    </w:rPr>
                    <w:t>拟设置</w:t>
                  </w:r>
                  <w:r>
                    <w:rPr>
                      <w:rFonts w:hint="eastAsia" w:ascii="Times New Roman" w:hAnsi="Times New Roman" w:eastAsia="宋体" w:cs="Times New Roman"/>
                      <w:b w:val="0"/>
                      <w:bCs/>
                      <w:color w:val="0000FF"/>
                      <w:sz w:val="21"/>
                      <w:szCs w:val="21"/>
                      <w:u w:val="none"/>
                      <w:vertAlign w:val="baseline"/>
                      <w:lang w:val="en-US" w:eastAsia="zh-CN"/>
                    </w:rPr>
                    <w:t>密闭</w:t>
                  </w:r>
                  <w:r>
                    <w:rPr>
                      <w:rFonts w:hint="eastAsia" w:cs="Times New Roman"/>
                      <w:b w:val="0"/>
                      <w:bCs/>
                      <w:color w:val="0000FF"/>
                      <w:sz w:val="21"/>
                      <w:szCs w:val="21"/>
                      <w:u w:val="none"/>
                      <w:vertAlign w:val="baseline"/>
                      <w:lang w:val="en-US" w:eastAsia="zh-CN"/>
                    </w:rPr>
                    <w:t>三次</w:t>
                  </w:r>
                  <w:r>
                    <w:rPr>
                      <w:rFonts w:hint="eastAsia" w:ascii="Times New Roman" w:hAnsi="Times New Roman" w:eastAsia="宋体" w:cs="Times New Roman"/>
                      <w:b w:val="0"/>
                      <w:bCs/>
                      <w:color w:val="0000FF"/>
                      <w:sz w:val="21"/>
                      <w:szCs w:val="21"/>
                      <w:u w:val="none"/>
                      <w:vertAlign w:val="baseline"/>
                      <w:lang w:val="en-US" w:eastAsia="zh-CN"/>
                    </w:rPr>
                    <w:t>油气回收系统，可有效地减少VOCs的无组织排放，符合标准要求</w:t>
                  </w:r>
                </w:p>
              </w:tc>
            </w:tr>
          </w:tbl>
          <w:p>
            <w:pPr>
              <w:spacing w:line="360" w:lineRule="auto"/>
              <w:rPr>
                <w:rFonts w:hint="default"/>
                <w:lang w:val="en-US" w:eastAsia="zh-CN"/>
              </w:rPr>
            </w:pPr>
            <w:r>
              <w:rPr>
                <w:rFonts w:hint="eastAsia" w:ascii="Times New Roman" w:hAnsi="Times New Roman" w:eastAsia="宋体" w:cs="Times New Roman"/>
                <w:b/>
                <w:color w:val="0000FF"/>
                <w:sz w:val="24"/>
                <w:u w:val="none"/>
                <w:lang w:val="en-US" w:eastAsia="zh-CN"/>
              </w:rPr>
              <w:t xml:space="preserve">    </w:t>
            </w:r>
            <w:r>
              <w:rPr>
                <w:rFonts w:hint="eastAsia" w:ascii="Times New Roman" w:hAnsi="Times New Roman" w:eastAsia="宋体" w:cs="Times New Roman"/>
                <w:color w:val="0000FF"/>
                <w:sz w:val="24"/>
                <w:lang w:val="en-US" w:eastAsia="zh-CN"/>
              </w:rPr>
              <w:t>根据上表分析可知，项目符合《挥发性有机物无组织排放控制标准》（GB 37822—2019）。</w:t>
            </w:r>
          </w:p>
          <w:p>
            <w:pPr>
              <w:adjustRightInd w:val="0"/>
              <w:snapToGrid w:val="0"/>
              <w:spacing w:line="360" w:lineRule="auto"/>
              <w:rPr>
                <w:rFonts w:hint="default"/>
                <w:b/>
                <w:sz w:val="24"/>
                <w:lang w:val="en-US" w:eastAsia="zh-CN"/>
              </w:rPr>
            </w:pPr>
            <w:r>
              <w:rPr>
                <w:rFonts w:hint="eastAsia"/>
                <w:b/>
                <w:sz w:val="24"/>
              </w:rPr>
              <w:t>1.</w:t>
            </w:r>
            <w:r>
              <w:rPr>
                <w:rFonts w:hint="eastAsia"/>
                <w:b/>
                <w:sz w:val="24"/>
                <w:lang w:val="en-US" w:eastAsia="zh-CN"/>
              </w:rPr>
              <w:t>10</w:t>
            </w:r>
            <w:r>
              <w:rPr>
                <w:rFonts w:hint="eastAsia"/>
                <w:b/>
                <w:sz w:val="24"/>
              </w:rPr>
              <w:t>、</w:t>
            </w:r>
            <w:r>
              <w:rPr>
                <w:rFonts w:hint="eastAsia"/>
                <w:b/>
                <w:sz w:val="24"/>
                <w:lang w:val="en-US" w:eastAsia="zh-CN"/>
              </w:rPr>
              <w:t>与《湖南省大气污染防治“守护蓝天”攻坚行动计划》</w:t>
            </w:r>
            <w:r>
              <w:rPr>
                <w:rFonts w:hint="eastAsia"/>
                <w:b/>
                <w:sz w:val="24"/>
                <w:lang w:val="en-US" w:eastAsia="zh-CN"/>
              </w:rPr>
              <w:t>湘政办发【2023】34号相符性分析</w:t>
            </w:r>
          </w:p>
          <w:p>
            <w:pPr>
              <w:adjustRightInd w:val="0"/>
              <w:snapToGrid w:val="0"/>
              <w:spacing w:line="360" w:lineRule="auto"/>
              <w:ind w:firstLine="480" w:firstLineChars="200"/>
              <w:rPr>
                <w:rFonts w:hint="default" w:eastAsia="宋体"/>
                <w:sz w:val="24"/>
                <w:lang w:val="en-US" w:eastAsia="zh-CN"/>
              </w:rPr>
            </w:pPr>
            <w:r>
              <w:rPr>
                <w:rFonts w:hint="eastAsia"/>
                <w:sz w:val="24"/>
                <w:lang w:val="en-US" w:eastAsia="zh-CN"/>
              </w:rPr>
              <w:t>根据《</w:t>
            </w:r>
            <w:r>
              <w:rPr>
                <w:rFonts w:hint="eastAsia"/>
                <w:sz w:val="24"/>
              </w:rPr>
              <w:t>湖南省大气污染防治“守护蓝天”攻坚行动计划</w:t>
            </w:r>
            <w:r>
              <w:rPr>
                <w:rFonts w:hint="eastAsia"/>
                <w:sz w:val="24"/>
                <w:lang w:val="en-US" w:eastAsia="zh-CN"/>
              </w:rPr>
              <w:t>》，加油站</w:t>
            </w:r>
            <w:r>
              <w:rPr>
                <w:rFonts w:hint="eastAsia"/>
                <w:sz w:val="24"/>
              </w:rPr>
              <w:t>开展储运销环节油气回收专项检查，加油站按要求完成三次油气回收治理。到2025年，年销售汽油量大于5000吨（含）的加油站全面完成油气回收在线监测设施安装并联网。</w:t>
            </w:r>
            <w:r>
              <w:rPr>
                <w:rFonts w:hint="eastAsia"/>
                <w:sz w:val="24"/>
                <w:lang w:val="en-US" w:eastAsia="zh-CN"/>
              </w:rPr>
              <w:t>本项目拟对废气采取采用三次油气回收处理，项目年销售汽油量小于5000吨，无需安装油气回收在线监测设施。</w:t>
            </w:r>
          </w:p>
          <w:p>
            <w:pPr>
              <w:adjustRightInd w:val="0"/>
              <w:snapToGrid w:val="0"/>
              <w:spacing w:line="360" w:lineRule="auto"/>
              <w:rPr>
                <w:rFonts w:hint="eastAsia"/>
                <w:b/>
                <w:sz w:val="24"/>
              </w:rPr>
            </w:pPr>
            <w:r>
              <w:rPr>
                <w:rFonts w:hint="eastAsia"/>
                <w:b/>
                <w:sz w:val="24"/>
              </w:rPr>
              <w:t>1.</w:t>
            </w:r>
            <w:r>
              <w:rPr>
                <w:rFonts w:hint="eastAsia"/>
                <w:b/>
                <w:sz w:val="24"/>
                <w:lang w:val="en-US" w:eastAsia="zh-CN"/>
              </w:rPr>
              <w:t>11</w:t>
            </w:r>
            <w:r>
              <w:rPr>
                <w:rFonts w:hint="eastAsia"/>
                <w:b/>
                <w:sz w:val="24"/>
              </w:rPr>
              <w:t>、三线一单相符性分析</w:t>
            </w:r>
          </w:p>
          <w:p>
            <w:pPr>
              <w:adjustRightInd w:val="0"/>
              <w:snapToGrid w:val="0"/>
              <w:spacing w:line="360" w:lineRule="auto"/>
              <w:ind w:firstLine="480" w:firstLineChars="200"/>
              <w:rPr>
                <w:rFonts w:hint="eastAsia"/>
                <w:sz w:val="24"/>
              </w:rPr>
            </w:pPr>
            <w:r>
              <w:rPr>
                <w:rFonts w:hint="eastAsia"/>
                <w:sz w:val="24"/>
              </w:rPr>
              <w:t>1）生态保护红线</w:t>
            </w:r>
          </w:p>
          <w:p>
            <w:pPr>
              <w:adjustRightInd w:val="0"/>
              <w:snapToGrid w:val="0"/>
              <w:spacing w:line="360" w:lineRule="auto"/>
              <w:ind w:firstLine="480" w:firstLineChars="200"/>
              <w:rPr>
                <w:rFonts w:hint="eastAsia"/>
                <w:sz w:val="24"/>
              </w:rPr>
            </w:pPr>
            <w:r>
              <w:rPr>
                <w:rFonts w:hint="eastAsia"/>
                <w:sz w:val="24"/>
              </w:rPr>
              <w:t>根据《关于以改善环境质量为核心加强环境影响评价管理的通知》（环环评[2016]150号），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p>
            <w:pPr>
              <w:adjustRightInd w:val="0"/>
              <w:snapToGrid w:val="0"/>
              <w:spacing w:line="360" w:lineRule="auto"/>
              <w:ind w:firstLine="480" w:firstLineChars="200"/>
              <w:rPr>
                <w:rFonts w:hint="eastAsia"/>
                <w:sz w:val="24"/>
              </w:rPr>
            </w:pPr>
            <w:r>
              <w:rPr>
                <w:rFonts w:hint="eastAsia"/>
                <w:sz w:val="24"/>
              </w:rPr>
              <w:t>根据岳阳市生态环境局《岳阳市生态保护红线初步划定方案》（2018年）文件可知，本项目位于岳阳市临湘</w:t>
            </w:r>
            <w:r>
              <w:rPr>
                <w:rFonts w:hint="eastAsia"/>
                <w:sz w:val="24"/>
                <w:lang w:val="en-US" w:eastAsia="zh-CN"/>
              </w:rPr>
              <w:t>市长安街道</w:t>
            </w:r>
            <w:r>
              <w:rPr>
                <w:rFonts w:hint="eastAsia"/>
                <w:sz w:val="24"/>
              </w:rPr>
              <w:t>水井村已建成区域，属于重点管控单元，选址不涉及生态保护红线。</w:t>
            </w:r>
          </w:p>
          <w:p>
            <w:pPr>
              <w:adjustRightInd w:val="0"/>
              <w:snapToGrid w:val="0"/>
              <w:spacing w:line="360" w:lineRule="auto"/>
              <w:ind w:firstLine="480" w:firstLineChars="200"/>
              <w:rPr>
                <w:rFonts w:hint="eastAsia"/>
                <w:sz w:val="24"/>
              </w:rPr>
            </w:pPr>
            <w:r>
              <w:rPr>
                <w:rFonts w:hint="eastAsia"/>
                <w:sz w:val="24"/>
              </w:rPr>
              <w:t>2）环境质量底线</w:t>
            </w:r>
          </w:p>
          <w:p>
            <w:pPr>
              <w:adjustRightInd w:val="0"/>
              <w:snapToGrid w:val="0"/>
              <w:spacing w:line="360" w:lineRule="auto"/>
              <w:ind w:firstLine="480" w:firstLineChars="200"/>
              <w:rPr>
                <w:rFonts w:hint="eastAsia"/>
                <w:sz w:val="24"/>
              </w:rPr>
            </w:pPr>
            <w:r>
              <w:rPr>
                <w:rFonts w:hint="eastAsia"/>
                <w:sz w:val="24"/>
              </w:rPr>
              <w:t>项目所在地环境空气质量目标为《环境空气质量标准》（GB3095-2012）</w:t>
            </w:r>
            <w:r>
              <w:rPr>
                <w:rFonts w:hint="eastAsia"/>
                <w:sz w:val="24"/>
                <w:lang w:eastAsia="zh-CN"/>
              </w:rPr>
              <w:t>二次</w:t>
            </w:r>
            <w:r>
              <w:rPr>
                <w:rFonts w:hint="eastAsia"/>
                <w:sz w:val="24"/>
              </w:rPr>
              <w:t>标准。地表水环境质量目标为《地表水环境质量标准》（GB3838-2002）Ⅲ类标准。声环境质量为《声环境质量标准》(GB3096-2008)2类。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color w:val="0000FF"/>
                <w:sz w:val="24"/>
                <w:u w:val="none"/>
              </w:rPr>
              <w:t>根据</w:t>
            </w:r>
            <w:r>
              <w:rPr>
                <w:rFonts w:hint="eastAsia" w:ascii="宋体" w:hAnsi="宋体"/>
                <w:bCs/>
                <w:color w:val="0000FF"/>
                <w:sz w:val="24"/>
                <w:u w:val="none"/>
              </w:rPr>
              <w:t>《岳阳市环境空气质量月报2022年第12期</w:t>
            </w:r>
            <w:r>
              <w:rPr>
                <w:rFonts w:hint="eastAsia"/>
                <w:color w:val="0000FF"/>
                <w:sz w:val="24"/>
                <w:u w:val="none"/>
              </w:rPr>
              <w:t>，临湘市环境空气常规监测点均达到</w:t>
            </w:r>
            <w:r>
              <w:rPr>
                <w:rFonts w:hint="eastAsia" w:ascii="宋体" w:hAnsi="宋体"/>
                <w:bCs/>
                <w:color w:val="0000FF"/>
                <w:sz w:val="24"/>
                <w:u w:val="none"/>
              </w:rPr>
              <w:t>《环境空气质量标准》（GB3095-2012）及其修改单</w:t>
            </w:r>
            <w:r>
              <w:rPr>
                <w:rFonts w:hint="eastAsia" w:ascii="宋体" w:hAnsi="宋体"/>
                <w:bCs/>
                <w:color w:val="0000FF"/>
                <w:sz w:val="24"/>
                <w:u w:val="none"/>
                <w:lang w:eastAsia="zh-CN"/>
              </w:rPr>
              <w:t>二次</w:t>
            </w:r>
            <w:r>
              <w:rPr>
                <w:rFonts w:hint="eastAsia" w:ascii="宋体" w:hAnsi="宋体"/>
                <w:bCs/>
                <w:color w:val="0000FF"/>
                <w:sz w:val="24"/>
                <w:u w:val="none"/>
              </w:rPr>
              <w:t>标准要求</w:t>
            </w:r>
            <w:r>
              <w:rPr>
                <w:rFonts w:hint="eastAsia"/>
                <w:color w:val="0000FF"/>
                <w:sz w:val="24"/>
                <w:u w:val="none"/>
              </w:rPr>
              <w:t>，属于达标区。</w:t>
            </w:r>
            <w:r>
              <w:rPr>
                <w:rFonts w:hint="eastAsia"/>
                <w:color w:val="0000FF"/>
                <w:sz w:val="24"/>
                <w:u w:val="none"/>
                <w:lang w:val="en-US" w:eastAsia="zh-CN"/>
              </w:rPr>
              <w:t>根据</w:t>
            </w:r>
            <w:r>
              <w:rPr>
                <w:rFonts w:hint="eastAsia" w:ascii="宋体" w:hAnsi="宋体" w:eastAsia="宋体" w:cs="Times New Roman"/>
                <w:bCs/>
                <w:color w:val="0000FF"/>
                <w:sz w:val="24"/>
                <w:u w:val="none"/>
                <w:lang w:val="en-US" w:eastAsia="zh-CN"/>
              </w:rPr>
              <w:t>《</w:t>
            </w:r>
            <w:r>
              <w:rPr>
                <w:rFonts w:hint="default" w:ascii="宋体" w:hAnsi="宋体" w:eastAsia="宋体" w:cs="Times New Roman"/>
                <w:bCs/>
                <w:color w:val="0000FF"/>
                <w:sz w:val="24"/>
                <w:u w:val="none"/>
                <w:lang w:val="en-US" w:eastAsia="zh-CN"/>
              </w:rPr>
              <w:t>岳阳市2022年度生态环境质量公报</w:t>
            </w:r>
            <w:r>
              <w:rPr>
                <w:rFonts w:hint="eastAsia" w:ascii="宋体" w:hAnsi="宋体" w:eastAsia="宋体" w:cs="Times New Roman"/>
                <w:bCs/>
                <w:color w:val="0000FF"/>
                <w:sz w:val="24"/>
                <w:u w:val="none"/>
                <w:lang w:val="en-US" w:eastAsia="zh-CN"/>
              </w:rPr>
              <w:t>》中“三、地表水环境--（主要江河水质状况”中：</w:t>
            </w:r>
            <w:r>
              <w:rPr>
                <w:rFonts w:hint="default" w:ascii="宋体" w:hAnsi="宋体" w:eastAsia="宋体" w:cs="Times New Roman"/>
                <w:bCs/>
                <w:color w:val="0000FF"/>
                <w:sz w:val="24"/>
                <w:u w:val="none"/>
                <w:lang w:val="en-US" w:eastAsia="zh-CN"/>
              </w:rPr>
              <w:t>其他水体（资江洪道、坦渡河和源潭河）3个控制断面水质均达到Ⅱ类。</w:t>
            </w:r>
            <w:r>
              <w:rPr>
                <w:rFonts w:hint="eastAsia" w:ascii="宋体" w:hAnsi="宋体" w:eastAsia="宋体" w:cs="Times New Roman"/>
                <w:bCs/>
                <w:color w:val="0000FF"/>
                <w:sz w:val="24"/>
                <w:u w:val="none"/>
                <w:lang w:val="en-US" w:eastAsia="zh-CN"/>
              </w:rPr>
              <w:t>根据《</w:t>
            </w:r>
            <w:r>
              <w:rPr>
                <w:rFonts w:hint="default" w:ascii="宋体" w:hAnsi="宋体" w:eastAsia="宋体" w:cs="Times New Roman"/>
                <w:bCs/>
                <w:color w:val="0000FF"/>
                <w:sz w:val="24"/>
                <w:u w:val="none"/>
                <w:lang w:val="en-US" w:eastAsia="zh-CN"/>
              </w:rPr>
              <w:t>岳阳市2022年度生态环境质量公报</w:t>
            </w:r>
            <w:r>
              <w:rPr>
                <w:rFonts w:hint="eastAsia" w:ascii="宋体" w:hAnsi="宋体" w:eastAsia="宋体" w:cs="Times New Roman"/>
                <w:bCs/>
                <w:color w:val="0000FF"/>
                <w:sz w:val="24"/>
                <w:u w:val="none"/>
                <w:lang w:val="en-US" w:eastAsia="zh-CN"/>
              </w:rPr>
              <w:t>》</w:t>
            </w:r>
            <w:r>
              <w:rPr>
                <w:rFonts w:hint="default" w:ascii="宋体" w:hAnsi="宋体" w:eastAsia="宋体" w:cs="Times New Roman"/>
                <w:bCs/>
                <w:color w:val="0000FF"/>
                <w:sz w:val="24"/>
                <w:u w:val="none"/>
                <w:lang w:val="en-US" w:eastAsia="zh-CN"/>
              </w:rPr>
              <w:t>源潭河</w:t>
            </w:r>
            <w:r>
              <w:rPr>
                <w:rFonts w:hint="eastAsia" w:ascii="宋体" w:hAnsi="宋体" w:eastAsia="宋体" w:cs="Times New Roman"/>
                <w:bCs/>
                <w:color w:val="0000FF"/>
                <w:sz w:val="24"/>
                <w:u w:val="none"/>
                <w:lang w:val="en-US" w:eastAsia="zh-CN"/>
              </w:rPr>
              <w:t>监测断面水质可满足《地表水环境质量标准》（</w:t>
            </w:r>
            <w:r>
              <w:rPr>
                <w:rFonts w:hint="default" w:ascii="宋体" w:hAnsi="宋体" w:eastAsia="宋体" w:cs="Times New Roman"/>
                <w:bCs/>
                <w:color w:val="0000FF"/>
                <w:sz w:val="24"/>
                <w:u w:val="none"/>
                <w:lang w:val="en-US" w:eastAsia="zh-CN"/>
              </w:rPr>
              <w:t>GB3838-2002</w:t>
            </w:r>
            <w:r>
              <w:rPr>
                <w:rFonts w:hint="eastAsia" w:ascii="宋体" w:hAnsi="宋体" w:eastAsia="宋体" w:cs="Times New Roman"/>
                <w:bCs/>
                <w:color w:val="0000FF"/>
                <w:sz w:val="24"/>
                <w:u w:val="none"/>
                <w:lang w:val="en-US" w:eastAsia="zh-CN"/>
              </w:rPr>
              <w:t>）中的</w:t>
            </w:r>
            <w:r>
              <w:rPr>
                <w:rFonts w:hint="default" w:ascii="宋体" w:hAnsi="宋体" w:eastAsia="宋体" w:cs="Times New Roman"/>
                <w:bCs/>
                <w:color w:val="0000FF"/>
                <w:sz w:val="24"/>
                <w:u w:val="none"/>
                <w:lang w:val="en-US" w:eastAsia="zh-CN"/>
              </w:rPr>
              <w:t>Ⅱ</w:t>
            </w:r>
            <w:r>
              <w:rPr>
                <w:rFonts w:hint="eastAsia" w:ascii="宋体" w:hAnsi="宋体" w:eastAsia="宋体" w:cs="Times New Roman"/>
                <w:bCs/>
                <w:color w:val="0000FF"/>
                <w:sz w:val="24"/>
                <w:u w:val="none"/>
                <w:lang w:val="en-US" w:eastAsia="zh-CN"/>
              </w:rPr>
              <w:t>类标准。</w:t>
            </w:r>
          </w:p>
          <w:p>
            <w:pPr>
              <w:adjustRightInd w:val="0"/>
              <w:snapToGrid w:val="0"/>
              <w:spacing w:line="360" w:lineRule="auto"/>
              <w:ind w:firstLine="480" w:firstLineChars="200"/>
              <w:rPr>
                <w:rFonts w:hint="eastAsia"/>
                <w:sz w:val="24"/>
              </w:rPr>
            </w:pPr>
            <w:r>
              <w:rPr>
                <w:rFonts w:hint="eastAsia"/>
                <w:sz w:val="24"/>
              </w:rPr>
              <w:t>本项目生产生活废水排放量少，有机废气经</w:t>
            </w:r>
            <w:r>
              <w:rPr>
                <w:rFonts w:hint="eastAsia"/>
                <w:sz w:val="24"/>
                <w:lang w:eastAsia="zh-CN"/>
              </w:rPr>
              <w:t>二次</w:t>
            </w:r>
            <w:r>
              <w:rPr>
                <w:rFonts w:hint="eastAsia"/>
                <w:sz w:val="24"/>
              </w:rPr>
              <w:t>油气回收设施处理后排放。项目各项固体废物均可得到妥善处置。落实本环评提出的相关环保措施后，本项目污染物排放不会对区域环境质量底线造成冲击。</w:t>
            </w:r>
          </w:p>
          <w:p>
            <w:pPr>
              <w:adjustRightInd w:val="0"/>
              <w:snapToGrid w:val="0"/>
              <w:spacing w:line="360" w:lineRule="auto"/>
              <w:ind w:firstLine="480" w:firstLineChars="200"/>
              <w:rPr>
                <w:rFonts w:hint="eastAsia"/>
                <w:sz w:val="24"/>
              </w:rPr>
            </w:pPr>
            <w:r>
              <w:rPr>
                <w:rFonts w:hint="eastAsia"/>
                <w:sz w:val="24"/>
              </w:rPr>
              <w:t>3）资源利用上线</w:t>
            </w:r>
          </w:p>
          <w:p>
            <w:pPr>
              <w:adjustRightInd w:val="0"/>
              <w:snapToGrid w:val="0"/>
              <w:spacing w:line="360" w:lineRule="auto"/>
              <w:ind w:firstLine="480" w:firstLineChars="200"/>
              <w:rPr>
                <w:rFonts w:hint="eastAsia"/>
                <w:sz w:val="24"/>
              </w:rPr>
            </w:pPr>
            <w:r>
              <w:rPr>
                <w:rFonts w:hint="eastAsia"/>
                <w:sz w:val="24"/>
              </w:rPr>
              <w:t>本项目涉及能源为电能，属于清洁能源，且能源消耗量不大，不属高耗能型企业，不会突破区域的资源利用上线。</w:t>
            </w:r>
          </w:p>
          <w:p>
            <w:pPr>
              <w:adjustRightInd w:val="0"/>
              <w:snapToGrid w:val="0"/>
              <w:spacing w:line="360" w:lineRule="auto"/>
              <w:ind w:firstLine="480" w:firstLineChars="200"/>
              <w:rPr>
                <w:rFonts w:hint="eastAsia"/>
                <w:sz w:val="24"/>
              </w:rPr>
            </w:pPr>
            <w:r>
              <w:rPr>
                <w:rFonts w:hint="eastAsia"/>
                <w:sz w:val="24"/>
              </w:rPr>
              <w:t>4）环境准入负面清单</w:t>
            </w:r>
          </w:p>
          <w:p>
            <w:pPr>
              <w:adjustRightInd w:val="0"/>
              <w:snapToGrid w:val="0"/>
              <w:spacing w:line="360" w:lineRule="auto"/>
              <w:ind w:firstLine="480" w:firstLineChars="200"/>
              <w:rPr>
                <w:rFonts w:hint="eastAsia"/>
                <w:sz w:val="24"/>
              </w:rPr>
            </w:pPr>
            <w:r>
              <w:rPr>
                <w:rFonts w:hint="eastAsia"/>
                <w:sz w:val="24"/>
              </w:rPr>
              <w:t>本项目位于岳阳市临湘市长安街道</w:t>
            </w:r>
            <w:r>
              <w:rPr>
                <w:rFonts w:hint="eastAsia"/>
                <w:sz w:val="24"/>
                <w:lang w:val="en-US" w:eastAsia="zh-CN"/>
              </w:rPr>
              <w:t>水井村</w:t>
            </w:r>
            <w:r>
              <w:rPr>
                <w:rFonts w:hint="eastAsia"/>
                <w:sz w:val="24"/>
              </w:rPr>
              <w:t>建成区内，不在《湖南省国家重点生态功能区产业准入负面清单（试行）》（湘发改规划〔2018〕373号）产业准入负面清单范围。项目所在地目前未制定当地环境准入负面清单，参考《市场准入负面清单（2019年版）》（全国通用），本项目不在其禁止准入类和限制准入类当中。</w:t>
            </w:r>
          </w:p>
          <w:p>
            <w:pPr>
              <w:adjustRightInd w:val="0"/>
              <w:snapToGrid w:val="0"/>
              <w:spacing w:line="360" w:lineRule="auto"/>
              <w:ind w:firstLine="480" w:firstLineChars="200"/>
              <w:rPr>
                <w:rFonts w:hint="eastAsia"/>
                <w:sz w:val="24"/>
              </w:rPr>
            </w:pPr>
            <w:r>
              <w:rPr>
                <w:rFonts w:hint="eastAsia"/>
                <w:sz w:val="24"/>
              </w:rPr>
              <w:t>5）与岳阳市生态环境分区管控要求符合性分析</w:t>
            </w:r>
          </w:p>
          <w:p>
            <w:pPr>
              <w:adjustRightInd w:val="0"/>
              <w:snapToGrid w:val="0"/>
              <w:spacing w:line="360" w:lineRule="auto"/>
              <w:ind w:firstLine="480" w:firstLineChars="200"/>
              <w:rPr>
                <w:rFonts w:hint="eastAsia"/>
                <w:sz w:val="24"/>
              </w:rPr>
            </w:pPr>
            <w:r>
              <w:rPr>
                <w:rFonts w:hint="eastAsia"/>
                <w:sz w:val="24"/>
              </w:rPr>
              <w:t>本项目位于岳阳市临湘市长安街道建成区内，依据岳阳市“三线一单”生态环境分区管控相关内容，长安街道属于国家层面农产品主产区，本项目其生态分区管控要求相符性如下：</w:t>
            </w:r>
          </w:p>
          <w:p>
            <w:pPr>
              <w:adjustRightInd w:val="0"/>
              <w:snapToGrid w:val="0"/>
              <w:spacing w:line="360" w:lineRule="auto"/>
              <w:jc w:val="center"/>
              <w:rPr>
                <w:rFonts w:hint="eastAsia"/>
                <w:b/>
                <w:szCs w:val="21"/>
                <w:u w:val="single"/>
              </w:rPr>
            </w:pPr>
            <w:r>
              <w:rPr>
                <w:rFonts w:hint="eastAsia"/>
                <w:b/>
                <w:szCs w:val="21"/>
                <w:u w:val="single"/>
              </w:rPr>
              <w:t>表1-</w:t>
            </w:r>
            <w:r>
              <w:rPr>
                <w:rFonts w:hint="eastAsia"/>
                <w:b/>
                <w:szCs w:val="21"/>
                <w:u w:val="single"/>
                <w:lang w:val="en-US" w:eastAsia="zh-CN"/>
              </w:rPr>
              <w:t>4</w:t>
            </w:r>
            <w:r>
              <w:rPr>
                <w:rFonts w:hint="eastAsia"/>
                <w:b/>
                <w:szCs w:val="21"/>
                <w:u w:val="single"/>
              </w:rPr>
              <w:t xml:space="preserve"> 与岳阳市“三线一单”生态环境分区管控要求符合性分析</w:t>
            </w:r>
          </w:p>
          <w:tbl>
            <w:tblPr>
              <w:tblStyle w:val="26"/>
              <w:tblW w:w="68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4145"/>
              <w:gridCol w:w="1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noWrap w:val="0"/>
                  <w:vAlign w:val="center"/>
                </w:tcPr>
                <w:p>
                  <w:pPr>
                    <w:pStyle w:val="72"/>
                    <w:rPr>
                      <w:b/>
                      <w:color w:val="auto"/>
                      <w:szCs w:val="21"/>
                    </w:rPr>
                  </w:pPr>
                  <w:r>
                    <w:rPr>
                      <w:b/>
                      <w:color w:val="auto"/>
                      <w:szCs w:val="21"/>
                    </w:rPr>
                    <w:t>管控维度</w:t>
                  </w:r>
                </w:p>
              </w:tc>
              <w:tc>
                <w:tcPr>
                  <w:tcW w:w="4145" w:type="dxa"/>
                  <w:noWrap w:val="0"/>
                  <w:vAlign w:val="center"/>
                </w:tcPr>
                <w:p>
                  <w:pPr>
                    <w:pStyle w:val="72"/>
                    <w:rPr>
                      <w:b/>
                      <w:color w:val="auto"/>
                      <w:szCs w:val="21"/>
                    </w:rPr>
                  </w:pPr>
                  <w:r>
                    <w:rPr>
                      <w:b/>
                      <w:color w:val="auto"/>
                      <w:szCs w:val="21"/>
                    </w:rPr>
                    <w:t>管控要求</w:t>
                  </w:r>
                </w:p>
              </w:tc>
              <w:tc>
                <w:tcPr>
                  <w:tcW w:w="1977" w:type="dxa"/>
                  <w:noWrap w:val="0"/>
                  <w:vAlign w:val="center"/>
                </w:tcPr>
                <w:p>
                  <w:pPr>
                    <w:pStyle w:val="72"/>
                    <w:rPr>
                      <w:b/>
                      <w:color w:val="auto"/>
                      <w:szCs w:val="21"/>
                    </w:rPr>
                  </w:pPr>
                  <w:r>
                    <w:rPr>
                      <w:b/>
                      <w:color w:val="auto"/>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noWrap w:val="0"/>
                  <w:vAlign w:val="center"/>
                </w:tcPr>
                <w:p>
                  <w:pPr>
                    <w:autoSpaceDE w:val="0"/>
                    <w:autoSpaceDN w:val="0"/>
                    <w:adjustRightInd w:val="0"/>
                    <w:snapToGrid w:val="0"/>
                    <w:jc w:val="center"/>
                    <w:rPr>
                      <w:b/>
                      <w:szCs w:val="21"/>
                    </w:rPr>
                  </w:pPr>
                  <w:r>
                    <w:rPr>
                      <w:szCs w:val="21"/>
                    </w:rPr>
                    <w:t>空间布局约束</w:t>
                  </w:r>
                </w:p>
              </w:tc>
              <w:tc>
                <w:tcPr>
                  <w:tcW w:w="4145" w:type="dxa"/>
                  <w:noWrap w:val="0"/>
                  <w:vAlign w:val="center"/>
                </w:tcPr>
                <w:p>
                  <w:pPr>
                    <w:pStyle w:val="72"/>
                    <w:rPr>
                      <w:rFonts w:hint="eastAsia"/>
                      <w:bCs w:val="0"/>
                      <w:color w:val="auto"/>
                      <w:szCs w:val="21"/>
                    </w:rPr>
                  </w:pPr>
                  <w:r>
                    <w:rPr>
                      <w:rFonts w:hint="eastAsia"/>
                      <w:bCs w:val="0"/>
                      <w:color w:val="auto"/>
                      <w:szCs w:val="21"/>
                    </w:rPr>
                    <w:t>1.1按照“关闭一批，整合一批，提高一批”的原则，对不具备安全生产条件，破坏生态，污染环境的违规开采矿山，实行关停整顿，</w:t>
                  </w:r>
                </w:p>
                <w:p>
                  <w:pPr>
                    <w:pStyle w:val="72"/>
                    <w:rPr>
                      <w:rFonts w:hint="eastAsia"/>
                      <w:bCs w:val="0"/>
                      <w:color w:val="auto"/>
                      <w:szCs w:val="21"/>
                    </w:rPr>
                  </w:pPr>
                  <w:r>
                    <w:rPr>
                      <w:rFonts w:hint="eastAsia"/>
                      <w:bCs w:val="0"/>
                      <w:color w:val="auto"/>
                      <w:szCs w:val="21"/>
                    </w:rPr>
                    <w:t>整合重组</w:t>
                  </w:r>
                </w:p>
                <w:p>
                  <w:pPr>
                    <w:pStyle w:val="72"/>
                    <w:rPr>
                      <w:rFonts w:hint="eastAsia"/>
                      <w:bCs w:val="0"/>
                      <w:color w:val="auto"/>
                      <w:szCs w:val="21"/>
                    </w:rPr>
                  </w:pPr>
                  <w:r>
                    <w:rPr>
                      <w:rFonts w:hint="eastAsia"/>
                      <w:bCs w:val="0"/>
                      <w:color w:val="auto"/>
                      <w:szCs w:val="21"/>
                    </w:rPr>
                    <w:t>1.2对辖区内规模小，污染大，安全系数低，效率不高的采矿企业，坚决关停，对违法盗采行为要依法予以严厉打击</w:t>
                  </w:r>
                </w:p>
                <w:p>
                  <w:pPr>
                    <w:pStyle w:val="72"/>
                    <w:rPr>
                      <w:rFonts w:hint="eastAsia"/>
                      <w:bCs w:val="0"/>
                      <w:color w:val="auto"/>
                      <w:szCs w:val="21"/>
                    </w:rPr>
                  </w:pPr>
                  <w:r>
                    <w:rPr>
                      <w:rFonts w:hint="eastAsia"/>
                      <w:bCs w:val="0"/>
                      <w:color w:val="auto"/>
                      <w:szCs w:val="21"/>
                    </w:rPr>
                    <w:t>1.3在国家、省绿色矿山开发和国家相关法律法规要求的前置条件下，对各矿种的年开采量和投入实现门槛准入</w:t>
                  </w:r>
                </w:p>
                <w:p>
                  <w:pPr>
                    <w:pStyle w:val="72"/>
                    <w:rPr>
                      <w:rFonts w:hint="eastAsia"/>
                      <w:bCs w:val="0"/>
                      <w:color w:val="auto"/>
                      <w:szCs w:val="21"/>
                    </w:rPr>
                  </w:pPr>
                  <w:r>
                    <w:rPr>
                      <w:rFonts w:hint="eastAsia"/>
                      <w:bCs w:val="0"/>
                      <w:color w:val="auto"/>
                      <w:szCs w:val="21"/>
                    </w:rPr>
                    <w:t>1.4桃林铅锌矿片区需紧紧围绕“矿区转型”,以循环经济理念和生态工业理论为指导，以特色农业和旅游资源为支撑，发展以文化旅游、农产品加工、节能环保为主，萤石加工、商贸流通为辅的产业结构，构建桃矿地区“3+2”产业体系，将桃矿建设成为“生态经济示范区”;桃矿独立工矿区产业发展以经济转型为主线，形成一个集矿产品深加工、工业物流园区、旅游风景区、商业生活区多功能于一体的新型独立矿区</w:t>
                  </w:r>
                </w:p>
              </w:tc>
              <w:tc>
                <w:tcPr>
                  <w:tcW w:w="1977" w:type="dxa"/>
                  <w:noWrap w:val="0"/>
                  <w:vAlign w:val="center"/>
                </w:tcPr>
                <w:p>
                  <w:pPr>
                    <w:pStyle w:val="72"/>
                    <w:rPr>
                      <w:rFonts w:hint="eastAsia"/>
                      <w:bCs w:val="0"/>
                      <w:color w:val="auto"/>
                      <w:szCs w:val="21"/>
                    </w:rPr>
                  </w:pPr>
                  <w:r>
                    <w:rPr>
                      <w:rFonts w:hint="eastAsia"/>
                      <w:bCs w:val="0"/>
                      <w:color w:val="auto"/>
                      <w:szCs w:val="21"/>
                    </w:rPr>
                    <w:t>本项目不涉及采矿等，因此本项目符合空间布局约束管控要求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noWrap w:val="0"/>
                  <w:vAlign w:val="center"/>
                </w:tcPr>
                <w:p>
                  <w:pPr>
                    <w:autoSpaceDE w:val="0"/>
                    <w:autoSpaceDN w:val="0"/>
                    <w:adjustRightInd w:val="0"/>
                    <w:snapToGrid w:val="0"/>
                    <w:jc w:val="center"/>
                    <w:rPr>
                      <w:b/>
                      <w:szCs w:val="21"/>
                    </w:rPr>
                  </w:pPr>
                  <w:r>
                    <w:rPr>
                      <w:szCs w:val="21"/>
                    </w:rPr>
                    <w:t>污染物排放管控</w:t>
                  </w:r>
                </w:p>
              </w:tc>
              <w:tc>
                <w:tcPr>
                  <w:tcW w:w="4145" w:type="dxa"/>
                  <w:noWrap w:val="0"/>
                  <w:vAlign w:val="center"/>
                </w:tcPr>
                <w:p>
                  <w:pPr>
                    <w:autoSpaceDE w:val="0"/>
                    <w:autoSpaceDN w:val="0"/>
                    <w:adjustRightInd w:val="0"/>
                    <w:snapToGrid w:val="0"/>
                    <w:jc w:val="center"/>
                    <w:rPr>
                      <w:rFonts w:hint="eastAsia"/>
                      <w:szCs w:val="21"/>
                    </w:rPr>
                  </w:pPr>
                  <w:r>
                    <w:rPr>
                      <w:rFonts w:hint="eastAsia"/>
                      <w:szCs w:val="21"/>
                    </w:rPr>
                    <w:t>2.1污水处理达到一级A排放标准，城区基本实现污水全收集、全处理，基本无生活污水直排口；实施乡镇污水处理设施建设专项行动计划，实现全市乡镇污水处理设施全覆盖，配套管网基本完善</w:t>
                  </w:r>
                </w:p>
                <w:p>
                  <w:pPr>
                    <w:autoSpaceDE w:val="0"/>
                    <w:autoSpaceDN w:val="0"/>
                    <w:adjustRightInd w:val="0"/>
                    <w:snapToGrid w:val="0"/>
                    <w:jc w:val="center"/>
                    <w:rPr>
                      <w:rFonts w:hint="eastAsia"/>
                      <w:szCs w:val="21"/>
                    </w:rPr>
                  </w:pPr>
                  <w:r>
                    <w:rPr>
                      <w:rFonts w:hint="eastAsia"/>
                      <w:szCs w:val="21"/>
                    </w:rPr>
                    <w:t>2.2加强畜禽养殖企业(专业户)配套污染防治设施建设，规模养殖场粪污处理设施装备配套率达到95%以上(大型规模养殖场达到100%),实现养殖企业污染物达标排放</w:t>
                  </w:r>
                </w:p>
                <w:p>
                  <w:pPr>
                    <w:autoSpaceDE w:val="0"/>
                    <w:autoSpaceDN w:val="0"/>
                    <w:adjustRightInd w:val="0"/>
                    <w:snapToGrid w:val="0"/>
                    <w:jc w:val="center"/>
                    <w:rPr>
                      <w:rFonts w:hint="eastAsia"/>
                      <w:szCs w:val="21"/>
                    </w:rPr>
                  </w:pPr>
                  <w:r>
                    <w:rPr>
                      <w:rFonts w:hint="eastAsia"/>
                      <w:szCs w:val="21"/>
                    </w:rPr>
                    <w:t>2.3加大涉重金属企业治污设施升级与清洁生产改造力度，严厉打击超标排放与偷排漏排，规范企业无组织排放与无组织堆存堆放固体废物、物料，稳步推进重金属减排。在矿产资源开发利用活动集中的区域，执行重点污染物特别排放限值</w:t>
                  </w:r>
                </w:p>
                <w:p>
                  <w:pPr>
                    <w:autoSpaceDE w:val="0"/>
                    <w:autoSpaceDN w:val="0"/>
                    <w:adjustRightInd w:val="0"/>
                    <w:snapToGrid w:val="0"/>
                    <w:jc w:val="center"/>
                    <w:rPr>
                      <w:rFonts w:hint="eastAsia"/>
                      <w:szCs w:val="21"/>
                    </w:rPr>
                  </w:pPr>
                  <w:r>
                    <w:rPr>
                      <w:rFonts w:hint="eastAsia"/>
                      <w:szCs w:val="21"/>
                    </w:rPr>
                    <w:t>2.4对易产生无组织排放扬尘的粉状、粒状物料、燃料的储存、运输采取密闭方式；对块状物料采用入棚入仓或建设防风抑尘网等方式进行存储，并设抑尘措施</w:t>
                  </w:r>
                </w:p>
                <w:p>
                  <w:pPr>
                    <w:autoSpaceDE w:val="0"/>
                    <w:autoSpaceDN w:val="0"/>
                    <w:adjustRightInd w:val="0"/>
                    <w:snapToGrid w:val="0"/>
                    <w:jc w:val="center"/>
                    <w:rPr>
                      <w:rFonts w:hint="eastAsia"/>
                      <w:szCs w:val="21"/>
                    </w:rPr>
                  </w:pPr>
                  <w:r>
                    <w:rPr>
                      <w:rFonts w:hint="eastAsia"/>
                      <w:szCs w:val="21"/>
                    </w:rPr>
                    <w:t>2.5石化生产存贮销售企业和工业园区、矿山开采区、垃圾填埋场等区域应进行必要的防渗处理</w:t>
                  </w:r>
                </w:p>
                <w:p>
                  <w:pPr>
                    <w:autoSpaceDE w:val="0"/>
                    <w:autoSpaceDN w:val="0"/>
                    <w:adjustRightInd w:val="0"/>
                    <w:snapToGrid w:val="0"/>
                    <w:jc w:val="center"/>
                    <w:rPr>
                      <w:rFonts w:hint="eastAsia"/>
                      <w:szCs w:val="21"/>
                    </w:rPr>
                  </w:pPr>
                  <w:r>
                    <w:rPr>
                      <w:rFonts w:hint="eastAsia"/>
                      <w:szCs w:val="21"/>
                    </w:rPr>
                    <w:t>2.6持续深化工业炉窑大气污染专项治理，按照《湖南省工业炉窑大气污染综合治理实施方案》要求，重点推进水泥、有色、陶瓷、无机化工等行业炉窑深度治理，进一步加强烧制砖瓦行业综合整治。鼓励实施燃气锅炉低氮改造</w:t>
                  </w:r>
                </w:p>
              </w:tc>
              <w:tc>
                <w:tcPr>
                  <w:tcW w:w="1977" w:type="dxa"/>
                  <w:noWrap w:val="0"/>
                  <w:vAlign w:val="center"/>
                </w:tcPr>
                <w:p>
                  <w:pPr>
                    <w:autoSpaceDE w:val="0"/>
                    <w:autoSpaceDN w:val="0"/>
                    <w:adjustRightInd w:val="0"/>
                    <w:snapToGrid w:val="0"/>
                    <w:jc w:val="center"/>
                    <w:rPr>
                      <w:rFonts w:hint="eastAsia"/>
                      <w:szCs w:val="21"/>
                    </w:rPr>
                  </w:pPr>
                  <w:r>
                    <w:rPr>
                      <w:rFonts w:hint="eastAsia"/>
                      <w:szCs w:val="21"/>
                    </w:rPr>
                    <w:t>本项目为加油站项目，所在地污水管网尚不完善，项目实行雨污分流，</w:t>
                  </w:r>
                  <w:r>
                    <w:rPr>
                      <w:rFonts w:hint="eastAsia"/>
                      <w:color w:val="0000FF"/>
                      <w:szCs w:val="21"/>
                    </w:rPr>
                    <w:t>本项目</w:t>
                  </w:r>
                  <w:r>
                    <w:rPr>
                      <w:rFonts w:hint="eastAsia"/>
                      <w:color w:val="0000FF"/>
                      <w:szCs w:val="21"/>
                      <w:lang w:val="en-US" w:eastAsia="zh-CN"/>
                    </w:rPr>
                    <w:t>初期雨水及地面清洗废水经隔油沉淀池处理后用作灌溉绿植或洒水降尘，生活污水和厕所废水经三级化粪池+调节池处理后用作农肥</w:t>
                  </w:r>
                  <w:r>
                    <w:rPr>
                      <w:rFonts w:hint="eastAsia"/>
                      <w:szCs w:val="21"/>
                    </w:rPr>
                    <w:t>、废气经处理后，符合污染物排放管控要求。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noWrap w:val="0"/>
                  <w:vAlign w:val="center"/>
                </w:tcPr>
                <w:p>
                  <w:pPr>
                    <w:autoSpaceDE w:val="0"/>
                    <w:autoSpaceDN w:val="0"/>
                    <w:adjustRightInd w:val="0"/>
                    <w:snapToGrid w:val="0"/>
                    <w:jc w:val="center"/>
                    <w:rPr>
                      <w:rFonts w:hint="eastAsia"/>
                      <w:szCs w:val="21"/>
                    </w:rPr>
                  </w:pPr>
                  <w:r>
                    <w:rPr>
                      <w:rFonts w:hint="eastAsia"/>
                      <w:szCs w:val="21"/>
                    </w:rPr>
                    <w:t>环境风险防控</w:t>
                  </w:r>
                </w:p>
              </w:tc>
              <w:tc>
                <w:tcPr>
                  <w:tcW w:w="4145" w:type="dxa"/>
                  <w:noWrap w:val="0"/>
                  <w:vAlign w:val="center"/>
                </w:tcPr>
                <w:p>
                  <w:pPr>
                    <w:autoSpaceDE w:val="0"/>
                    <w:autoSpaceDN w:val="0"/>
                    <w:adjustRightInd w:val="0"/>
                    <w:snapToGrid w:val="0"/>
                    <w:jc w:val="center"/>
                    <w:rPr>
                      <w:rFonts w:hint="eastAsia"/>
                      <w:szCs w:val="21"/>
                    </w:rPr>
                  </w:pPr>
                  <w:r>
                    <w:rPr>
                      <w:rFonts w:hint="eastAsia"/>
                      <w:szCs w:val="21"/>
                    </w:rPr>
                    <w:t>3.1分阶段、分区域、按类别解决历史遗留污染问题，对关闭矿山，加快推进矿山生态环境修复治理及矿井涌水整治</w:t>
                  </w:r>
                </w:p>
                <w:p>
                  <w:pPr>
                    <w:autoSpaceDE w:val="0"/>
                    <w:autoSpaceDN w:val="0"/>
                    <w:adjustRightInd w:val="0"/>
                    <w:snapToGrid w:val="0"/>
                    <w:jc w:val="center"/>
                    <w:rPr>
                      <w:rFonts w:hint="eastAsia"/>
                      <w:szCs w:val="21"/>
                    </w:rPr>
                  </w:pPr>
                  <w:r>
                    <w:rPr>
                      <w:rFonts w:hint="eastAsia"/>
                      <w:szCs w:val="21"/>
                    </w:rPr>
                    <w:t>3.2针对建设用地污染风险重点管控区的管控要求。严格建设用地土壤污染风险管控。加强建设用地土壤污染风险管控和修复名录管理，实现污染地块安全利用率90%以上；加强全国土壤环境信息化管理平台管理与使用，及时动态更新污染地块目录；严控污染地块环境社会风险，以城镇人口密集区危险化学品生产企业搬迁改造以及长江经济带化工污染整治过程中的腾退企业用地为重点，结合建设用地治理修复和风险管控名录管理制度，进一步加强腾退土地污染风险管控，严格对企业拆除活动的环境监管</w:t>
                  </w:r>
                </w:p>
                <w:p>
                  <w:pPr>
                    <w:autoSpaceDE w:val="0"/>
                    <w:autoSpaceDN w:val="0"/>
                    <w:adjustRightInd w:val="0"/>
                    <w:snapToGrid w:val="0"/>
                    <w:jc w:val="center"/>
                    <w:rPr>
                      <w:rFonts w:hint="eastAsia"/>
                      <w:szCs w:val="21"/>
                    </w:rPr>
                  </w:pPr>
                  <w:r>
                    <w:rPr>
                      <w:rFonts w:hint="eastAsia"/>
                      <w:szCs w:val="21"/>
                    </w:rPr>
                    <w:t>3.3临湘桃矿独立工矿区：对矿区内银孔山及上塘冲塌陷区10平方公里范围内采空区进行治理，对因洞采及露天开采导致植被、水系、地质等破坏，极易发生地质灾害，进行地质灾害隐患治理；对矿区内1.5万平方公里被污染土壤进行有效管控，部分土壤采用污染土壤的原位修复、污染土壤的清理、污染土壤的异位稳定化固化处理，对污染土壤进行修复；对桃林河重金属污染实施二期治理，对8公里河道多处进行疏浚，包括施工围堵和边坡护砌，并对沿河道路进行维修和绿化种植；根据水体污染程度的差异以及水资源对居民生活的影响程度的差异，划分出重点治理区域，通过饮用水源保护、河道清淤、护砌工程、人工浮岛实施治理</w:t>
                  </w:r>
                </w:p>
              </w:tc>
              <w:tc>
                <w:tcPr>
                  <w:tcW w:w="1977" w:type="dxa"/>
                  <w:noWrap w:val="0"/>
                  <w:vAlign w:val="center"/>
                </w:tcPr>
                <w:p>
                  <w:pPr>
                    <w:pStyle w:val="9"/>
                    <w:rPr>
                      <w:rFonts w:hint="default" w:ascii="Times New Roman" w:hAnsi="Times New Roman" w:eastAsia="宋体" w:cs="Times New Roman"/>
                      <w:color w:val="0000FF"/>
                      <w:kern w:val="2"/>
                      <w:sz w:val="21"/>
                      <w:szCs w:val="21"/>
                      <w:lang w:val="en-US" w:eastAsia="zh-CN" w:bidi="ar-SA"/>
                    </w:rPr>
                  </w:pPr>
                  <w:r>
                    <w:rPr>
                      <w:rFonts w:hint="eastAsia" w:ascii="Times New Roman" w:hAnsi="Times New Roman" w:eastAsia="宋体" w:cs="Times New Roman"/>
                      <w:color w:val="0000FF"/>
                      <w:kern w:val="2"/>
                      <w:sz w:val="21"/>
                      <w:szCs w:val="21"/>
                      <w:lang w:val="en-US" w:eastAsia="zh-CN" w:bidi="ar-SA"/>
                    </w:rPr>
                    <w:t>本项目油罐采用双层罐，罐池、隔油池均采取防渗措施并建有观测井，危险废物建有专门“三防”暂存间等风险防控措施，对土壤环境影响小，同时，提出了拆除过程中的风险防控措施，并已建议编制环境风险应急预案，符合环境风险防控要求。</w:t>
                  </w:r>
                </w:p>
                <w:p>
                  <w:pPr>
                    <w:autoSpaceDE w:val="0"/>
                    <w:autoSpaceDN w:val="0"/>
                    <w:adjustRightInd w:val="0"/>
                    <w:snapToGrid w:val="0"/>
                    <w:jc w:val="center"/>
                    <w:rPr>
                      <w:rFonts w:hint="eastAsia"/>
                      <w:szCs w:val="21"/>
                    </w:rPr>
                  </w:pPr>
                  <w:r>
                    <w:rPr>
                      <w:rFonts w:hint="eastAsia"/>
                      <w:color w:val="0000FF"/>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noWrap w:val="0"/>
                  <w:vAlign w:val="center"/>
                </w:tcPr>
                <w:p>
                  <w:pPr>
                    <w:autoSpaceDE w:val="0"/>
                    <w:autoSpaceDN w:val="0"/>
                    <w:adjustRightInd w:val="0"/>
                    <w:snapToGrid w:val="0"/>
                    <w:jc w:val="center"/>
                    <w:rPr>
                      <w:b/>
                      <w:szCs w:val="21"/>
                    </w:rPr>
                  </w:pPr>
                  <w:r>
                    <w:rPr>
                      <w:szCs w:val="21"/>
                    </w:rPr>
                    <w:t>资源开发效率要求</w:t>
                  </w:r>
                </w:p>
              </w:tc>
              <w:tc>
                <w:tcPr>
                  <w:tcW w:w="4145" w:type="dxa"/>
                  <w:noWrap w:val="0"/>
                  <w:vAlign w:val="center"/>
                </w:tcPr>
                <w:p>
                  <w:pPr>
                    <w:autoSpaceDE w:val="0"/>
                    <w:autoSpaceDN w:val="0"/>
                    <w:adjustRightInd w:val="0"/>
                    <w:snapToGrid w:val="0"/>
                    <w:jc w:val="left"/>
                    <w:rPr>
                      <w:rFonts w:hint="eastAsia"/>
                      <w:szCs w:val="21"/>
                    </w:rPr>
                  </w:pPr>
                  <w:r>
                    <w:rPr>
                      <w:rFonts w:hint="eastAsia"/>
                      <w:szCs w:val="21"/>
                    </w:rPr>
                    <w:t>4.1积极推进农业节水，完成高效节水灌溉年度任务；推进循环发展，将再生水、雨水、矿井水等非常规水源纳入区域水资源统一配置</w:t>
                  </w:r>
                </w:p>
                <w:p>
                  <w:pPr>
                    <w:autoSpaceDE w:val="0"/>
                    <w:autoSpaceDN w:val="0"/>
                    <w:adjustRightInd w:val="0"/>
                    <w:snapToGrid w:val="0"/>
                    <w:jc w:val="center"/>
                    <w:rPr>
                      <w:rFonts w:hint="eastAsia"/>
                      <w:szCs w:val="21"/>
                    </w:rPr>
                  </w:pPr>
                  <w:r>
                    <w:rPr>
                      <w:rFonts w:hint="eastAsia"/>
                      <w:szCs w:val="21"/>
                    </w:rPr>
                    <w:t>4.2水资源：临湘市万元国内生产总值用水量104m/万元，万元工业增加值用水量31m³/万元，农田灌溉水有效利用系数0.55</w:t>
                  </w:r>
                </w:p>
                <w:p>
                  <w:pPr>
                    <w:autoSpaceDE w:val="0"/>
                    <w:autoSpaceDN w:val="0"/>
                    <w:adjustRightInd w:val="0"/>
                    <w:snapToGrid w:val="0"/>
                    <w:jc w:val="left"/>
                    <w:rPr>
                      <w:rFonts w:hint="eastAsia"/>
                      <w:szCs w:val="21"/>
                    </w:rPr>
                  </w:pPr>
                  <w:r>
                    <w:rPr>
                      <w:rFonts w:hint="eastAsia"/>
                      <w:szCs w:val="21"/>
                    </w:rPr>
                    <w:t>4.3能源：临湘市“十三五”能耗强度降低目标18.5%,“十三五”能耗控制目标17.5万吨标准煤</w:t>
                  </w:r>
                </w:p>
                <w:p>
                  <w:pPr>
                    <w:autoSpaceDE w:val="0"/>
                    <w:autoSpaceDN w:val="0"/>
                    <w:adjustRightInd w:val="0"/>
                    <w:snapToGrid w:val="0"/>
                    <w:jc w:val="left"/>
                    <w:rPr>
                      <w:rFonts w:hint="eastAsia"/>
                      <w:szCs w:val="21"/>
                    </w:rPr>
                  </w:pPr>
                  <w:r>
                    <w:rPr>
                      <w:rFonts w:hint="eastAsia"/>
                      <w:szCs w:val="21"/>
                    </w:rPr>
                    <w:t>4.4土地资源：</w:t>
                  </w:r>
                </w:p>
                <w:p>
                  <w:pPr>
                    <w:autoSpaceDE w:val="0"/>
                    <w:autoSpaceDN w:val="0"/>
                    <w:adjustRightInd w:val="0"/>
                    <w:snapToGrid w:val="0"/>
                    <w:jc w:val="center"/>
                    <w:rPr>
                      <w:rFonts w:hint="eastAsia"/>
                      <w:szCs w:val="21"/>
                    </w:rPr>
                  </w:pPr>
                  <w:r>
                    <w:rPr>
                      <w:rFonts w:hint="eastAsia"/>
                      <w:szCs w:val="21"/>
                    </w:rPr>
                    <w:t>忠防镇(含桃矿街道):城镇工矿用地建设规模为181.57公顷，耕地保有量1756.22公顷，建设用地总规模达到896.95公顷桃林镇：城镇工矿用地建设规模为258.12公顷，耕地保有量3274.85公顷，建设用地总规模达到1336.32公顷长安街道：城镇工矿用地建设规模为1668.09公顷，耕地保有量2021.79公顷，建设用地总规模达到2390.47公顷五里牌街道：城镇工矿用地建设规模为744.24公顷，耕地保有量2261.21公顷，建设用地总规模达到1430.22公顷</w:t>
                  </w:r>
                </w:p>
              </w:tc>
              <w:tc>
                <w:tcPr>
                  <w:tcW w:w="1977" w:type="dxa"/>
                  <w:noWrap w:val="0"/>
                  <w:vAlign w:val="center"/>
                </w:tcPr>
                <w:p>
                  <w:pPr>
                    <w:autoSpaceDE w:val="0"/>
                    <w:autoSpaceDN w:val="0"/>
                    <w:adjustRightInd w:val="0"/>
                    <w:snapToGrid w:val="0"/>
                    <w:jc w:val="center"/>
                    <w:rPr>
                      <w:rFonts w:hint="eastAsia"/>
                      <w:szCs w:val="21"/>
                    </w:rPr>
                  </w:pPr>
                  <w:r>
                    <w:rPr>
                      <w:rFonts w:hint="eastAsia"/>
                      <w:szCs w:val="21"/>
                    </w:rPr>
                    <w:t>本项目利用市政现有供水设施，用水量较小，所使用的能源为电能，占地面积较小，因此符合资源开发效率要求</w:t>
                  </w:r>
                </w:p>
              </w:tc>
            </w:tr>
          </w:tbl>
          <w:p>
            <w:pPr>
              <w:pStyle w:val="10"/>
              <w:rPr>
                <w:rFonts w:hint="eastAsia" w:ascii="宋体" w:hAnsi="宋体" w:cs="宋体"/>
                <w:szCs w:val="21"/>
              </w:rPr>
            </w:pPr>
            <w:r>
              <w:rPr>
                <w:rFonts w:hint="eastAsia"/>
                <w:sz w:val="24"/>
              </w:rPr>
              <w:t>因此项目符合</w:t>
            </w:r>
            <w:r>
              <w:rPr>
                <w:sz w:val="24"/>
              </w:rPr>
              <w:t>“三线一单”</w:t>
            </w:r>
            <w:r>
              <w:rPr>
                <w:rFonts w:hint="eastAsia"/>
                <w:sz w:val="24"/>
              </w:rPr>
              <w:t>要求，不在负面清单之内。</w:t>
            </w:r>
          </w:p>
        </w:tc>
      </w:tr>
    </w:tbl>
    <w:p>
      <w:pPr>
        <w:spacing w:line="360" w:lineRule="auto"/>
        <w:rPr>
          <w:rFonts w:eastAsia="黑体"/>
          <w:sz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4"/>
        <w:jc w:val="center"/>
      </w:pPr>
      <w:bookmarkStart w:id="17" w:name="_Toc20122"/>
      <w:r>
        <w:rPr>
          <w:rFonts w:hint="eastAsia"/>
        </w:rPr>
        <w:t>二、建设项目工程分析</w:t>
      </w:r>
      <w:bookmarkEnd w:id="17"/>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pPr>
              <w:pStyle w:val="23"/>
              <w:adjustRightInd w:val="0"/>
              <w:snapToGrid w:val="0"/>
              <w:spacing w:before="0" w:beforeAutospacing="0" w:after="0" w:afterAutospacing="0"/>
              <w:jc w:val="center"/>
              <w:rPr>
                <w:rFonts w:cs="宋体"/>
                <w:sz w:val="21"/>
                <w:szCs w:val="21"/>
              </w:rPr>
            </w:pPr>
            <w:r>
              <w:rPr>
                <w:rFonts w:hint="eastAsia" w:cs="宋体"/>
                <w:sz w:val="21"/>
                <w:szCs w:val="21"/>
              </w:rPr>
              <w:t>建设内容</w:t>
            </w:r>
          </w:p>
        </w:tc>
        <w:tc>
          <w:tcPr>
            <w:tcW w:w="8161" w:type="dxa"/>
            <w:noWrap w:val="0"/>
            <w:vAlign w:val="top"/>
          </w:tcPr>
          <w:p>
            <w:pPr>
              <w:tabs>
                <w:tab w:val="left" w:pos="1021"/>
                <w:tab w:val="left" w:pos="1320"/>
                <w:tab w:val="left" w:pos="2310"/>
                <w:tab w:val="left" w:pos="3990"/>
                <w:tab w:val="left" w:pos="5460"/>
                <w:tab w:val="left" w:pos="7305"/>
              </w:tabs>
              <w:adjustRightInd w:val="0"/>
              <w:snapToGrid w:val="0"/>
              <w:spacing w:line="360" w:lineRule="auto"/>
              <w:ind w:firstLine="482" w:firstLineChars="200"/>
              <w:rPr>
                <w:b/>
                <w:bCs/>
                <w:kern w:val="24"/>
                <w:sz w:val="24"/>
                <w:szCs w:val="20"/>
              </w:rPr>
            </w:pPr>
            <w:r>
              <w:rPr>
                <w:rFonts w:hint="eastAsia"/>
                <w:b/>
                <w:bCs/>
                <w:kern w:val="24"/>
                <w:sz w:val="24"/>
                <w:szCs w:val="20"/>
              </w:rPr>
              <w:t>2.1项目由来</w:t>
            </w:r>
          </w:p>
          <w:p>
            <w:pPr>
              <w:keepNext w:val="0"/>
              <w:keepLines w:val="0"/>
              <w:pageBreakBefore w:val="0"/>
              <w:widowControl w:val="0"/>
              <w:tabs>
                <w:tab w:val="left" w:pos="1021"/>
                <w:tab w:val="left" w:pos="1320"/>
                <w:tab w:val="left" w:pos="2310"/>
                <w:tab w:val="left" w:pos="3990"/>
                <w:tab w:val="left" w:pos="5460"/>
                <w:tab w:val="left" w:pos="7305"/>
              </w:tabs>
              <w:kinsoku/>
              <w:wordWrap w:val="0"/>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sz w:val="24"/>
                <w:u w:val="none"/>
              </w:rPr>
            </w:pPr>
            <w:r>
              <w:rPr>
                <w:rFonts w:hint="eastAsia" w:ascii="Times New Roman" w:hAnsi="Times New Roman" w:eastAsia="宋体" w:cs="Times New Roman"/>
                <w:sz w:val="24"/>
                <w:u w:val="none"/>
              </w:rPr>
              <w:t>临湘市恒太加油站2009年办理环评登记</w:t>
            </w:r>
            <w:r>
              <w:rPr>
                <w:rFonts w:hint="eastAsia" w:ascii="Times New Roman" w:hAnsi="Times New Roman" w:eastAsia="宋体" w:cs="Times New Roman"/>
                <w:sz w:val="24"/>
                <w:u w:val="none"/>
                <w:lang w:val="en-US" w:eastAsia="zh-CN"/>
              </w:rPr>
              <w:t>并经原临湘市环境保护局审批通过</w:t>
            </w:r>
            <w:r>
              <w:rPr>
                <w:rFonts w:hint="eastAsia" w:ascii="Times New Roman" w:hAnsi="Times New Roman" w:eastAsia="宋体" w:cs="Times New Roman"/>
                <w:sz w:val="24"/>
                <w:u w:val="none"/>
              </w:rPr>
              <w:t>，于2020年获得排污许可证，排污许可证编号：</w:t>
            </w:r>
            <w:r>
              <w:rPr>
                <w:rFonts w:hint="eastAsia" w:ascii="Times New Roman" w:hAnsi="Times New Roman" w:eastAsia="宋体" w:cs="Times New Roman"/>
                <w:sz w:val="24"/>
                <w:u w:val="none"/>
                <w:lang w:val="zh-CN"/>
              </w:rPr>
              <w:t>91430682563544626R001Q，</w:t>
            </w:r>
            <w:r>
              <w:rPr>
                <w:rFonts w:hint="eastAsia" w:ascii="Times New Roman" w:hAnsi="Times New Roman" w:eastAsia="宋体" w:cs="Times New Roman"/>
                <w:sz w:val="24"/>
                <w:u w:val="none"/>
              </w:rPr>
              <w:t>2023年，临鸭</w:t>
            </w:r>
            <w:r>
              <w:rPr>
                <w:rFonts w:hint="eastAsia" w:ascii="Times New Roman" w:hAnsi="Times New Roman" w:eastAsia="宋体" w:cs="Times New Roman"/>
                <w:sz w:val="24"/>
                <w:u w:val="none"/>
                <w:lang w:val="en-US" w:eastAsia="zh-CN"/>
              </w:rPr>
              <w:t>公路升级改造完成，车流量增大，临湘市恒太加油站决定</w:t>
            </w:r>
            <w:r>
              <w:rPr>
                <w:rFonts w:hint="eastAsia" w:ascii="Times New Roman" w:hAnsi="Times New Roman" w:eastAsia="宋体" w:cs="Times New Roman"/>
                <w:color w:val="0000FF"/>
                <w:sz w:val="24"/>
                <w:u w:val="none"/>
                <w:lang w:val="en-US" w:eastAsia="zh-CN"/>
              </w:rPr>
              <w:t>投资360万元对项目油罐及其配套设施进行扩建</w:t>
            </w:r>
            <w:r>
              <w:rPr>
                <w:rFonts w:hint="eastAsia" w:ascii="Times New Roman" w:hAnsi="Times New Roman" w:eastAsia="宋体" w:cs="Times New Roman"/>
                <w:color w:val="0000FF"/>
                <w:sz w:val="24"/>
                <w:u w:val="none"/>
              </w:rPr>
              <w:t>，</w:t>
            </w:r>
            <w:r>
              <w:rPr>
                <w:rFonts w:hint="eastAsia" w:ascii="Times New Roman" w:hAnsi="Times New Roman" w:eastAsia="宋体" w:cs="Times New Roman"/>
                <w:color w:val="0000FF"/>
                <w:sz w:val="24"/>
                <w:u w:val="none"/>
                <w:lang w:val="en-US" w:eastAsia="zh-CN"/>
              </w:rPr>
              <w:t>本项目位于城市建成区内，</w:t>
            </w:r>
            <w:r>
              <w:rPr>
                <w:rFonts w:hint="eastAsia" w:ascii="Times New Roman" w:hAnsi="Times New Roman" w:eastAsia="宋体" w:cs="Times New Roman"/>
                <w:color w:val="0000FF"/>
                <w:sz w:val="24"/>
                <w:u w:val="none"/>
              </w:rPr>
              <w:t>根据《建设项目环境影响评价分类管理名录》（2021年版）中“五十 社会事业或服务业 119加油、加气站”</w:t>
            </w:r>
            <w:r>
              <w:rPr>
                <w:rFonts w:hint="eastAsia" w:cs="Times New Roman"/>
                <w:color w:val="0000FF"/>
                <w:sz w:val="24"/>
                <w:u w:val="none"/>
                <w:lang w:val="en-US" w:eastAsia="zh-CN"/>
              </w:rPr>
              <w:t>中“城市建成区新建、扩建加油站；涉及环境敏感区的”应编制环境影响报告表</w:t>
            </w:r>
            <w:r>
              <w:rPr>
                <w:rFonts w:hint="eastAsia" w:ascii="Times New Roman" w:hAnsi="Times New Roman" w:eastAsia="宋体" w:cs="Times New Roman"/>
                <w:color w:val="0000FF"/>
                <w:sz w:val="24"/>
                <w:u w:val="none"/>
              </w:rPr>
              <w:t>。因此，2023年7月，临湘市恒太加油站委托贵州智天星工程设计有限公司完成项目环境影响评价工作</w:t>
            </w:r>
            <w:r>
              <w:rPr>
                <w:rFonts w:hint="eastAsia" w:ascii="Times New Roman" w:hAnsi="Times New Roman" w:eastAsia="宋体" w:cs="Times New Roman"/>
                <w:sz w:val="24"/>
                <w:u w:val="none"/>
              </w:rPr>
              <w:t>。</w:t>
            </w:r>
          </w:p>
          <w:p>
            <w:pPr>
              <w:tabs>
                <w:tab w:val="left" w:pos="1021"/>
                <w:tab w:val="left" w:pos="1320"/>
                <w:tab w:val="left" w:pos="2310"/>
                <w:tab w:val="left" w:pos="3990"/>
                <w:tab w:val="left" w:pos="5460"/>
                <w:tab w:val="left" w:pos="7305"/>
              </w:tabs>
              <w:adjustRightInd w:val="0"/>
              <w:snapToGrid w:val="0"/>
              <w:spacing w:line="360" w:lineRule="auto"/>
              <w:ind w:firstLine="482" w:firstLineChars="200"/>
              <w:rPr>
                <w:b/>
                <w:bCs/>
                <w:kern w:val="24"/>
                <w:sz w:val="24"/>
                <w:szCs w:val="20"/>
                <w:u w:val="none"/>
              </w:rPr>
            </w:pPr>
            <w:r>
              <w:rPr>
                <w:rFonts w:hint="eastAsia"/>
                <w:b/>
                <w:bCs/>
                <w:kern w:val="24"/>
                <w:sz w:val="24"/>
                <w:szCs w:val="20"/>
                <w:u w:val="none"/>
              </w:rPr>
              <w:t>2.2</w:t>
            </w:r>
            <w:r>
              <w:rPr>
                <w:b/>
                <w:bCs/>
                <w:kern w:val="24"/>
                <w:sz w:val="24"/>
                <w:szCs w:val="20"/>
                <w:u w:val="none"/>
              </w:rPr>
              <w:t>、项目基本概况</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sz w:val="24"/>
                <w:u w:val="none"/>
              </w:rPr>
            </w:pPr>
            <w:r>
              <w:rPr>
                <w:kern w:val="24"/>
                <w:sz w:val="24"/>
                <w:szCs w:val="20"/>
                <w:u w:val="none"/>
                <w:lang w:val="zh-CN"/>
              </w:rPr>
              <w:t>（1）建设项目名称：</w:t>
            </w:r>
            <w:r>
              <w:rPr>
                <w:rFonts w:hint="eastAsia"/>
                <w:sz w:val="24"/>
                <w:u w:val="none"/>
              </w:rPr>
              <w:t>临湘市恒太加油站扩建项目</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kern w:val="24"/>
                <w:sz w:val="24"/>
                <w:szCs w:val="20"/>
                <w:u w:val="none"/>
                <w:lang w:val="zh-CN"/>
              </w:rPr>
            </w:pPr>
            <w:r>
              <w:rPr>
                <w:kern w:val="24"/>
                <w:sz w:val="24"/>
                <w:szCs w:val="20"/>
                <w:u w:val="none"/>
                <w:lang w:val="zh-CN"/>
              </w:rPr>
              <w:t>（2）建设单位：</w:t>
            </w:r>
            <w:r>
              <w:rPr>
                <w:rFonts w:hint="eastAsia"/>
                <w:sz w:val="24"/>
                <w:u w:val="none"/>
              </w:rPr>
              <w:t>临湘市恒太加油站</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rFonts w:hint="eastAsia"/>
                <w:sz w:val="24"/>
                <w:u w:val="none"/>
                <w:lang w:val="zh-CN"/>
              </w:rPr>
            </w:pPr>
            <w:r>
              <w:rPr>
                <w:kern w:val="24"/>
                <w:sz w:val="24"/>
                <w:szCs w:val="20"/>
                <w:u w:val="none"/>
                <w:lang w:val="zh-CN"/>
              </w:rPr>
              <w:t>（3）建设地点：</w:t>
            </w:r>
            <w:r>
              <w:rPr>
                <w:rFonts w:hint="eastAsia" w:ascii="宋体" w:hAnsi="宋体" w:cs="宋体"/>
                <w:kern w:val="1"/>
                <w:sz w:val="24"/>
                <w:szCs w:val="28"/>
                <w:u w:val="none"/>
              </w:rPr>
              <w:t>岳阳市临湘市长安街道水井村</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rFonts w:hint="eastAsia"/>
                <w:kern w:val="24"/>
                <w:sz w:val="24"/>
                <w:szCs w:val="20"/>
                <w:u w:val="none"/>
                <w:lang w:val="zh-CN"/>
              </w:rPr>
            </w:pPr>
            <w:r>
              <w:rPr>
                <w:kern w:val="24"/>
                <w:sz w:val="24"/>
                <w:szCs w:val="20"/>
                <w:u w:val="none"/>
                <w:lang w:val="zh-CN"/>
              </w:rPr>
              <w:t>（4）建设性质：</w:t>
            </w:r>
            <w:r>
              <w:rPr>
                <w:rFonts w:hint="eastAsia"/>
                <w:kern w:val="24"/>
                <w:sz w:val="24"/>
                <w:szCs w:val="20"/>
                <w:u w:val="none"/>
              </w:rPr>
              <w:t>扩建</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kern w:val="0"/>
                <w:sz w:val="24"/>
                <w:szCs w:val="20"/>
                <w:u w:val="none"/>
                <w:lang w:val="zh-CN"/>
              </w:rPr>
            </w:pPr>
            <w:r>
              <w:rPr>
                <w:kern w:val="24"/>
                <w:sz w:val="24"/>
                <w:szCs w:val="20"/>
                <w:u w:val="none"/>
                <w:lang w:val="zh-CN"/>
              </w:rPr>
              <w:t>（5）建筑面积：</w:t>
            </w:r>
            <w:r>
              <w:rPr>
                <w:rFonts w:hint="eastAsia"/>
                <w:kern w:val="24"/>
                <w:sz w:val="24"/>
                <w:szCs w:val="20"/>
                <w:u w:val="none"/>
              </w:rPr>
              <w:t>651.5</w:t>
            </w:r>
            <w:r>
              <w:rPr>
                <w:kern w:val="24"/>
                <w:sz w:val="24"/>
                <w:szCs w:val="20"/>
                <w:u w:val="none"/>
                <w:lang w:val="zh-CN"/>
              </w:rPr>
              <w:t>平方米</w:t>
            </w:r>
            <w:r>
              <w:rPr>
                <w:kern w:val="0"/>
                <w:sz w:val="24"/>
                <w:szCs w:val="20"/>
                <w:u w:val="none"/>
                <w:lang w:val="zh-CN"/>
              </w:rPr>
              <w:t>。</w:t>
            </w:r>
          </w:p>
          <w:p>
            <w:pPr>
              <w:tabs>
                <w:tab w:val="left" w:pos="1021"/>
                <w:tab w:val="left" w:pos="1320"/>
                <w:tab w:val="left" w:pos="2310"/>
                <w:tab w:val="left" w:pos="3990"/>
                <w:tab w:val="left" w:pos="5460"/>
                <w:tab w:val="left" w:pos="7305"/>
              </w:tabs>
              <w:adjustRightInd w:val="0"/>
              <w:snapToGrid w:val="0"/>
              <w:spacing w:line="360" w:lineRule="auto"/>
              <w:ind w:firstLine="480" w:firstLineChars="200"/>
              <w:rPr>
                <w:kern w:val="24"/>
                <w:sz w:val="24"/>
                <w:szCs w:val="20"/>
                <w:u w:val="none"/>
                <w:lang w:val="zh-CN"/>
              </w:rPr>
            </w:pPr>
            <w:r>
              <w:rPr>
                <w:kern w:val="24"/>
                <w:sz w:val="24"/>
                <w:szCs w:val="20"/>
                <w:u w:val="none"/>
                <w:lang w:val="zh-CN"/>
              </w:rPr>
              <w:t>（6）总投资额：本项目总投资为</w:t>
            </w:r>
            <w:r>
              <w:rPr>
                <w:rFonts w:hint="eastAsia"/>
                <w:kern w:val="24"/>
                <w:sz w:val="24"/>
                <w:szCs w:val="20"/>
                <w:u w:val="none"/>
              </w:rPr>
              <w:t>360</w:t>
            </w:r>
            <w:r>
              <w:rPr>
                <w:kern w:val="24"/>
                <w:sz w:val="24"/>
                <w:szCs w:val="20"/>
                <w:u w:val="none"/>
                <w:lang w:val="zh-CN"/>
              </w:rPr>
              <w:t>万元。</w:t>
            </w:r>
          </w:p>
          <w:p>
            <w:pPr>
              <w:keepNext w:val="0"/>
              <w:keepLines w:val="0"/>
              <w:pageBreakBefore w:val="0"/>
              <w:widowControl w:val="0"/>
              <w:tabs>
                <w:tab w:val="left" w:pos="1021"/>
                <w:tab w:val="left" w:pos="1320"/>
                <w:tab w:val="left" w:pos="2310"/>
                <w:tab w:val="left" w:pos="3990"/>
                <w:tab w:val="left" w:pos="5460"/>
                <w:tab w:val="left" w:pos="7305"/>
              </w:tabs>
              <w:kinsoku/>
              <w:wordWrap w:val="0"/>
              <w:overflowPunct/>
              <w:topLinePunct w:val="0"/>
              <w:autoSpaceDE/>
              <w:autoSpaceDN/>
              <w:bidi w:val="0"/>
              <w:adjustRightInd w:val="0"/>
              <w:snapToGrid w:val="0"/>
              <w:spacing w:line="360" w:lineRule="auto"/>
              <w:ind w:firstLine="480" w:firstLineChars="200"/>
              <w:textAlignment w:val="auto"/>
              <w:rPr>
                <w:kern w:val="24"/>
                <w:sz w:val="24"/>
                <w:szCs w:val="20"/>
                <w:u w:val="none"/>
              </w:rPr>
            </w:pPr>
            <w:r>
              <w:rPr>
                <w:rFonts w:hint="eastAsia"/>
                <w:kern w:val="24"/>
                <w:sz w:val="24"/>
                <w:szCs w:val="20"/>
                <w:u w:val="none"/>
                <w:lang w:val="zh-CN"/>
              </w:rPr>
              <w:t>（</w:t>
            </w:r>
            <w:r>
              <w:rPr>
                <w:rFonts w:hint="eastAsia"/>
                <w:kern w:val="24"/>
                <w:sz w:val="24"/>
                <w:szCs w:val="20"/>
                <w:u w:val="none"/>
              </w:rPr>
              <w:t>7</w:t>
            </w:r>
            <w:r>
              <w:rPr>
                <w:rFonts w:hint="eastAsia"/>
                <w:kern w:val="24"/>
                <w:sz w:val="24"/>
                <w:szCs w:val="20"/>
                <w:u w:val="none"/>
                <w:lang w:val="zh-CN"/>
              </w:rPr>
              <w:t>）环评手续情况：项目已于</w:t>
            </w:r>
            <w:r>
              <w:rPr>
                <w:rFonts w:hint="eastAsia"/>
                <w:kern w:val="24"/>
                <w:sz w:val="24"/>
                <w:szCs w:val="20"/>
                <w:u w:val="none"/>
              </w:rPr>
              <w:t>2009年办理环评登记</w:t>
            </w:r>
            <w:r>
              <w:rPr>
                <w:rFonts w:hint="eastAsia"/>
                <w:kern w:val="24"/>
                <w:sz w:val="24"/>
                <w:szCs w:val="20"/>
                <w:u w:val="none"/>
                <w:lang w:val="en-US" w:eastAsia="zh-CN"/>
              </w:rPr>
              <w:t>并</w:t>
            </w:r>
            <w:r>
              <w:rPr>
                <w:rFonts w:hint="eastAsia"/>
                <w:u w:val="none"/>
                <w:lang w:val="en-US" w:eastAsia="zh-CN"/>
              </w:rPr>
              <w:t>经</w:t>
            </w:r>
            <w:r>
              <w:rPr>
                <w:rFonts w:hint="eastAsia"/>
                <w:color w:val="0000FF"/>
                <w:kern w:val="24"/>
                <w:sz w:val="24"/>
                <w:szCs w:val="20"/>
                <w:u w:val="none"/>
                <w:lang w:val="en-US" w:eastAsia="zh-CN"/>
              </w:rPr>
              <w:t>原临湘市环境保护局审批通过</w:t>
            </w:r>
            <w:r>
              <w:rPr>
                <w:rFonts w:hint="eastAsia"/>
                <w:kern w:val="24"/>
                <w:sz w:val="24"/>
                <w:szCs w:val="20"/>
                <w:u w:val="none"/>
              </w:rPr>
              <w:t>，于2020年获得排污许可证，排污许可证编号：</w:t>
            </w:r>
            <w:r>
              <w:rPr>
                <w:rFonts w:hint="eastAsia"/>
                <w:kern w:val="24"/>
                <w:sz w:val="24"/>
                <w:szCs w:val="20"/>
                <w:u w:val="none"/>
                <w:lang w:val="zh-CN"/>
              </w:rPr>
              <w:t>91430682563544626R001Q。</w:t>
            </w:r>
          </w:p>
          <w:p>
            <w:pPr>
              <w:adjustRightInd w:val="0"/>
              <w:snapToGrid w:val="0"/>
              <w:spacing w:line="360" w:lineRule="auto"/>
              <w:ind w:firstLine="498" w:firstLineChars="200"/>
              <w:outlineLvl w:val="0"/>
              <w:rPr>
                <w:b/>
                <w:spacing w:val="4"/>
                <w:sz w:val="24"/>
                <w:u w:val="none"/>
              </w:rPr>
            </w:pPr>
            <w:bookmarkStart w:id="18" w:name="_Toc12421"/>
            <w:bookmarkStart w:id="19" w:name="_Toc15074"/>
            <w:bookmarkStart w:id="20" w:name="_Toc5777"/>
            <w:bookmarkStart w:id="21" w:name="_Toc6426"/>
            <w:bookmarkStart w:id="22" w:name="_Toc6252"/>
            <w:r>
              <w:rPr>
                <w:rFonts w:hint="eastAsia"/>
                <w:b/>
                <w:spacing w:val="4"/>
                <w:sz w:val="24"/>
                <w:u w:val="none"/>
              </w:rPr>
              <w:t>2.3</w:t>
            </w:r>
            <w:r>
              <w:rPr>
                <w:b/>
                <w:spacing w:val="4"/>
                <w:sz w:val="24"/>
                <w:u w:val="none"/>
              </w:rPr>
              <w:t>、工程内容及规模</w:t>
            </w:r>
            <w:bookmarkEnd w:id="18"/>
            <w:bookmarkEnd w:id="19"/>
            <w:bookmarkEnd w:id="20"/>
            <w:bookmarkEnd w:id="21"/>
            <w:bookmarkEnd w:id="22"/>
          </w:p>
          <w:p>
            <w:pPr>
              <w:adjustRightInd w:val="0"/>
              <w:snapToGrid w:val="0"/>
              <w:spacing w:line="360" w:lineRule="auto"/>
              <w:ind w:firstLine="480" w:firstLineChars="200"/>
              <w:outlineLvl w:val="0"/>
              <w:rPr>
                <w:rFonts w:hint="eastAsia"/>
                <w:sz w:val="24"/>
                <w:szCs w:val="28"/>
                <w:u w:val="none"/>
              </w:rPr>
            </w:pPr>
            <w:bookmarkStart w:id="23" w:name="_Toc23183"/>
            <w:bookmarkStart w:id="24" w:name="_Toc10239"/>
            <w:bookmarkStart w:id="25" w:name="_Toc13640"/>
            <w:bookmarkStart w:id="26" w:name="_Toc22865"/>
            <w:bookmarkStart w:id="27" w:name="_Toc128"/>
            <w:r>
              <w:rPr>
                <w:sz w:val="24"/>
                <w:szCs w:val="28"/>
                <w:u w:val="none"/>
              </w:rPr>
              <w:t>项目</w:t>
            </w:r>
            <w:r>
              <w:rPr>
                <w:sz w:val="24"/>
                <w:u w:val="none"/>
              </w:rPr>
              <w:t>总</w:t>
            </w:r>
            <w:r>
              <w:rPr>
                <w:sz w:val="24"/>
                <w:szCs w:val="28"/>
                <w:u w:val="none"/>
              </w:rPr>
              <w:t>占地面积为</w:t>
            </w:r>
            <w:r>
              <w:rPr>
                <w:rFonts w:hint="eastAsia"/>
                <w:sz w:val="24"/>
                <w:szCs w:val="28"/>
                <w:u w:val="none"/>
              </w:rPr>
              <w:t>1184</w:t>
            </w:r>
            <w:r>
              <w:rPr>
                <w:sz w:val="24"/>
                <w:szCs w:val="28"/>
                <w:u w:val="none"/>
              </w:rPr>
              <w:t>m</w:t>
            </w:r>
            <w:r>
              <w:rPr>
                <w:sz w:val="24"/>
                <w:szCs w:val="28"/>
                <w:u w:val="none"/>
                <w:vertAlign w:val="superscript"/>
              </w:rPr>
              <w:t>2</w:t>
            </w:r>
            <w:r>
              <w:rPr>
                <w:sz w:val="24"/>
                <w:szCs w:val="28"/>
                <w:u w:val="none"/>
              </w:rPr>
              <w:t>，总建筑面积为</w:t>
            </w:r>
            <w:r>
              <w:rPr>
                <w:rFonts w:hint="eastAsia"/>
                <w:sz w:val="24"/>
                <w:szCs w:val="28"/>
                <w:u w:val="none"/>
              </w:rPr>
              <w:t>651.5</w:t>
            </w:r>
            <w:r>
              <w:rPr>
                <w:sz w:val="24"/>
                <w:szCs w:val="28"/>
                <w:u w:val="none"/>
              </w:rPr>
              <w:t>m</w:t>
            </w:r>
            <w:r>
              <w:rPr>
                <w:sz w:val="24"/>
                <w:szCs w:val="28"/>
                <w:u w:val="none"/>
                <w:vertAlign w:val="superscript"/>
              </w:rPr>
              <w:t>2</w:t>
            </w:r>
            <w:r>
              <w:rPr>
                <w:rFonts w:hint="eastAsia"/>
                <w:sz w:val="24"/>
                <w:szCs w:val="28"/>
                <w:u w:val="none"/>
              </w:rPr>
              <w:t>，加油站现有柴油储罐2个，均为30m</w:t>
            </w:r>
            <w:r>
              <w:rPr>
                <w:rFonts w:hint="eastAsia"/>
                <w:sz w:val="24"/>
                <w:szCs w:val="28"/>
                <w:u w:val="none"/>
                <w:vertAlign w:val="superscript"/>
              </w:rPr>
              <w:t>3</w:t>
            </w:r>
            <w:r>
              <w:rPr>
                <w:rFonts w:hint="eastAsia"/>
                <w:sz w:val="24"/>
                <w:szCs w:val="28"/>
                <w:u w:val="none"/>
              </w:rPr>
              <w:t>，汽油储罐2个，分别为30m</w:t>
            </w:r>
            <w:r>
              <w:rPr>
                <w:rFonts w:hint="eastAsia"/>
                <w:sz w:val="24"/>
                <w:szCs w:val="28"/>
                <w:u w:val="none"/>
                <w:vertAlign w:val="superscript"/>
              </w:rPr>
              <w:t>3</w:t>
            </w:r>
            <w:r>
              <w:rPr>
                <w:rFonts w:hint="eastAsia"/>
                <w:sz w:val="24"/>
                <w:szCs w:val="28"/>
                <w:u w:val="none"/>
              </w:rPr>
              <w:t>、15m</w:t>
            </w:r>
            <w:r>
              <w:rPr>
                <w:rFonts w:hint="eastAsia"/>
                <w:sz w:val="24"/>
                <w:szCs w:val="28"/>
                <w:u w:val="none"/>
                <w:vertAlign w:val="superscript"/>
              </w:rPr>
              <w:t>3</w:t>
            </w:r>
            <w:r>
              <w:rPr>
                <w:rFonts w:hint="eastAsia"/>
                <w:sz w:val="24"/>
                <w:szCs w:val="28"/>
                <w:u w:val="none"/>
              </w:rPr>
              <w:t>，加油站扩建后设置容积50立方米0#柴油储罐2个，容积50立方米92#汽油储罐1个，容积50立方米95#/98#汽油储罐1个（分舱储存），根据《《汽车加油</w:t>
            </w:r>
            <w:r>
              <w:rPr>
                <w:rFonts w:ascii="宋体" w:hAnsi="宋体" w:cs="宋体"/>
                <w:sz w:val="24"/>
                <w:u w:val="none"/>
              </w:rPr>
              <w:t>加气加氢站技术标准》(GB5</w:t>
            </w:r>
            <w:r>
              <w:rPr>
                <w:rFonts w:hint="eastAsia"/>
                <w:sz w:val="24"/>
                <w:szCs w:val="28"/>
                <w:u w:val="none"/>
              </w:rPr>
              <w:t>0156-2021)的等级划分，折算罐容为150</w:t>
            </w:r>
            <w:r>
              <w:rPr>
                <w:sz w:val="24"/>
                <w:szCs w:val="28"/>
                <w:u w:val="none"/>
              </w:rPr>
              <w:t>m</w:t>
            </w:r>
            <w:r>
              <w:rPr>
                <w:rFonts w:hint="eastAsia"/>
                <w:sz w:val="24"/>
                <w:szCs w:val="28"/>
                <w:u w:val="none"/>
                <w:vertAlign w:val="superscript"/>
              </w:rPr>
              <w:t>3</w:t>
            </w:r>
            <w:r>
              <w:rPr>
                <w:rFonts w:hint="eastAsia"/>
                <w:sz w:val="24"/>
                <w:szCs w:val="28"/>
                <w:u w:val="none"/>
              </w:rPr>
              <w:t>，为</w:t>
            </w:r>
            <w:r>
              <w:rPr>
                <w:rFonts w:hint="eastAsia"/>
                <w:sz w:val="24"/>
                <w:szCs w:val="28"/>
                <w:u w:val="none"/>
                <w:lang w:eastAsia="zh-CN"/>
              </w:rPr>
              <w:t>二次</w:t>
            </w:r>
            <w:r>
              <w:rPr>
                <w:rFonts w:hint="eastAsia"/>
                <w:sz w:val="24"/>
                <w:szCs w:val="28"/>
                <w:u w:val="none"/>
              </w:rPr>
              <w:t>加油站。</w:t>
            </w:r>
            <w:bookmarkEnd w:id="23"/>
            <w:bookmarkEnd w:id="24"/>
            <w:bookmarkEnd w:id="25"/>
            <w:bookmarkEnd w:id="26"/>
            <w:bookmarkEnd w:id="27"/>
            <w:r>
              <w:rPr>
                <w:rFonts w:hint="eastAsia"/>
                <w:color w:val="0000FF"/>
                <w:sz w:val="24"/>
                <w:szCs w:val="24"/>
                <w:u w:val="single"/>
              </w:rPr>
              <w:t>（几何容积</w:t>
            </w:r>
            <w:r>
              <w:rPr>
                <w:rFonts w:hint="eastAsia"/>
                <w:color w:val="0000FF"/>
                <w:sz w:val="24"/>
                <w:szCs w:val="24"/>
                <w:u w:val="single"/>
                <w:lang w:val="en-US" w:eastAsia="zh-CN"/>
              </w:rPr>
              <w:t>20</w:t>
            </w:r>
            <w:r>
              <w:rPr>
                <w:rFonts w:hint="eastAsia"/>
                <w:color w:val="0000FF"/>
                <w:sz w:val="24"/>
                <w:szCs w:val="24"/>
                <w:u w:val="single"/>
              </w:rPr>
              <w:t>0</w:t>
            </w:r>
            <w:r>
              <w:rPr>
                <w:color w:val="0000FF"/>
                <w:sz w:val="24"/>
                <w:szCs w:val="24"/>
                <w:u w:val="single"/>
              </w:rPr>
              <w:t>m</w:t>
            </w:r>
            <w:r>
              <w:rPr>
                <w:color w:val="0000FF"/>
                <w:sz w:val="24"/>
                <w:szCs w:val="24"/>
                <w:u w:val="single"/>
                <w:vertAlign w:val="superscript"/>
              </w:rPr>
              <w:t>3</w:t>
            </w:r>
            <w:r>
              <w:rPr>
                <w:rFonts w:hint="eastAsia"/>
                <w:color w:val="0000FF"/>
                <w:sz w:val="24"/>
                <w:szCs w:val="24"/>
                <w:u w:val="single"/>
              </w:rPr>
              <w:t>，折算容积</w:t>
            </w:r>
            <w:r>
              <w:rPr>
                <w:rFonts w:hint="eastAsia"/>
                <w:color w:val="0000FF"/>
                <w:sz w:val="24"/>
                <w:szCs w:val="24"/>
                <w:u w:val="single"/>
                <w:lang w:val="en-US" w:eastAsia="zh-CN"/>
              </w:rPr>
              <w:t>15</w:t>
            </w:r>
            <w:r>
              <w:rPr>
                <w:rFonts w:hint="eastAsia"/>
                <w:color w:val="0000FF"/>
                <w:sz w:val="24"/>
                <w:szCs w:val="24"/>
                <w:u w:val="single"/>
              </w:rPr>
              <w:t>0</w:t>
            </w:r>
            <w:r>
              <w:rPr>
                <w:color w:val="0000FF"/>
                <w:sz w:val="24"/>
                <w:szCs w:val="24"/>
                <w:u w:val="single"/>
              </w:rPr>
              <w:t>m</w:t>
            </w:r>
            <w:r>
              <w:rPr>
                <w:color w:val="0000FF"/>
                <w:sz w:val="24"/>
                <w:szCs w:val="24"/>
                <w:u w:val="single"/>
                <w:vertAlign w:val="superscript"/>
              </w:rPr>
              <w:t>3</w:t>
            </w:r>
            <w:r>
              <w:rPr>
                <w:rFonts w:hint="eastAsia"/>
                <w:color w:val="0000FF"/>
                <w:sz w:val="24"/>
                <w:szCs w:val="24"/>
                <w:u w:val="single"/>
              </w:rPr>
              <w:t>，</w:t>
            </w:r>
            <w:r>
              <w:rPr>
                <w:color w:val="0000FF"/>
                <w:sz w:val="24"/>
                <w:szCs w:val="24"/>
                <w:u w:val="single"/>
              </w:rPr>
              <w:t>柴油容积折半计入油罐总容积）</w:t>
            </w:r>
          </w:p>
          <w:p>
            <w:pPr>
              <w:adjustRightInd w:val="0"/>
              <w:snapToGrid w:val="0"/>
              <w:spacing w:line="360" w:lineRule="auto"/>
              <w:jc w:val="center"/>
              <w:outlineLvl w:val="0"/>
              <w:rPr>
                <w:b/>
                <w:color w:val="0000FF"/>
                <w:szCs w:val="21"/>
                <w:u w:val="none"/>
              </w:rPr>
            </w:pPr>
            <w:bookmarkStart w:id="28" w:name="_Toc16995"/>
          </w:p>
          <w:p>
            <w:pPr>
              <w:adjustRightInd w:val="0"/>
              <w:snapToGrid w:val="0"/>
              <w:spacing w:line="360" w:lineRule="auto"/>
              <w:jc w:val="center"/>
              <w:outlineLvl w:val="0"/>
              <w:rPr>
                <w:rFonts w:hint="default" w:eastAsia="宋体"/>
                <w:color w:val="0000FF"/>
                <w:sz w:val="24"/>
                <w:szCs w:val="28"/>
                <w:u w:val="none"/>
                <w:lang w:val="en-US" w:eastAsia="zh-CN"/>
              </w:rPr>
            </w:pPr>
            <w:r>
              <w:rPr>
                <w:b/>
                <w:color w:val="0000FF"/>
                <w:szCs w:val="21"/>
                <w:u w:val="none"/>
              </w:rPr>
              <w:t>表</w:t>
            </w:r>
            <w:r>
              <w:rPr>
                <w:rFonts w:hint="eastAsia"/>
                <w:b/>
                <w:color w:val="0000FF"/>
                <w:szCs w:val="21"/>
                <w:u w:val="none"/>
              </w:rPr>
              <w:t>2</w:t>
            </w:r>
            <w:r>
              <w:rPr>
                <w:b/>
                <w:color w:val="0000FF"/>
                <w:szCs w:val="21"/>
                <w:u w:val="none"/>
              </w:rPr>
              <w:t>-</w:t>
            </w:r>
            <w:r>
              <w:rPr>
                <w:rFonts w:hint="eastAsia"/>
                <w:b/>
                <w:color w:val="0000FF"/>
                <w:szCs w:val="21"/>
                <w:u w:val="none"/>
              </w:rPr>
              <w:t>1</w:t>
            </w:r>
            <w:r>
              <w:rPr>
                <w:b/>
                <w:color w:val="0000FF"/>
                <w:szCs w:val="21"/>
                <w:u w:val="none"/>
              </w:rPr>
              <w:t xml:space="preserve">  </w:t>
            </w:r>
            <w:r>
              <w:rPr>
                <w:rFonts w:hint="eastAsia"/>
                <w:b/>
                <w:color w:val="0000FF"/>
                <w:szCs w:val="21"/>
                <w:u w:val="none"/>
                <w:lang w:val="en-US" w:eastAsia="zh-CN"/>
              </w:rPr>
              <w:t>加油站的等级划分</w:t>
            </w:r>
            <w:bookmarkEnd w:id="28"/>
          </w:p>
          <w:tbl>
            <w:tblPr>
              <w:tblStyle w:val="27"/>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8"/>
              <w:gridCol w:w="2221"/>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vMerge w:val="restart"/>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29" w:name="_Toc12161"/>
                  <w:r>
                    <w:rPr>
                      <w:rFonts w:hint="eastAsia"/>
                      <w:color w:val="0000FF"/>
                      <w:sz w:val="21"/>
                      <w:szCs w:val="21"/>
                      <w:u w:val="none"/>
                      <w:vertAlign w:val="baseline"/>
                      <w:lang w:val="en-US" w:eastAsia="zh-CN"/>
                    </w:rPr>
                    <w:t>加油站等级</w:t>
                  </w:r>
                  <w:bookmarkEnd w:id="29"/>
                </w:p>
              </w:tc>
              <w:tc>
                <w:tcPr>
                  <w:tcW w:w="5297" w:type="dxa"/>
                  <w:gridSpan w:val="2"/>
                  <w:noWrap w:val="0"/>
                  <w:vAlign w:val="center"/>
                </w:tcPr>
                <w:p>
                  <w:pPr>
                    <w:adjustRightInd w:val="0"/>
                    <w:snapToGrid w:val="0"/>
                    <w:spacing w:line="240" w:lineRule="auto"/>
                    <w:jc w:val="center"/>
                    <w:outlineLvl w:val="0"/>
                    <w:rPr>
                      <w:rFonts w:hint="eastAsia"/>
                      <w:color w:val="0000FF"/>
                      <w:sz w:val="21"/>
                      <w:szCs w:val="21"/>
                      <w:u w:val="none"/>
                      <w:vertAlign w:val="baseline"/>
                    </w:rPr>
                  </w:pPr>
                  <w:bookmarkStart w:id="30" w:name="_Toc20185"/>
                  <w:r>
                    <w:rPr>
                      <w:rFonts w:hint="eastAsia"/>
                      <w:color w:val="0000FF"/>
                      <w:sz w:val="21"/>
                      <w:szCs w:val="21"/>
                      <w:u w:val="none"/>
                      <w:vertAlign w:val="baseline"/>
                      <w:lang w:val="en-US" w:eastAsia="zh-CN"/>
                    </w:rPr>
                    <w:t>加油站油罐容积（m</w:t>
                  </w:r>
                  <w:r>
                    <w:rPr>
                      <w:rFonts w:hint="eastAsia"/>
                      <w:color w:val="0000FF"/>
                      <w:sz w:val="21"/>
                      <w:szCs w:val="21"/>
                      <w:u w:val="none"/>
                      <w:vertAlign w:val="superscript"/>
                      <w:lang w:val="en-US" w:eastAsia="zh-CN"/>
                    </w:rPr>
                    <w:t>3</w:t>
                  </w:r>
                  <w:r>
                    <w:rPr>
                      <w:rFonts w:hint="eastAsia"/>
                      <w:color w:val="0000FF"/>
                      <w:sz w:val="21"/>
                      <w:szCs w:val="21"/>
                      <w:u w:val="none"/>
                      <w:vertAlign w:val="baseline"/>
                      <w:lang w:val="en-US" w:eastAsia="zh-CN"/>
                    </w:rPr>
                    <w:t>）</w:t>
                  </w:r>
                  <w:bookmarkEnd w:id="3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vMerge w:val="continue"/>
                  <w:noWrap w:val="0"/>
                  <w:vAlign w:val="center"/>
                </w:tcPr>
                <w:p>
                  <w:pPr>
                    <w:adjustRightInd w:val="0"/>
                    <w:snapToGrid w:val="0"/>
                    <w:spacing w:line="240" w:lineRule="auto"/>
                    <w:jc w:val="center"/>
                    <w:outlineLvl w:val="0"/>
                    <w:rPr>
                      <w:rFonts w:hint="eastAsia"/>
                      <w:color w:val="0000FF"/>
                      <w:sz w:val="21"/>
                      <w:szCs w:val="21"/>
                      <w:u w:val="none"/>
                      <w:vertAlign w:val="baseline"/>
                    </w:rPr>
                  </w:pPr>
                </w:p>
              </w:tc>
              <w:tc>
                <w:tcPr>
                  <w:tcW w:w="2221"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1" w:name="_Toc23976"/>
                  <w:r>
                    <w:rPr>
                      <w:rFonts w:hint="eastAsia"/>
                      <w:color w:val="0000FF"/>
                      <w:sz w:val="21"/>
                      <w:szCs w:val="21"/>
                      <w:u w:val="none"/>
                      <w:vertAlign w:val="baseline"/>
                      <w:lang w:val="en-US" w:eastAsia="zh-CN"/>
                    </w:rPr>
                    <w:t>总容积V</w:t>
                  </w:r>
                  <w:bookmarkEnd w:id="31"/>
                </w:p>
              </w:tc>
              <w:tc>
                <w:tcPr>
                  <w:tcW w:w="3076"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2" w:name="_Toc18408"/>
                  <w:r>
                    <w:rPr>
                      <w:rFonts w:hint="eastAsia"/>
                      <w:color w:val="0000FF"/>
                      <w:sz w:val="21"/>
                      <w:szCs w:val="21"/>
                      <w:u w:val="none"/>
                      <w:vertAlign w:val="baseline"/>
                      <w:lang w:val="en-US" w:eastAsia="zh-CN"/>
                    </w:rPr>
                    <w:t>单罐容积</w:t>
                  </w:r>
                  <w:bookmarkEnd w:id="3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3" w:name="_Toc28042"/>
                  <w:r>
                    <w:rPr>
                      <w:rFonts w:hint="eastAsia"/>
                      <w:color w:val="0000FF"/>
                      <w:sz w:val="21"/>
                      <w:szCs w:val="21"/>
                      <w:u w:val="none"/>
                      <w:vertAlign w:val="baseline"/>
                      <w:lang w:val="en-US" w:eastAsia="zh-CN"/>
                    </w:rPr>
                    <w:t>一级</w:t>
                  </w:r>
                  <w:bookmarkEnd w:id="33"/>
                </w:p>
              </w:tc>
              <w:tc>
                <w:tcPr>
                  <w:tcW w:w="2221"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4" w:name="_Toc5679"/>
                  <w:r>
                    <w:rPr>
                      <w:rFonts w:hint="eastAsia"/>
                      <w:color w:val="0000FF"/>
                      <w:sz w:val="21"/>
                      <w:szCs w:val="21"/>
                      <w:u w:val="none"/>
                      <w:vertAlign w:val="baseline"/>
                      <w:lang w:val="en-US" w:eastAsia="zh-CN"/>
                    </w:rPr>
                    <w:t>150＜V≤210</w:t>
                  </w:r>
                  <w:bookmarkEnd w:id="34"/>
                </w:p>
              </w:tc>
              <w:tc>
                <w:tcPr>
                  <w:tcW w:w="3076"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5" w:name="_Toc15251"/>
                  <w:r>
                    <w:rPr>
                      <w:rFonts w:hint="eastAsia"/>
                      <w:color w:val="0000FF"/>
                      <w:sz w:val="21"/>
                      <w:szCs w:val="21"/>
                      <w:u w:val="none"/>
                      <w:vertAlign w:val="baseline"/>
                      <w:lang w:val="en-US" w:eastAsia="zh-CN"/>
                    </w:rPr>
                    <w:t>≤50</w:t>
                  </w:r>
                  <w:bookmarkEnd w:id="3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noWrap w:val="0"/>
                  <w:vAlign w:val="center"/>
                </w:tcPr>
                <w:p>
                  <w:pPr>
                    <w:adjustRightInd w:val="0"/>
                    <w:snapToGrid w:val="0"/>
                    <w:spacing w:line="240" w:lineRule="auto"/>
                    <w:jc w:val="center"/>
                    <w:outlineLvl w:val="0"/>
                    <w:rPr>
                      <w:rFonts w:hint="eastAsia" w:eastAsia="宋体"/>
                      <w:color w:val="0000FF"/>
                      <w:sz w:val="21"/>
                      <w:szCs w:val="21"/>
                      <w:u w:val="none"/>
                      <w:vertAlign w:val="baseline"/>
                      <w:lang w:val="en-US" w:eastAsia="zh-CN"/>
                    </w:rPr>
                  </w:pPr>
                  <w:r>
                    <w:rPr>
                      <w:rFonts w:hint="eastAsia"/>
                      <w:color w:val="0000FF"/>
                      <w:sz w:val="21"/>
                      <w:szCs w:val="21"/>
                      <w:u w:val="none"/>
                      <w:vertAlign w:val="baseline"/>
                      <w:lang w:val="en-US" w:eastAsia="zh-CN"/>
                    </w:rPr>
                    <w:t>二次</w:t>
                  </w:r>
                </w:p>
              </w:tc>
              <w:tc>
                <w:tcPr>
                  <w:tcW w:w="2221"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6" w:name="_Toc20531"/>
                  <w:r>
                    <w:rPr>
                      <w:rFonts w:hint="eastAsia"/>
                      <w:color w:val="0000FF"/>
                      <w:sz w:val="21"/>
                      <w:szCs w:val="21"/>
                      <w:u w:val="none"/>
                      <w:vertAlign w:val="baseline"/>
                      <w:lang w:val="en-US" w:eastAsia="zh-CN"/>
                    </w:rPr>
                    <w:t>90＜V≤150</w:t>
                  </w:r>
                  <w:bookmarkEnd w:id="36"/>
                </w:p>
              </w:tc>
              <w:tc>
                <w:tcPr>
                  <w:tcW w:w="3076" w:type="dxa"/>
                  <w:noWrap w:val="0"/>
                  <w:vAlign w:val="center"/>
                </w:tcPr>
                <w:p>
                  <w:pPr>
                    <w:adjustRightInd w:val="0"/>
                    <w:snapToGrid w:val="0"/>
                    <w:spacing w:line="240" w:lineRule="auto"/>
                    <w:jc w:val="center"/>
                    <w:outlineLvl w:val="0"/>
                    <w:rPr>
                      <w:rFonts w:hint="eastAsia"/>
                      <w:color w:val="0000FF"/>
                      <w:sz w:val="21"/>
                      <w:szCs w:val="21"/>
                      <w:u w:val="none"/>
                      <w:vertAlign w:val="baseline"/>
                    </w:rPr>
                  </w:pPr>
                  <w:bookmarkStart w:id="37" w:name="_Toc10233"/>
                  <w:r>
                    <w:rPr>
                      <w:rFonts w:hint="eastAsia"/>
                      <w:color w:val="0000FF"/>
                      <w:sz w:val="21"/>
                      <w:szCs w:val="21"/>
                      <w:u w:val="none"/>
                      <w:vertAlign w:val="baseline"/>
                      <w:lang w:val="en-US" w:eastAsia="zh-CN"/>
                    </w:rPr>
                    <w:t>≤60</w:t>
                  </w:r>
                  <w:bookmarkEnd w:id="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noWrap w:val="0"/>
                  <w:vAlign w:val="center"/>
                </w:tcPr>
                <w:p>
                  <w:pPr>
                    <w:adjustRightInd w:val="0"/>
                    <w:snapToGrid w:val="0"/>
                    <w:spacing w:line="240" w:lineRule="auto"/>
                    <w:jc w:val="center"/>
                    <w:outlineLvl w:val="0"/>
                    <w:rPr>
                      <w:rFonts w:hint="eastAsia" w:eastAsia="宋体"/>
                      <w:color w:val="0000FF"/>
                      <w:sz w:val="21"/>
                      <w:szCs w:val="21"/>
                      <w:u w:val="none"/>
                      <w:vertAlign w:val="baseline"/>
                      <w:lang w:val="en-US" w:eastAsia="zh-CN"/>
                    </w:rPr>
                  </w:pPr>
                  <w:bookmarkStart w:id="38" w:name="_Toc9505"/>
                  <w:r>
                    <w:rPr>
                      <w:rFonts w:hint="eastAsia"/>
                      <w:color w:val="0000FF"/>
                      <w:sz w:val="21"/>
                      <w:szCs w:val="21"/>
                      <w:u w:val="none"/>
                      <w:vertAlign w:val="baseline"/>
                      <w:lang w:val="en-US" w:eastAsia="zh-CN"/>
                    </w:rPr>
                    <w:t>三级</w:t>
                  </w:r>
                  <w:bookmarkEnd w:id="38"/>
                </w:p>
              </w:tc>
              <w:tc>
                <w:tcPr>
                  <w:tcW w:w="2221"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39" w:name="_Toc27503"/>
                  <w:r>
                    <w:rPr>
                      <w:rFonts w:hint="eastAsia"/>
                      <w:color w:val="0000FF"/>
                      <w:sz w:val="21"/>
                      <w:szCs w:val="21"/>
                      <w:u w:val="none"/>
                      <w:vertAlign w:val="baseline"/>
                      <w:lang w:val="en-US" w:eastAsia="zh-CN"/>
                    </w:rPr>
                    <w:t>V≤90</w:t>
                  </w:r>
                  <w:bookmarkEnd w:id="39"/>
                </w:p>
              </w:tc>
              <w:tc>
                <w:tcPr>
                  <w:tcW w:w="3076" w:type="dxa"/>
                  <w:noWrap w:val="0"/>
                  <w:vAlign w:val="center"/>
                </w:tcPr>
                <w:p>
                  <w:pPr>
                    <w:adjustRightInd w:val="0"/>
                    <w:snapToGrid w:val="0"/>
                    <w:spacing w:line="240" w:lineRule="auto"/>
                    <w:jc w:val="center"/>
                    <w:outlineLvl w:val="0"/>
                    <w:rPr>
                      <w:rFonts w:hint="default" w:eastAsia="宋体"/>
                      <w:color w:val="0000FF"/>
                      <w:sz w:val="21"/>
                      <w:szCs w:val="21"/>
                      <w:u w:val="none"/>
                      <w:vertAlign w:val="baseline"/>
                      <w:lang w:val="en-US" w:eastAsia="zh-CN"/>
                    </w:rPr>
                  </w:pPr>
                  <w:bookmarkStart w:id="40" w:name="_Toc15782"/>
                  <w:r>
                    <w:rPr>
                      <w:rFonts w:hint="eastAsia"/>
                      <w:color w:val="0000FF"/>
                      <w:sz w:val="21"/>
                      <w:szCs w:val="21"/>
                      <w:u w:val="none"/>
                      <w:vertAlign w:val="baseline"/>
                      <w:lang w:val="en-US" w:eastAsia="zh-CN"/>
                    </w:rPr>
                    <w:t>汽油罐≤30，柴油罐≤50</w:t>
                  </w:r>
                  <w:bookmarkEnd w:id="40"/>
                </w:p>
              </w:tc>
            </w:tr>
          </w:tbl>
          <w:p>
            <w:pPr>
              <w:adjustRightInd w:val="0"/>
              <w:snapToGrid w:val="0"/>
              <w:spacing w:line="360" w:lineRule="auto"/>
              <w:ind w:firstLine="498" w:firstLineChars="200"/>
              <w:outlineLvl w:val="0"/>
              <w:rPr>
                <w:rFonts w:hint="eastAsia"/>
                <w:b/>
                <w:bCs/>
                <w:sz w:val="24"/>
              </w:rPr>
            </w:pPr>
            <w:bookmarkStart w:id="41" w:name="_Toc31821"/>
            <w:bookmarkStart w:id="42" w:name="_Toc22445"/>
            <w:bookmarkStart w:id="43" w:name="_Toc19653"/>
            <w:bookmarkStart w:id="44" w:name="_Toc1652"/>
            <w:bookmarkStart w:id="45" w:name="_Toc24596"/>
            <w:r>
              <w:rPr>
                <w:rFonts w:hint="eastAsia"/>
                <w:b/>
                <w:spacing w:val="4"/>
                <w:sz w:val="24"/>
              </w:rPr>
              <w:t>2.4</w:t>
            </w:r>
            <w:r>
              <w:rPr>
                <w:b/>
                <w:spacing w:val="4"/>
                <w:sz w:val="24"/>
              </w:rPr>
              <w:t>、</w:t>
            </w:r>
            <w:r>
              <w:rPr>
                <w:b/>
                <w:bCs/>
                <w:sz w:val="24"/>
              </w:rPr>
              <w:t>项目主要建设内容</w:t>
            </w:r>
            <w:bookmarkEnd w:id="41"/>
            <w:bookmarkEnd w:id="42"/>
            <w:bookmarkEnd w:id="43"/>
            <w:bookmarkEnd w:id="44"/>
            <w:bookmarkEnd w:id="45"/>
          </w:p>
          <w:p>
            <w:pPr>
              <w:adjustRightInd w:val="0"/>
              <w:snapToGrid w:val="0"/>
              <w:spacing w:line="360" w:lineRule="auto"/>
              <w:ind w:firstLine="480" w:firstLineChars="200"/>
              <w:rPr>
                <w:rFonts w:hint="eastAsia"/>
                <w:bCs/>
                <w:sz w:val="24"/>
              </w:rPr>
            </w:pPr>
            <w:r>
              <w:rPr>
                <w:rFonts w:hint="eastAsia"/>
                <w:bCs/>
                <w:sz w:val="24"/>
              </w:rPr>
              <w:t>（1）建设内容</w:t>
            </w:r>
          </w:p>
          <w:p>
            <w:pPr>
              <w:adjustRightInd w:val="0"/>
              <w:snapToGrid w:val="0"/>
              <w:spacing w:line="360" w:lineRule="auto"/>
              <w:jc w:val="center"/>
              <w:rPr>
                <w:rFonts w:hint="eastAsia" w:eastAsia="宋体"/>
                <w:b/>
                <w:color w:val="0000FF"/>
                <w:szCs w:val="21"/>
                <w:u w:val="single"/>
                <w:lang w:eastAsia="zh-CN"/>
              </w:rPr>
            </w:pPr>
            <w:r>
              <w:rPr>
                <w:b/>
                <w:szCs w:val="21"/>
                <w:u w:val="single"/>
              </w:rPr>
              <w:t>表</w:t>
            </w:r>
            <w:r>
              <w:rPr>
                <w:rFonts w:hint="eastAsia"/>
                <w:b/>
                <w:szCs w:val="21"/>
                <w:u w:val="single"/>
              </w:rPr>
              <w:t>2</w:t>
            </w:r>
            <w:r>
              <w:rPr>
                <w:b/>
                <w:szCs w:val="21"/>
                <w:u w:val="single"/>
              </w:rPr>
              <w:t>-</w:t>
            </w:r>
            <w:r>
              <w:rPr>
                <w:rFonts w:hint="eastAsia"/>
                <w:b/>
                <w:szCs w:val="21"/>
                <w:u w:val="single"/>
              </w:rPr>
              <w:t>1</w:t>
            </w:r>
            <w:r>
              <w:rPr>
                <w:b/>
                <w:szCs w:val="21"/>
                <w:u w:val="single"/>
              </w:rPr>
              <w:t xml:space="preserve">  项目主要建设内容</w:t>
            </w:r>
            <w:r>
              <w:rPr>
                <w:rFonts w:hint="eastAsia"/>
                <w:b/>
                <w:szCs w:val="21"/>
                <w:u w:val="single"/>
              </w:rPr>
              <w:t>及规模</w:t>
            </w:r>
          </w:p>
          <w:tbl>
            <w:tblPr>
              <w:tblStyle w:val="26"/>
              <w:tblW w:w="793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73"/>
              <w:gridCol w:w="725"/>
              <w:gridCol w:w="2295"/>
              <w:gridCol w:w="2296"/>
              <w:gridCol w:w="204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98" w:type="dxa"/>
                  <w:gridSpan w:val="2"/>
                  <w:noWrap w:val="0"/>
                  <w:vAlign w:val="center"/>
                </w:tcPr>
                <w:p>
                  <w:pPr>
                    <w:adjustRightInd w:val="0"/>
                    <w:snapToGrid w:val="0"/>
                    <w:jc w:val="center"/>
                    <w:rPr>
                      <w:szCs w:val="21"/>
                    </w:rPr>
                  </w:pPr>
                  <w:r>
                    <w:rPr>
                      <w:szCs w:val="21"/>
                    </w:rPr>
                    <w:t>项目名称</w:t>
                  </w:r>
                </w:p>
              </w:tc>
              <w:tc>
                <w:tcPr>
                  <w:tcW w:w="2295" w:type="dxa"/>
                  <w:noWrap w:val="0"/>
                  <w:vAlign w:val="center"/>
                </w:tcPr>
                <w:p>
                  <w:pPr>
                    <w:adjustRightInd w:val="0"/>
                    <w:snapToGrid w:val="0"/>
                    <w:jc w:val="center"/>
                    <w:rPr>
                      <w:b w:val="0"/>
                      <w:bCs w:val="0"/>
                      <w:szCs w:val="21"/>
                    </w:rPr>
                  </w:pPr>
                  <w:r>
                    <w:rPr>
                      <w:rFonts w:hint="eastAsia"/>
                      <w:b w:val="0"/>
                      <w:bCs w:val="0"/>
                      <w:szCs w:val="21"/>
                    </w:rPr>
                    <w:t>改</w:t>
                  </w:r>
                  <w:r>
                    <w:rPr>
                      <w:b w:val="0"/>
                      <w:bCs w:val="0"/>
                      <w:szCs w:val="21"/>
                    </w:rPr>
                    <w:t>建前工程内容及规模</w:t>
                  </w:r>
                </w:p>
              </w:tc>
              <w:tc>
                <w:tcPr>
                  <w:tcW w:w="2296" w:type="dxa"/>
                  <w:noWrap w:val="0"/>
                  <w:vAlign w:val="center"/>
                </w:tcPr>
                <w:p>
                  <w:pPr>
                    <w:adjustRightInd w:val="0"/>
                    <w:snapToGrid w:val="0"/>
                    <w:jc w:val="center"/>
                    <w:rPr>
                      <w:rFonts w:hint="eastAsia"/>
                      <w:b w:val="0"/>
                      <w:bCs w:val="0"/>
                      <w:szCs w:val="21"/>
                    </w:rPr>
                  </w:pPr>
                  <w:r>
                    <w:rPr>
                      <w:rFonts w:hint="eastAsia"/>
                      <w:b w:val="0"/>
                      <w:bCs w:val="0"/>
                      <w:szCs w:val="21"/>
                    </w:rPr>
                    <w:t>改</w:t>
                  </w:r>
                  <w:r>
                    <w:rPr>
                      <w:b w:val="0"/>
                      <w:bCs w:val="0"/>
                      <w:szCs w:val="21"/>
                    </w:rPr>
                    <w:t>建工程建设内容及规模</w:t>
                  </w:r>
                </w:p>
              </w:tc>
              <w:tc>
                <w:tcPr>
                  <w:tcW w:w="2048" w:type="dxa"/>
                  <w:noWrap w:val="0"/>
                  <w:vAlign w:val="center"/>
                </w:tcPr>
                <w:p>
                  <w:pPr>
                    <w:adjustRightInd w:val="0"/>
                    <w:snapToGrid w:val="0"/>
                    <w:jc w:val="center"/>
                    <w:rPr>
                      <w:rFonts w:hint="eastAsia"/>
                      <w:szCs w:val="21"/>
                    </w:rPr>
                  </w:pPr>
                  <w:r>
                    <w:rPr>
                      <w:rFonts w:hint="eastAsia"/>
                      <w:szCs w:val="21"/>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restart"/>
                  <w:noWrap w:val="0"/>
                  <w:vAlign w:val="center"/>
                </w:tcPr>
                <w:p>
                  <w:pPr>
                    <w:adjustRightInd w:val="0"/>
                    <w:snapToGrid w:val="0"/>
                    <w:jc w:val="center"/>
                    <w:rPr>
                      <w:szCs w:val="21"/>
                    </w:rPr>
                  </w:pPr>
                  <w:r>
                    <w:rPr>
                      <w:szCs w:val="21"/>
                    </w:rPr>
                    <w:t>主体</w:t>
                  </w:r>
                </w:p>
                <w:p>
                  <w:pPr>
                    <w:adjustRightInd w:val="0"/>
                    <w:snapToGrid w:val="0"/>
                    <w:jc w:val="center"/>
                    <w:rPr>
                      <w:szCs w:val="21"/>
                    </w:rPr>
                  </w:pPr>
                  <w:r>
                    <w:rPr>
                      <w:szCs w:val="21"/>
                    </w:rPr>
                    <w:t>工程</w:t>
                  </w:r>
                </w:p>
              </w:tc>
              <w:tc>
                <w:tcPr>
                  <w:tcW w:w="725" w:type="dxa"/>
                  <w:noWrap w:val="0"/>
                  <w:vAlign w:val="center"/>
                </w:tcPr>
                <w:p>
                  <w:pPr>
                    <w:adjustRightInd w:val="0"/>
                    <w:snapToGrid w:val="0"/>
                    <w:jc w:val="center"/>
                    <w:rPr>
                      <w:szCs w:val="21"/>
                    </w:rPr>
                  </w:pPr>
                  <w:r>
                    <w:rPr>
                      <w:szCs w:val="21"/>
                    </w:rPr>
                    <w:t>罩棚</w:t>
                  </w:r>
                </w:p>
              </w:tc>
              <w:tc>
                <w:tcPr>
                  <w:tcW w:w="2295" w:type="dxa"/>
                  <w:noWrap w:val="0"/>
                  <w:vAlign w:val="center"/>
                </w:tcPr>
                <w:p>
                  <w:pPr>
                    <w:adjustRightInd w:val="0"/>
                    <w:snapToGrid w:val="0"/>
                    <w:jc w:val="center"/>
                    <w:rPr>
                      <w:szCs w:val="21"/>
                    </w:rPr>
                  </w:pPr>
                  <w:r>
                    <w:rPr>
                      <w:szCs w:val="21"/>
                    </w:rPr>
                    <w:t>位于项目</w:t>
                  </w:r>
                  <w:r>
                    <w:rPr>
                      <w:rFonts w:hint="eastAsia"/>
                      <w:szCs w:val="21"/>
                    </w:rPr>
                    <w:t>中</w:t>
                  </w:r>
                  <w:r>
                    <w:rPr>
                      <w:szCs w:val="21"/>
                    </w:rPr>
                    <w:t>部，占地面积</w:t>
                  </w:r>
                  <w:r>
                    <w:rPr>
                      <w:rFonts w:hint="eastAsia"/>
                      <w:szCs w:val="21"/>
                    </w:rPr>
                    <w:t>382.5</w:t>
                  </w:r>
                  <w:r>
                    <w:rPr>
                      <w:kern w:val="21"/>
                      <w:szCs w:val="21"/>
                    </w:rPr>
                    <w:t>m</w:t>
                  </w:r>
                  <w:r>
                    <w:rPr>
                      <w:kern w:val="21"/>
                      <w:szCs w:val="21"/>
                      <w:vertAlign w:val="superscript"/>
                    </w:rPr>
                    <w:t>2</w:t>
                  </w:r>
                  <w:r>
                    <w:rPr>
                      <w:rFonts w:hint="eastAsia"/>
                      <w:szCs w:val="21"/>
                    </w:rPr>
                    <w:t>，高8米</w:t>
                  </w:r>
                  <w:r>
                    <w:rPr>
                      <w:szCs w:val="21"/>
                    </w:rPr>
                    <w:t>，建筑面积</w:t>
                  </w:r>
                  <w:r>
                    <w:rPr>
                      <w:rFonts w:hint="eastAsia"/>
                      <w:szCs w:val="21"/>
                    </w:rPr>
                    <w:t>199.5</w:t>
                  </w:r>
                  <w:r>
                    <w:rPr>
                      <w:kern w:val="21"/>
                      <w:szCs w:val="21"/>
                    </w:rPr>
                    <w:t>m</w:t>
                  </w:r>
                  <w:r>
                    <w:rPr>
                      <w:kern w:val="21"/>
                      <w:szCs w:val="21"/>
                      <w:vertAlign w:val="superscript"/>
                    </w:rPr>
                    <w:t>2</w:t>
                  </w:r>
                  <w:r>
                    <w:rPr>
                      <w:szCs w:val="21"/>
                    </w:rPr>
                    <w:t>（按投影面积一半计算），轻钢罩棚结构。</w:t>
                  </w:r>
                  <w:r>
                    <w:rPr>
                      <w:kern w:val="21"/>
                      <w:szCs w:val="21"/>
                    </w:rPr>
                    <w:t>地面设有</w:t>
                  </w:r>
                  <w:r>
                    <w:rPr>
                      <w:rFonts w:hint="eastAsia"/>
                      <w:kern w:val="21"/>
                      <w:szCs w:val="21"/>
                    </w:rPr>
                    <w:t>4</w:t>
                  </w:r>
                  <w:r>
                    <w:rPr>
                      <w:kern w:val="21"/>
                      <w:szCs w:val="21"/>
                    </w:rPr>
                    <w:t>台</w:t>
                  </w:r>
                  <w:r>
                    <w:rPr>
                      <w:rFonts w:hint="eastAsia"/>
                      <w:kern w:val="21"/>
                      <w:szCs w:val="21"/>
                    </w:rPr>
                    <w:t>2枪2油</w:t>
                  </w:r>
                  <w:r>
                    <w:rPr>
                      <w:kern w:val="21"/>
                      <w:szCs w:val="21"/>
                    </w:rPr>
                    <w:t>加油机</w:t>
                  </w:r>
                  <w:r>
                    <w:rPr>
                      <w:rFonts w:hint="eastAsia"/>
                      <w:kern w:val="21"/>
                      <w:szCs w:val="21"/>
                    </w:rPr>
                    <w:t>。</w:t>
                  </w:r>
                </w:p>
              </w:tc>
              <w:tc>
                <w:tcPr>
                  <w:tcW w:w="2296" w:type="dxa"/>
                  <w:noWrap w:val="0"/>
                  <w:vAlign w:val="center"/>
                </w:tcPr>
                <w:p>
                  <w:pPr>
                    <w:adjustRightInd w:val="0"/>
                    <w:snapToGrid w:val="0"/>
                    <w:jc w:val="center"/>
                    <w:rPr>
                      <w:rFonts w:hint="eastAsia"/>
                      <w:szCs w:val="21"/>
                    </w:rPr>
                  </w:pPr>
                  <w:r>
                    <w:rPr>
                      <w:szCs w:val="21"/>
                    </w:rPr>
                    <w:t>位于项目</w:t>
                  </w:r>
                  <w:r>
                    <w:rPr>
                      <w:rFonts w:hint="eastAsia"/>
                      <w:szCs w:val="21"/>
                    </w:rPr>
                    <w:t>中</w:t>
                  </w:r>
                  <w:r>
                    <w:rPr>
                      <w:szCs w:val="21"/>
                    </w:rPr>
                    <w:t>部，占地面积</w:t>
                  </w:r>
                  <w:r>
                    <w:rPr>
                      <w:rFonts w:hint="eastAsia"/>
                      <w:szCs w:val="21"/>
                    </w:rPr>
                    <w:t>382.5</w:t>
                  </w:r>
                  <w:r>
                    <w:rPr>
                      <w:kern w:val="21"/>
                      <w:szCs w:val="21"/>
                    </w:rPr>
                    <w:t>m</w:t>
                  </w:r>
                  <w:r>
                    <w:rPr>
                      <w:kern w:val="21"/>
                      <w:szCs w:val="21"/>
                      <w:vertAlign w:val="superscript"/>
                    </w:rPr>
                    <w:t>2</w:t>
                  </w:r>
                  <w:r>
                    <w:rPr>
                      <w:rFonts w:hint="eastAsia"/>
                      <w:szCs w:val="21"/>
                    </w:rPr>
                    <w:t>，高8米</w:t>
                  </w:r>
                  <w:r>
                    <w:rPr>
                      <w:szCs w:val="21"/>
                    </w:rPr>
                    <w:t>，建筑面积</w:t>
                  </w:r>
                  <w:r>
                    <w:rPr>
                      <w:rFonts w:hint="eastAsia"/>
                      <w:szCs w:val="21"/>
                    </w:rPr>
                    <w:t>199.5</w:t>
                  </w:r>
                  <w:r>
                    <w:rPr>
                      <w:kern w:val="21"/>
                      <w:szCs w:val="21"/>
                    </w:rPr>
                    <w:t>m</w:t>
                  </w:r>
                  <w:r>
                    <w:rPr>
                      <w:kern w:val="21"/>
                      <w:szCs w:val="21"/>
                      <w:vertAlign w:val="superscript"/>
                    </w:rPr>
                    <w:t>2</w:t>
                  </w:r>
                  <w:r>
                    <w:rPr>
                      <w:szCs w:val="21"/>
                    </w:rPr>
                    <w:t>（按投影面积一半计算），轻钢罩棚结构。</w:t>
                  </w:r>
                  <w:r>
                    <w:rPr>
                      <w:kern w:val="21"/>
                      <w:szCs w:val="21"/>
                    </w:rPr>
                    <w:t>地面设有</w:t>
                  </w:r>
                  <w:r>
                    <w:rPr>
                      <w:rFonts w:hint="eastAsia"/>
                      <w:kern w:val="21"/>
                      <w:szCs w:val="21"/>
                    </w:rPr>
                    <w:t>4</w:t>
                  </w:r>
                  <w:r>
                    <w:rPr>
                      <w:kern w:val="21"/>
                      <w:szCs w:val="21"/>
                    </w:rPr>
                    <w:t>台</w:t>
                  </w:r>
                  <w:r>
                    <w:rPr>
                      <w:rFonts w:hint="eastAsia"/>
                      <w:kern w:val="21"/>
                      <w:szCs w:val="21"/>
                    </w:rPr>
                    <w:t>2枪2油</w:t>
                  </w:r>
                  <w:r>
                    <w:rPr>
                      <w:kern w:val="21"/>
                      <w:szCs w:val="21"/>
                    </w:rPr>
                    <w:t>加油机</w:t>
                  </w:r>
                  <w:r>
                    <w:rPr>
                      <w:rFonts w:hint="eastAsia"/>
                      <w:kern w:val="21"/>
                      <w:szCs w:val="21"/>
                    </w:rPr>
                    <w:t>。</w:t>
                  </w:r>
                </w:p>
              </w:tc>
              <w:tc>
                <w:tcPr>
                  <w:tcW w:w="2048" w:type="dxa"/>
                  <w:noWrap w:val="0"/>
                  <w:vAlign w:val="center"/>
                </w:tcPr>
                <w:p>
                  <w:pPr>
                    <w:adjustRightInd w:val="0"/>
                    <w:snapToGrid w:val="0"/>
                    <w:jc w:val="center"/>
                    <w:rPr>
                      <w:szCs w:val="21"/>
                    </w:rPr>
                  </w:pPr>
                  <w:r>
                    <w:rPr>
                      <w:rFonts w:hint="eastAsia"/>
                      <w:szCs w:val="21"/>
                    </w:rPr>
                    <w:t>已建，加油机在储罐改建后，重新购置4台</w:t>
                  </w:r>
                  <w:r>
                    <w:rPr>
                      <w:rFonts w:hint="eastAsia"/>
                      <w:kern w:val="21"/>
                      <w:szCs w:val="21"/>
                    </w:rPr>
                    <w:t>2枪2油</w:t>
                  </w:r>
                  <w:r>
                    <w:rPr>
                      <w:kern w:val="21"/>
                      <w:szCs w:val="21"/>
                    </w:rPr>
                    <w:t>加油机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noWrap w:val="0"/>
                  <w:vAlign w:val="center"/>
                </w:tcPr>
                <w:p>
                  <w:pPr>
                    <w:adjustRightInd w:val="0"/>
                    <w:snapToGrid w:val="0"/>
                    <w:jc w:val="center"/>
                    <w:rPr>
                      <w:szCs w:val="21"/>
                    </w:rPr>
                  </w:pPr>
                  <w:r>
                    <w:rPr>
                      <w:kern w:val="21"/>
                      <w:szCs w:val="21"/>
                    </w:rPr>
                    <w:t>站房</w:t>
                  </w:r>
                </w:p>
              </w:tc>
              <w:tc>
                <w:tcPr>
                  <w:tcW w:w="2295" w:type="dxa"/>
                  <w:noWrap w:val="0"/>
                  <w:vAlign w:val="center"/>
                </w:tcPr>
                <w:p>
                  <w:pPr>
                    <w:adjustRightInd w:val="0"/>
                    <w:snapToGrid w:val="0"/>
                    <w:jc w:val="center"/>
                    <w:rPr>
                      <w:szCs w:val="21"/>
                    </w:rPr>
                  </w:pPr>
                  <w:r>
                    <w:rPr>
                      <w:szCs w:val="21"/>
                    </w:rPr>
                    <w:t>占地面积</w:t>
                  </w:r>
                  <w:r>
                    <w:rPr>
                      <w:rFonts w:hint="eastAsia"/>
                      <w:szCs w:val="21"/>
                    </w:rPr>
                    <w:t>90.8</w:t>
                  </w:r>
                  <w:r>
                    <w:rPr>
                      <w:szCs w:val="21"/>
                    </w:rPr>
                    <w:t>m</w:t>
                  </w:r>
                  <w:r>
                    <w:rPr>
                      <w:szCs w:val="21"/>
                      <w:vertAlign w:val="superscript"/>
                    </w:rPr>
                    <w:t>2</w:t>
                  </w:r>
                  <w:r>
                    <w:rPr>
                      <w:szCs w:val="21"/>
                    </w:rPr>
                    <w:t>，建筑面积</w:t>
                  </w:r>
                  <w:r>
                    <w:rPr>
                      <w:rFonts w:hint="eastAsia"/>
                      <w:szCs w:val="21"/>
                    </w:rPr>
                    <w:t>90.8</w:t>
                  </w:r>
                  <w:r>
                    <w:rPr>
                      <w:szCs w:val="21"/>
                    </w:rPr>
                    <w:t>m</w:t>
                  </w:r>
                  <w:r>
                    <w:rPr>
                      <w:szCs w:val="21"/>
                      <w:vertAlign w:val="superscript"/>
                    </w:rPr>
                    <w:t>2</w:t>
                  </w:r>
                  <w:r>
                    <w:rPr>
                      <w:szCs w:val="21"/>
                    </w:rPr>
                    <w:t>（</w:t>
                  </w:r>
                  <w:r>
                    <w:rPr>
                      <w:rFonts w:hint="eastAsia"/>
                      <w:szCs w:val="21"/>
                    </w:rPr>
                    <w:t>1</w:t>
                  </w:r>
                  <w:r>
                    <w:rPr>
                      <w:szCs w:val="21"/>
                    </w:rPr>
                    <w:t>F），设有便利店</w:t>
                  </w:r>
                  <w:r>
                    <w:rPr>
                      <w:rFonts w:hint="eastAsia"/>
                      <w:szCs w:val="21"/>
                    </w:rPr>
                    <w:t>、发电房、配电间、危废暂存间</w:t>
                  </w:r>
                  <w:r>
                    <w:rPr>
                      <w:szCs w:val="21"/>
                    </w:rPr>
                    <w:t>。</w:t>
                  </w:r>
                </w:p>
              </w:tc>
              <w:tc>
                <w:tcPr>
                  <w:tcW w:w="2296" w:type="dxa"/>
                  <w:noWrap w:val="0"/>
                  <w:vAlign w:val="center"/>
                </w:tcPr>
                <w:p>
                  <w:pPr>
                    <w:adjustRightInd w:val="0"/>
                    <w:snapToGrid w:val="0"/>
                    <w:jc w:val="center"/>
                    <w:rPr>
                      <w:rFonts w:hint="eastAsia"/>
                      <w:szCs w:val="21"/>
                    </w:rPr>
                  </w:pPr>
                  <w:r>
                    <w:rPr>
                      <w:szCs w:val="21"/>
                    </w:rPr>
                    <w:t>占地面积</w:t>
                  </w:r>
                  <w:r>
                    <w:rPr>
                      <w:rFonts w:hint="eastAsia"/>
                      <w:szCs w:val="21"/>
                    </w:rPr>
                    <w:t>90.8</w:t>
                  </w:r>
                  <w:r>
                    <w:rPr>
                      <w:szCs w:val="21"/>
                    </w:rPr>
                    <w:t>m</w:t>
                  </w:r>
                  <w:r>
                    <w:rPr>
                      <w:szCs w:val="21"/>
                      <w:vertAlign w:val="superscript"/>
                    </w:rPr>
                    <w:t>2</w:t>
                  </w:r>
                  <w:r>
                    <w:rPr>
                      <w:szCs w:val="21"/>
                    </w:rPr>
                    <w:t>，建筑面积</w:t>
                  </w:r>
                  <w:r>
                    <w:rPr>
                      <w:rFonts w:hint="eastAsia"/>
                      <w:szCs w:val="21"/>
                    </w:rPr>
                    <w:t>90.8</w:t>
                  </w:r>
                  <w:r>
                    <w:rPr>
                      <w:szCs w:val="21"/>
                    </w:rPr>
                    <w:t>m</w:t>
                  </w:r>
                  <w:r>
                    <w:rPr>
                      <w:szCs w:val="21"/>
                      <w:vertAlign w:val="superscript"/>
                    </w:rPr>
                    <w:t>2</w:t>
                  </w:r>
                  <w:r>
                    <w:rPr>
                      <w:szCs w:val="21"/>
                    </w:rPr>
                    <w:t>（</w:t>
                  </w:r>
                  <w:r>
                    <w:rPr>
                      <w:rFonts w:hint="eastAsia"/>
                      <w:szCs w:val="21"/>
                    </w:rPr>
                    <w:t>1</w:t>
                  </w:r>
                  <w:r>
                    <w:rPr>
                      <w:szCs w:val="21"/>
                    </w:rPr>
                    <w:t>F），设有便利店</w:t>
                  </w:r>
                  <w:r>
                    <w:rPr>
                      <w:rFonts w:hint="eastAsia"/>
                      <w:szCs w:val="21"/>
                    </w:rPr>
                    <w:t>、发电房、配电间、危废暂存间</w:t>
                  </w:r>
                  <w:r>
                    <w:rPr>
                      <w:szCs w:val="21"/>
                    </w:rPr>
                    <w:t>。</w:t>
                  </w:r>
                </w:p>
              </w:tc>
              <w:tc>
                <w:tcPr>
                  <w:tcW w:w="2048" w:type="dxa"/>
                  <w:noWrap w:val="0"/>
                  <w:vAlign w:val="center"/>
                </w:tcPr>
                <w:p>
                  <w:pPr>
                    <w:adjustRightInd w:val="0"/>
                    <w:snapToGrid w:val="0"/>
                    <w:jc w:val="center"/>
                    <w:rPr>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vMerge w:val="restart"/>
                  <w:noWrap w:val="0"/>
                  <w:vAlign w:val="center"/>
                </w:tcPr>
                <w:p>
                  <w:pPr>
                    <w:adjustRightInd w:val="0"/>
                    <w:snapToGrid w:val="0"/>
                    <w:jc w:val="center"/>
                    <w:rPr>
                      <w:rFonts w:hint="eastAsia" w:eastAsia="宋体"/>
                      <w:kern w:val="21"/>
                      <w:szCs w:val="21"/>
                      <w:lang w:val="en-US" w:eastAsia="zh-CN"/>
                    </w:rPr>
                  </w:pPr>
                  <w:r>
                    <w:rPr>
                      <w:rFonts w:hint="eastAsia"/>
                      <w:kern w:val="21"/>
                      <w:szCs w:val="21"/>
                      <w:lang w:val="en-US" w:eastAsia="zh-CN"/>
                    </w:rPr>
                    <w:t>储罐池</w:t>
                  </w:r>
                </w:p>
              </w:tc>
              <w:tc>
                <w:tcPr>
                  <w:tcW w:w="2295" w:type="dxa"/>
                  <w:noWrap w:val="0"/>
                  <w:vAlign w:val="center"/>
                </w:tcPr>
                <w:p>
                  <w:pPr>
                    <w:adjustRightInd w:val="0"/>
                    <w:snapToGrid w:val="0"/>
                    <w:jc w:val="center"/>
                    <w:rPr>
                      <w:rFonts w:hint="eastAsia" w:eastAsia="宋体"/>
                      <w:color w:val="0000FF"/>
                      <w:kern w:val="2"/>
                      <w:sz w:val="21"/>
                      <w:szCs w:val="21"/>
                      <w:lang w:val="en-US" w:eastAsia="zh-CN" w:bidi="ar-SA"/>
                    </w:rPr>
                  </w:pPr>
                  <w:r>
                    <w:rPr>
                      <w:rFonts w:hint="eastAsia"/>
                      <w:color w:val="0000FF"/>
                      <w:szCs w:val="21"/>
                      <w:lang w:val="en-US" w:eastAsia="zh-CN"/>
                    </w:rPr>
                    <w:t>2个30m</w:t>
                  </w:r>
                  <w:r>
                    <w:rPr>
                      <w:rFonts w:hint="eastAsia"/>
                      <w:color w:val="0000FF"/>
                      <w:szCs w:val="21"/>
                      <w:vertAlign w:val="superscript"/>
                      <w:lang w:val="en-US" w:eastAsia="zh-CN"/>
                    </w:rPr>
                    <w:t>3</w:t>
                  </w:r>
                  <w:r>
                    <w:rPr>
                      <w:rFonts w:hint="eastAsia"/>
                      <w:color w:val="0000FF"/>
                      <w:szCs w:val="21"/>
                    </w:rPr>
                    <w:t>柴油储罐</w:t>
                  </w:r>
                </w:p>
              </w:tc>
              <w:tc>
                <w:tcPr>
                  <w:tcW w:w="2296" w:type="dxa"/>
                  <w:noWrap w:val="0"/>
                  <w:vAlign w:val="center"/>
                </w:tcPr>
                <w:p>
                  <w:pPr>
                    <w:adjustRightInd w:val="0"/>
                    <w:snapToGrid w:val="0"/>
                    <w:jc w:val="center"/>
                    <w:rPr>
                      <w:rFonts w:hint="eastAsia"/>
                      <w:color w:val="0000FF"/>
                      <w:kern w:val="2"/>
                      <w:sz w:val="21"/>
                      <w:szCs w:val="21"/>
                      <w:lang w:val="en-US" w:eastAsia="zh-CN" w:bidi="ar-SA"/>
                    </w:rPr>
                  </w:pPr>
                  <w:r>
                    <w:rPr>
                      <w:rFonts w:hint="eastAsia"/>
                      <w:color w:val="0000FF"/>
                      <w:szCs w:val="21"/>
                    </w:rPr>
                    <w:t>2个50</w:t>
                  </w:r>
                  <w:r>
                    <w:rPr>
                      <w:rFonts w:hint="eastAsia"/>
                      <w:color w:val="0000FF"/>
                      <w:szCs w:val="21"/>
                      <w:lang w:val="en-US" w:eastAsia="zh-CN"/>
                    </w:rPr>
                    <w:t>m</w:t>
                  </w:r>
                  <w:r>
                    <w:rPr>
                      <w:rFonts w:hint="eastAsia"/>
                      <w:color w:val="0000FF"/>
                      <w:szCs w:val="21"/>
                      <w:vertAlign w:val="superscript"/>
                      <w:lang w:val="en-US" w:eastAsia="zh-CN"/>
                    </w:rPr>
                    <w:t>3</w:t>
                  </w:r>
                  <w:r>
                    <w:rPr>
                      <w:rFonts w:hint="eastAsia"/>
                      <w:color w:val="0000FF"/>
                      <w:szCs w:val="21"/>
                    </w:rPr>
                    <w:t>0#柴油储罐</w:t>
                  </w:r>
                </w:p>
              </w:tc>
              <w:tc>
                <w:tcPr>
                  <w:tcW w:w="2048" w:type="dxa"/>
                  <w:noWrap w:val="0"/>
                  <w:vAlign w:val="center"/>
                </w:tcPr>
                <w:p>
                  <w:pPr>
                    <w:adjustRightInd w:val="0"/>
                    <w:snapToGrid w:val="0"/>
                    <w:jc w:val="center"/>
                    <w:rPr>
                      <w:rFonts w:hint="default"/>
                      <w:szCs w:val="21"/>
                      <w:lang w:val="en-US" w:eastAsia="zh-CN"/>
                    </w:rPr>
                  </w:pPr>
                  <w:r>
                    <w:rPr>
                      <w:rFonts w:hint="eastAsia"/>
                      <w:color w:val="0000FF"/>
                      <w:szCs w:val="21"/>
                      <w:lang w:val="en-US" w:eastAsia="zh-CN"/>
                    </w:rPr>
                    <w:t>30m</w:t>
                  </w:r>
                  <w:r>
                    <w:rPr>
                      <w:rFonts w:hint="eastAsia"/>
                      <w:color w:val="0000FF"/>
                      <w:szCs w:val="21"/>
                      <w:vertAlign w:val="superscript"/>
                      <w:lang w:val="en-US" w:eastAsia="zh-CN"/>
                    </w:rPr>
                    <w:t>3</w:t>
                  </w:r>
                  <w:r>
                    <w:rPr>
                      <w:rFonts w:hint="eastAsia"/>
                      <w:color w:val="0000FF"/>
                      <w:szCs w:val="21"/>
                    </w:rPr>
                    <w:t>柴油储罐</w:t>
                  </w:r>
                  <w:r>
                    <w:rPr>
                      <w:rFonts w:hint="eastAsia"/>
                      <w:color w:val="0000FF"/>
                      <w:szCs w:val="21"/>
                      <w:lang w:val="en-US" w:eastAsia="zh-CN"/>
                    </w:rPr>
                    <w:t>扩建至50m</w:t>
                  </w:r>
                  <w:r>
                    <w:rPr>
                      <w:rFonts w:hint="eastAsia"/>
                      <w:color w:val="0000FF"/>
                      <w:szCs w:val="21"/>
                      <w:vertAlign w:val="superscript"/>
                      <w:lang w:val="en-US" w:eastAsia="zh-CN"/>
                    </w:rPr>
                    <w:t>3</w:t>
                  </w:r>
                  <w:r>
                    <w:rPr>
                      <w:rFonts w:hint="eastAsia"/>
                      <w:color w:val="0000FF"/>
                      <w:szCs w:val="21"/>
                    </w:rPr>
                    <w:t>柴油储罐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vMerge w:val="continue"/>
                  <w:noWrap w:val="0"/>
                  <w:vAlign w:val="center"/>
                </w:tcPr>
                <w:p>
                  <w:pPr>
                    <w:adjustRightInd w:val="0"/>
                    <w:snapToGrid w:val="0"/>
                    <w:jc w:val="center"/>
                    <w:rPr>
                      <w:rFonts w:hint="eastAsia"/>
                      <w:kern w:val="21"/>
                      <w:szCs w:val="21"/>
                    </w:rPr>
                  </w:pPr>
                </w:p>
              </w:tc>
              <w:tc>
                <w:tcPr>
                  <w:tcW w:w="2295" w:type="dxa"/>
                  <w:noWrap w:val="0"/>
                  <w:vAlign w:val="center"/>
                </w:tcPr>
                <w:p>
                  <w:pPr>
                    <w:adjustRightInd w:val="0"/>
                    <w:snapToGrid w:val="0"/>
                    <w:jc w:val="center"/>
                    <w:rPr>
                      <w:rFonts w:hint="default" w:eastAsia="宋体"/>
                      <w:color w:val="0000FF"/>
                      <w:kern w:val="2"/>
                      <w:sz w:val="21"/>
                      <w:szCs w:val="21"/>
                      <w:lang w:val="en-US" w:eastAsia="zh-CN" w:bidi="ar-SA"/>
                    </w:rPr>
                  </w:pPr>
                  <w:r>
                    <w:rPr>
                      <w:rFonts w:hint="eastAsia"/>
                      <w:color w:val="0000FF"/>
                      <w:szCs w:val="21"/>
                      <w:lang w:val="en-US" w:eastAsia="zh-CN"/>
                    </w:rPr>
                    <w:t>1个30m</w:t>
                  </w:r>
                  <w:r>
                    <w:rPr>
                      <w:rFonts w:hint="eastAsia"/>
                      <w:color w:val="0000FF"/>
                      <w:szCs w:val="21"/>
                      <w:vertAlign w:val="superscript"/>
                      <w:lang w:val="en-US" w:eastAsia="zh-CN"/>
                    </w:rPr>
                    <w:t>3</w:t>
                  </w:r>
                  <w:r>
                    <w:rPr>
                      <w:rFonts w:hint="eastAsia"/>
                      <w:color w:val="0000FF"/>
                      <w:szCs w:val="21"/>
                      <w:lang w:val="en-US" w:eastAsia="zh-CN"/>
                    </w:rPr>
                    <w:t>92#汽油储罐</w:t>
                  </w:r>
                </w:p>
              </w:tc>
              <w:tc>
                <w:tcPr>
                  <w:tcW w:w="2296" w:type="dxa"/>
                  <w:noWrap w:val="0"/>
                  <w:vAlign w:val="center"/>
                </w:tcPr>
                <w:p>
                  <w:pPr>
                    <w:adjustRightInd w:val="0"/>
                    <w:snapToGrid w:val="0"/>
                    <w:jc w:val="center"/>
                    <w:rPr>
                      <w:rFonts w:hint="eastAsia" w:eastAsia="宋体"/>
                      <w:color w:val="0000FF"/>
                      <w:kern w:val="2"/>
                      <w:sz w:val="21"/>
                      <w:szCs w:val="21"/>
                      <w:lang w:val="en-US" w:eastAsia="zh-CN" w:bidi="ar-SA"/>
                    </w:rPr>
                  </w:pPr>
                  <w:r>
                    <w:rPr>
                      <w:rFonts w:hint="eastAsia"/>
                      <w:color w:val="0000FF"/>
                      <w:szCs w:val="21"/>
                      <w:lang w:val="en-US" w:eastAsia="zh-CN"/>
                    </w:rPr>
                    <w:t>1个50m</w:t>
                  </w:r>
                  <w:r>
                    <w:rPr>
                      <w:rFonts w:hint="eastAsia"/>
                      <w:color w:val="0000FF"/>
                      <w:szCs w:val="21"/>
                      <w:vertAlign w:val="superscript"/>
                      <w:lang w:val="en-US" w:eastAsia="zh-CN"/>
                    </w:rPr>
                    <w:t>3</w:t>
                  </w:r>
                  <w:r>
                    <w:rPr>
                      <w:rFonts w:hint="eastAsia"/>
                      <w:color w:val="0000FF"/>
                      <w:szCs w:val="21"/>
                      <w:lang w:val="en-US" w:eastAsia="zh-CN"/>
                    </w:rPr>
                    <w:t>92#汽油储罐</w:t>
                  </w:r>
                </w:p>
              </w:tc>
              <w:tc>
                <w:tcPr>
                  <w:tcW w:w="2048" w:type="dxa"/>
                  <w:noWrap w:val="0"/>
                  <w:vAlign w:val="center"/>
                </w:tcPr>
                <w:p>
                  <w:pPr>
                    <w:adjustRightInd w:val="0"/>
                    <w:snapToGrid w:val="0"/>
                    <w:jc w:val="center"/>
                    <w:rPr>
                      <w:rFonts w:hint="default"/>
                      <w:szCs w:val="21"/>
                      <w:lang w:val="en-US" w:eastAsia="zh-CN"/>
                    </w:rPr>
                  </w:pPr>
                  <w:r>
                    <w:rPr>
                      <w:rFonts w:hint="eastAsia"/>
                      <w:color w:val="0000FF"/>
                      <w:szCs w:val="21"/>
                      <w:lang w:val="en-US" w:eastAsia="zh-CN"/>
                    </w:rPr>
                    <w:t>30m</w:t>
                  </w:r>
                  <w:r>
                    <w:rPr>
                      <w:rFonts w:hint="eastAsia"/>
                      <w:color w:val="0000FF"/>
                      <w:szCs w:val="21"/>
                      <w:vertAlign w:val="superscript"/>
                      <w:lang w:val="en-US" w:eastAsia="zh-CN"/>
                    </w:rPr>
                    <w:t>3</w:t>
                  </w:r>
                  <w:r>
                    <w:rPr>
                      <w:rFonts w:hint="eastAsia"/>
                      <w:color w:val="0000FF"/>
                      <w:szCs w:val="21"/>
                      <w:lang w:val="en-US" w:eastAsia="zh-CN"/>
                    </w:rPr>
                    <w:t>92#汽油储罐扩建至50m</w:t>
                  </w:r>
                  <w:r>
                    <w:rPr>
                      <w:rFonts w:hint="eastAsia"/>
                      <w:color w:val="0000FF"/>
                      <w:szCs w:val="21"/>
                      <w:vertAlign w:val="superscript"/>
                      <w:lang w:val="en-US" w:eastAsia="zh-CN"/>
                    </w:rPr>
                    <w:t>3</w:t>
                  </w:r>
                  <w:r>
                    <w:rPr>
                      <w:rFonts w:hint="eastAsia"/>
                      <w:color w:val="0000FF"/>
                      <w:szCs w:val="21"/>
                      <w:lang w:val="en-US" w:eastAsia="zh-CN"/>
                    </w:rPr>
                    <w:t>92#汽油储罐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vMerge w:val="continue"/>
                  <w:noWrap w:val="0"/>
                  <w:vAlign w:val="center"/>
                </w:tcPr>
                <w:p>
                  <w:pPr>
                    <w:adjustRightInd w:val="0"/>
                    <w:snapToGrid w:val="0"/>
                    <w:jc w:val="center"/>
                    <w:rPr>
                      <w:rFonts w:hint="eastAsia"/>
                      <w:kern w:val="21"/>
                      <w:szCs w:val="21"/>
                    </w:rPr>
                  </w:pPr>
                </w:p>
              </w:tc>
              <w:tc>
                <w:tcPr>
                  <w:tcW w:w="2295" w:type="dxa"/>
                  <w:noWrap w:val="0"/>
                  <w:vAlign w:val="center"/>
                </w:tcPr>
                <w:p>
                  <w:pPr>
                    <w:adjustRightInd w:val="0"/>
                    <w:snapToGrid w:val="0"/>
                    <w:jc w:val="center"/>
                    <w:rPr>
                      <w:rFonts w:hint="default" w:eastAsia="宋体"/>
                      <w:color w:val="0000FF"/>
                      <w:kern w:val="2"/>
                      <w:sz w:val="21"/>
                      <w:szCs w:val="21"/>
                      <w:lang w:val="en-US" w:eastAsia="zh-CN" w:bidi="ar-SA"/>
                    </w:rPr>
                  </w:pPr>
                  <w:r>
                    <w:rPr>
                      <w:rFonts w:hint="eastAsia"/>
                      <w:color w:val="0000FF"/>
                      <w:szCs w:val="21"/>
                      <w:lang w:val="en-US" w:eastAsia="zh-CN"/>
                    </w:rPr>
                    <w:t>1个30m</w:t>
                  </w:r>
                  <w:r>
                    <w:rPr>
                      <w:rFonts w:hint="eastAsia"/>
                      <w:color w:val="0000FF"/>
                      <w:szCs w:val="21"/>
                      <w:vertAlign w:val="superscript"/>
                      <w:lang w:val="en-US" w:eastAsia="zh-CN"/>
                    </w:rPr>
                    <w:t>3</w:t>
                  </w:r>
                  <w:r>
                    <w:rPr>
                      <w:rFonts w:hint="eastAsia"/>
                      <w:color w:val="0000FF"/>
                      <w:szCs w:val="21"/>
                      <w:lang w:val="en-US" w:eastAsia="zh-CN"/>
                    </w:rPr>
                    <w:t>95#汽油储罐</w:t>
                  </w:r>
                </w:p>
              </w:tc>
              <w:tc>
                <w:tcPr>
                  <w:tcW w:w="2296" w:type="dxa"/>
                  <w:noWrap w:val="0"/>
                  <w:vAlign w:val="center"/>
                </w:tcPr>
                <w:p>
                  <w:pPr>
                    <w:adjustRightInd w:val="0"/>
                    <w:snapToGrid w:val="0"/>
                    <w:jc w:val="center"/>
                    <w:rPr>
                      <w:rFonts w:hint="default" w:eastAsia="宋体"/>
                      <w:color w:val="0000FF"/>
                      <w:kern w:val="2"/>
                      <w:sz w:val="21"/>
                      <w:szCs w:val="21"/>
                      <w:lang w:val="en-US" w:eastAsia="zh-CN" w:bidi="ar-SA"/>
                    </w:rPr>
                  </w:pPr>
                  <w:r>
                    <w:rPr>
                      <w:rFonts w:hint="eastAsia"/>
                      <w:color w:val="0000FF"/>
                      <w:szCs w:val="21"/>
                      <w:lang w:val="en-US" w:eastAsia="zh-CN"/>
                    </w:rPr>
                    <w:t>1个</w:t>
                  </w:r>
                  <w:r>
                    <w:rPr>
                      <w:rFonts w:hint="eastAsia"/>
                      <w:color w:val="0000FF"/>
                      <w:szCs w:val="21"/>
                    </w:rPr>
                    <w:t>50</w:t>
                  </w:r>
                  <w:r>
                    <w:rPr>
                      <w:rFonts w:hint="eastAsia"/>
                      <w:color w:val="0000FF"/>
                      <w:szCs w:val="21"/>
                      <w:lang w:val="en-US" w:eastAsia="zh-CN"/>
                    </w:rPr>
                    <w:t>m</w:t>
                  </w:r>
                  <w:r>
                    <w:rPr>
                      <w:rFonts w:hint="eastAsia"/>
                      <w:color w:val="0000FF"/>
                      <w:szCs w:val="21"/>
                      <w:vertAlign w:val="superscript"/>
                      <w:lang w:val="en-US" w:eastAsia="zh-CN"/>
                    </w:rPr>
                    <w:t>3</w:t>
                  </w:r>
                  <w:r>
                    <w:rPr>
                      <w:rFonts w:hint="eastAsia"/>
                      <w:color w:val="0000FF"/>
                      <w:szCs w:val="21"/>
                    </w:rPr>
                    <w:t>95#/98#汽油隔舱储罐</w:t>
                  </w:r>
                </w:p>
              </w:tc>
              <w:tc>
                <w:tcPr>
                  <w:tcW w:w="2048" w:type="dxa"/>
                  <w:noWrap w:val="0"/>
                  <w:vAlign w:val="center"/>
                </w:tcPr>
                <w:p>
                  <w:pPr>
                    <w:adjustRightInd w:val="0"/>
                    <w:snapToGrid w:val="0"/>
                    <w:jc w:val="center"/>
                    <w:rPr>
                      <w:rFonts w:hint="default"/>
                      <w:szCs w:val="21"/>
                      <w:lang w:val="en-US" w:eastAsia="zh-CN"/>
                    </w:rPr>
                  </w:pPr>
                  <w:r>
                    <w:rPr>
                      <w:rFonts w:hint="eastAsia"/>
                      <w:color w:val="0000FF"/>
                      <w:szCs w:val="21"/>
                      <w:lang w:val="en-US" w:eastAsia="zh-CN"/>
                    </w:rPr>
                    <w:t>30m</w:t>
                  </w:r>
                  <w:r>
                    <w:rPr>
                      <w:rFonts w:hint="eastAsia"/>
                      <w:color w:val="0000FF"/>
                      <w:szCs w:val="21"/>
                      <w:vertAlign w:val="superscript"/>
                      <w:lang w:val="en-US" w:eastAsia="zh-CN"/>
                    </w:rPr>
                    <w:t>3</w:t>
                  </w:r>
                  <w:r>
                    <w:rPr>
                      <w:rFonts w:hint="eastAsia"/>
                      <w:color w:val="0000FF"/>
                      <w:szCs w:val="21"/>
                      <w:lang w:val="en-US" w:eastAsia="zh-CN"/>
                    </w:rPr>
                    <w:t>95#汽油储罐改为</w:t>
                  </w:r>
                  <w:r>
                    <w:rPr>
                      <w:rFonts w:hint="eastAsia"/>
                      <w:color w:val="0000FF"/>
                      <w:szCs w:val="21"/>
                    </w:rPr>
                    <w:t>50</w:t>
                  </w:r>
                  <w:r>
                    <w:rPr>
                      <w:rFonts w:hint="eastAsia"/>
                      <w:color w:val="0000FF"/>
                      <w:szCs w:val="21"/>
                      <w:lang w:val="en-US" w:eastAsia="zh-CN"/>
                    </w:rPr>
                    <w:t>m</w:t>
                  </w:r>
                  <w:r>
                    <w:rPr>
                      <w:rFonts w:hint="eastAsia"/>
                      <w:color w:val="0000FF"/>
                      <w:szCs w:val="21"/>
                      <w:vertAlign w:val="superscript"/>
                      <w:lang w:val="en-US" w:eastAsia="zh-CN"/>
                    </w:rPr>
                    <w:t>3</w:t>
                  </w:r>
                  <w:r>
                    <w:rPr>
                      <w:rFonts w:hint="eastAsia"/>
                      <w:color w:val="0000FF"/>
                      <w:szCs w:val="21"/>
                    </w:rPr>
                    <w:t>95#/98#汽油隔舱储罐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restart"/>
                  <w:noWrap w:val="0"/>
                  <w:vAlign w:val="center"/>
                </w:tcPr>
                <w:p>
                  <w:pPr>
                    <w:adjustRightInd w:val="0"/>
                    <w:snapToGrid w:val="0"/>
                    <w:jc w:val="center"/>
                    <w:rPr>
                      <w:rFonts w:hint="eastAsia"/>
                      <w:szCs w:val="21"/>
                    </w:rPr>
                  </w:pPr>
                  <w:r>
                    <w:rPr>
                      <w:rFonts w:hint="eastAsia"/>
                      <w:szCs w:val="21"/>
                    </w:rPr>
                    <w:t>辅助</w:t>
                  </w:r>
                </w:p>
                <w:p>
                  <w:pPr>
                    <w:adjustRightInd w:val="0"/>
                    <w:snapToGrid w:val="0"/>
                    <w:jc w:val="center"/>
                    <w:rPr>
                      <w:rFonts w:hint="eastAsia"/>
                      <w:szCs w:val="21"/>
                    </w:rPr>
                  </w:pPr>
                  <w:r>
                    <w:rPr>
                      <w:rFonts w:hint="eastAsia"/>
                      <w:szCs w:val="21"/>
                    </w:rPr>
                    <w:t>工程</w:t>
                  </w:r>
                </w:p>
              </w:tc>
              <w:tc>
                <w:tcPr>
                  <w:tcW w:w="725" w:type="dxa"/>
                  <w:noWrap w:val="0"/>
                  <w:vAlign w:val="center"/>
                </w:tcPr>
                <w:p>
                  <w:pPr>
                    <w:adjustRightInd w:val="0"/>
                    <w:snapToGrid w:val="0"/>
                    <w:jc w:val="center"/>
                    <w:rPr>
                      <w:kern w:val="21"/>
                      <w:szCs w:val="21"/>
                    </w:rPr>
                  </w:pPr>
                  <w:r>
                    <w:rPr>
                      <w:rFonts w:hint="eastAsia"/>
                      <w:kern w:val="21"/>
                      <w:szCs w:val="21"/>
                    </w:rPr>
                    <w:t>辅助用房1#</w:t>
                  </w:r>
                </w:p>
              </w:tc>
              <w:tc>
                <w:tcPr>
                  <w:tcW w:w="2295" w:type="dxa"/>
                  <w:noWrap w:val="0"/>
                  <w:vAlign w:val="center"/>
                </w:tcPr>
                <w:p>
                  <w:pPr>
                    <w:adjustRightInd w:val="0"/>
                    <w:snapToGrid w:val="0"/>
                    <w:jc w:val="center"/>
                    <w:rPr>
                      <w:szCs w:val="21"/>
                    </w:rPr>
                  </w:pPr>
                  <w:r>
                    <w:rPr>
                      <w:rFonts w:hint="eastAsia"/>
                      <w:szCs w:val="21"/>
                    </w:rPr>
                    <w:t>建筑面积335</w:t>
                  </w:r>
                  <w:r>
                    <w:rPr>
                      <w:szCs w:val="21"/>
                    </w:rPr>
                    <w:t>m</w:t>
                  </w:r>
                  <w:r>
                    <w:rPr>
                      <w:szCs w:val="21"/>
                      <w:vertAlign w:val="superscript"/>
                    </w:rPr>
                    <w:t>2</w:t>
                  </w:r>
                  <w:r>
                    <w:rPr>
                      <w:szCs w:val="21"/>
                    </w:rPr>
                    <w:t>，</w:t>
                  </w:r>
                  <w:r>
                    <w:rPr>
                      <w:rFonts w:hint="eastAsia"/>
                      <w:szCs w:val="21"/>
                    </w:rPr>
                    <w:t>两层，主要为办公区、培训室、会议室，休息室等</w:t>
                  </w:r>
                </w:p>
              </w:tc>
              <w:tc>
                <w:tcPr>
                  <w:tcW w:w="2296" w:type="dxa"/>
                  <w:noWrap w:val="0"/>
                  <w:vAlign w:val="center"/>
                </w:tcPr>
                <w:p>
                  <w:pPr>
                    <w:adjustRightInd w:val="0"/>
                    <w:snapToGrid w:val="0"/>
                    <w:jc w:val="center"/>
                    <w:rPr>
                      <w:rFonts w:hint="eastAsia"/>
                      <w:szCs w:val="21"/>
                    </w:rPr>
                  </w:pPr>
                  <w:r>
                    <w:rPr>
                      <w:rFonts w:hint="eastAsia"/>
                      <w:szCs w:val="21"/>
                    </w:rPr>
                    <w:t>建筑面积335</w:t>
                  </w:r>
                  <w:r>
                    <w:rPr>
                      <w:szCs w:val="21"/>
                    </w:rPr>
                    <w:t>m</w:t>
                  </w:r>
                  <w:r>
                    <w:rPr>
                      <w:szCs w:val="21"/>
                      <w:vertAlign w:val="superscript"/>
                    </w:rPr>
                    <w:t>2</w:t>
                  </w:r>
                  <w:r>
                    <w:rPr>
                      <w:szCs w:val="21"/>
                    </w:rPr>
                    <w:t>，</w:t>
                  </w:r>
                  <w:r>
                    <w:rPr>
                      <w:rFonts w:hint="eastAsia"/>
                      <w:szCs w:val="21"/>
                    </w:rPr>
                    <w:t>两层，主要为办公区、培训室、会议室，休息室等</w:t>
                  </w:r>
                </w:p>
              </w:tc>
              <w:tc>
                <w:tcPr>
                  <w:tcW w:w="2048" w:type="dxa"/>
                  <w:noWrap w:val="0"/>
                  <w:vAlign w:val="center"/>
                </w:tcPr>
                <w:p>
                  <w:pPr>
                    <w:adjustRightInd w:val="0"/>
                    <w:snapToGrid w:val="0"/>
                    <w:jc w:val="center"/>
                    <w:rPr>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rFonts w:hint="eastAsia"/>
                      <w:szCs w:val="21"/>
                    </w:rPr>
                  </w:pPr>
                </w:p>
              </w:tc>
              <w:tc>
                <w:tcPr>
                  <w:tcW w:w="725" w:type="dxa"/>
                  <w:noWrap w:val="0"/>
                  <w:vAlign w:val="center"/>
                </w:tcPr>
                <w:p>
                  <w:pPr>
                    <w:adjustRightInd w:val="0"/>
                    <w:snapToGrid w:val="0"/>
                    <w:jc w:val="center"/>
                    <w:rPr>
                      <w:kern w:val="21"/>
                      <w:szCs w:val="21"/>
                    </w:rPr>
                  </w:pPr>
                  <w:r>
                    <w:rPr>
                      <w:rFonts w:hint="eastAsia"/>
                      <w:kern w:val="21"/>
                      <w:szCs w:val="21"/>
                    </w:rPr>
                    <w:t>辅助用房2#</w:t>
                  </w:r>
                </w:p>
              </w:tc>
              <w:tc>
                <w:tcPr>
                  <w:tcW w:w="2295" w:type="dxa"/>
                  <w:noWrap w:val="0"/>
                  <w:vAlign w:val="center"/>
                </w:tcPr>
                <w:p>
                  <w:pPr>
                    <w:adjustRightInd w:val="0"/>
                    <w:snapToGrid w:val="0"/>
                    <w:jc w:val="center"/>
                    <w:rPr>
                      <w:rFonts w:hint="eastAsia"/>
                      <w:szCs w:val="21"/>
                    </w:rPr>
                  </w:pPr>
                  <w:r>
                    <w:rPr>
                      <w:rFonts w:hint="eastAsia"/>
                      <w:szCs w:val="21"/>
                    </w:rPr>
                    <w:t>建筑面积26.2</w:t>
                  </w:r>
                  <w:r>
                    <w:rPr>
                      <w:szCs w:val="21"/>
                    </w:rPr>
                    <w:t>m</w:t>
                  </w:r>
                  <w:r>
                    <w:rPr>
                      <w:szCs w:val="21"/>
                      <w:vertAlign w:val="superscript"/>
                    </w:rPr>
                    <w:t>2</w:t>
                  </w:r>
                  <w:r>
                    <w:rPr>
                      <w:rFonts w:hint="eastAsia"/>
                      <w:szCs w:val="21"/>
                    </w:rPr>
                    <w:t>，单层，主要用作杂物间</w:t>
                  </w:r>
                </w:p>
              </w:tc>
              <w:tc>
                <w:tcPr>
                  <w:tcW w:w="2296" w:type="dxa"/>
                  <w:noWrap w:val="0"/>
                  <w:vAlign w:val="center"/>
                </w:tcPr>
                <w:p>
                  <w:pPr>
                    <w:adjustRightInd w:val="0"/>
                    <w:snapToGrid w:val="0"/>
                    <w:jc w:val="center"/>
                    <w:rPr>
                      <w:rFonts w:hint="eastAsia"/>
                      <w:szCs w:val="21"/>
                    </w:rPr>
                  </w:pPr>
                  <w:r>
                    <w:rPr>
                      <w:rFonts w:hint="eastAsia"/>
                      <w:szCs w:val="21"/>
                    </w:rPr>
                    <w:t>建筑面积26.2</w:t>
                  </w:r>
                  <w:r>
                    <w:rPr>
                      <w:szCs w:val="21"/>
                    </w:rPr>
                    <w:t>m</w:t>
                  </w:r>
                  <w:r>
                    <w:rPr>
                      <w:szCs w:val="21"/>
                      <w:vertAlign w:val="superscript"/>
                    </w:rPr>
                    <w:t>2</w:t>
                  </w:r>
                  <w:r>
                    <w:rPr>
                      <w:rFonts w:hint="eastAsia"/>
                      <w:szCs w:val="21"/>
                    </w:rPr>
                    <w:t>，单层，主要用作杂物间</w:t>
                  </w:r>
                </w:p>
              </w:tc>
              <w:tc>
                <w:tcPr>
                  <w:tcW w:w="2048" w:type="dxa"/>
                  <w:noWrap w:val="0"/>
                  <w:vAlign w:val="center"/>
                </w:tcPr>
                <w:p>
                  <w:pPr>
                    <w:adjustRightInd w:val="0"/>
                    <w:snapToGrid w:val="0"/>
                    <w:jc w:val="center"/>
                    <w:rPr>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restart"/>
                  <w:noWrap w:val="0"/>
                  <w:vAlign w:val="center"/>
                </w:tcPr>
                <w:p>
                  <w:pPr>
                    <w:adjustRightInd w:val="0"/>
                    <w:snapToGrid w:val="0"/>
                    <w:jc w:val="center"/>
                    <w:rPr>
                      <w:rFonts w:hint="eastAsia"/>
                      <w:szCs w:val="21"/>
                    </w:rPr>
                  </w:pPr>
                  <w:r>
                    <w:rPr>
                      <w:rFonts w:hint="eastAsia"/>
                      <w:szCs w:val="21"/>
                    </w:rPr>
                    <w:t>公用</w:t>
                  </w:r>
                </w:p>
                <w:p>
                  <w:pPr>
                    <w:adjustRightInd w:val="0"/>
                    <w:snapToGrid w:val="0"/>
                    <w:jc w:val="center"/>
                    <w:rPr>
                      <w:rFonts w:hint="eastAsia"/>
                      <w:szCs w:val="21"/>
                    </w:rPr>
                  </w:pPr>
                  <w:r>
                    <w:rPr>
                      <w:rFonts w:hint="eastAsia"/>
                      <w:szCs w:val="21"/>
                    </w:rPr>
                    <w:t>工程</w:t>
                  </w:r>
                </w:p>
              </w:tc>
              <w:tc>
                <w:tcPr>
                  <w:tcW w:w="725" w:type="dxa"/>
                  <w:noWrap w:val="0"/>
                  <w:vAlign w:val="center"/>
                </w:tcPr>
                <w:p>
                  <w:pPr>
                    <w:adjustRightInd w:val="0"/>
                    <w:snapToGrid w:val="0"/>
                    <w:jc w:val="center"/>
                    <w:rPr>
                      <w:rFonts w:hint="eastAsia"/>
                      <w:szCs w:val="21"/>
                    </w:rPr>
                  </w:pPr>
                  <w:r>
                    <w:rPr>
                      <w:rFonts w:hint="eastAsia"/>
                      <w:szCs w:val="21"/>
                    </w:rPr>
                    <w:t>给水</w:t>
                  </w:r>
                </w:p>
              </w:tc>
              <w:tc>
                <w:tcPr>
                  <w:tcW w:w="2295" w:type="dxa"/>
                  <w:noWrap w:val="0"/>
                  <w:vAlign w:val="center"/>
                </w:tcPr>
                <w:p>
                  <w:pPr>
                    <w:adjustRightInd w:val="0"/>
                    <w:snapToGrid w:val="0"/>
                    <w:jc w:val="center"/>
                    <w:rPr>
                      <w:rFonts w:hint="eastAsia"/>
                      <w:szCs w:val="21"/>
                    </w:rPr>
                  </w:pPr>
                  <w:r>
                    <w:rPr>
                      <w:rFonts w:hint="eastAsia"/>
                      <w:szCs w:val="21"/>
                    </w:rPr>
                    <w:t>主要包括员工生活用水、公共卫生间用水、罩棚区地面保洁用水等，均</w:t>
                  </w:r>
                  <w:r>
                    <w:rPr>
                      <w:szCs w:val="21"/>
                    </w:rPr>
                    <w:t>由</w:t>
                  </w:r>
                  <w:r>
                    <w:rPr>
                      <w:rFonts w:hint="eastAsia"/>
                      <w:szCs w:val="21"/>
                    </w:rPr>
                    <w:t>市政给水管网给水。</w:t>
                  </w:r>
                </w:p>
              </w:tc>
              <w:tc>
                <w:tcPr>
                  <w:tcW w:w="2296" w:type="dxa"/>
                  <w:noWrap w:val="0"/>
                  <w:vAlign w:val="center"/>
                </w:tcPr>
                <w:p>
                  <w:pPr>
                    <w:adjustRightInd w:val="0"/>
                    <w:snapToGrid w:val="0"/>
                    <w:jc w:val="center"/>
                    <w:rPr>
                      <w:rFonts w:hint="eastAsia"/>
                      <w:szCs w:val="21"/>
                    </w:rPr>
                  </w:pPr>
                  <w:r>
                    <w:rPr>
                      <w:rFonts w:hint="eastAsia"/>
                      <w:szCs w:val="21"/>
                    </w:rPr>
                    <w:t>主要包括员工生活用水、公共卫生间用水、罩棚区地面保洁用水等，均</w:t>
                  </w:r>
                  <w:r>
                    <w:rPr>
                      <w:szCs w:val="21"/>
                    </w:rPr>
                    <w:t>由</w:t>
                  </w:r>
                  <w:r>
                    <w:rPr>
                      <w:rFonts w:hint="eastAsia"/>
                      <w:szCs w:val="21"/>
                    </w:rPr>
                    <w:t>市政给水管网给水。</w:t>
                  </w:r>
                </w:p>
              </w:tc>
              <w:tc>
                <w:tcPr>
                  <w:tcW w:w="2048" w:type="dxa"/>
                  <w:noWrap w:val="0"/>
                  <w:vAlign w:val="center"/>
                </w:tcPr>
                <w:p>
                  <w:pPr>
                    <w:adjustRightInd w:val="0"/>
                    <w:snapToGrid w:val="0"/>
                    <w:jc w:val="center"/>
                    <w:rPr>
                      <w:rFonts w:hint="eastAsia"/>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rFonts w:hint="eastAsia"/>
                      <w:szCs w:val="21"/>
                    </w:rPr>
                  </w:pPr>
                </w:p>
              </w:tc>
              <w:tc>
                <w:tcPr>
                  <w:tcW w:w="725" w:type="dxa"/>
                  <w:noWrap w:val="0"/>
                  <w:vAlign w:val="center"/>
                </w:tcPr>
                <w:p>
                  <w:pPr>
                    <w:adjustRightInd w:val="0"/>
                    <w:snapToGrid w:val="0"/>
                    <w:jc w:val="center"/>
                    <w:rPr>
                      <w:rFonts w:hint="eastAsia"/>
                      <w:szCs w:val="21"/>
                    </w:rPr>
                  </w:pPr>
                  <w:r>
                    <w:rPr>
                      <w:rFonts w:hint="eastAsia"/>
                      <w:szCs w:val="21"/>
                    </w:rPr>
                    <w:t>排水</w:t>
                  </w:r>
                </w:p>
              </w:tc>
              <w:tc>
                <w:tcPr>
                  <w:tcW w:w="2295" w:type="dxa"/>
                  <w:noWrap w:val="0"/>
                  <w:vAlign w:val="center"/>
                </w:tcPr>
                <w:p>
                  <w:pPr>
                    <w:adjustRightInd w:val="0"/>
                    <w:snapToGrid w:val="0"/>
                    <w:jc w:val="center"/>
                    <w:rPr>
                      <w:rFonts w:hint="eastAsia"/>
                      <w:szCs w:val="21"/>
                    </w:rPr>
                  </w:pPr>
                  <w:r>
                    <w:rPr>
                      <w:rFonts w:hint="eastAsia"/>
                      <w:szCs w:val="21"/>
                    </w:rPr>
                    <w:t>项目实行雨污分流制度。污废水主要包括</w:t>
                  </w:r>
                  <w:r>
                    <w:rPr>
                      <w:snapToGrid w:val="0"/>
                      <w:kern w:val="21"/>
                      <w:szCs w:val="21"/>
                    </w:rPr>
                    <w:t>为</w:t>
                  </w:r>
                  <w:r>
                    <w:rPr>
                      <w:rFonts w:hint="eastAsia"/>
                      <w:snapToGrid w:val="0"/>
                      <w:kern w:val="0"/>
                      <w:szCs w:val="21"/>
                    </w:rPr>
                    <w:t>员工生活污水、</w:t>
                  </w:r>
                  <w:r>
                    <w:rPr>
                      <w:rFonts w:hint="eastAsia"/>
                      <w:szCs w:val="21"/>
                    </w:rPr>
                    <w:t>公共卫生间污水和罩棚区地面保洁废水以及雨天冲刷废水等。其中，</w:t>
                  </w:r>
                  <w:r>
                    <w:rPr>
                      <w:rFonts w:hint="eastAsia"/>
                      <w:snapToGrid w:val="0"/>
                      <w:kern w:val="0"/>
                      <w:szCs w:val="21"/>
                    </w:rPr>
                    <w:t>员工生活污水、</w:t>
                  </w:r>
                  <w:r>
                    <w:rPr>
                      <w:rFonts w:hint="eastAsia"/>
                      <w:szCs w:val="21"/>
                    </w:rPr>
                    <w:t>公共卫生间污水经三级化粪池预处理达标后排放进周边水体；罩棚区地面保洁废水及雨天冲刷废水（初期雨水）经回型沟收集汇入隔油沉淀池处理后排入排放进周边水体；其他雨天则通过厂区雨水管道排入周边水体。</w:t>
                  </w:r>
                </w:p>
              </w:tc>
              <w:tc>
                <w:tcPr>
                  <w:tcW w:w="2296" w:type="dxa"/>
                  <w:noWrap w:val="0"/>
                  <w:vAlign w:val="center"/>
                </w:tcPr>
                <w:p>
                  <w:pPr>
                    <w:adjustRightInd w:val="0"/>
                    <w:snapToGrid w:val="0"/>
                    <w:jc w:val="center"/>
                    <w:rPr>
                      <w:rFonts w:hint="eastAsia" w:ascii="Times New Roman" w:hAnsi="Times New Roman" w:eastAsia="宋体" w:cs="Times New Roman"/>
                      <w:color w:val="0000FF"/>
                      <w:kern w:val="2"/>
                      <w:sz w:val="21"/>
                      <w:szCs w:val="21"/>
                      <w:lang w:val="en-US" w:eastAsia="zh-CN" w:bidi="ar-SA"/>
                    </w:rPr>
                  </w:pPr>
                  <w:r>
                    <w:rPr>
                      <w:rFonts w:hint="eastAsia"/>
                      <w:snapToGrid w:val="0"/>
                      <w:color w:val="0000FF"/>
                      <w:kern w:val="0"/>
                      <w:szCs w:val="21"/>
                      <w:u w:val="none"/>
                    </w:rPr>
                    <w:t>员工生活污水、</w:t>
                  </w:r>
                  <w:r>
                    <w:rPr>
                      <w:rFonts w:hint="eastAsia"/>
                      <w:color w:val="0000FF"/>
                      <w:szCs w:val="21"/>
                      <w:u w:val="none"/>
                    </w:rPr>
                    <w:t>公共卫生间污水和罩棚区地面保洁废水以及雨天冲刷废水等。其中，</w:t>
                  </w:r>
                  <w:r>
                    <w:rPr>
                      <w:rFonts w:hint="eastAsia"/>
                      <w:snapToGrid w:val="0"/>
                      <w:color w:val="0000FF"/>
                      <w:kern w:val="0"/>
                      <w:szCs w:val="21"/>
                      <w:u w:val="none"/>
                    </w:rPr>
                    <w:t>员工生活污水、</w:t>
                  </w:r>
                  <w:r>
                    <w:rPr>
                      <w:rFonts w:hint="eastAsia"/>
                      <w:color w:val="0000FF"/>
                      <w:szCs w:val="21"/>
                      <w:u w:val="none"/>
                    </w:rPr>
                    <w:t>公共卫生间污水经三级化粪池</w:t>
                  </w:r>
                  <w:r>
                    <w:rPr>
                      <w:rFonts w:hint="eastAsia"/>
                      <w:color w:val="0000FF"/>
                      <w:szCs w:val="21"/>
                      <w:u w:val="none"/>
                      <w:lang w:val="en-US" w:eastAsia="zh-CN"/>
                    </w:rPr>
                    <w:t>+调节池</w:t>
                  </w:r>
                  <w:r>
                    <w:rPr>
                      <w:rFonts w:hint="eastAsia"/>
                      <w:color w:val="0000FF"/>
                      <w:szCs w:val="21"/>
                      <w:u w:val="none"/>
                    </w:rPr>
                    <w:t>处理后用作</w:t>
                  </w:r>
                  <w:r>
                    <w:rPr>
                      <w:rFonts w:hint="eastAsia"/>
                      <w:color w:val="0000FF"/>
                      <w:szCs w:val="21"/>
                      <w:u w:val="none"/>
                      <w:lang w:val="en-US" w:eastAsia="zh-CN"/>
                    </w:rPr>
                    <w:t>绿植施肥</w:t>
                  </w:r>
                  <w:r>
                    <w:rPr>
                      <w:rFonts w:hint="eastAsia"/>
                      <w:color w:val="0000FF"/>
                      <w:szCs w:val="21"/>
                      <w:u w:val="none"/>
                    </w:rPr>
                    <w:t>；罩棚区地面保洁废水及雨天冲刷废水（初期雨水）经回型沟收集汇入隔油沉淀池处理后用作</w:t>
                  </w:r>
                  <w:r>
                    <w:rPr>
                      <w:rFonts w:hint="eastAsia"/>
                      <w:color w:val="0000FF"/>
                      <w:szCs w:val="21"/>
                      <w:lang w:val="en-US" w:eastAsia="zh-CN"/>
                    </w:rPr>
                    <w:t>灌溉绿植或</w:t>
                  </w:r>
                  <w:r>
                    <w:rPr>
                      <w:rFonts w:hint="eastAsia"/>
                      <w:color w:val="0000FF"/>
                      <w:szCs w:val="21"/>
                      <w:u w:val="none"/>
                    </w:rPr>
                    <w:t>洒水降尘；其他雨</w:t>
                  </w:r>
                  <w:r>
                    <w:rPr>
                      <w:rFonts w:hint="eastAsia"/>
                      <w:color w:val="0000FF"/>
                      <w:szCs w:val="21"/>
                      <w:u w:val="none"/>
                      <w:lang w:val="en-US" w:eastAsia="zh-CN"/>
                    </w:rPr>
                    <w:t>水</w:t>
                  </w:r>
                  <w:r>
                    <w:rPr>
                      <w:rFonts w:hint="eastAsia"/>
                      <w:color w:val="0000FF"/>
                      <w:szCs w:val="21"/>
                      <w:u w:val="none"/>
                    </w:rPr>
                    <w:t>则通过厂区雨水管道排入周边水体。</w:t>
                  </w:r>
                </w:p>
              </w:tc>
              <w:tc>
                <w:tcPr>
                  <w:tcW w:w="2048" w:type="dxa"/>
                  <w:noWrap w:val="0"/>
                  <w:vAlign w:val="center"/>
                </w:tcPr>
                <w:p>
                  <w:pPr>
                    <w:adjustRightInd w:val="0"/>
                    <w:snapToGrid w:val="0"/>
                    <w:jc w:val="center"/>
                    <w:rPr>
                      <w:rFonts w:hint="eastAsia" w:ascii="Times New Roman" w:hAnsi="Times New Roman" w:eastAsia="宋体" w:cs="Times New Roman"/>
                      <w:color w:val="0000FF"/>
                      <w:kern w:val="2"/>
                      <w:sz w:val="21"/>
                      <w:szCs w:val="21"/>
                      <w:lang w:val="en-US" w:eastAsia="zh-CN" w:bidi="ar-SA"/>
                    </w:rPr>
                  </w:pPr>
                  <w:r>
                    <w:rPr>
                      <w:rFonts w:hint="eastAsia"/>
                      <w:color w:val="0000FF"/>
                      <w:szCs w:val="21"/>
                      <w:u w:val="none"/>
                      <w:lang w:val="en-US" w:eastAsia="zh-CN"/>
                    </w:rPr>
                    <w:t>废水均不外排，</w:t>
                  </w:r>
                  <w:r>
                    <w:rPr>
                      <w:rFonts w:hint="eastAsia"/>
                      <w:color w:val="0000FF"/>
                      <w:szCs w:val="21"/>
                      <w:u w:val="none"/>
                    </w:rPr>
                    <w:t>其中，</w:t>
                  </w:r>
                  <w:r>
                    <w:rPr>
                      <w:rFonts w:hint="eastAsia"/>
                      <w:snapToGrid w:val="0"/>
                      <w:color w:val="0000FF"/>
                      <w:kern w:val="0"/>
                      <w:szCs w:val="21"/>
                      <w:u w:val="none"/>
                    </w:rPr>
                    <w:t>员工生活污水、</w:t>
                  </w:r>
                  <w:r>
                    <w:rPr>
                      <w:rFonts w:hint="eastAsia"/>
                      <w:color w:val="0000FF"/>
                      <w:szCs w:val="21"/>
                      <w:u w:val="none"/>
                    </w:rPr>
                    <w:t>公共卫生间污水经三级化粪池</w:t>
                  </w:r>
                  <w:r>
                    <w:rPr>
                      <w:rFonts w:hint="eastAsia"/>
                      <w:color w:val="0000FF"/>
                      <w:szCs w:val="21"/>
                      <w:u w:val="none"/>
                      <w:lang w:val="en-US" w:eastAsia="zh-CN"/>
                    </w:rPr>
                    <w:t>+调节池</w:t>
                  </w:r>
                  <w:r>
                    <w:rPr>
                      <w:rFonts w:hint="eastAsia"/>
                      <w:color w:val="0000FF"/>
                      <w:szCs w:val="21"/>
                      <w:u w:val="none"/>
                    </w:rPr>
                    <w:t>处理后用作</w:t>
                  </w:r>
                  <w:r>
                    <w:rPr>
                      <w:rFonts w:hint="eastAsia"/>
                      <w:color w:val="0000FF"/>
                      <w:szCs w:val="21"/>
                      <w:u w:val="none"/>
                      <w:lang w:val="en-US" w:eastAsia="zh-CN"/>
                    </w:rPr>
                    <w:t>绿植施肥</w:t>
                  </w:r>
                  <w:r>
                    <w:rPr>
                      <w:rFonts w:hint="eastAsia"/>
                      <w:color w:val="0000FF"/>
                      <w:szCs w:val="21"/>
                      <w:u w:val="none"/>
                    </w:rPr>
                    <w:t>；罩棚区地面保洁废水及雨天冲刷废水（初期雨水）经回型沟收集汇入隔油沉淀池处理后用作</w:t>
                  </w:r>
                  <w:r>
                    <w:rPr>
                      <w:rFonts w:hint="eastAsia"/>
                      <w:color w:val="0000FF"/>
                      <w:szCs w:val="21"/>
                      <w:lang w:val="en-US" w:eastAsia="zh-CN"/>
                    </w:rPr>
                    <w:t>灌溉绿植或</w:t>
                  </w:r>
                  <w:r>
                    <w:rPr>
                      <w:rFonts w:hint="eastAsia"/>
                      <w:color w:val="0000FF"/>
                      <w:szCs w:val="21"/>
                      <w:u w:val="none"/>
                    </w:rPr>
                    <w:t>洒水降尘；其他雨</w:t>
                  </w:r>
                  <w:r>
                    <w:rPr>
                      <w:rFonts w:hint="eastAsia"/>
                      <w:color w:val="0000FF"/>
                      <w:szCs w:val="21"/>
                      <w:u w:val="none"/>
                      <w:lang w:val="en-US" w:eastAsia="zh-CN"/>
                    </w:rPr>
                    <w:t>水</w:t>
                  </w:r>
                  <w:r>
                    <w:rPr>
                      <w:rFonts w:hint="eastAsia"/>
                      <w:color w:val="0000FF"/>
                      <w:szCs w:val="21"/>
                      <w:u w:val="none"/>
                    </w:rPr>
                    <w:t>则通过厂区雨水管道排入周边水体。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rFonts w:hint="eastAsia"/>
                      <w:szCs w:val="21"/>
                    </w:rPr>
                  </w:pPr>
                </w:p>
              </w:tc>
              <w:tc>
                <w:tcPr>
                  <w:tcW w:w="725" w:type="dxa"/>
                  <w:noWrap w:val="0"/>
                  <w:vAlign w:val="center"/>
                </w:tcPr>
                <w:p>
                  <w:pPr>
                    <w:adjustRightInd w:val="0"/>
                    <w:snapToGrid w:val="0"/>
                    <w:jc w:val="center"/>
                    <w:rPr>
                      <w:rFonts w:hint="eastAsia"/>
                      <w:szCs w:val="21"/>
                    </w:rPr>
                  </w:pPr>
                  <w:r>
                    <w:rPr>
                      <w:rFonts w:hint="eastAsia"/>
                      <w:szCs w:val="21"/>
                    </w:rPr>
                    <w:t>供电</w:t>
                  </w:r>
                </w:p>
              </w:tc>
              <w:tc>
                <w:tcPr>
                  <w:tcW w:w="2295" w:type="dxa"/>
                  <w:noWrap w:val="0"/>
                  <w:vAlign w:val="center"/>
                </w:tcPr>
                <w:p>
                  <w:pPr>
                    <w:adjustRightInd w:val="0"/>
                    <w:snapToGrid w:val="0"/>
                    <w:jc w:val="center"/>
                    <w:rPr>
                      <w:rFonts w:hint="eastAsia"/>
                      <w:szCs w:val="21"/>
                    </w:rPr>
                  </w:pPr>
                  <w:r>
                    <w:rPr>
                      <w:rFonts w:hint="eastAsia"/>
                      <w:szCs w:val="21"/>
                    </w:rPr>
                    <w:t>由市政电网系统供电，为三级负荷，可满足项目经营及生活要求。另外，设有1台发电功率为50kWh的备用柴油发电机，每年使用时间不超过12小时。</w:t>
                  </w:r>
                </w:p>
              </w:tc>
              <w:tc>
                <w:tcPr>
                  <w:tcW w:w="2296" w:type="dxa"/>
                  <w:noWrap w:val="0"/>
                  <w:vAlign w:val="center"/>
                </w:tcPr>
                <w:p>
                  <w:pPr>
                    <w:adjustRightInd w:val="0"/>
                    <w:snapToGrid w:val="0"/>
                    <w:jc w:val="center"/>
                    <w:rPr>
                      <w:rFonts w:hint="eastAsia"/>
                      <w:szCs w:val="21"/>
                    </w:rPr>
                  </w:pPr>
                  <w:r>
                    <w:rPr>
                      <w:rFonts w:hint="eastAsia"/>
                      <w:szCs w:val="21"/>
                    </w:rPr>
                    <w:t>由市政电网系统供电，为三级负荷，可满足项目经营及生活要求。另外，设有1台发电功率为50kWh的备用柴油发电机，每年使用时间不超过12小时。</w:t>
                  </w:r>
                </w:p>
              </w:tc>
              <w:tc>
                <w:tcPr>
                  <w:tcW w:w="2048" w:type="dxa"/>
                  <w:noWrap w:val="0"/>
                  <w:vAlign w:val="center"/>
                </w:tcPr>
                <w:p>
                  <w:pPr>
                    <w:adjustRightInd w:val="0"/>
                    <w:snapToGrid w:val="0"/>
                    <w:jc w:val="center"/>
                    <w:rPr>
                      <w:rFonts w:hint="eastAsia"/>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rFonts w:hint="eastAsia"/>
                      <w:szCs w:val="21"/>
                    </w:rPr>
                  </w:pPr>
                </w:p>
              </w:tc>
              <w:tc>
                <w:tcPr>
                  <w:tcW w:w="725" w:type="dxa"/>
                  <w:noWrap w:val="0"/>
                  <w:vAlign w:val="center"/>
                </w:tcPr>
                <w:p>
                  <w:pPr>
                    <w:adjustRightInd w:val="0"/>
                    <w:snapToGrid w:val="0"/>
                    <w:jc w:val="center"/>
                    <w:rPr>
                      <w:rFonts w:hint="eastAsia"/>
                      <w:szCs w:val="21"/>
                    </w:rPr>
                  </w:pPr>
                  <w:r>
                    <w:rPr>
                      <w:rFonts w:hint="eastAsia"/>
                      <w:szCs w:val="21"/>
                    </w:rPr>
                    <w:t>消防</w:t>
                  </w:r>
                </w:p>
              </w:tc>
              <w:tc>
                <w:tcPr>
                  <w:tcW w:w="2295" w:type="dxa"/>
                  <w:noWrap w:val="0"/>
                  <w:vAlign w:val="center"/>
                </w:tcPr>
                <w:p>
                  <w:pPr>
                    <w:adjustRightInd w:val="0"/>
                    <w:snapToGrid w:val="0"/>
                    <w:jc w:val="center"/>
                    <w:rPr>
                      <w:rFonts w:hint="eastAsia"/>
                      <w:szCs w:val="21"/>
                    </w:rPr>
                  </w:pPr>
                  <w:r>
                    <w:rPr>
                      <w:rFonts w:hint="eastAsia"/>
                      <w:szCs w:val="21"/>
                    </w:rPr>
                    <w:t>主要包括监控系统及消防器材。针对罩棚区设置一套静电报警器，一旦发现油气浓度超标，立即自动报警鸣笛；消防器材则包括灭火器、消防毯、消防砂、</w:t>
                  </w:r>
                  <w:r>
                    <w:rPr>
                      <w:snapToGrid w:val="0"/>
                      <w:szCs w:val="21"/>
                    </w:rPr>
                    <w:t>消防铲</w:t>
                  </w:r>
                  <w:r>
                    <w:rPr>
                      <w:rFonts w:hint="eastAsia"/>
                      <w:snapToGrid w:val="0"/>
                      <w:szCs w:val="21"/>
                    </w:rPr>
                    <w:t>等，严格按照</w:t>
                  </w:r>
                  <w:r>
                    <w:rPr>
                      <w:szCs w:val="21"/>
                    </w:rPr>
                    <w:t>《汽车加油加气站设计与施工规范</w:t>
                  </w:r>
                  <w:r>
                    <w:rPr>
                      <w:rFonts w:hint="eastAsia"/>
                      <w:szCs w:val="21"/>
                    </w:rPr>
                    <w:t>》中的数量要求进行配套；此外，于西北绿化带内设有一座水封井。</w:t>
                  </w:r>
                </w:p>
              </w:tc>
              <w:tc>
                <w:tcPr>
                  <w:tcW w:w="2296" w:type="dxa"/>
                  <w:noWrap w:val="0"/>
                  <w:vAlign w:val="center"/>
                </w:tcPr>
                <w:p>
                  <w:pPr>
                    <w:adjustRightInd w:val="0"/>
                    <w:snapToGrid w:val="0"/>
                    <w:jc w:val="center"/>
                    <w:rPr>
                      <w:rFonts w:hint="eastAsia"/>
                      <w:szCs w:val="21"/>
                    </w:rPr>
                  </w:pPr>
                  <w:r>
                    <w:rPr>
                      <w:rFonts w:hint="eastAsia"/>
                      <w:szCs w:val="21"/>
                    </w:rPr>
                    <w:t>主要包括监控系统及消防器材。针对罩棚区设置一套静电报警器，一旦发现油气浓度超标，立即自动报警鸣笛；消防器材则包括灭火器、消防毯、消防砂、</w:t>
                  </w:r>
                  <w:r>
                    <w:rPr>
                      <w:snapToGrid w:val="0"/>
                      <w:szCs w:val="21"/>
                    </w:rPr>
                    <w:t>消防铲</w:t>
                  </w:r>
                  <w:r>
                    <w:rPr>
                      <w:rFonts w:hint="eastAsia"/>
                      <w:snapToGrid w:val="0"/>
                      <w:szCs w:val="21"/>
                    </w:rPr>
                    <w:t>等，严格按照</w:t>
                  </w:r>
                  <w:r>
                    <w:rPr>
                      <w:szCs w:val="21"/>
                    </w:rPr>
                    <w:t>《汽车加油加气站设计与施工规范</w:t>
                  </w:r>
                  <w:r>
                    <w:rPr>
                      <w:rFonts w:hint="eastAsia"/>
                      <w:szCs w:val="21"/>
                    </w:rPr>
                    <w:t>》中的数量要求进行配套；此外，于西北绿化带内设有一座水封井。</w:t>
                  </w:r>
                </w:p>
              </w:tc>
              <w:tc>
                <w:tcPr>
                  <w:tcW w:w="2048" w:type="dxa"/>
                  <w:noWrap w:val="0"/>
                  <w:vAlign w:val="center"/>
                </w:tcPr>
                <w:p>
                  <w:pPr>
                    <w:adjustRightInd w:val="0"/>
                    <w:snapToGrid w:val="0"/>
                    <w:jc w:val="center"/>
                    <w:rPr>
                      <w:rFonts w:hint="eastAsia"/>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restart"/>
                  <w:noWrap w:val="0"/>
                  <w:vAlign w:val="center"/>
                </w:tcPr>
                <w:p>
                  <w:pPr>
                    <w:adjustRightInd w:val="0"/>
                    <w:snapToGrid w:val="0"/>
                    <w:jc w:val="center"/>
                    <w:rPr>
                      <w:rFonts w:hint="eastAsia"/>
                      <w:szCs w:val="21"/>
                    </w:rPr>
                  </w:pPr>
                  <w:r>
                    <w:rPr>
                      <w:rFonts w:hint="eastAsia"/>
                      <w:szCs w:val="21"/>
                    </w:rPr>
                    <w:t>环保</w:t>
                  </w:r>
                </w:p>
                <w:p>
                  <w:pPr>
                    <w:adjustRightInd w:val="0"/>
                    <w:snapToGrid w:val="0"/>
                    <w:jc w:val="center"/>
                    <w:rPr>
                      <w:szCs w:val="21"/>
                    </w:rPr>
                  </w:pPr>
                  <w:r>
                    <w:rPr>
                      <w:rFonts w:hint="eastAsia"/>
                      <w:szCs w:val="21"/>
                    </w:rPr>
                    <w:t>工程</w:t>
                  </w:r>
                </w:p>
              </w:tc>
              <w:tc>
                <w:tcPr>
                  <w:tcW w:w="725" w:type="dxa"/>
                  <w:noWrap w:val="0"/>
                  <w:vAlign w:val="center"/>
                </w:tcPr>
                <w:p>
                  <w:pPr>
                    <w:adjustRightInd w:val="0"/>
                    <w:snapToGrid w:val="0"/>
                    <w:jc w:val="center"/>
                    <w:rPr>
                      <w:rFonts w:hint="eastAsia"/>
                      <w:szCs w:val="21"/>
                    </w:rPr>
                  </w:pPr>
                  <w:r>
                    <w:rPr>
                      <w:rFonts w:hint="eastAsia"/>
                      <w:szCs w:val="21"/>
                    </w:rPr>
                    <w:t>废水</w:t>
                  </w:r>
                </w:p>
              </w:tc>
              <w:tc>
                <w:tcPr>
                  <w:tcW w:w="2295" w:type="dxa"/>
                  <w:noWrap w:val="0"/>
                  <w:vAlign w:val="center"/>
                </w:tcPr>
                <w:p>
                  <w:pPr>
                    <w:adjustRightInd w:val="0"/>
                    <w:snapToGrid w:val="0"/>
                    <w:jc w:val="center"/>
                    <w:rPr>
                      <w:rFonts w:hint="eastAsia"/>
                    </w:rPr>
                  </w:pPr>
                  <w:r>
                    <w:rPr>
                      <w:rFonts w:hint="eastAsia"/>
                    </w:rPr>
                    <w:t>①针对员工生活污水、公共卫生间污水等生活污水设置一座三级化粪池，处理达标后排放；</w:t>
                  </w:r>
                </w:p>
                <w:p>
                  <w:pPr>
                    <w:adjustRightInd w:val="0"/>
                    <w:snapToGrid w:val="0"/>
                    <w:jc w:val="center"/>
                    <w:rPr>
                      <w:rFonts w:hint="eastAsia"/>
                      <w:szCs w:val="21"/>
                    </w:rPr>
                  </w:pPr>
                  <w:r>
                    <w:rPr>
                      <w:rFonts w:hint="eastAsia"/>
                    </w:rPr>
                    <w:t>②针对罩棚区地面保洁废水及初期雨水等含油废水配套一座隔油沉淀池，处理达标后排放；</w:t>
                  </w:r>
                </w:p>
              </w:tc>
              <w:tc>
                <w:tcPr>
                  <w:tcW w:w="2296" w:type="dxa"/>
                  <w:noWrap w:val="0"/>
                  <w:vAlign w:val="center"/>
                </w:tcPr>
                <w:p>
                  <w:pPr>
                    <w:adjustRightInd w:val="0"/>
                    <w:snapToGrid w:val="0"/>
                    <w:jc w:val="center"/>
                    <w:rPr>
                      <w:rFonts w:hint="eastAsia"/>
                    </w:rPr>
                  </w:pPr>
                  <w:r>
                    <w:rPr>
                      <w:rFonts w:hint="eastAsia"/>
                    </w:rPr>
                    <w:t>①针对员工生活污水、公共卫生间污水等生活污水设置一座三级化粪池</w:t>
                  </w:r>
                  <w:r>
                    <w:rPr>
                      <w:rFonts w:hint="eastAsia"/>
                      <w:lang w:val="en-US" w:eastAsia="zh-CN"/>
                    </w:rPr>
                    <w:t>+调节池</w:t>
                  </w:r>
                  <w:r>
                    <w:rPr>
                      <w:rFonts w:hint="eastAsia"/>
                    </w:rPr>
                    <w:t>，处理后用作周边绿植</w:t>
                  </w:r>
                  <w:r>
                    <w:rPr>
                      <w:rFonts w:hint="eastAsia"/>
                      <w:lang w:val="en-US" w:eastAsia="zh-CN"/>
                    </w:rPr>
                    <w:t>施肥</w:t>
                  </w:r>
                  <w:r>
                    <w:rPr>
                      <w:rFonts w:hint="eastAsia"/>
                    </w:rPr>
                    <w:t>；</w:t>
                  </w:r>
                </w:p>
                <w:p>
                  <w:pPr>
                    <w:adjustRightInd w:val="0"/>
                    <w:snapToGrid w:val="0"/>
                    <w:jc w:val="center"/>
                    <w:rPr>
                      <w:szCs w:val="21"/>
                    </w:rPr>
                  </w:pPr>
                  <w:r>
                    <w:rPr>
                      <w:rFonts w:hint="eastAsia"/>
                    </w:rPr>
                    <w:t>②针对罩棚区地面保洁废水及初期雨水等含油废水配套一座隔油沉淀池，处理后回用于洒水降尘；</w:t>
                  </w:r>
                  <w:r>
                    <w:rPr>
                      <w:rFonts w:hint="eastAsia"/>
                      <w:u w:val="single"/>
                    </w:rPr>
                    <w:t>③项目不设置洗车服务。</w:t>
                  </w:r>
                </w:p>
              </w:tc>
              <w:tc>
                <w:tcPr>
                  <w:tcW w:w="2048" w:type="dxa"/>
                  <w:noWrap w:val="0"/>
                  <w:vAlign w:val="center"/>
                </w:tcPr>
                <w:p>
                  <w:pPr>
                    <w:adjustRightInd w:val="0"/>
                    <w:snapToGrid w:val="0"/>
                    <w:jc w:val="center"/>
                    <w:rPr>
                      <w:rFonts w:hint="eastAsia" w:eastAsia="宋体"/>
                      <w:szCs w:val="21"/>
                      <w:lang w:val="en-US" w:eastAsia="zh-CN"/>
                    </w:rPr>
                  </w:pPr>
                  <w:r>
                    <w:rPr>
                      <w:rFonts w:hint="eastAsia"/>
                      <w:color w:val="0000FF"/>
                    </w:rPr>
                    <w:t>员工生活污水、公共卫生间污水等生活污水设置一座三级化粪池</w:t>
                  </w:r>
                  <w:r>
                    <w:rPr>
                      <w:rFonts w:hint="eastAsia"/>
                      <w:color w:val="0000FF"/>
                      <w:lang w:val="en-US" w:eastAsia="zh-CN"/>
                    </w:rPr>
                    <w:t>+调节池</w:t>
                  </w:r>
                  <w:r>
                    <w:rPr>
                      <w:rFonts w:hint="eastAsia"/>
                      <w:color w:val="0000FF"/>
                    </w:rPr>
                    <w:t>，处理后用作周边绿植</w:t>
                  </w:r>
                  <w:r>
                    <w:rPr>
                      <w:rFonts w:hint="eastAsia"/>
                      <w:color w:val="0000FF"/>
                      <w:lang w:val="en-US" w:eastAsia="zh-CN"/>
                    </w:rPr>
                    <w:t>施肥，</w:t>
                  </w:r>
                  <w:r>
                    <w:rPr>
                      <w:rFonts w:hint="eastAsia"/>
                      <w:color w:val="0000FF"/>
                    </w:rPr>
                    <w:t>罩棚区地面保洁废水及初期雨水等含油废水配套一座隔油沉淀池，处理后回用于</w:t>
                  </w:r>
                  <w:r>
                    <w:rPr>
                      <w:rFonts w:hint="eastAsia"/>
                      <w:color w:val="0000FF"/>
                      <w:szCs w:val="21"/>
                      <w:lang w:val="en-US" w:eastAsia="zh-CN"/>
                    </w:rPr>
                    <w:t>灌溉绿植或</w:t>
                  </w:r>
                  <w:r>
                    <w:rPr>
                      <w:rFonts w:hint="eastAsia"/>
                      <w:color w:val="0000FF"/>
                    </w:rPr>
                    <w:t>洒水降尘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noWrap w:val="0"/>
                  <w:vAlign w:val="center"/>
                </w:tcPr>
                <w:p>
                  <w:pPr>
                    <w:adjustRightInd w:val="0"/>
                    <w:snapToGrid w:val="0"/>
                    <w:jc w:val="center"/>
                    <w:rPr>
                      <w:rFonts w:hint="eastAsia"/>
                      <w:szCs w:val="21"/>
                    </w:rPr>
                  </w:pPr>
                  <w:r>
                    <w:rPr>
                      <w:rFonts w:hint="eastAsia"/>
                      <w:szCs w:val="21"/>
                    </w:rPr>
                    <w:t>废气</w:t>
                  </w:r>
                </w:p>
              </w:tc>
              <w:tc>
                <w:tcPr>
                  <w:tcW w:w="2295" w:type="dxa"/>
                  <w:noWrap w:val="0"/>
                  <w:vAlign w:val="center"/>
                </w:tcPr>
                <w:p>
                  <w:pPr>
                    <w:adjustRightInd w:val="0"/>
                    <w:snapToGrid w:val="0"/>
                    <w:jc w:val="center"/>
                    <w:rPr>
                      <w:rFonts w:hint="eastAsia"/>
                      <w:szCs w:val="21"/>
                    </w:rPr>
                  </w:pPr>
                  <w:r>
                    <w:rPr>
                      <w:rFonts w:hint="eastAsia"/>
                      <w:szCs w:val="21"/>
                    </w:rPr>
                    <w:t>①生产系统损失的油气：包括含卸油、储油、加油全过程产生的油气，采用隐蔽罐从源头降低油气污染物产生量，另外针对卸油和加油两工序分别配套相应的油气回收系统；项目采取</w:t>
                  </w:r>
                  <w:r>
                    <w:rPr>
                      <w:rFonts w:hint="eastAsia"/>
                      <w:szCs w:val="21"/>
                      <w:lang w:eastAsia="zh-CN"/>
                    </w:rPr>
                    <w:t>二次</w:t>
                  </w:r>
                  <w:r>
                    <w:rPr>
                      <w:rFonts w:hint="eastAsia"/>
                      <w:szCs w:val="21"/>
                    </w:rPr>
                    <w:t>油气回收系统（即卸油油气回收系统与加油油气回收系统）</w:t>
                  </w:r>
                </w:p>
                <w:p>
                  <w:pPr>
                    <w:adjustRightInd w:val="0"/>
                    <w:snapToGrid w:val="0"/>
                    <w:jc w:val="center"/>
                    <w:rPr>
                      <w:rFonts w:hint="eastAsia"/>
                      <w:szCs w:val="21"/>
                    </w:rPr>
                  </w:pPr>
                  <w:r>
                    <w:rPr>
                      <w:rFonts w:hint="eastAsia"/>
                      <w:szCs w:val="21"/>
                    </w:rPr>
                    <w:t>②柴油发电机尾气：</w:t>
                  </w:r>
                  <w:r>
                    <w:rPr>
                      <w:rFonts w:hint="eastAsia"/>
                      <w:szCs w:val="21"/>
                      <w:lang w:val="en-US" w:eastAsia="zh-CN"/>
                    </w:rPr>
                    <w:t>无组织排放</w:t>
                  </w:r>
                  <w:r>
                    <w:rPr>
                      <w:rFonts w:hint="eastAsia"/>
                      <w:szCs w:val="21"/>
                    </w:rPr>
                    <w:t>。</w:t>
                  </w:r>
                </w:p>
              </w:tc>
              <w:tc>
                <w:tcPr>
                  <w:tcW w:w="2296" w:type="dxa"/>
                  <w:noWrap w:val="0"/>
                  <w:vAlign w:val="center"/>
                </w:tcPr>
                <w:p>
                  <w:pPr>
                    <w:adjustRightInd w:val="0"/>
                    <w:snapToGrid w:val="0"/>
                    <w:jc w:val="center"/>
                    <w:rPr>
                      <w:rFonts w:hint="default" w:eastAsia="宋体"/>
                      <w:color w:val="0000FF"/>
                      <w:szCs w:val="21"/>
                      <w:lang w:val="en-US" w:eastAsia="zh-CN"/>
                    </w:rPr>
                  </w:pPr>
                  <w:r>
                    <w:rPr>
                      <w:rFonts w:hint="eastAsia"/>
                      <w:color w:val="0000FF"/>
                      <w:szCs w:val="21"/>
                    </w:rPr>
                    <w:t>加油站储罐改建后，重新</w:t>
                  </w:r>
                  <w:r>
                    <w:rPr>
                      <w:rFonts w:hint="eastAsia"/>
                      <w:color w:val="0000FF"/>
                      <w:szCs w:val="21"/>
                      <w:lang w:val="en-US" w:eastAsia="zh-CN"/>
                    </w:rPr>
                    <w:t>三级</w:t>
                  </w:r>
                  <w:r>
                    <w:rPr>
                      <w:rFonts w:hint="eastAsia"/>
                      <w:color w:val="0000FF"/>
                      <w:szCs w:val="21"/>
                    </w:rPr>
                    <w:t>油气回收设施。</w:t>
                  </w:r>
                  <w:r>
                    <w:rPr>
                      <w:rFonts w:hint="eastAsia"/>
                      <w:color w:val="0000FF"/>
                      <w:szCs w:val="21"/>
                      <w:lang w:val="en-US" w:eastAsia="zh-CN"/>
                    </w:rPr>
                    <w:t>柴油发电机尾气经收集引至高出楼顶排放。</w:t>
                  </w:r>
                </w:p>
              </w:tc>
              <w:tc>
                <w:tcPr>
                  <w:tcW w:w="2048" w:type="dxa"/>
                  <w:noWrap w:val="0"/>
                  <w:vAlign w:val="center"/>
                </w:tcPr>
                <w:p>
                  <w:pPr>
                    <w:adjustRightInd w:val="0"/>
                    <w:snapToGrid w:val="0"/>
                    <w:jc w:val="center"/>
                    <w:rPr>
                      <w:rFonts w:hint="default" w:eastAsia="宋体"/>
                      <w:color w:val="0000FF"/>
                      <w:szCs w:val="21"/>
                      <w:lang w:val="en-US" w:eastAsia="zh-CN"/>
                    </w:rPr>
                  </w:pPr>
                  <w:r>
                    <w:rPr>
                      <w:rFonts w:hint="eastAsia"/>
                      <w:color w:val="0000FF"/>
                      <w:szCs w:val="21"/>
                    </w:rPr>
                    <w:t>新建，</w:t>
                  </w:r>
                  <w:r>
                    <w:rPr>
                      <w:rFonts w:hint="eastAsia"/>
                      <w:color w:val="0000FF"/>
                      <w:szCs w:val="21"/>
                      <w:lang w:val="en-US" w:eastAsia="zh-CN"/>
                    </w:rPr>
                    <w:t>改为三级油气回收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noWrap w:val="0"/>
                  <w:vAlign w:val="center"/>
                </w:tcPr>
                <w:p>
                  <w:pPr>
                    <w:adjustRightInd w:val="0"/>
                    <w:snapToGrid w:val="0"/>
                    <w:jc w:val="center"/>
                    <w:rPr>
                      <w:rFonts w:hint="eastAsia"/>
                      <w:szCs w:val="21"/>
                    </w:rPr>
                  </w:pPr>
                  <w:r>
                    <w:rPr>
                      <w:rFonts w:hint="eastAsia"/>
                      <w:szCs w:val="21"/>
                    </w:rPr>
                    <w:t>噪声</w:t>
                  </w:r>
                </w:p>
              </w:tc>
              <w:tc>
                <w:tcPr>
                  <w:tcW w:w="2295" w:type="dxa"/>
                  <w:noWrap w:val="0"/>
                  <w:vAlign w:val="center"/>
                </w:tcPr>
                <w:p>
                  <w:pPr>
                    <w:adjustRightInd w:val="0"/>
                    <w:snapToGrid w:val="0"/>
                    <w:jc w:val="center"/>
                    <w:rPr>
                      <w:rFonts w:hint="eastAsia"/>
                      <w:szCs w:val="21"/>
                    </w:rPr>
                  </w:pPr>
                  <w:r>
                    <w:rPr>
                      <w:rFonts w:hint="eastAsia"/>
                      <w:szCs w:val="21"/>
                    </w:rPr>
                    <w:t>主要包括内部机械设备噪声和进出项目的机动车辆噪声。其中，针对内部机械设备通过优化设备结构、合理布局、</w:t>
                  </w:r>
                  <w:r>
                    <w:rPr>
                      <w:rFonts w:hint="eastAsia"/>
                      <w:snapToGrid w:val="0"/>
                      <w:kern w:val="21"/>
                      <w:szCs w:val="21"/>
                    </w:rPr>
                    <w:t>软化高噪声设备与地面的触面、合理安排供货时间等手段从源头降低其噪声产生强度；针对</w:t>
                  </w:r>
                  <w:r>
                    <w:rPr>
                      <w:rFonts w:hint="eastAsia"/>
                      <w:szCs w:val="21"/>
                    </w:rPr>
                    <w:t>进出项目的机动车辆则通过加强管理，要求司机减速缓行、禁止鸣笛等措施降低其噪声源强。</w:t>
                  </w:r>
                </w:p>
              </w:tc>
              <w:tc>
                <w:tcPr>
                  <w:tcW w:w="2296" w:type="dxa"/>
                  <w:noWrap w:val="0"/>
                  <w:vAlign w:val="center"/>
                </w:tcPr>
                <w:p>
                  <w:pPr>
                    <w:adjustRightInd w:val="0"/>
                    <w:snapToGrid w:val="0"/>
                    <w:jc w:val="center"/>
                    <w:rPr>
                      <w:rFonts w:hint="eastAsia"/>
                      <w:szCs w:val="21"/>
                    </w:rPr>
                  </w:pPr>
                  <w:r>
                    <w:rPr>
                      <w:rFonts w:hint="eastAsia"/>
                      <w:szCs w:val="21"/>
                    </w:rPr>
                    <w:t>主要包括内部机械设备噪声和进出项目的机动车辆噪声。其中，针对内部机械设备通过优化设备结构、合理布局、</w:t>
                  </w:r>
                  <w:r>
                    <w:rPr>
                      <w:rFonts w:hint="eastAsia"/>
                      <w:snapToGrid w:val="0"/>
                      <w:kern w:val="21"/>
                      <w:szCs w:val="21"/>
                    </w:rPr>
                    <w:t>软化高噪声设备与地面的触面、合理安排供货时间等手段从源头降低其噪声产生强度；针对</w:t>
                  </w:r>
                  <w:r>
                    <w:rPr>
                      <w:rFonts w:hint="eastAsia"/>
                      <w:szCs w:val="21"/>
                    </w:rPr>
                    <w:t>进出项目的机动车辆则通过加强管理，要求司机减速缓行、禁止鸣笛等措施降低其噪声源强。</w:t>
                  </w:r>
                </w:p>
              </w:tc>
              <w:tc>
                <w:tcPr>
                  <w:tcW w:w="2048" w:type="dxa"/>
                  <w:noWrap w:val="0"/>
                  <w:vAlign w:val="center"/>
                </w:tcPr>
                <w:p>
                  <w:pPr>
                    <w:adjustRightInd w:val="0"/>
                    <w:snapToGrid w:val="0"/>
                    <w:jc w:val="center"/>
                    <w:rPr>
                      <w:rFonts w:hint="eastAsia"/>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noWrap w:val="0"/>
                  <w:vAlign w:val="center"/>
                </w:tcPr>
                <w:p>
                  <w:pPr>
                    <w:adjustRightInd w:val="0"/>
                    <w:snapToGrid w:val="0"/>
                    <w:jc w:val="center"/>
                    <w:rPr>
                      <w:rFonts w:hint="eastAsia"/>
                      <w:szCs w:val="21"/>
                    </w:rPr>
                  </w:pPr>
                  <w:r>
                    <w:rPr>
                      <w:rFonts w:hint="eastAsia"/>
                      <w:szCs w:val="21"/>
                    </w:rPr>
                    <w:t>固体</w:t>
                  </w:r>
                </w:p>
                <w:p>
                  <w:pPr>
                    <w:adjustRightInd w:val="0"/>
                    <w:snapToGrid w:val="0"/>
                    <w:jc w:val="center"/>
                    <w:rPr>
                      <w:rFonts w:hint="eastAsia"/>
                      <w:szCs w:val="21"/>
                    </w:rPr>
                  </w:pPr>
                  <w:r>
                    <w:rPr>
                      <w:rFonts w:hint="eastAsia"/>
                      <w:szCs w:val="21"/>
                    </w:rPr>
                    <w:t>废物</w:t>
                  </w:r>
                </w:p>
              </w:tc>
              <w:tc>
                <w:tcPr>
                  <w:tcW w:w="2295" w:type="dxa"/>
                  <w:noWrap w:val="0"/>
                  <w:vAlign w:val="center"/>
                </w:tcPr>
                <w:p>
                  <w:pPr>
                    <w:adjustRightInd w:val="0"/>
                    <w:snapToGrid w:val="0"/>
                    <w:jc w:val="center"/>
                    <w:rPr>
                      <w:rFonts w:hint="eastAsia"/>
                    </w:rPr>
                  </w:pPr>
                  <w:r>
                    <w:rPr>
                      <w:rFonts w:hint="eastAsia"/>
                    </w:rPr>
                    <w:t>①危险废物：主要为隔油沉淀池清掏出来的含油淤泥废渣以及日常维护过程中产生的少量含油抹布手套。应设置一座危险废物暂存间，将其收集暂存，委托有资质单位进行处理。此外，项目储罐清洗过程中会产生一定的废油渣，也应委托有资质单位进行处理。</w:t>
                  </w:r>
                </w:p>
                <w:p>
                  <w:pPr>
                    <w:adjustRightInd w:val="0"/>
                    <w:snapToGrid w:val="0"/>
                    <w:jc w:val="center"/>
                    <w:rPr>
                      <w:rFonts w:hint="eastAsia"/>
                    </w:rPr>
                  </w:pPr>
                  <w:r>
                    <w:rPr>
                      <w:rFonts w:hint="eastAsia"/>
                    </w:rPr>
                    <w:t>②生活垃圾：应设置综合垃圾桶及分式垃圾篓，收集暂存，定期交当地环卫部门清理运走。</w:t>
                  </w:r>
                </w:p>
                <w:p>
                  <w:pPr>
                    <w:pStyle w:val="10"/>
                    <w:jc w:val="center"/>
                    <w:rPr>
                      <w:rFonts w:hint="eastAsia"/>
                      <w:sz w:val="21"/>
                      <w:szCs w:val="21"/>
                    </w:rPr>
                  </w:pPr>
                  <w:r>
                    <w:rPr>
                      <w:rFonts w:hint="eastAsia"/>
                      <w:kern w:val="2"/>
                      <w:sz w:val="21"/>
                      <w:szCs w:val="24"/>
                    </w:rPr>
                    <w:fldChar w:fldCharType="begin"/>
                  </w:r>
                  <w:r>
                    <w:rPr>
                      <w:rFonts w:hint="eastAsia"/>
                      <w:kern w:val="2"/>
                      <w:sz w:val="21"/>
                      <w:szCs w:val="24"/>
                    </w:rPr>
                    <w:instrText xml:space="preserve"> = 3 \* GB3 \* MERGEFORMAT </w:instrText>
                  </w:r>
                  <w:r>
                    <w:rPr>
                      <w:rFonts w:hint="eastAsia"/>
                      <w:kern w:val="2"/>
                      <w:sz w:val="21"/>
                      <w:szCs w:val="24"/>
                    </w:rPr>
                    <w:fldChar w:fldCharType="separate"/>
                  </w:r>
                  <w:r>
                    <w:rPr>
                      <w:rFonts w:hint="eastAsia"/>
                      <w:kern w:val="2"/>
                      <w:sz w:val="21"/>
                      <w:szCs w:val="24"/>
                    </w:rPr>
                    <w:t>③</w:t>
                  </w:r>
                  <w:r>
                    <w:rPr>
                      <w:rFonts w:hint="eastAsia"/>
                      <w:kern w:val="2"/>
                      <w:sz w:val="21"/>
                      <w:szCs w:val="24"/>
                    </w:rPr>
                    <w:fldChar w:fldCharType="end"/>
                  </w:r>
                  <w:r>
                    <w:rPr>
                      <w:rFonts w:hint="eastAsia"/>
                      <w:kern w:val="2"/>
                      <w:sz w:val="21"/>
                      <w:szCs w:val="24"/>
                    </w:rPr>
                    <w:t>危废暂存间位于站房北侧，面积约4</w:t>
                  </w:r>
                  <w:r>
                    <w:rPr>
                      <w:kern w:val="2"/>
                      <w:sz w:val="21"/>
                      <w:szCs w:val="24"/>
                    </w:rPr>
                    <w:t>m</w:t>
                  </w:r>
                  <w:r>
                    <w:rPr>
                      <w:kern w:val="2"/>
                      <w:sz w:val="21"/>
                      <w:szCs w:val="24"/>
                      <w:vertAlign w:val="superscript"/>
                    </w:rPr>
                    <w:t>2</w:t>
                  </w:r>
                  <w:r>
                    <w:rPr>
                      <w:rFonts w:hint="eastAsia"/>
                      <w:kern w:val="2"/>
                      <w:sz w:val="21"/>
                      <w:szCs w:val="24"/>
                    </w:rPr>
                    <w:t>。</w:t>
                  </w:r>
                </w:p>
              </w:tc>
              <w:tc>
                <w:tcPr>
                  <w:tcW w:w="2296" w:type="dxa"/>
                  <w:noWrap w:val="0"/>
                  <w:vAlign w:val="center"/>
                </w:tcPr>
                <w:p>
                  <w:pPr>
                    <w:numPr>
                      <w:ilvl w:val="0"/>
                      <w:numId w:val="0"/>
                    </w:numPr>
                    <w:adjustRightInd w:val="0"/>
                    <w:snapToGrid w:val="0"/>
                    <w:jc w:val="both"/>
                    <w:rPr>
                      <w:rFonts w:hint="eastAsia"/>
                    </w:rPr>
                  </w:pPr>
                  <w:r>
                    <w:rPr>
                      <w:rFonts w:hint="eastAsia"/>
                      <w:lang w:val="en-US" w:eastAsia="zh-CN"/>
                    </w:rPr>
                    <w:t>①</w:t>
                  </w:r>
                  <w:r>
                    <w:rPr>
                      <w:rFonts w:hint="eastAsia"/>
                    </w:rPr>
                    <w:t>危险废物：主要为隔油沉淀池清掏出来的含油淤泥废渣以及日常维护过程中产生的少量含油抹布手套。应设置一座危险废物暂存间，将其收集暂存，委托有资质单位进行处置。此外，项目储罐清洗过程中会产生一定的废油渣，也应委托有资质单位进行处置。</w:t>
                  </w:r>
                </w:p>
                <w:p>
                  <w:pPr>
                    <w:adjustRightInd w:val="0"/>
                    <w:snapToGrid w:val="0"/>
                    <w:jc w:val="center"/>
                    <w:rPr>
                      <w:rFonts w:hint="eastAsia"/>
                    </w:rPr>
                  </w:pPr>
                  <w:r>
                    <w:rPr>
                      <w:rFonts w:hint="eastAsia"/>
                    </w:rPr>
                    <w:t>②生活垃圾：应设置综合垃圾桶及分式垃圾篓，收集暂存，定期交当地环卫部门清理运走。</w:t>
                  </w:r>
                </w:p>
                <w:p>
                  <w:pPr>
                    <w:adjustRightInd w:val="0"/>
                    <w:snapToGrid w:val="0"/>
                    <w:jc w:val="center"/>
                    <w:rPr>
                      <w:rFonts w:hint="eastAsia"/>
                      <w:szCs w:val="21"/>
                    </w:rPr>
                  </w:pPr>
                  <w:r>
                    <w:rPr>
                      <w:rFonts w:hint="eastAsia"/>
                    </w:rPr>
                    <w:fldChar w:fldCharType="begin"/>
                  </w:r>
                  <w:r>
                    <w:rPr>
                      <w:rFonts w:hint="eastAsia"/>
                    </w:rPr>
                    <w:instrText xml:space="preserve"> = 3 \* GB3 \* MERGEFORMAT </w:instrText>
                  </w:r>
                  <w:r>
                    <w:rPr>
                      <w:rFonts w:hint="eastAsia"/>
                    </w:rPr>
                    <w:fldChar w:fldCharType="separate"/>
                  </w:r>
                  <w:r>
                    <w:rPr>
                      <w:rFonts w:hint="eastAsia"/>
                    </w:rPr>
                    <w:t>③</w:t>
                  </w:r>
                  <w:r>
                    <w:rPr>
                      <w:rFonts w:hint="eastAsia"/>
                    </w:rPr>
                    <w:fldChar w:fldCharType="end"/>
                  </w:r>
                  <w:r>
                    <w:rPr>
                      <w:rFonts w:hint="eastAsia"/>
                    </w:rPr>
                    <w:t>危废暂存间位于站房北侧，面积约4</w:t>
                  </w:r>
                  <w:r>
                    <w:t>m</w:t>
                  </w:r>
                  <w:r>
                    <w:rPr>
                      <w:vertAlign w:val="superscript"/>
                    </w:rPr>
                    <w:t>2</w:t>
                  </w:r>
                  <w:r>
                    <w:rPr>
                      <w:rFonts w:hint="eastAsia"/>
                    </w:rPr>
                    <w:t>。</w:t>
                  </w:r>
                </w:p>
              </w:tc>
              <w:tc>
                <w:tcPr>
                  <w:tcW w:w="2048" w:type="dxa"/>
                  <w:noWrap w:val="0"/>
                  <w:vAlign w:val="center"/>
                </w:tcPr>
                <w:p>
                  <w:pPr>
                    <w:adjustRightInd w:val="0"/>
                    <w:snapToGrid w:val="0"/>
                    <w:jc w:val="center"/>
                    <w:rPr>
                      <w:szCs w:val="21"/>
                    </w:rPr>
                  </w:pPr>
                  <w:r>
                    <w:rPr>
                      <w:rFonts w:hint="eastAsia"/>
                      <w:szCs w:val="21"/>
                    </w:rPr>
                    <w:t>已建，利旧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73" w:type="dxa"/>
                  <w:vMerge w:val="continue"/>
                  <w:noWrap w:val="0"/>
                  <w:vAlign w:val="center"/>
                </w:tcPr>
                <w:p>
                  <w:pPr>
                    <w:adjustRightInd w:val="0"/>
                    <w:snapToGrid w:val="0"/>
                    <w:jc w:val="center"/>
                    <w:rPr>
                      <w:szCs w:val="21"/>
                    </w:rPr>
                  </w:pPr>
                </w:p>
              </w:tc>
              <w:tc>
                <w:tcPr>
                  <w:tcW w:w="725" w:type="dxa"/>
                  <w:noWrap w:val="0"/>
                  <w:vAlign w:val="center"/>
                </w:tcPr>
                <w:p>
                  <w:pPr>
                    <w:adjustRightInd w:val="0"/>
                    <w:snapToGrid w:val="0"/>
                    <w:jc w:val="center"/>
                    <w:rPr>
                      <w:szCs w:val="21"/>
                      <w:u w:val="single"/>
                    </w:rPr>
                  </w:pPr>
                  <w:r>
                    <w:rPr>
                      <w:rFonts w:hint="eastAsia"/>
                      <w:szCs w:val="21"/>
                      <w:u w:val="single"/>
                    </w:rPr>
                    <w:t>地下水</w:t>
                  </w:r>
                </w:p>
              </w:tc>
              <w:tc>
                <w:tcPr>
                  <w:tcW w:w="2295" w:type="dxa"/>
                  <w:noWrap w:val="0"/>
                  <w:vAlign w:val="center"/>
                </w:tcPr>
                <w:p>
                  <w:pPr>
                    <w:pStyle w:val="10"/>
                    <w:spacing w:line="240" w:lineRule="auto"/>
                    <w:jc w:val="center"/>
                    <w:rPr>
                      <w:kern w:val="2"/>
                      <w:sz w:val="21"/>
                      <w:szCs w:val="24"/>
                      <w:u w:val="single"/>
                    </w:rPr>
                  </w:pPr>
                  <w:r>
                    <w:rPr>
                      <w:rFonts w:hint="eastAsia"/>
                      <w:kern w:val="2"/>
                      <w:sz w:val="21"/>
                      <w:szCs w:val="24"/>
                      <w:u w:val="single"/>
                    </w:rPr>
                    <w:t>项目设置地下监测井、液位计，位于厂区东南侧</w:t>
                  </w:r>
                </w:p>
              </w:tc>
              <w:tc>
                <w:tcPr>
                  <w:tcW w:w="2296" w:type="dxa"/>
                  <w:noWrap w:val="0"/>
                  <w:vAlign w:val="center"/>
                </w:tcPr>
                <w:p>
                  <w:pPr>
                    <w:adjustRightInd w:val="0"/>
                    <w:snapToGrid w:val="0"/>
                    <w:jc w:val="center"/>
                    <w:rPr>
                      <w:rFonts w:hint="eastAsia"/>
                      <w:u w:val="single"/>
                    </w:rPr>
                  </w:pPr>
                  <w:r>
                    <w:rPr>
                      <w:rFonts w:hint="eastAsia"/>
                      <w:u w:val="single"/>
                    </w:rPr>
                    <w:t>项目设置地下监测井、液位计，位于厂区东南侧</w:t>
                  </w:r>
                </w:p>
              </w:tc>
              <w:tc>
                <w:tcPr>
                  <w:tcW w:w="2048" w:type="dxa"/>
                  <w:noWrap w:val="0"/>
                  <w:vAlign w:val="center"/>
                </w:tcPr>
                <w:p>
                  <w:pPr>
                    <w:adjustRightInd w:val="0"/>
                    <w:snapToGrid w:val="0"/>
                    <w:jc w:val="center"/>
                    <w:rPr>
                      <w:rFonts w:hint="eastAsia"/>
                      <w:szCs w:val="21"/>
                      <w:u w:val="single"/>
                    </w:rPr>
                  </w:pPr>
                  <w:r>
                    <w:rPr>
                      <w:rFonts w:hint="eastAsia"/>
                      <w:szCs w:val="21"/>
                      <w:u w:val="single"/>
                    </w:rPr>
                    <w:t>已建，利旧</w:t>
                  </w:r>
                </w:p>
              </w:tc>
            </w:tr>
          </w:tbl>
          <w:p>
            <w:pPr>
              <w:adjustRightInd w:val="0"/>
              <w:snapToGrid w:val="0"/>
              <w:spacing w:line="360" w:lineRule="auto"/>
              <w:ind w:firstLine="498" w:firstLineChars="200"/>
              <w:outlineLvl w:val="0"/>
              <w:rPr>
                <w:rFonts w:hint="eastAsia"/>
                <w:b/>
                <w:spacing w:val="4"/>
                <w:sz w:val="24"/>
              </w:rPr>
            </w:pPr>
            <w:bookmarkStart w:id="46" w:name="_Toc16681"/>
            <w:bookmarkStart w:id="47" w:name="_Toc8000"/>
            <w:bookmarkStart w:id="48" w:name="_Toc26615"/>
            <w:bookmarkStart w:id="49" w:name="_Toc1200"/>
            <w:bookmarkStart w:id="50" w:name="_Toc29286"/>
          </w:p>
          <w:p>
            <w:pPr>
              <w:adjustRightInd w:val="0"/>
              <w:snapToGrid w:val="0"/>
              <w:spacing w:line="360" w:lineRule="auto"/>
              <w:ind w:firstLine="498" w:firstLineChars="200"/>
              <w:outlineLvl w:val="0"/>
              <w:rPr>
                <w:rFonts w:hint="eastAsia"/>
                <w:b/>
                <w:spacing w:val="4"/>
                <w:sz w:val="24"/>
              </w:rPr>
            </w:pPr>
            <w:r>
              <w:rPr>
                <w:rFonts w:hint="eastAsia"/>
                <w:b/>
                <w:spacing w:val="4"/>
                <w:sz w:val="24"/>
              </w:rPr>
              <w:t>2.5、总平面布局</w:t>
            </w:r>
            <w:bookmarkEnd w:id="46"/>
            <w:bookmarkEnd w:id="47"/>
            <w:bookmarkEnd w:id="48"/>
            <w:bookmarkEnd w:id="49"/>
            <w:bookmarkEnd w:id="50"/>
          </w:p>
          <w:p>
            <w:pPr>
              <w:adjustRightInd w:val="0"/>
              <w:snapToGrid w:val="0"/>
              <w:spacing w:line="360" w:lineRule="auto"/>
              <w:ind w:firstLine="480" w:firstLineChars="200"/>
              <w:outlineLvl w:val="0"/>
              <w:rPr>
                <w:rFonts w:hint="eastAsia"/>
                <w:b/>
                <w:spacing w:val="4"/>
                <w:sz w:val="24"/>
              </w:rPr>
            </w:pPr>
            <w:bookmarkStart w:id="51" w:name="_Toc12087"/>
            <w:bookmarkStart w:id="52" w:name="_Toc17445"/>
            <w:bookmarkStart w:id="53" w:name="_Toc5616"/>
            <w:bookmarkStart w:id="54" w:name="_Toc25754"/>
            <w:bookmarkStart w:id="55" w:name="_Toc24720"/>
            <w:r>
              <w:rPr>
                <w:sz w:val="24"/>
              </w:rPr>
              <w:t>项目</w:t>
            </w:r>
            <w:r>
              <w:rPr>
                <w:rFonts w:hint="eastAsia"/>
                <w:sz w:val="24"/>
              </w:rPr>
              <w:t>建设地块</w:t>
            </w:r>
            <w:r>
              <w:rPr>
                <w:sz w:val="24"/>
              </w:rPr>
              <w:t>为</w:t>
            </w:r>
            <w:r>
              <w:rPr>
                <w:rFonts w:hint="eastAsia"/>
                <w:sz w:val="24"/>
              </w:rPr>
              <w:t>一不规则多边形，自西向东分别为辅助用房、消防器材间、卸油口、储罐区（4座</w:t>
            </w:r>
            <w:r>
              <w:rPr>
                <w:kern w:val="21"/>
                <w:sz w:val="24"/>
              </w:rPr>
              <w:t>地埋式</w:t>
            </w:r>
            <w:r>
              <w:rPr>
                <w:rFonts w:hint="eastAsia"/>
                <w:kern w:val="21"/>
                <w:sz w:val="24"/>
              </w:rPr>
              <w:t>双</w:t>
            </w:r>
            <w:r>
              <w:rPr>
                <w:kern w:val="21"/>
                <w:sz w:val="24"/>
              </w:rPr>
              <w:t>层储罐</w:t>
            </w:r>
            <w:r>
              <w:rPr>
                <w:rFonts w:hint="eastAsia"/>
                <w:sz w:val="24"/>
              </w:rPr>
              <w:t>）、罩棚区（内设</w:t>
            </w:r>
            <w:r>
              <w:rPr>
                <w:rFonts w:hint="eastAsia"/>
                <w:kern w:val="21"/>
                <w:sz w:val="24"/>
              </w:rPr>
              <w:t>4</w:t>
            </w:r>
            <w:r>
              <w:rPr>
                <w:kern w:val="21"/>
                <w:sz w:val="24"/>
              </w:rPr>
              <w:t>台</w:t>
            </w:r>
            <w:r>
              <w:rPr>
                <w:rFonts w:hint="eastAsia"/>
                <w:kern w:val="21"/>
                <w:sz w:val="24"/>
              </w:rPr>
              <w:t>2枪2油</w:t>
            </w:r>
            <w:r>
              <w:rPr>
                <w:kern w:val="21"/>
                <w:sz w:val="24"/>
              </w:rPr>
              <w:t>加油机</w:t>
            </w:r>
            <w:r>
              <w:rPr>
                <w:rFonts w:hint="eastAsia"/>
                <w:sz w:val="24"/>
              </w:rPr>
              <w:t>）与站房（1F，内设</w:t>
            </w:r>
            <w:r>
              <w:rPr>
                <w:sz w:val="24"/>
              </w:rPr>
              <w:t>卫生间、便利店、办公室、配电间</w:t>
            </w:r>
            <w:r>
              <w:rPr>
                <w:rFonts w:hint="eastAsia"/>
                <w:sz w:val="24"/>
              </w:rPr>
              <w:t>、休息室等）、停车位等（同一经度，自北往南分布），详情参见附图二。</w:t>
            </w:r>
            <w:bookmarkEnd w:id="51"/>
            <w:bookmarkEnd w:id="52"/>
            <w:bookmarkEnd w:id="53"/>
            <w:bookmarkEnd w:id="54"/>
            <w:bookmarkEnd w:id="55"/>
          </w:p>
          <w:p>
            <w:pPr>
              <w:adjustRightInd w:val="0"/>
              <w:snapToGrid w:val="0"/>
              <w:spacing w:line="360" w:lineRule="auto"/>
              <w:ind w:firstLine="498" w:firstLineChars="200"/>
              <w:outlineLvl w:val="0"/>
              <w:rPr>
                <w:b/>
                <w:spacing w:val="4"/>
                <w:sz w:val="24"/>
              </w:rPr>
            </w:pPr>
            <w:bookmarkStart w:id="56" w:name="_Toc5179"/>
            <w:bookmarkStart w:id="57" w:name="_Toc13237"/>
            <w:bookmarkStart w:id="58" w:name="_Toc18842"/>
            <w:bookmarkStart w:id="59" w:name="_Toc12913"/>
            <w:bookmarkStart w:id="60" w:name="_Toc957"/>
            <w:r>
              <w:rPr>
                <w:rFonts w:hint="eastAsia"/>
                <w:b/>
                <w:spacing w:val="4"/>
                <w:sz w:val="24"/>
              </w:rPr>
              <w:t>2.6</w:t>
            </w:r>
            <w:r>
              <w:rPr>
                <w:b/>
                <w:spacing w:val="4"/>
                <w:sz w:val="24"/>
              </w:rPr>
              <w:t>、</w:t>
            </w:r>
            <w:r>
              <w:rPr>
                <w:rFonts w:hint="eastAsia"/>
                <w:b/>
                <w:spacing w:val="4"/>
                <w:sz w:val="24"/>
              </w:rPr>
              <w:t>项目主要</w:t>
            </w:r>
            <w:r>
              <w:rPr>
                <w:b/>
                <w:spacing w:val="4"/>
                <w:sz w:val="24"/>
              </w:rPr>
              <w:t>原辅材料及能源消耗</w:t>
            </w:r>
            <w:bookmarkEnd w:id="56"/>
            <w:bookmarkEnd w:id="57"/>
            <w:bookmarkEnd w:id="58"/>
            <w:bookmarkEnd w:id="59"/>
            <w:bookmarkEnd w:id="60"/>
          </w:p>
          <w:p>
            <w:pPr>
              <w:tabs>
                <w:tab w:val="left" w:pos="1072"/>
              </w:tabs>
              <w:spacing w:line="360" w:lineRule="auto"/>
              <w:ind w:firstLine="480" w:firstLineChars="200"/>
              <w:rPr>
                <w:b/>
                <w:szCs w:val="21"/>
              </w:rPr>
            </w:pPr>
            <w:r>
              <w:rPr>
                <w:sz w:val="24"/>
              </w:rPr>
              <w:t>项目主要原辅材料及能源消耗情况见下表。</w:t>
            </w:r>
          </w:p>
          <w:p>
            <w:pPr>
              <w:spacing w:line="360" w:lineRule="auto"/>
              <w:ind w:firstLine="422" w:firstLineChars="200"/>
              <w:jc w:val="center"/>
              <w:rPr>
                <w:rFonts w:hint="eastAsia"/>
                <w:b/>
                <w:color w:val="0000FF"/>
                <w:szCs w:val="21"/>
              </w:rPr>
            </w:pPr>
            <w:r>
              <w:rPr>
                <w:rFonts w:hint="eastAsia"/>
                <w:b/>
                <w:color w:val="0000FF"/>
                <w:szCs w:val="21"/>
              </w:rPr>
              <w:t>表2-2 主要原辅材料及能源消耗一览表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2"/>
              <w:gridCol w:w="1985"/>
              <w:gridCol w:w="992"/>
              <w:gridCol w:w="993"/>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名称</w:t>
                  </w:r>
                </w:p>
              </w:tc>
              <w:tc>
                <w:tcPr>
                  <w:tcW w:w="1985" w:type="dxa"/>
                  <w:noWrap w:val="0"/>
                  <w:vAlign w:val="center"/>
                </w:tcPr>
                <w:p>
                  <w:pPr>
                    <w:spacing w:line="0" w:lineRule="atLeast"/>
                    <w:jc w:val="center"/>
                    <w:rPr>
                      <w:rFonts w:hint="eastAsia"/>
                      <w:color w:val="0000FF"/>
                      <w:szCs w:val="21"/>
                    </w:rPr>
                  </w:pPr>
                  <w:r>
                    <w:rPr>
                      <w:rFonts w:hint="eastAsia"/>
                      <w:color w:val="0000FF"/>
                      <w:szCs w:val="21"/>
                    </w:rPr>
                    <w:t>最大储量（单位）</w:t>
                  </w:r>
                </w:p>
              </w:tc>
              <w:tc>
                <w:tcPr>
                  <w:tcW w:w="992" w:type="dxa"/>
                  <w:noWrap w:val="0"/>
                  <w:vAlign w:val="center"/>
                </w:tcPr>
                <w:p>
                  <w:pPr>
                    <w:spacing w:line="0" w:lineRule="atLeast"/>
                    <w:jc w:val="center"/>
                    <w:rPr>
                      <w:rFonts w:hint="eastAsia"/>
                      <w:color w:val="0000FF"/>
                      <w:szCs w:val="21"/>
                    </w:rPr>
                  </w:pPr>
                  <w:r>
                    <w:rPr>
                      <w:rFonts w:hint="eastAsia"/>
                      <w:color w:val="0000FF"/>
                      <w:szCs w:val="21"/>
                      <w:lang w:val="en-US" w:eastAsia="zh-CN"/>
                    </w:rPr>
                    <w:t>现有</w:t>
                  </w:r>
                  <w:r>
                    <w:rPr>
                      <w:rFonts w:hint="eastAsia"/>
                      <w:color w:val="0000FF"/>
                      <w:szCs w:val="21"/>
                    </w:rPr>
                    <w:t>年销售量</w:t>
                  </w:r>
                </w:p>
              </w:tc>
              <w:tc>
                <w:tcPr>
                  <w:tcW w:w="993" w:type="dxa"/>
                  <w:noWrap w:val="0"/>
                  <w:vAlign w:val="center"/>
                </w:tcPr>
                <w:p>
                  <w:pPr>
                    <w:spacing w:line="0" w:lineRule="atLeast"/>
                    <w:jc w:val="center"/>
                    <w:rPr>
                      <w:rFonts w:hint="eastAsia"/>
                      <w:color w:val="0000FF"/>
                      <w:szCs w:val="21"/>
                    </w:rPr>
                  </w:pPr>
                  <w:r>
                    <w:rPr>
                      <w:rFonts w:hint="eastAsia"/>
                      <w:color w:val="0000FF"/>
                      <w:szCs w:val="21"/>
                    </w:rPr>
                    <w:t>预计年销售量</w:t>
                  </w:r>
                </w:p>
              </w:tc>
              <w:tc>
                <w:tcPr>
                  <w:tcW w:w="1985" w:type="dxa"/>
                  <w:noWrap w:val="0"/>
                  <w:vAlign w:val="center"/>
                </w:tcPr>
                <w:p>
                  <w:pPr>
                    <w:spacing w:line="0" w:lineRule="atLeast"/>
                    <w:jc w:val="center"/>
                    <w:rPr>
                      <w:rFonts w:hint="eastAsia"/>
                      <w:color w:val="0000FF"/>
                      <w:szCs w:val="21"/>
                    </w:rPr>
                  </w:pPr>
                  <w:r>
                    <w:rPr>
                      <w:rFonts w:hint="eastAsia"/>
                      <w:color w:val="0000FF"/>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92#汽油</w:t>
                  </w:r>
                </w:p>
              </w:tc>
              <w:tc>
                <w:tcPr>
                  <w:tcW w:w="1985" w:type="dxa"/>
                  <w:noWrap w:val="0"/>
                  <w:vAlign w:val="center"/>
                </w:tcPr>
                <w:p>
                  <w:pPr>
                    <w:spacing w:line="0" w:lineRule="atLeast"/>
                    <w:jc w:val="center"/>
                    <w:rPr>
                      <w:color w:val="0000FF"/>
                      <w:szCs w:val="21"/>
                    </w:rPr>
                  </w:pPr>
                  <w:r>
                    <w:rPr>
                      <w:rFonts w:hint="eastAsia"/>
                      <w:color w:val="0000FF"/>
                      <w:szCs w:val="21"/>
                    </w:rPr>
                    <w:t>37.5t</w:t>
                  </w:r>
                </w:p>
              </w:tc>
              <w:tc>
                <w:tcPr>
                  <w:tcW w:w="992" w:type="dxa"/>
                  <w:vMerge w:val="restart"/>
                  <w:noWrap w:val="0"/>
                  <w:vAlign w:val="center"/>
                </w:tcPr>
                <w:p>
                  <w:pPr>
                    <w:spacing w:line="0" w:lineRule="atLeast"/>
                    <w:jc w:val="center"/>
                    <w:rPr>
                      <w:rFonts w:hint="default" w:eastAsia="宋体"/>
                      <w:color w:val="0000FF"/>
                      <w:szCs w:val="21"/>
                      <w:lang w:val="en-US" w:eastAsia="zh-CN"/>
                    </w:rPr>
                  </w:pPr>
                  <w:r>
                    <w:rPr>
                      <w:rFonts w:hint="eastAsia"/>
                      <w:color w:val="0000FF"/>
                      <w:szCs w:val="21"/>
                      <w:lang w:val="en-US" w:eastAsia="zh-CN"/>
                    </w:rPr>
                    <w:t>800t</w:t>
                  </w:r>
                </w:p>
              </w:tc>
              <w:tc>
                <w:tcPr>
                  <w:tcW w:w="993" w:type="dxa"/>
                  <w:noWrap w:val="0"/>
                  <w:vAlign w:val="center"/>
                </w:tcPr>
                <w:p>
                  <w:pPr>
                    <w:spacing w:line="0" w:lineRule="atLeast"/>
                    <w:jc w:val="center"/>
                    <w:rPr>
                      <w:rFonts w:hint="eastAsia"/>
                      <w:color w:val="0000FF"/>
                      <w:szCs w:val="21"/>
                    </w:rPr>
                  </w:pPr>
                  <w:r>
                    <w:rPr>
                      <w:rFonts w:hint="eastAsia"/>
                      <w:color w:val="0000FF"/>
                      <w:szCs w:val="21"/>
                    </w:rPr>
                    <w:t>1500t</w:t>
                  </w:r>
                </w:p>
              </w:tc>
              <w:tc>
                <w:tcPr>
                  <w:tcW w:w="1985" w:type="dxa"/>
                  <w:noWrap w:val="0"/>
                  <w:vAlign w:val="center"/>
                </w:tcPr>
                <w:p>
                  <w:pPr>
                    <w:spacing w:line="0" w:lineRule="atLeast"/>
                    <w:jc w:val="center"/>
                    <w:rPr>
                      <w:color w:val="0000FF"/>
                      <w:szCs w:val="21"/>
                    </w:rPr>
                  </w:pPr>
                  <w:r>
                    <w:rPr>
                      <w:rFonts w:hint="eastAsia"/>
                      <w:color w:val="0000FF"/>
                      <w:szCs w:val="21"/>
                    </w:rPr>
                    <w:t>最大储量相较于改建前增加15t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95#汽油</w:t>
                  </w:r>
                </w:p>
              </w:tc>
              <w:tc>
                <w:tcPr>
                  <w:tcW w:w="1985" w:type="dxa"/>
                  <w:noWrap w:val="0"/>
                  <w:vAlign w:val="center"/>
                </w:tcPr>
                <w:p>
                  <w:pPr>
                    <w:spacing w:line="0" w:lineRule="atLeast"/>
                    <w:jc w:val="center"/>
                    <w:rPr>
                      <w:color w:val="0000FF"/>
                      <w:szCs w:val="21"/>
                    </w:rPr>
                  </w:pPr>
                  <w:r>
                    <w:rPr>
                      <w:rFonts w:hint="eastAsia"/>
                      <w:color w:val="0000FF"/>
                      <w:szCs w:val="21"/>
                    </w:rPr>
                    <w:t>22.5t</w:t>
                  </w:r>
                </w:p>
              </w:tc>
              <w:tc>
                <w:tcPr>
                  <w:tcW w:w="992" w:type="dxa"/>
                  <w:vMerge w:val="continue"/>
                  <w:noWrap w:val="0"/>
                  <w:vAlign w:val="center"/>
                </w:tcPr>
                <w:p>
                  <w:pPr>
                    <w:spacing w:line="0" w:lineRule="atLeast"/>
                    <w:jc w:val="center"/>
                    <w:rPr>
                      <w:rFonts w:hint="eastAsia"/>
                      <w:color w:val="0000FF"/>
                      <w:szCs w:val="21"/>
                    </w:rPr>
                  </w:pPr>
                </w:p>
              </w:tc>
              <w:tc>
                <w:tcPr>
                  <w:tcW w:w="993" w:type="dxa"/>
                  <w:noWrap w:val="0"/>
                  <w:vAlign w:val="center"/>
                </w:tcPr>
                <w:p>
                  <w:pPr>
                    <w:spacing w:line="0" w:lineRule="atLeast"/>
                    <w:jc w:val="center"/>
                    <w:rPr>
                      <w:rFonts w:hint="eastAsia"/>
                      <w:color w:val="0000FF"/>
                      <w:szCs w:val="21"/>
                    </w:rPr>
                  </w:pPr>
                  <w:r>
                    <w:rPr>
                      <w:rFonts w:hint="eastAsia"/>
                      <w:color w:val="0000FF"/>
                      <w:szCs w:val="21"/>
                    </w:rPr>
                    <w:t>500t</w:t>
                  </w:r>
                </w:p>
              </w:tc>
              <w:tc>
                <w:tcPr>
                  <w:tcW w:w="1985" w:type="dxa"/>
                  <w:noWrap w:val="0"/>
                  <w:vAlign w:val="center"/>
                </w:tcPr>
                <w:p>
                  <w:pPr>
                    <w:spacing w:line="0" w:lineRule="atLeast"/>
                    <w:jc w:val="center"/>
                    <w:rPr>
                      <w:rFonts w:hint="eastAsia"/>
                      <w:color w:val="0000FF"/>
                      <w:szCs w:val="21"/>
                    </w:rPr>
                  </w:pPr>
                  <w:r>
                    <w:rPr>
                      <w:rFonts w:hint="eastAsia"/>
                      <w:color w:val="0000FF"/>
                      <w:szCs w:val="21"/>
                    </w:rPr>
                    <w:t>最大储量相较于改建前减少4.5t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982" w:type="dxa"/>
                  <w:noWrap w:val="0"/>
                  <w:vAlign w:val="center"/>
                </w:tcPr>
                <w:p>
                  <w:pPr>
                    <w:spacing w:line="0" w:lineRule="atLeast"/>
                    <w:jc w:val="center"/>
                    <w:rPr>
                      <w:color w:val="0000FF"/>
                      <w:szCs w:val="21"/>
                    </w:rPr>
                  </w:pPr>
                  <w:r>
                    <w:rPr>
                      <w:rFonts w:hint="eastAsia"/>
                      <w:color w:val="0000FF"/>
                      <w:szCs w:val="21"/>
                    </w:rPr>
                    <w:t>98#汽油</w:t>
                  </w:r>
                </w:p>
              </w:tc>
              <w:tc>
                <w:tcPr>
                  <w:tcW w:w="1985" w:type="dxa"/>
                  <w:noWrap w:val="0"/>
                  <w:vAlign w:val="center"/>
                </w:tcPr>
                <w:p>
                  <w:pPr>
                    <w:spacing w:line="0" w:lineRule="atLeast"/>
                    <w:jc w:val="center"/>
                    <w:rPr>
                      <w:color w:val="0000FF"/>
                      <w:szCs w:val="21"/>
                    </w:rPr>
                  </w:pPr>
                  <w:r>
                    <w:rPr>
                      <w:rFonts w:hint="eastAsia"/>
                      <w:color w:val="0000FF"/>
                      <w:szCs w:val="21"/>
                    </w:rPr>
                    <w:t>15t</w:t>
                  </w:r>
                </w:p>
              </w:tc>
              <w:tc>
                <w:tcPr>
                  <w:tcW w:w="992" w:type="dxa"/>
                  <w:vMerge w:val="continue"/>
                  <w:noWrap w:val="0"/>
                  <w:vAlign w:val="center"/>
                </w:tcPr>
                <w:p>
                  <w:pPr>
                    <w:spacing w:line="0" w:lineRule="atLeast"/>
                    <w:jc w:val="center"/>
                    <w:rPr>
                      <w:rFonts w:hint="eastAsia"/>
                      <w:color w:val="0000FF"/>
                      <w:szCs w:val="21"/>
                    </w:rPr>
                  </w:pPr>
                </w:p>
              </w:tc>
              <w:tc>
                <w:tcPr>
                  <w:tcW w:w="993" w:type="dxa"/>
                  <w:noWrap w:val="0"/>
                  <w:vAlign w:val="center"/>
                </w:tcPr>
                <w:p>
                  <w:pPr>
                    <w:spacing w:line="0" w:lineRule="atLeast"/>
                    <w:jc w:val="center"/>
                    <w:rPr>
                      <w:rFonts w:hint="eastAsia"/>
                      <w:color w:val="0000FF"/>
                      <w:szCs w:val="21"/>
                    </w:rPr>
                  </w:pPr>
                  <w:r>
                    <w:rPr>
                      <w:rFonts w:hint="eastAsia"/>
                      <w:color w:val="0000FF"/>
                      <w:szCs w:val="21"/>
                    </w:rPr>
                    <w:t>500t</w:t>
                  </w:r>
                </w:p>
              </w:tc>
              <w:tc>
                <w:tcPr>
                  <w:tcW w:w="1985" w:type="dxa"/>
                  <w:noWrap w:val="0"/>
                  <w:vAlign w:val="center"/>
                </w:tcPr>
                <w:p>
                  <w:pPr>
                    <w:spacing w:line="0" w:lineRule="atLeast"/>
                    <w:jc w:val="center"/>
                    <w:rPr>
                      <w:rFonts w:hint="eastAsia"/>
                      <w:color w:val="0000FF"/>
                      <w:szCs w:val="21"/>
                    </w:rPr>
                  </w:pPr>
                  <w:r>
                    <w:rPr>
                      <w:rFonts w:hint="eastAsia"/>
                      <w:color w:val="0000FF"/>
                      <w:szCs w:val="21"/>
                    </w:rPr>
                    <w:t>最大储量相较于改建前增加15t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柴油</w:t>
                  </w:r>
                </w:p>
              </w:tc>
              <w:tc>
                <w:tcPr>
                  <w:tcW w:w="1985" w:type="dxa"/>
                  <w:noWrap w:val="0"/>
                  <w:vAlign w:val="center"/>
                </w:tcPr>
                <w:p>
                  <w:pPr>
                    <w:spacing w:line="0" w:lineRule="atLeast"/>
                    <w:jc w:val="center"/>
                    <w:rPr>
                      <w:color w:val="0000FF"/>
                      <w:szCs w:val="21"/>
                    </w:rPr>
                  </w:pPr>
                  <w:r>
                    <w:rPr>
                      <w:rFonts w:hint="eastAsia"/>
                      <w:color w:val="0000FF"/>
                      <w:szCs w:val="21"/>
                    </w:rPr>
                    <w:t>83t</w:t>
                  </w:r>
                </w:p>
              </w:tc>
              <w:tc>
                <w:tcPr>
                  <w:tcW w:w="992" w:type="dxa"/>
                  <w:noWrap w:val="0"/>
                  <w:vAlign w:val="center"/>
                </w:tcPr>
                <w:p>
                  <w:pPr>
                    <w:spacing w:line="0" w:lineRule="atLeast"/>
                    <w:jc w:val="center"/>
                    <w:rPr>
                      <w:rFonts w:hint="default" w:eastAsia="宋体"/>
                      <w:color w:val="0000FF"/>
                      <w:szCs w:val="21"/>
                      <w:lang w:val="en-US" w:eastAsia="zh-CN"/>
                    </w:rPr>
                  </w:pPr>
                  <w:r>
                    <w:rPr>
                      <w:rFonts w:hint="eastAsia"/>
                      <w:color w:val="0000FF"/>
                      <w:szCs w:val="21"/>
                      <w:lang w:val="en-US" w:eastAsia="zh-CN"/>
                    </w:rPr>
                    <w:t>2000t</w:t>
                  </w:r>
                </w:p>
              </w:tc>
              <w:tc>
                <w:tcPr>
                  <w:tcW w:w="993" w:type="dxa"/>
                  <w:noWrap w:val="0"/>
                  <w:vAlign w:val="center"/>
                </w:tcPr>
                <w:p>
                  <w:pPr>
                    <w:spacing w:line="0" w:lineRule="atLeast"/>
                    <w:jc w:val="center"/>
                    <w:rPr>
                      <w:rFonts w:hint="eastAsia"/>
                      <w:color w:val="0000FF"/>
                      <w:szCs w:val="21"/>
                    </w:rPr>
                  </w:pPr>
                  <w:r>
                    <w:rPr>
                      <w:rFonts w:hint="eastAsia"/>
                      <w:color w:val="0000FF"/>
                      <w:szCs w:val="21"/>
                    </w:rPr>
                    <w:t>2000t</w:t>
                  </w:r>
                </w:p>
              </w:tc>
              <w:tc>
                <w:tcPr>
                  <w:tcW w:w="1985" w:type="dxa"/>
                  <w:noWrap w:val="0"/>
                  <w:vAlign w:val="center"/>
                </w:tcPr>
                <w:p>
                  <w:pPr>
                    <w:spacing w:line="0" w:lineRule="atLeast"/>
                    <w:jc w:val="center"/>
                    <w:rPr>
                      <w:rFonts w:hint="eastAsia"/>
                      <w:color w:val="0000FF"/>
                      <w:szCs w:val="21"/>
                    </w:rPr>
                  </w:pPr>
                  <w:r>
                    <w:rPr>
                      <w:rFonts w:hint="eastAsia"/>
                      <w:color w:val="0000FF"/>
                      <w:szCs w:val="21"/>
                    </w:rPr>
                    <w:t>最大储量相较于改建前增加33.2t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电</w:t>
                  </w:r>
                </w:p>
              </w:tc>
              <w:tc>
                <w:tcPr>
                  <w:tcW w:w="1985" w:type="dxa"/>
                  <w:noWrap w:val="0"/>
                  <w:vAlign w:val="center"/>
                </w:tcPr>
                <w:p>
                  <w:pPr>
                    <w:spacing w:line="0" w:lineRule="atLeast"/>
                    <w:jc w:val="center"/>
                    <w:rPr>
                      <w:color w:val="0000FF"/>
                      <w:szCs w:val="21"/>
                    </w:rPr>
                  </w:pPr>
                  <w:r>
                    <w:rPr>
                      <w:rFonts w:hint="eastAsia"/>
                      <w:color w:val="0000FF"/>
                      <w:szCs w:val="21"/>
                    </w:rPr>
                    <w:t>10</w:t>
                  </w:r>
                  <w:r>
                    <w:rPr>
                      <w:color w:val="0000FF"/>
                      <w:szCs w:val="21"/>
                    </w:rPr>
                    <w:t>万kw.h/a</w:t>
                  </w:r>
                </w:p>
              </w:tc>
              <w:tc>
                <w:tcPr>
                  <w:tcW w:w="1985" w:type="dxa"/>
                  <w:gridSpan w:val="2"/>
                  <w:noWrap w:val="0"/>
                  <w:vAlign w:val="center"/>
                </w:tcPr>
                <w:p>
                  <w:pPr>
                    <w:spacing w:line="0" w:lineRule="atLeast"/>
                    <w:jc w:val="center"/>
                    <w:rPr>
                      <w:color w:val="0000FF"/>
                      <w:szCs w:val="21"/>
                    </w:rPr>
                  </w:pPr>
                  <w:r>
                    <w:rPr>
                      <w:rFonts w:hint="eastAsia"/>
                      <w:color w:val="0000FF"/>
                      <w:szCs w:val="21"/>
                    </w:rPr>
                    <w:t>/</w:t>
                  </w:r>
                </w:p>
              </w:tc>
              <w:tc>
                <w:tcPr>
                  <w:tcW w:w="1985" w:type="dxa"/>
                  <w:noWrap w:val="0"/>
                  <w:vAlign w:val="center"/>
                </w:tcPr>
                <w:p>
                  <w:pPr>
                    <w:spacing w:line="0" w:lineRule="atLeast"/>
                    <w:jc w:val="center"/>
                    <w:rPr>
                      <w:rFonts w:hint="eastAsia"/>
                      <w:color w:val="0000FF"/>
                      <w:szCs w:val="21"/>
                    </w:rPr>
                  </w:pPr>
                  <w:r>
                    <w:rPr>
                      <w:rFonts w:hint="eastAsia"/>
                      <w:color w:val="0000FF"/>
                      <w:szCs w:val="21"/>
                    </w:rPr>
                    <w:t>柴油发电机备用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982" w:type="dxa"/>
                  <w:noWrap w:val="0"/>
                  <w:vAlign w:val="center"/>
                </w:tcPr>
                <w:p>
                  <w:pPr>
                    <w:spacing w:line="0" w:lineRule="atLeast"/>
                    <w:jc w:val="center"/>
                    <w:rPr>
                      <w:rFonts w:hint="eastAsia"/>
                      <w:color w:val="0000FF"/>
                      <w:szCs w:val="21"/>
                    </w:rPr>
                  </w:pPr>
                  <w:r>
                    <w:rPr>
                      <w:rFonts w:hint="eastAsia"/>
                      <w:color w:val="0000FF"/>
                      <w:szCs w:val="21"/>
                    </w:rPr>
                    <w:t>水</w:t>
                  </w:r>
                </w:p>
              </w:tc>
              <w:tc>
                <w:tcPr>
                  <w:tcW w:w="1985" w:type="dxa"/>
                  <w:noWrap w:val="0"/>
                  <w:vAlign w:val="center"/>
                </w:tcPr>
                <w:p>
                  <w:pPr>
                    <w:spacing w:line="0" w:lineRule="atLeast"/>
                    <w:jc w:val="center"/>
                    <w:rPr>
                      <w:color w:val="0000FF"/>
                      <w:szCs w:val="21"/>
                    </w:rPr>
                  </w:pPr>
                  <w:r>
                    <w:rPr>
                      <w:rFonts w:hint="eastAsia"/>
                      <w:color w:val="0000FF"/>
                      <w:szCs w:val="21"/>
                    </w:rPr>
                    <w:t>243.38</w:t>
                  </w:r>
                  <w:r>
                    <w:rPr>
                      <w:color w:val="0000FF"/>
                      <w:szCs w:val="21"/>
                    </w:rPr>
                    <w:t>m</w:t>
                  </w:r>
                  <w:r>
                    <w:rPr>
                      <w:color w:val="0000FF"/>
                      <w:szCs w:val="21"/>
                      <w:vertAlign w:val="superscript"/>
                    </w:rPr>
                    <w:t>3</w:t>
                  </w:r>
                  <w:r>
                    <w:rPr>
                      <w:color w:val="0000FF"/>
                      <w:szCs w:val="21"/>
                    </w:rPr>
                    <w:t>/a</w:t>
                  </w:r>
                </w:p>
              </w:tc>
              <w:tc>
                <w:tcPr>
                  <w:tcW w:w="1985" w:type="dxa"/>
                  <w:gridSpan w:val="2"/>
                  <w:noWrap w:val="0"/>
                  <w:vAlign w:val="center"/>
                </w:tcPr>
                <w:p>
                  <w:pPr>
                    <w:spacing w:line="0" w:lineRule="atLeast"/>
                    <w:jc w:val="center"/>
                    <w:rPr>
                      <w:color w:val="0000FF"/>
                      <w:szCs w:val="21"/>
                    </w:rPr>
                  </w:pPr>
                  <w:r>
                    <w:rPr>
                      <w:rFonts w:hint="eastAsia"/>
                      <w:color w:val="0000FF"/>
                      <w:szCs w:val="21"/>
                    </w:rPr>
                    <w:t>/</w:t>
                  </w:r>
                </w:p>
              </w:tc>
              <w:tc>
                <w:tcPr>
                  <w:tcW w:w="1985" w:type="dxa"/>
                  <w:noWrap w:val="0"/>
                  <w:vAlign w:val="center"/>
                </w:tcPr>
                <w:p>
                  <w:pPr>
                    <w:spacing w:line="0" w:lineRule="atLeast"/>
                    <w:jc w:val="center"/>
                    <w:rPr>
                      <w:rFonts w:hint="eastAsia"/>
                      <w:color w:val="0000FF"/>
                      <w:szCs w:val="21"/>
                    </w:rPr>
                  </w:pPr>
                  <w:r>
                    <w:rPr>
                      <w:rFonts w:hint="eastAsia"/>
                      <w:color w:val="0000FF"/>
                      <w:szCs w:val="21"/>
                    </w:rPr>
                    <w:t>自来水</w:t>
                  </w:r>
                </w:p>
              </w:tc>
            </w:tr>
          </w:tbl>
          <w:p>
            <w:pPr>
              <w:pStyle w:val="21"/>
              <w:spacing w:after="0" w:line="360" w:lineRule="auto"/>
              <w:ind w:left="0" w:leftChars="0" w:firstLine="480" w:firstLineChars="200"/>
              <w:rPr>
                <w:rFonts w:eastAsia="Calibri"/>
                <w:bCs/>
                <w:sz w:val="24"/>
              </w:rPr>
            </w:pPr>
            <w:r>
              <w:rPr>
                <w:bCs/>
                <w:sz w:val="24"/>
              </w:rPr>
              <w:t>原辅材料理化性质：</w:t>
            </w:r>
          </w:p>
          <w:p>
            <w:pPr>
              <w:spacing w:line="360" w:lineRule="auto"/>
              <w:ind w:firstLine="422" w:firstLineChars="200"/>
              <w:jc w:val="center"/>
              <w:rPr>
                <w:rFonts w:hint="eastAsia"/>
                <w:b/>
                <w:szCs w:val="21"/>
              </w:rPr>
            </w:pPr>
            <w:r>
              <w:rPr>
                <w:rFonts w:hint="eastAsia"/>
                <w:b/>
                <w:szCs w:val="21"/>
              </w:rPr>
              <w:t>表2-3 柴油及汽油危险特性及理化性质一览表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8"/>
              <w:gridCol w:w="1946"/>
              <w:gridCol w:w="553"/>
              <w:gridCol w:w="1739"/>
              <w:gridCol w:w="2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7" w:type="dxa"/>
                  <w:gridSpan w:val="5"/>
                  <w:noWrap w:val="0"/>
                  <w:vAlign w:val="center"/>
                </w:tcPr>
                <w:p>
                  <w:pPr>
                    <w:adjustRightInd w:val="0"/>
                    <w:snapToGrid w:val="0"/>
                    <w:jc w:val="center"/>
                    <w:rPr>
                      <w:bCs/>
                      <w:kern w:val="21"/>
                      <w:szCs w:val="21"/>
                    </w:rPr>
                  </w:pPr>
                  <w:r>
                    <w:rPr>
                      <w:bCs/>
                      <w:kern w:val="21"/>
                      <w:szCs w:val="21"/>
                    </w:rPr>
                    <w:t>一、</w:t>
                  </w:r>
                  <w:r>
                    <w:rPr>
                      <w:rFonts w:hint="eastAsia"/>
                      <w:sz w:val="24"/>
                    </w:rPr>
                    <w:t>0#</w:t>
                  </w:r>
                  <w:r>
                    <w:rPr>
                      <w:bCs/>
                      <w:kern w:val="21"/>
                      <w:szCs w:val="21"/>
                    </w:rPr>
                    <w:t>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危险性类别：</w:t>
                  </w:r>
                </w:p>
              </w:tc>
              <w:tc>
                <w:tcPr>
                  <w:tcW w:w="2774" w:type="dxa"/>
                  <w:gridSpan w:val="2"/>
                  <w:noWrap w:val="0"/>
                  <w:vAlign w:val="center"/>
                </w:tcPr>
                <w:p>
                  <w:pPr>
                    <w:adjustRightInd w:val="0"/>
                    <w:snapToGrid w:val="0"/>
                    <w:jc w:val="center"/>
                    <w:rPr>
                      <w:bCs/>
                      <w:kern w:val="21"/>
                      <w:szCs w:val="21"/>
                    </w:rPr>
                  </w:pPr>
                  <w:r>
                    <w:rPr>
                      <w:kern w:val="21"/>
                      <w:szCs w:val="21"/>
                    </w:rPr>
                    <w:t>第3.3类，高闪点易燃液体</w:t>
                  </w:r>
                </w:p>
              </w:tc>
              <w:tc>
                <w:tcPr>
                  <w:tcW w:w="1922" w:type="dxa"/>
                  <w:noWrap w:val="0"/>
                  <w:vAlign w:val="center"/>
                </w:tcPr>
                <w:p>
                  <w:pPr>
                    <w:adjustRightInd w:val="0"/>
                    <w:snapToGrid w:val="0"/>
                    <w:jc w:val="center"/>
                    <w:rPr>
                      <w:bCs/>
                      <w:kern w:val="21"/>
                      <w:szCs w:val="21"/>
                    </w:rPr>
                  </w:pPr>
                  <w:r>
                    <w:rPr>
                      <w:kern w:val="21"/>
                      <w:szCs w:val="21"/>
                    </w:rPr>
                    <w:t>燃爆危险：</w:t>
                  </w:r>
                </w:p>
              </w:tc>
              <w:tc>
                <w:tcPr>
                  <w:tcW w:w="2317" w:type="dxa"/>
                  <w:noWrap w:val="0"/>
                  <w:vAlign w:val="center"/>
                </w:tcPr>
                <w:p>
                  <w:pPr>
                    <w:adjustRightInd w:val="0"/>
                    <w:snapToGrid w:val="0"/>
                    <w:jc w:val="center"/>
                    <w:rPr>
                      <w:bCs/>
                      <w:kern w:val="21"/>
                      <w:szCs w:val="21"/>
                    </w:rPr>
                  </w:pPr>
                  <w:r>
                    <w:rPr>
                      <w:kern w:val="21"/>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侵入途径：</w:t>
                  </w:r>
                </w:p>
              </w:tc>
              <w:tc>
                <w:tcPr>
                  <w:tcW w:w="2774" w:type="dxa"/>
                  <w:gridSpan w:val="2"/>
                  <w:noWrap w:val="0"/>
                  <w:vAlign w:val="center"/>
                </w:tcPr>
                <w:p>
                  <w:pPr>
                    <w:pStyle w:val="19"/>
                    <w:tabs>
                      <w:tab w:val="clear" w:pos="5580"/>
                    </w:tabs>
                    <w:adjustRightInd w:val="0"/>
                    <w:snapToGrid w:val="0"/>
                    <w:spacing w:line="240" w:lineRule="auto"/>
                    <w:jc w:val="center"/>
                    <w:rPr>
                      <w:rFonts w:hint="default" w:ascii="Times New Roman" w:hAnsi="Times New Roman"/>
                      <w:bCs/>
                      <w:spacing w:val="0"/>
                      <w:kern w:val="21"/>
                      <w:szCs w:val="21"/>
                    </w:rPr>
                  </w:pPr>
                  <w:r>
                    <w:rPr>
                      <w:rFonts w:hint="default" w:ascii="Times New Roman" w:hAnsi="Times New Roman"/>
                      <w:spacing w:val="0"/>
                      <w:kern w:val="21"/>
                      <w:szCs w:val="21"/>
                    </w:rPr>
                    <w:t>吸入、食入、经皮吸收</w:t>
                  </w:r>
                </w:p>
              </w:tc>
              <w:tc>
                <w:tcPr>
                  <w:tcW w:w="1922" w:type="dxa"/>
                  <w:noWrap w:val="0"/>
                  <w:vAlign w:val="center"/>
                </w:tcPr>
                <w:p>
                  <w:pPr>
                    <w:adjustRightInd w:val="0"/>
                    <w:snapToGrid w:val="0"/>
                    <w:jc w:val="center"/>
                    <w:rPr>
                      <w:bCs/>
                      <w:kern w:val="21"/>
                      <w:szCs w:val="21"/>
                    </w:rPr>
                  </w:pPr>
                  <w:r>
                    <w:rPr>
                      <w:kern w:val="21"/>
                      <w:szCs w:val="21"/>
                    </w:rPr>
                    <w:t>有害燃烧产物：</w:t>
                  </w:r>
                </w:p>
              </w:tc>
              <w:tc>
                <w:tcPr>
                  <w:tcW w:w="2317" w:type="dxa"/>
                  <w:noWrap w:val="0"/>
                  <w:vAlign w:val="center"/>
                </w:tcPr>
                <w:p>
                  <w:pPr>
                    <w:adjustRightInd w:val="0"/>
                    <w:snapToGrid w:val="0"/>
                    <w:jc w:val="center"/>
                    <w:rPr>
                      <w:bCs/>
                      <w:kern w:val="21"/>
                      <w:szCs w:val="21"/>
                    </w:rPr>
                  </w:pPr>
                  <w:r>
                    <w:rPr>
                      <w:kern w:val="21"/>
                      <w:szCs w:val="21"/>
                    </w:rPr>
                    <w:t>一氧化碳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环境危害：</w:t>
                  </w:r>
                </w:p>
              </w:tc>
              <w:tc>
                <w:tcPr>
                  <w:tcW w:w="7013" w:type="dxa"/>
                  <w:gridSpan w:val="4"/>
                  <w:noWrap w:val="0"/>
                  <w:vAlign w:val="center"/>
                </w:tcPr>
                <w:p>
                  <w:pPr>
                    <w:adjustRightInd w:val="0"/>
                    <w:snapToGrid w:val="0"/>
                    <w:rPr>
                      <w:bCs/>
                      <w:kern w:val="21"/>
                      <w:szCs w:val="21"/>
                    </w:rPr>
                  </w:pPr>
                  <w:r>
                    <w:rPr>
                      <w:kern w:val="21"/>
                      <w:szCs w:val="21"/>
                    </w:rPr>
                    <w:t>该物质对环境有危害，应特别注意对地表水、土壤、大气和饮用水的污染。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外观及性状：</w:t>
                  </w:r>
                </w:p>
              </w:tc>
              <w:tc>
                <w:tcPr>
                  <w:tcW w:w="2774" w:type="dxa"/>
                  <w:gridSpan w:val="2"/>
                  <w:noWrap w:val="0"/>
                  <w:vAlign w:val="center"/>
                </w:tcPr>
                <w:p>
                  <w:pPr>
                    <w:adjustRightInd w:val="0"/>
                    <w:snapToGrid w:val="0"/>
                    <w:jc w:val="center"/>
                    <w:rPr>
                      <w:bCs/>
                      <w:kern w:val="21"/>
                      <w:szCs w:val="21"/>
                    </w:rPr>
                  </w:pPr>
                  <w:r>
                    <w:rPr>
                      <w:kern w:val="21"/>
                      <w:szCs w:val="21"/>
                    </w:rPr>
                    <w:t>稍有粘性的棕色液体。</w:t>
                  </w:r>
                </w:p>
              </w:tc>
              <w:tc>
                <w:tcPr>
                  <w:tcW w:w="1922" w:type="dxa"/>
                  <w:noWrap w:val="0"/>
                  <w:vAlign w:val="center"/>
                </w:tcPr>
                <w:p>
                  <w:pPr>
                    <w:adjustRightInd w:val="0"/>
                    <w:snapToGrid w:val="0"/>
                    <w:jc w:val="center"/>
                    <w:rPr>
                      <w:bCs/>
                      <w:kern w:val="21"/>
                      <w:szCs w:val="21"/>
                    </w:rPr>
                  </w:pPr>
                  <w:r>
                    <w:rPr>
                      <w:kern w:val="21"/>
                      <w:szCs w:val="21"/>
                    </w:rPr>
                    <w:t>主要用途：</w:t>
                  </w:r>
                </w:p>
              </w:tc>
              <w:tc>
                <w:tcPr>
                  <w:tcW w:w="2317" w:type="dxa"/>
                  <w:noWrap w:val="0"/>
                  <w:vAlign w:val="center"/>
                </w:tcPr>
                <w:p>
                  <w:pPr>
                    <w:adjustRightInd w:val="0"/>
                    <w:snapToGrid w:val="0"/>
                    <w:jc w:val="center"/>
                    <w:rPr>
                      <w:bCs/>
                      <w:kern w:val="21"/>
                      <w:szCs w:val="21"/>
                    </w:rPr>
                  </w:pPr>
                  <w:r>
                    <w:rPr>
                      <w:kern w:val="21"/>
                      <w:szCs w:val="21"/>
                    </w:rPr>
                    <w:t>用作柴油机的燃料等。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闪点（℃）：</w:t>
                  </w:r>
                </w:p>
              </w:tc>
              <w:tc>
                <w:tcPr>
                  <w:tcW w:w="2154" w:type="dxa"/>
                  <w:noWrap w:val="0"/>
                  <w:vAlign w:val="center"/>
                </w:tcPr>
                <w:p>
                  <w:pPr>
                    <w:adjustRightInd w:val="0"/>
                    <w:snapToGrid w:val="0"/>
                    <w:jc w:val="center"/>
                    <w:rPr>
                      <w:kern w:val="21"/>
                    </w:rPr>
                  </w:pPr>
                  <w:r>
                    <w:rPr>
                      <w:kern w:val="21"/>
                      <w:szCs w:val="21"/>
                    </w:rPr>
                    <w:t>45~55</w:t>
                  </w:r>
                </w:p>
              </w:tc>
              <w:tc>
                <w:tcPr>
                  <w:tcW w:w="2542" w:type="dxa"/>
                  <w:gridSpan w:val="2"/>
                  <w:noWrap w:val="0"/>
                  <w:vAlign w:val="center"/>
                </w:tcPr>
                <w:p>
                  <w:pPr>
                    <w:adjustRightInd w:val="0"/>
                    <w:snapToGrid w:val="0"/>
                    <w:jc w:val="center"/>
                    <w:rPr>
                      <w:bCs/>
                      <w:kern w:val="21"/>
                      <w:szCs w:val="21"/>
                    </w:rPr>
                  </w:pPr>
                  <w:r>
                    <w:rPr>
                      <w:kern w:val="21"/>
                      <w:szCs w:val="21"/>
                    </w:rPr>
                    <w:t>相对密度（水＝1）：</w:t>
                  </w:r>
                </w:p>
              </w:tc>
              <w:tc>
                <w:tcPr>
                  <w:tcW w:w="2317" w:type="dxa"/>
                  <w:noWrap w:val="0"/>
                  <w:vAlign w:val="center"/>
                </w:tcPr>
                <w:p>
                  <w:pPr>
                    <w:adjustRightInd w:val="0"/>
                    <w:snapToGrid w:val="0"/>
                    <w:jc w:val="center"/>
                    <w:rPr>
                      <w:bCs/>
                      <w:kern w:val="21"/>
                      <w:szCs w:val="21"/>
                    </w:rPr>
                  </w:pPr>
                  <w:r>
                    <w:rPr>
                      <w:kern w:val="21"/>
                      <w:szCs w:val="21"/>
                    </w:rPr>
                    <w:t>0.83~0.855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沸点（℃）：</w:t>
                  </w:r>
                </w:p>
              </w:tc>
              <w:tc>
                <w:tcPr>
                  <w:tcW w:w="2154" w:type="dxa"/>
                  <w:noWrap w:val="0"/>
                  <w:vAlign w:val="center"/>
                </w:tcPr>
                <w:p>
                  <w:pPr>
                    <w:adjustRightInd w:val="0"/>
                    <w:snapToGrid w:val="0"/>
                    <w:jc w:val="center"/>
                    <w:rPr>
                      <w:kern w:val="21"/>
                    </w:rPr>
                  </w:pPr>
                  <w:r>
                    <w:rPr>
                      <w:kern w:val="21"/>
                      <w:szCs w:val="21"/>
                    </w:rPr>
                    <w:t>200~350</w:t>
                  </w:r>
                </w:p>
              </w:tc>
              <w:tc>
                <w:tcPr>
                  <w:tcW w:w="2542" w:type="dxa"/>
                  <w:gridSpan w:val="2"/>
                  <w:noWrap w:val="0"/>
                  <w:vAlign w:val="center"/>
                </w:tcPr>
                <w:p>
                  <w:pPr>
                    <w:adjustRightInd w:val="0"/>
                    <w:snapToGrid w:val="0"/>
                    <w:jc w:val="center"/>
                    <w:rPr>
                      <w:bCs/>
                      <w:kern w:val="21"/>
                      <w:szCs w:val="21"/>
                    </w:rPr>
                  </w:pPr>
                  <w:r>
                    <w:rPr>
                      <w:kern w:val="21"/>
                      <w:szCs w:val="21"/>
                    </w:rPr>
                    <w:t>爆炸上限％（V/V）：</w:t>
                  </w:r>
                </w:p>
              </w:tc>
              <w:tc>
                <w:tcPr>
                  <w:tcW w:w="2317" w:type="dxa"/>
                  <w:noWrap w:val="0"/>
                  <w:vAlign w:val="center"/>
                </w:tcPr>
                <w:p>
                  <w:pPr>
                    <w:adjustRightInd w:val="0"/>
                    <w:snapToGrid w:val="0"/>
                    <w:jc w:val="center"/>
                    <w:rPr>
                      <w:bCs/>
                      <w:kern w:val="21"/>
                      <w:szCs w:val="21"/>
                    </w:rPr>
                  </w:pPr>
                  <w:r>
                    <w:rPr>
                      <w:kern w:val="21"/>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燃点（℃）：</w:t>
                  </w:r>
                </w:p>
              </w:tc>
              <w:tc>
                <w:tcPr>
                  <w:tcW w:w="2154" w:type="dxa"/>
                  <w:noWrap w:val="0"/>
                  <w:vAlign w:val="center"/>
                </w:tcPr>
                <w:p>
                  <w:pPr>
                    <w:adjustRightInd w:val="0"/>
                    <w:snapToGrid w:val="0"/>
                    <w:jc w:val="center"/>
                    <w:rPr>
                      <w:kern w:val="21"/>
                    </w:rPr>
                  </w:pPr>
                  <w:r>
                    <w:rPr>
                      <w:kern w:val="21"/>
                      <w:szCs w:val="21"/>
                    </w:rPr>
                    <w:t>257</w:t>
                  </w:r>
                </w:p>
              </w:tc>
              <w:tc>
                <w:tcPr>
                  <w:tcW w:w="2542" w:type="dxa"/>
                  <w:gridSpan w:val="2"/>
                  <w:noWrap w:val="0"/>
                  <w:vAlign w:val="center"/>
                </w:tcPr>
                <w:p>
                  <w:pPr>
                    <w:adjustRightInd w:val="0"/>
                    <w:snapToGrid w:val="0"/>
                    <w:jc w:val="center"/>
                    <w:rPr>
                      <w:bCs/>
                      <w:kern w:val="21"/>
                      <w:szCs w:val="21"/>
                    </w:rPr>
                  </w:pPr>
                  <w:r>
                    <w:rPr>
                      <w:kern w:val="21"/>
                      <w:szCs w:val="21"/>
                    </w:rPr>
                    <w:t>爆炸下限％（V/V）：</w:t>
                  </w:r>
                </w:p>
              </w:tc>
              <w:tc>
                <w:tcPr>
                  <w:tcW w:w="2317" w:type="dxa"/>
                  <w:noWrap w:val="0"/>
                  <w:vAlign w:val="center"/>
                </w:tcPr>
                <w:p>
                  <w:pPr>
                    <w:adjustRightInd w:val="0"/>
                    <w:snapToGrid w:val="0"/>
                    <w:jc w:val="center"/>
                    <w:rPr>
                      <w:bCs/>
                      <w:kern w:val="21"/>
                      <w:szCs w:val="21"/>
                    </w:rPr>
                  </w:pPr>
                  <w:r>
                    <w:rPr>
                      <w:kern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急性中毒：</w:t>
                  </w:r>
                </w:p>
              </w:tc>
              <w:tc>
                <w:tcPr>
                  <w:tcW w:w="7013" w:type="dxa"/>
                  <w:gridSpan w:val="4"/>
                  <w:noWrap w:val="0"/>
                  <w:vAlign w:val="center"/>
                </w:tcPr>
                <w:p>
                  <w:pPr>
                    <w:adjustRightInd w:val="0"/>
                    <w:snapToGrid w:val="0"/>
                    <w:rPr>
                      <w:bCs/>
                      <w:kern w:val="21"/>
                      <w:szCs w:val="21"/>
                    </w:rPr>
                  </w:pPr>
                  <w:r>
                    <w:rPr>
                      <w:kern w:val="21"/>
                      <w:szCs w:val="21"/>
                    </w:rPr>
                    <w:t>皮肤接触柴油可引起接触性皮炎、油性痤疮，吸入可引起吸入性肺炎，能经胎盘进入胎儿血中。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慢性中毒：</w:t>
                  </w:r>
                </w:p>
              </w:tc>
              <w:tc>
                <w:tcPr>
                  <w:tcW w:w="7013" w:type="dxa"/>
                  <w:gridSpan w:val="4"/>
                  <w:noWrap w:val="0"/>
                  <w:vAlign w:val="center"/>
                </w:tcPr>
                <w:p>
                  <w:pPr>
                    <w:adjustRightInd w:val="0"/>
                    <w:snapToGrid w:val="0"/>
                    <w:jc w:val="center"/>
                    <w:rPr>
                      <w:bCs/>
                      <w:kern w:val="21"/>
                      <w:szCs w:val="21"/>
                    </w:rPr>
                  </w:pPr>
                  <w:r>
                    <w:rPr>
                      <w:kern w:val="21"/>
                      <w:szCs w:val="21"/>
                    </w:rPr>
                    <w:t>柴油废气可引起眼、鼻刺激症状，头痛。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刺激性：</w:t>
                  </w:r>
                </w:p>
              </w:tc>
              <w:tc>
                <w:tcPr>
                  <w:tcW w:w="7013" w:type="dxa"/>
                  <w:gridSpan w:val="4"/>
                  <w:noWrap w:val="0"/>
                  <w:vAlign w:val="center"/>
                </w:tcPr>
                <w:p>
                  <w:pPr>
                    <w:adjustRightInd w:val="0"/>
                    <w:snapToGrid w:val="0"/>
                    <w:jc w:val="center"/>
                    <w:rPr>
                      <w:bCs/>
                      <w:kern w:val="21"/>
                      <w:szCs w:val="21"/>
                    </w:rPr>
                  </w:pPr>
                  <w:r>
                    <w:rPr>
                      <w:kern w:val="21"/>
                      <w:szCs w:val="21"/>
                    </w:rPr>
                    <w:t>具有刺激作用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最高容许浓度</w:t>
                  </w:r>
                </w:p>
              </w:tc>
              <w:tc>
                <w:tcPr>
                  <w:tcW w:w="7013" w:type="dxa"/>
                  <w:gridSpan w:val="4"/>
                  <w:noWrap w:val="0"/>
                  <w:vAlign w:val="center"/>
                </w:tcPr>
                <w:p>
                  <w:pPr>
                    <w:adjustRightInd w:val="0"/>
                    <w:snapToGrid w:val="0"/>
                    <w:jc w:val="center"/>
                    <w:rPr>
                      <w:bCs/>
                      <w:kern w:val="21"/>
                      <w:szCs w:val="21"/>
                    </w:rPr>
                  </w:pPr>
                  <w:r>
                    <w:rPr>
                      <w:kern w:val="21"/>
                      <w:szCs w:val="21"/>
                    </w:rPr>
                    <w:t>目前无标准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7" w:type="dxa"/>
                  <w:gridSpan w:val="5"/>
                  <w:noWrap w:val="0"/>
                  <w:vAlign w:val="center"/>
                </w:tcPr>
                <w:p>
                  <w:pPr>
                    <w:adjustRightInd w:val="0"/>
                    <w:snapToGrid w:val="0"/>
                    <w:jc w:val="center"/>
                    <w:rPr>
                      <w:bCs/>
                      <w:kern w:val="21"/>
                      <w:szCs w:val="21"/>
                    </w:rPr>
                  </w:pPr>
                  <w:r>
                    <w:rPr>
                      <w:bCs/>
                      <w:kern w:val="21"/>
                      <w:szCs w:val="21"/>
                    </w:rPr>
                    <w:t>二、汽油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危险类别：</w:t>
                  </w:r>
                </w:p>
              </w:tc>
              <w:tc>
                <w:tcPr>
                  <w:tcW w:w="2774" w:type="dxa"/>
                  <w:gridSpan w:val="2"/>
                  <w:noWrap w:val="0"/>
                  <w:vAlign w:val="center"/>
                </w:tcPr>
                <w:p>
                  <w:pPr>
                    <w:adjustRightInd w:val="0"/>
                    <w:snapToGrid w:val="0"/>
                    <w:jc w:val="center"/>
                    <w:rPr>
                      <w:bCs/>
                      <w:kern w:val="21"/>
                      <w:szCs w:val="21"/>
                    </w:rPr>
                  </w:pPr>
                  <w:r>
                    <w:rPr>
                      <w:kern w:val="21"/>
                      <w:szCs w:val="21"/>
                    </w:rPr>
                    <w:t>第3.2类，低闪点易燃液体</w:t>
                  </w:r>
                </w:p>
              </w:tc>
              <w:tc>
                <w:tcPr>
                  <w:tcW w:w="1922" w:type="dxa"/>
                  <w:noWrap w:val="0"/>
                  <w:vAlign w:val="center"/>
                </w:tcPr>
                <w:p>
                  <w:pPr>
                    <w:adjustRightInd w:val="0"/>
                    <w:snapToGrid w:val="0"/>
                    <w:jc w:val="center"/>
                    <w:rPr>
                      <w:bCs/>
                      <w:kern w:val="21"/>
                      <w:szCs w:val="21"/>
                    </w:rPr>
                  </w:pPr>
                  <w:r>
                    <w:rPr>
                      <w:kern w:val="21"/>
                      <w:szCs w:val="21"/>
                    </w:rPr>
                    <w:t>燃爆危险：</w:t>
                  </w:r>
                </w:p>
              </w:tc>
              <w:tc>
                <w:tcPr>
                  <w:tcW w:w="2317" w:type="dxa"/>
                  <w:noWrap w:val="0"/>
                  <w:vAlign w:val="center"/>
                </w:tcPr>
                <w:p>
                  <w:pPr>
                    <w:adjustRightInd w:val="0"/>
                    <w:snapToGrid w:val="0"/>
                    <w:jc w:val="center"/>
                    <w:rPr>
                      <w:bCs/>
                      <w:kern w:val="21"/>
                      <w:szCs w:val="21"/>
                    </w:rPr>
                  </w:pPr>
                  <w:r>
                    <w:rPr>
                      <w:kern w:val="21"/>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侵入途径：</w:t>
                  </w:r>
                </w:p>
              </w:tc>
              <w:tc>
                <w:tcPr>
                  <w:tcW w:w="2774" w:type="dxa"/>
                  <w:gridSpan w:val="2"/>
                  <w:noWrap w:val="0"/>
                  <w:vAlign w:val="center"/>
                </w:tcPr>
                <w:p>
                  <w:pPr>
                    <w:adjustRightInd w:val="0"/>
                    <w:snapToGrid w:val="0"/>
                    <w:jc w:val="center"/>
                    <w:rPr>
                      <w:bCs/>
                      <w:kern w:val="21"/>
                      <w:szCs w:val="21"/>
                    </w:rPr>
                  </w:pPr>
                  <w:r>
                    <w:rPr>
                      <w:kern w:val="21"/>
                      <w:szCs w:val="21"/>
                    </w:rPr>
                    <w:t>吸入、食入、经皮吸收</w:t>
                  </w:r>
                </w:p>
              </w:tc>
              <w:tc>
                <w:tcPr>
                  <w:tcW w:w="1922" w:type="dxa"/>
                  <w:noWrap w:val="0"/>
                  <w:vAlign w:val="center"/>
                </w:tcPr>
                <w:p>
                  <w:pPr>
                    <w:adjustRightInd w:val="0"/>
                    <w:snapToGrid w:val="0"/>
                    <w:jc w:val="center"/>
                    <w:rPr>
                      <w:bCs/>
                      <w:kern w:val="21"/>
                      <w:szCs w:val="21"/>
                    </w:rPr>
                  </w:pPr>
                  <w:r>
                    <w:rPr>
                      <w:kern w:val="21"/>
                      <w:szCs w:val="21"/>
                    </w:rPr>
                    <w:t>有害燃烧产物：</w:t>
                  </w:r>
                </w:p>
              </w:tc>
              <w:tc>
                <w:tcPr>
                  <w:tcW w:w="2317" w:type="dxa"/>
                  <w:noWrap w:val="0"/>
                  <w:vAlign w:val="center"/>
                </w:tcPr>
                <w:p>
                  <w:pPr>
                    <w:adjustRightInd w:val="0"/>
                    <w:snapToGrid w:val="0"/>
                    <w:jc w:val="center"/>
                    <w:rPr>
                      <w:bCs/>
                      <w:kern w:val="21"/>
                      <w:szCs w:val="21"/>
                    </w:rPr>
                  </w:pPr>
                  <w:r>
                    <w:rPr>
                      <w:kern w:val="21"/>
                      <w:szCs w:val="21"/>
                    </w:rPr>
                    <w:t>一氧化碳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环境危害：</w:t>
                  </w:r>
                </w:p>
              </w:tc>
              <w:tc>
                <w:tcPr>
                  <w:tcW w:w="7013" w:type="dxa"/>
                  <w:gridSpan w:val="4"/>
                  <w:noWrap w:val="0"/>
                  <w:vAlign w:val="center"/>
                </w:tcPr>
                <w:p>
                  <w:pPr>
                    <w:adjustRightInd w:val="0"/>
                    <w:snapToGrid w:val="0"/>
                    <w:rPr>
                      <w:bCs/>
                      <w:kern w:val="21"/>
                      <w:szCs w:val="21"/>
                    </w:rPr>
                  </w:pPr>
                  <w:r>
                    <w:rPr>
                      <w:kern w:val="21"/>
                      <w:szCs w:val="21"/>
                    </w:rPr>
                    <w:t>该物质对环境有危害，应特别注意对地表水、土壤、大气和饮用水的污染。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kern w:val="21"/>
                      <w:szCs w:val="21"/>
                    </w:rPr>
                  </w:pPr>
                  <w:r>
                    <w:rPr>
                      <w:kern w:val="21"/>
                      <w:szCs w:val="21"/>
                    </w:rPr>
                    <w:t>健康危害：</w:t>
                  </w:r>
                </w:p>
              </w:tc>
              <w:tc>
                <w:tcPr>
                  <w:tcW w:w="7013" w:type="dxa"/>
                  <w:gridSpan w:val="4"/>
                  <w:noWrap w:val="0"/>
                  <w:vAlign w:val="center"/>
                </w:tcPr>
                <w:p>
                  <w:pPr>
                    <w:pStyle w:val="19"/>
                    <w:tabs>
                      <w:tab w:val="clear" w:pos="5580"/>
                    </w:tabs>
                    <w:adjustRightInd w:val="0"/>
                    <w:snapToGrid w:val="0"/>
                    <w:spacing w:line="240" w:lineRule="auto"/>
                    <w:rPr>
                      <w:rFonts w:hint="default" w:ascii="Times New Roman" w:hAnsi="Times New Roman"/>
                      <w:bCs/>
                      <w:spacing w:val="0"/>
                      <w:kern w:val="21"/>
                      <w:szCs w:val="21"/>
                    </w:rPr>
                  </w:pPr>
                  <w:r>
                    <w:rPr>
                      <w:rFonts w:hint="default" w:ascii="Times New Roman" w:hAnsi="Times New Roman"/>
                      <w:spacing w:val="0"/>
                      <w:kern w:val="21"/>
                      <w:szCs w:val="21"/>
                    </w:rPr>
                    <w:t>主要作用于中枢神经系统，急性中毒症状有头晕、头痛、恶心、呕吐、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外观及性状：</w:t>
                  </w:r>
                </w:p>
              </w:tc>
              <w:tc>
                <w:tcPr>
                  <w:tcW w:w="7013" w:type="dxa"/>
                  <w:gridSpan w:val="4"/>
                  <w:noWrap w:val="0"/>
                  <w:vAlign w:val="center"/>
                </w:tcPr>
                <w:p>
                  <w:pPr>
                    <w:adjustRightInd w:val="0"/>
                    <w:snapToGrid w:val="0"/>
                    <w:jc w:val="center"/>
                    <w:rPr>
                      <w:bCs/>
                      <w:kern w:val="21"/>
                      <w:szCs w:val="21"/>
                    </w:rPr>
                  </w:pPr>
                  <w:r>
                    <w:rPr>
                      <w:kern w:val="21"/>
                      <w:szCs w:val="21"/>
                    </w:rPr>
                    <w:t>无色或淡黄色易挥发液体，具有特殊臭味。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熔点（℃）：</w:t>
                  </w:r>
                </w:p>
              </w:tc>
              <w:tc>
                <w:tcPr>
                  <w:tcW w:w="2154" w:type="dxa"/>
                  <w:noWrap w:val="0"/>
                  <w:vAlign w:val="center"/>
                </w:tcPr>
                <w:p>
                  <w:pPr>
                    <w:adjustRightInd w:val="0"/>
                    <w:snapToGrid w:val="0"/>
                    <w:jc w:val="center"/>
                    <w:rPr>
                      <w:kern w:val="21"/>
                    </w:rPr>
                  </w:pPr>
                  <w:r>
                    <w:rPr>
                      <w:kern w:val="21"/>
                      <w:szCs w:val="21"/>
                    </w:rPr>
                    <w:t>&lt;-60</w:t>
                  </w:r>
                </w:p>
              </w:tc>
              <w:tc>
                <w:tcPr>
                  <w:tcW w:w="2542" w:type="dxa"/>
                  <w:gridSpan w:val="2"/>
                  <w:noWrap w:val="0"/>
                  <w:vAlign w:val="center"/>
                </w:tcPr>
                <w:p>
                  <w:pPr>
                    <w:adjustRightInd w:val="0"/>
                    <w:snapToGrid w:val="0"/>
                    <w:jc w:val="center"/>
                    <w:rPr>
                      <w:bCs/>
                      <w:kern w:val="21"/>
                      <w:szCs w:val="21"/>
                    </w:rPr>
                  </w:pPr>
                  <w:r>
                    <w:rPr>
                      <w:kern w:val="21"/>
                      <w:szCs w:val="21"/>
                    </w:rPr>
                    <w:t>相对密度（水＝1）</w:t>
                  </w:r>
                </w:p>
              </w:tc>
              <w:tc>
                <w:tcPr>
                  <w:tcW w:w="2317" w:type="dxa"/>
                  <w:noWrap w:val="0"/>
                  <w:vAlign w:val="center"/>
                </w:tcPr>
                <w:p>
                  <w:pPr>
                    <w:adjustRightInd w:val="0"/>
                    <w:snapToGrid w:val="0"/>
                    <w:jc w:val="center"/>
                    <w:rPr>
                      <w:bCs/>
                      <w:kern w:val="21"/>
                      <w:szCs w:val="21"/>
                    </w:rPr>
                  </w:pPr>
                  <w:r>
                    <w:rPr>
                      <w:kern w:val="21"/>
                      <w:szCs w:val="21"/>
                    </w:rPr>
                    <w:t>0.70~0.79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闪点（℃）：</w:t>
                  </w:r>
                </w:p>
              </w:tc>
              <w:tc>
                <w:tcPr>
                  <w:tcW w:w="2154" w:type="dxa"/>
                  <w:noWrap w:val="0"/>
                  <w:vAlign w:val="center"/>
                </w:tcPr>
                <w:p>
                  <w:pPr>
                    <w:adjustRightInd w:val="0"/>
                    <w:snapToGrid w:val="0"/>
                    <w:jc w:val="center"/>
                    <w:rPr>
                      <w:kern w:val="21"/>
                    </w:rPr>
                  </w:pPr>
                  <w:r>
                    <w:rPr>
                      <w:kern w:val="21"/>
                      <w:szCs w:val="21"/>
                    </w:rPr>
                    <w:t>-50</w:t>
                  </w:r>
                </w:p>
              </w:tc>
              <w:tc>
                <w:tcPr>
                  <w:tcW w:w="2542" w:type="dxa"/>
                  <w:gridSpan w:val="2"/>
                  <w:noWrap w:val="0"/>
                  <w:vAlign w:val="center"/>
                </w:tcPr>
                <w:p>
                  <w:pPr>
                    <w:adjustRightInd w:val="0"/>
                    <w:snapToGrid w:val="0"/>
                    <w:jc w:val="center"/>
                    <w:rPr>
                      <w:bCs/>
                      <w:kern w:val="21"/>
                      <w:szCs w:val="21"/>
                    </w:rPr>
                  </w:pPr>
                  <w:r>
                    <w:rPr>
                      <w:kern w:val="21"/>
                      <w:szCs w:val="21"/>
                    </w:rPr>
                    <w:t>相对密度（空气=1）</w:t>
                  </w:r>
                </w:p>
              </w:tc>
              <w:tc>
                <w:tcPr>
                  <w:tcW w:w="2317" w:type="dxa"/>
                  <w:noWrap w:val="0"/>
                  <w:vAlign w:val="center"/>
                </w:tcPr>
                <w:p>
                  <w:pPr>
                    <w:adjustRightInd w:val="0"/>
                    <w:snapToGrid w:val="0"/>
                    <w:jc w:val="center"/>
                    <w:rPr>
                      <w:bCs/>
                      <w:kern w:val="21"/>
                      <w:szCs w:val="21"/>
                    </w:rPr>
                  </w:pPr>
                  <w:r>
                    <w:rPr>
                      <w:kern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引燃温度（℃）：</w:t>
                  </w:r>
                </w:p>
              </w:tc>
              <w:tc>
                <w:tcPr>
                  <w:tcW w:w="2154" w:type="dxa"/>
                  <w:noWrap w:val="0"/>
                  <w:vAlign w:val="center"/>
                </w:tcPr>
                <w:p>
                  <w:pPr>
                    <w:adjustRightInd w:val="0"/>
                    <w:snapToGrid w:val="0"/>
                    <w:jc w:val="center"/>
                    <w:rPr>
                      <w:kern w:val="21"/>
                    </w:rPr>
                  </w:pPr>
                  <w:r>
                    <w:rPr>
                      <w:kern w:val="21"/>
                      <w:szCs w:val="21"/>
                    </w:rPr>
                    <w:t>415~530</w:t>
                  </w:r>
                </w:p>
              </w:tc>
              <w:tc>
                <w:tcPr>
                  <w:tcW w:w="2542" w:type="dxa"/>
                  <w:gridSpan w:val="2"/>
                  <w:noWrap w:val="0"/>
                  <w:vAlign w:val="center"/>
                </w:tcPr>
                <w:p>
                  <w:pPr>
                    <w:adjustRightInd w:val="0"/>
                    <w:snapToGrid w:val="0"/>
                    <w:jc w:val="center"/>
                    <w:rPr>
                      <w:bCs/>
                      <w:kern w:val="21"/>
                      <w:szCs w:val="21"/>
                    </w:rPr>
                  </w:pPr>
                  <w:r>
                    <w:rPr>
                      <w:kern w:val="21"/>
                      <w:szCs w:val="21"/>
                    </w:rPr>
                    <w:t>爆炸上限％（V/V）：</w:t>
                  </w:r>
                </w:p>
              </w:tc>
              <w:tc>
                <w:tcPr>
                  <w:tcW w:w="2317" w:type="dxa"/>
                  <w:noWrap w:val="0"/>
                  <w:vAlign w:val="center"/>
                </w:tcPr>
                <w:p>
                  <w:pPr>
                    <w:adjustRightInd w:val="0"/>
                    <w:snapToGrid w:val="0"/>
                    <w:jc w:val="center"/>
                    <w:rPr>
                      <w:bCs/>
                      <w:kern w:val="21"/>
                      <w:szCs w:val="21"/>
                    </w:rPr>
                  </w:pPr>
                  <w:r>
                    <w:rPr>
                      <w:kern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kern w:val="21"/>
                      <w:szCs w:val="21"/>
                    </w:rPr>
                  </w:pPr>
                  <w:r>
                    <w:rPr>
                      <w:kern w:val="21"/>
                      <w:szCs w:val="21"/>
                    </w:rPr>
                    <w:t>沸点（℃）：</w:t>
                  </w:r>
                </w:p>
              </w:tc>
              <w:tc>
                <w:tcPr>
                  <w:tcW w:w="2154" w:type="dxa"/>
                  <w:noWrap w:val="0"/>
                  <w:vAlign w:val="center"/>
                </w:tcPr>
                <w:p>
                  <w:pPr>
                    <w:adjustRightInd w:val="0"/>
                    <w:snapToGrid w:val="0"/>
                    <w:jc w:val="center"/>
                    <w:rPr>
                      <w:kern w:val="21"/>
                    </w:rPr>
                  </w:pPr>
                  <w:r>
                    <w:rPr>
                      <w:kern w:val="21"/>
                      <w:szCs w:val="21"/>
                    </w:rPr>
                    <w:t>40~200</w:t>
                  </w:r>
                </w:p>
              </w:tc>
              <w:tc>
                <w:tcPr>
                  <w:tcW w:w="2542" w:type="dxa"/>
                  <w:gridSpan w:val="2"/>
                  <w:noWrap w:val="0"/>
                  <w:vAlign w:val="center"/>
                </w:tcPr>
                <w:p>
                  <w:pPr>
                    <w:adjustRightInd w:val="0"/>
                    <w:snapToGrid w:val="0"/>
                    <w:jc w:val="center"/>
                    <w:rPr>
                      <w:kern w:val="21"/>
                      <w:szCs w:val="21"/>
                    </w:rPr>
                  </w:pPr>
                  <w:r>
                    <w:rPr>
                      <w:kern w:val="21"/>
                      <w:szCs w:val="21"/>
                    </w:rPr>
                    <w:t>爆炸下限％（V/V）：</w:t>
                  </w:r>
                </w:p>
              </w:tc>
              <w:tc>
                <w:tcPr>
                  <w:tcW w:w="2317" w:type="dxa"/>
                  <w:noWrap w:val="0"/>
                  <w:vAlign w:val="center"/>
                </w:tcPr>
                <w:p>
                  <w:pPr>
                    <w:adjustRightInd w:val="0"/>
                    <w:snapToGrid w:val="0"/>
                    <w:jc w:val="center"/>
                    <w:rPr>
                      <w:bCs/>
                      <w:kern w:val="21"/>
                      <w:szCs w:val="21"/>
                    </w:rPr>
                  </w:pPr>
                  <w:r>
                    <w:rPr>
                      <w:kern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急性中毒：</w:t>
                  </w:r>
                </w:p>
              </w:tc>
              <w:tc>
                <w:tcPr>
                  <w:tcW w:w="7013" w:type="dxa"/>
                  <w:gridSpan w:val="4"/>
                  <w:noWrap w:val="0"/>
                  <w:vAlign w:val="center"/>
                </w:tcPr>
                <w:p>
                  <w:pPr>
                    <w:pStyle w:val="19"/>
                    <w:tabs>
                      <w:tab w:val="clear" w:pos="5580"/>
                    </w:tabs>
                    <w:adjustRightInd w:val="0"/>
                    <w:snapToGrid w:val="0"/>
                    <w:spacing w:line="240" w:lineRule="auto"/>
                    <w:jc w:val="center"/>
                    <w:rPr>
                      <w:rFonts w:hint="default" w:ascii="Times New Roman" w:hAnsi="Times New Roman"/>
                      <w:spacing w:val="0"/>
                      <w:kern w:val="21"/>
                      <w:szCs w:val="21"/>
                    </w:rPr>
                  </w:pPr>
                  <w:r>
                    <w:rPr>
                      <w:rFonts w:hint="default" w:ascii="Times New Roman" w:hAnsi="Times New Roman"/>
                      <w:spacing w:val="0"/>
                      <w:kern w:val="21"/>
                      <w:szCs w:val="21"/>
                    </w:rPr>
                    <w:t>LD</w:t>
                  </w:r>
                  <w:r>
                    <w:rPr>
                      <w:rFonts w:hint="default" w:ascii="Times New Roman" w:hAnsi="Times New Roman"/>
                      <w:spacing w:val="0"/>
                      <w:kern w:val="21"/>
                      <w:szCs w:val="21"/>
                      <w:vertAlign w:val="subscript"/>
                    </w:rPr>
                    <w:t>50</w:t>
                  </w:r>
                  <w:r>
                    <w:rPr>
                      <w:rFonts w:hint="default" w:ascii="Times New Roman" w:hAnsi="Times New Roman"/>
                      <w:spacing w:val="0"/>
                      <w:kern w:val="21"/>
                      <w:szCs w:val="21"/>
                    </w:rPr>
                    <w:t>：67000mg/kg（小鼠经口），（120#溶剂汽油）</w:t>
                  </w:r>
                </w:p>
                <w:p>
                  <w:pPr>
                    <w:adjustRightInd w:val="0"/>
                    <w:snapToGrid w:val="0"/>
                    <w:jc w:val="center"/>
                    <w:rPr>
                      <w:bCs/>
                      <w:kern w:val="21"/>
                      <w:szCs w:val="21"/>
                    </w:rPr>
                  </w:pPr>
                  <w:r>
                    <w:rPr>
                      <w:kern w:val="21"/>
                      <w:szCs w:val="21"/>
                    </w:rPr>
                    <w:t>LC</w:t>
                  </w:r>
                  <w:r>
                    <w:rPr>
                      <w:kern w:val="21"/>
                      <w:szCs w:val="21"/>
                      <w:vertAlign w:val="subscript"/>
                    </w:rPr>
                    <w:t>50</w:t>
                  </w:r>
                  <w:r>
                    <w:rPr>
                      <w:kern w:val="21"/>
                      <w:szCs w:val="21"/>
                    </w:rPr>
                    <w:t>：103000mg/m</w:t>
                  </w:r>
                  <w:r>
                    <w:rPr>
                      <w:kern w:val="21"/>
                      <w:szCs w:val="21"/>
                      <w:vertAlign w:val="superscript"/>
                    </w:rPr>
                    <w:t>3</w:t>
                  </w:r>
                  <w:r>
                    <w:rPr>
                      <w:kern w:val="21"/>
                      <w:szCs w:val="21"/>
                    </w:rPr>
                    <w:t>小鼠，2小时（120#溶剂汽油）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kern w:val="21"/>
                      <w:szCs w:val="21"/>
                    </w:rPr>
                  </w:pPr>
                  <w:r>
                    <w:rPr>
                      <w:kern w:val="21"/>
                      <w:szCs w:val="21"/>
                    </w:rPr>
                    <w:t>急性中毒：</w:t>
                  </w:r>
                </w:p>
              </w:tc>
              <w:tc>
                <w:tcPr>
                  <w:tcW w:w="7013" w:type="dxa"/>
                  <w:gridSpan w:val="4"/>
                  <w:noWrap w:val="0"/>
                  <w:vAlign w:val="center"/>
                </w:tcPr>
                <w:p>
                  <w:pPr>
                    <w:pStyle w:val="19"/>
                    <w:tabs>
                      <w:tab w:val="clear" w:pos="5580"/>
                    </w:tabs>
                    <w:adjustRightInd w:val="0"/>
                    <w:snapToGrid w:val="0"/>
                    <w:spacing w:line="240" w:lineRule="auto"/>
                    <w:rPr>
                      <w:rFonts w:hint="default" w:ascii="Times New Roman" w:hAnsi="Times New Roman"/>
                      <w:spacing w:val="0"/>
                      <w:kern w:val="21"/>
                      <w:szCs w:val="21"/>
                    </w:rPr>
                  </w:pPr>
                  <w:r>
                    <w:rPr>
                      <w:rFonts w:hint="default" w:ascii="Times New Roman" w:hAnsi="Times New Roman"/>
                      <w:spacing w:val="0"/>
                      <w:kern w:val="21"/>
                      <w:szCs w:val="21"/>
                    </w:rP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kern w:val="21"/>
                      <w:szCs w:val="21"/>
                    </w:rPr>
                  </w:pPr>
                  <w:r>
                    <w:rPr>
                      <w:kern w:val="21"/>
                      <w:szCs w:val="21"/>
                    </w:rPr>
                    <w:t>慢性中毒：</w:t>
                  </w:r>
                </w:p>
              </w:tc>
              <w:tc>
                <w:tcPr>
                  <w:tcW w:w="7013" w:type="dxa"/>
                  <w:gridSpan w:val="4"/>
                  <w:noWrap w:val="0"/>
                  <w:vAlign w:val="center"/>
                </w:tcPr>
                <w:p>
                  <w:pPr>
                    <w:adjustRightInd w:val="0"/>
                    <w:snapToGrid w:val="0"/>
                    <w:jc w:val="center"/>
                    <w:rPr>
                      <w:bCs/>
                      <w:kern w:val="21"/>
                      <w:szCs w:val="21"/>
                    </w:rPr>
                  </w:pPr>
                  <w:r>
                    <w:rPr>
                      <w:kern w:val="21"/>
                      <w:szCs w:val="21"/>
                    </w:rPr>
                    <w:t>神经衰弱综合症，周围神经病，皮肤损害。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刺激性：</w:t>
                  </w:r>
                </w:p>
              </w:tc>
              <w:tc>
                <w:tcPr>
                  <w:tcW w:w="7013" w:type="dxa"/>
                  <w:gridSpan w:val="4"/>
                  <w:noWrap w:val="0"/>
                  <w:vAlign w:val="center"/>
                </w:tcPr>
                <w:p>
                  <w:pPr>
                    <w:adjustRightInd w:val="0"/>
                    <w:snapToGrid w:val="0"/>
                    <w:jc w:val="center"/>
                    <w:rPr>
                      <w:bCs/>
                      <w:kern w:val="21"/>
                      <w:szCs w:val="21"/>
                    </w:rPr>
                  </w:pPr>
                  <w:r>
                    <w:rPr>
                      <w:kern w:val="21"/>
                      <w:szCs w:val="21"/>
                    </w:rPr>
                    <w:t>人经眼：140ppm（8小时），轻度刺激。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noWrap w:val="0"/>
                  <w:vAlign w:val="center"/>
                </w:tcPr>
                <w:p>
                  <w:pPr>
                    <w:adjustRightInd w:val="0"/>
                    <w:snapToGrid w:val="0"/>
                    <w:jc w:val="center"/>
                    <w:rPr>
                      <w:bCs/>
                      <w:kern w:val="21"/>
                      <w:szCs w:val="21"/>
                    </w:rPr>
                  </w:pPr>
                  <w:r>
                    <w:rPr>
                      <w:kern w:val="21"/>
                      <w:szCs w:val="21"/>
                    </w:rPr>
                    <w:t>最高容许浓度</w:t>
                  </w:r>
                </w:p>
              </w:tc>
              <w:tc>
                <w:tcPr>
                  <w:tcW w:w="7013" w:type="dxa"/>
                  <w:gridSpan w:val="4"/>
                  <w:noWrap w:val="0"/>
                  <w:vAlign w:val="center"/>
                </w:tcPr>
                <w:p>
                  <w:pPr>
                    <w:adjustRightInd w:val="0"/>
                    <w:snapToGrid w:val="0"/>
                    <w:jc w:val="center"/>
                    <w:rPr>
                      <w:bCs/>
                      <w:kern w:val="21"/>
                      <w:szCs w:val="21"/>
                    </w:rPr>
                  </w:pPr>
                  <w:r>
                    <w:rPr>
                      <w:kern w:val="21"/>
                      <w:szCs w:val="21"/>
                    </w:rPr>
                    <w:t>300mg/m</w:t>
                  </w:r>
                  <w:r>
                    <w:rPr>
                      <w:kern w:val="21"/>
                      <w:szCs w:val="21"/>
                      <w:vertAlign w:val="superscript"/>
                    </w:rPr>
                    <w:t>3</w:t>
                  </w:r>
                </w:p>
              </w:tc>
            </w:tr>
          </w:tbl>
          <w:p>
            <w:pPr>
              <w:adjustRightInd w:val="0"/>
              <w:snapToGrid w:val="0"/>
              <w:spacing w:line="360" w:lineRule="auto"/>
              <w:ind w:firstLine="482" w:firstLineChars="200"/>
              <w:outlineLvl w:val="0"/>
              <w:rPr>
                <w:b/>
                <w:bCs/>
                <w:sz w:val="24"/>
              </w:rPr>
            </w:pPr>
            <w:bookmarkStart w:id="61" w:name="_Toc12639"/>
            <w:bookmarkStart w:id="62" w:name="_Toc1639"/>
            <w:bookmarkStart w:id="63" w:name="_Toc6611"/>
            <w:bookmarkStart w:id="64" w:name="_Toc269"/>
            <w:bookmarkStart w:id="65" w:name="_Toc28591"/>
            <w:r>
              <w:rPr>
                <w:rFonts w:hint="eastAsia"/>
                <w:b/>
                <w:bCs/>
                <w:sz w:val="24"/>
              </w:rPr>
              <w:t>2.7、项目</w:t>
            </w:r>
            <w:r>
              <w:rPr>
                <w:b/>
                <w:bCs/>
                <w:sz w:val="24"/>
              </w:rPr>
              <w:t>主</w:t>
            </w:r>
            <w:r>
              <w:rPr>
                <w:rFonts w:hint="eastAsia"/>
                <w:b/>
                <w:bCs/>
                <w:sz w:val="24"/>
              </w:rPr>
              <w:t>要</w:t>
            </w:r>
            <w:r>
              <w:rPr>
                <w:b/>
                <w:bCs/>
                <w:sz w:val="24"/>
              </w:rPr>
              <w:t>设备</w:t>
            </w:r>
            <w:bookmarkEnd w:id="61"/>
            <w:bookmarkEnd w:id="62"/>
            <w:bookmarkEnd w:id="63"/>
            <w:bookmarkEnd w:id="64"/>
            <w:bookmarkEnd w:id="65"/>
          </w:p>
          <w:p>
            <w:pPr>
              <w:spacing w:line="360" w:lineRule="auto"/>
              <w:ind w:firstLine="422" w:firstLineChars="200"/>
              <w:jc w:val="center"/>
              <w:rPr>
                <w:rFonts w:hint="eastAsia" w:ascii="Times New Roman" w:hAnsi="Times New Roman" w:eastAsia="宋体" w:cs="Times New Roman"/>
                <w:color w:val="0000FF"/>
                <w:lang w:eastAsia="zh-CN"/>
              </w:rPr>
            </w:pPr>
            <w:r>
              <w:rPr>
                <w:rFonts w:hint="eastAsia"/>
                <w:b/>
                <w:szCs w:val="21"/>
              </w:rPr>
              <w:t>表2-4  项目主要设备一览表</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2198"/>
              <w:gridCol w:w="2362"/>
              <w:gridCol w:w="628"/>
              <w:gridCol w:w="613"/>
              <w:gridCol w:w="14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53" w:type="dxa"/>
                  <w:noWrap w:val="0"/>
                  <w:vAlign w:val="center"/>
                </w:tcPr>
                <w:p>
                  <w:pPr>
                    <w:jc w:val="center"/>
                    <w:rPr>
                      <w:szCs w:val="21"/>
                    </w:rPr>
                  </w:pPr>
                  <w:r>
                    <w:rPr>
                      <w:szCs w:val="21"/>
                    </w:rPr>
                    <w:t>序号</w:t>
                  </w:r>
                </w:p>
              </w:tc>
              <w:tc>
                <w:tcPr>
                  <w:tcW w:w="2198" w:type="dxa"/>
                  <w:noWrap w:val="0"/>
                  <w:vAlign w:val="center"/>
                </w:tcPr>
                <w:p>
                  <w:pPr>
                    <w:jc w:val="center"/>
                    <w:rPr>
                      <w:szCs w:val="21"/>
                    </w:rPr>
                  </w:pPr>
                  <w:r>
                    <w:rPr>
                      <w:szCs w:val="21"/>
                    </w:rPr>
                    <w:t>设备名称</w:t>
                  </w:r>
                </w:p>
              </w:tc>
              <w:tc>
                <w:tcPr>
                  <w:tcW w:w="2362" w:type="dxa"/>
                  <w:noWrap w:val="0"/>
                  <w:vAlign w:val="center"/>
                </w:tcPr>
                <w:p>
                  <w:pPr>
                    <w:jc w:val="center"/>
                    <w:rPr>
                      <w:szCs w:val="21"/>
                    </w:rPr>
                  </w:pPr>
                  <w:r>
                    <w:rPr>
                      <w:szCs w:val="21"/>
                    </w:rPr>
                    <w:t>规格</w:t>
                  </w:r>
                </w:p>
              </w:tc>
              <w:tc>
                <w:tcPr>
                  <w:tcW w:w="628" w:type="dxa"/>
                  <w:noWrap w:val="0"/>
                  <w:vAlign w:val="center"/>
                </w:tcPr>
                <w:p>
                  <w:pPr>
                    <w:jc w:val="center"/>
                    <w:rPr>
                      <w:szCs w:val="21"/>
                    </w:rPr>
                  </w:pPr>
                  <w:r>
                    <w:rPr>
                      <w:szCs w:val="21"/>
                    </w:rPr>
                    <w:t>单位</w:t>
                  </w:r>
                </w:p>
              </w:tc>
              <w:tc>
                <w:tcPr>
                  <w:tcW w:w="613" w:type="dxa"/>
                  <w:noWrap w:val="0"/>
                  <w:vAlign w:val="center"/>
                </w:tcPr>
                <w:p>
                  <w:pPr>
                    <w:jc w:val="center"/>
                    <w:rPr>
                      <w:szCs w:val="21"/>
                    </w:rPr>
                  </w:pPr>
                  <w:r>
                    <w:rPr>
                      <w:szCs w:val="21"/>
                    </w:rPr>
                    <w:t>数量</w:t>
                  </w:r>
                </w:p>
              </w:tc>
              <w:tc>
                <w:tcPr>
                  <w:tcW w:w="1483" w:type="dxa"/>
                  <w:noWrap w:val="0"/>
                  <w:vAlign w:val="center"/>
                </w:tcPr>
                <w:p>
                  <w:pPr>
                    <w:jc w:val="center"/>
                    <w:rPr>
                      <w:szCs w:val="21"/>
                    </w:rPr>
                  </w:pPr>
                  <w:r>
                    <w:rPr>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1</w:t>
                  </w:r>
                </w:p>
              </w:tc>
              <w:tc>
                <w:tcPr>
                  <w:tcW w:w="2198" w:type="dxa"/>
                  <w:noWrap w:val="0"/>
                  <w:vAlign w:val="center"/>
                </w:tcPr>
                <w:p>
                  <w:pPr>
                    <w:adjustRightInd w:val="0"/>
                    <w:snapToGrid w:val="0"/>
                    <w:jc w:val="center"/>
                  </w:pPr>
                  <w:r>
                    <w:rPr>
                      <w:rFonts w:hint="eastAsia"/>
                    </w:rPr>
                    <w:t>2</w:t>
                  </w:r>
                  <w:r>
                    <w:t>枪</w:t>
                  </w:r>
                  <w:r>
                    <w:rPr>
                      <w:rFonts w:hint="eastAsia"/>
                    </w:rPr>
                    <w:t>2</w:t>
                  </w:r>
                  <w:r>
                    <w:t>油加油机</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szCs w:val="21"/>
                    </w:rPr>
                  </w:pPr>
                  <w:r>
                    <w:rPr>
                      <w:kern w:val="21"/>
                      <w:szCs w:val="21"/>
                    </w:rPr>
                    <w:t>台</w:t>
                  </w:r>
                </w:p>
              </w:tc>
              <w:tc>
                <w:tcPr>
                  <w:tcW w:w="613" w:type="dxa"/>
                  <w:noWrap w:val="0"/>
                  <w:vAlign w:val="center"/>
                </w:tcPr>
                <w:p>
                  <w:pPr>
                    <w:adjustRightInd w:val="0"/>
                    <w:snapToGrid w:val="0"/>
                    <w:jc w:val="center"/>
                    <w:rPr>
                      <w:szCs w:val="21"/>
                    </w:rPr>
                  </w:pPr>
                  <w:r>
                    <w:rPr>
                      <w:rFonts w:hint="eastAsia"/>
                      <w:kern w:val="21"/>
                      <w:szCs w:val="21"/>
                    </w:rPr>
                    <w:t>4</w:t>
                  </w:r>
                </w:p>
              </w:tc>
              <w:tc>
                <w:tcPr>
                  <w:tcW w:w="1483" w:type="dxa"/>
                  <w:noWrap w:val="0"/>
                  <w:vAlign w:val="center"/>
                </w:tcPr>
                <w:p>
                  <w:pPr>
                    <w:adjustRightInd w:val="0"/>
                    <w:snapToGrid w:val="0"/>
                    <w:jc w:val="center"/>
                    <w:rPr>
                      <w:szCs w:val="21"/>
                    </w:rPr>
                  </w:pPr>
                  <w:r>
                    <w:rPr>
                      <w:szCs w:val="21"/>
                    </w:rPr>
                    <w:t>潜油泵式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2</w:t>
                  </w:r>
                </w:p>
              </w:tc>
              <w:tc>
                <w:tcPr>
                  <w:tcW w:w="2198" w:type="dxa"/>
                  <w:noWrap w:val="0"/>
                  <w:vAlign w:val="center"/>
                </w:tcPr>
                <w:p>
                  <w:pPr>
                    <w:adjustRightInd w:val="0"/>
                    <w:snapToGrid w:val="0"/>
                    <w:jc w:val="center"/>
                    <w:rPr>
                      <w:szCs w:val="21"/>
                    </w:rPr>
                  </w:pPr>
                  <w:r>
                    <w:rPr>
                      <w:szCs w:val="21"/>
                    </w:rPr>
                    <w:t>0#柴油储罐</w:t>
                  </w:r>
                </w:p>
              </w:tc>
              <w:tc>
                <w:tcPr>
                  <w:tcW w:w="2362" w:type="dxa"/>
                  <w:noWrap w:val="0"/>
                  <w:vAlign w:val="center"/>
                </w:tcPr>
                <w:p>
                  <w:pPr>
                    <w:adjustRightInd w:val="0"/>
                    <w:snapToGrid w:val="0"/>
                    <w:jc w:val="center"/>
                    <w:rPr>
                      <w:szCs w:val="21"/>
                    </w:rPr>
                  </w:pPr>
                  <w:r>
                    <w:rPr>
                      <w:rFonts w:hint="eastAsia"/>
                      <w:szCs w:val="21"/>
                    </w:rPr>
                    <w:t>50</w:t>
                  </w:r>
                  <w:r>
                    <w:rPr>
                      <w:szCs w:val="21"/>
                    </w:rPr>
                    <w:t>m</w:t>
                  </w:r>
                  <w:r>
                    <w:rPr>
                      <w:szCs w:val="21"/>
                      <w:vertAlign w:val="superscript"/>
                    </w:rPr>
                    <w:t>3</w:t>
                  </w:r>
                  <w:r>
                    <w:rPr>
                      <w:szCs w:val="21"/>
                    </w:rPr>
                    <w:t>FF双层碳钢玻纤（防腐绝缘）储罐</w:t>
                  </w:r>
                </w:p>
              </w:tc>
              <w:tc>
                <w:tcPr>
                  <w:tcW w:w="628" w:type="dxa"/>
                  <w:noWrap w:val="0"/>
                  <w:vAlign w:val="center"/>
                </w:tcPr>
                <w:p>
                  <w:pPr>
                    <w:adjustRightInd w:val="0"/>
                    <w:snapToGrid w:val="0"/>
                    <w:jc w:val="center"/>
                    <w:rPr>
                      <w:szCs w:val="21"/>
                    </w:rPr>
                  </w:pPr>
                  <w:r>
                    <w:rPr>
                      <w:szCs w:val="21"/>
                    </w:rPr>
                    <w:t>座</w:t>
                  </w:r>
                </w:p>
              </w:tc>
              <w:tc>
                <w:tcPr>
                  <w:tcW w:w="613" w:type="dxa"/>
                  <w:noWrap w:val="0"/>
                  <w:vAlign w:val="center"/>
                </w:tcPr>
                <w:p>
                  <w:pPr>
                    <w:adjustRightInd w:val="0"/>
                    <w:snapToGrid w:val="0"/>
                    <w:jc w:val="center"/>
                    <w:rPr>
                      <w:szCs w:val="21"/>
                    </w:rPr>
                  </w:pPr>
                  <w:r>
                    <w:rPr>
                      <w:rFonts w:hint="eastAsia"/>
                      <w:szCs w:val="21"/>
                    </w:rPr>
                    <w:t>2</w:t>
                  </w:r>
                </w:p>
              </w:tc>
              <w:tc>
                <w:tcPr>
                  <w:tcW w:w="1483" w:type="dxa"/>
                  <w:vMerge w:val="restart"/>
                  <w:noWrap w:val="0"/>
                  <w:vAlign w:val="center"/>
                </w:tcPr>
                <w:p>
                  <w:pPr>
                    <w:adjustRightInd w:val="0"/>
                    <w:snapToGrid w:val="0"/>
                    <w:jc w:val="center"/>
                    <w:rPr>
                      <w:szCs w:val="21"/>
                    </w:rPr>
                  </w:pPr>
                  <w:r>
                    <w:rPr>
                      <w:szCs w:val="21"/>
                    </w:rPr>
                    <w:t>卧式埋地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3</w:t>
                  </w:r>
                </w:p>
              </w:tc>
              <w:tc>
                <w:tcPr>
                  <w:tcW w:w="2198" w:type="dxa"/>
                  <w:noWrap w:val="0"/>
                  <w:vAlign w:val="center"/>
                </w:tcPr>
                <w:p>
                  <w:pPr>
                    <w:adjustRightInd w:val="0"/>
                    <w:snapToGrid w:val="0"/>
                    <w:jc w:val="center"/>
                    <w:rPr>
                      <w:kern w:val="21"/>
                      <w:szCs w:val="21"/>
                    </w:rPr>
                  </w:pPr>
                  <w:r>
                    <w:rPr>
                      <w:szCs w:val="21"/>
                    </w:rPr>
                    <w:t>92#汽油储罐</w:t>
                  </w:r>
                </w:p>
              </w:tc>
              <w:tc>
                <w:tcPr>
                  <w:tcW w:w="2362" w:type="dxa"/>
                  <w:noWrap w:val="0"/>
                  <w:vAlign w:val="center"/>
                </w:tcPr>
                <w:p>
                  <w:pPr>
                    <w:adjustRightInd w:val="0"/>
                    <w:snapToGrid w:val="0"/>
                    <w:jc w:val="center"/>
                    <w:rPr>
                      <w:szCs w:val="21"/>
                    </w:rPr>
                  </w:pPr>
                  <w:r>
                    <w:rPr>
                      <w:rFonts w:hint="eastAsia"/>
                      <w:szCs w:val="21"/>
                    </w:rPr>
                    <w:t>50</w:t>
                  </w:r>
                  <w:r>
                    <w:rPr>
                      <w:szCs w:val="21"/>
                    </w:rPr>
                    <w:t>m</w:t>
                  </w:r>
                  <w:r>
                    <w:rPr>
                      <w:szCs w:val="21"/>
                      <w:vertAlign w:val="superscript"/>
                    </w:rPr>
                    <w:t>3</w:t>
                  </w:r>
                  <w:r>
                    <w:rPr>
                      <w:szCs w:val="21"/>
                    </w:rPr>
                    <w:t>FF双层碳钢玻纤（防腐绝缘）储罐</w:t>
                  </w:r>
                </w:p>
              </w:tc>
              <w:tc>
                <w:tcPr>
                  <w:tcW w:w="628" w:type="dxa"/>
                  <w:noWrap w:val="0"/>
                  <w:vAlign w:val="center"/>
                </w:tcPr>
                <w:p>
                  <w:pPr>
                    <w:adjustRightInd w:val="0"/>
                    <w:snapToGrid w:val="0"/>
                    <w:jc w:val="center"/>
                    <w:rPr>
                      <w:kern w:val="21"/>
                      <w:szCs w:val="21"/>
                    </w:rPr>
                  </w:pPr>
                  <w:r>
                    <w:rPr>
                      <w:szCs w:val="21"/>
                    </w:rPr>
                    <w:t>座</w:t>
                  </w:r>
                </w:p>
              </w:tc>
              <w:tc>
                <w:tcPr>
                  <w:tcW w:w="613" w:type="dxa"/>
                  <w:noWrap w:val="0"/>
                  <w:vAlign w:val="center"/>
                </w:tcPr>
                <w:p>
                  <w:pPr>
                    <w:adjustRightInd w:val="0"/>
                    <w:snapToGrid w:val="0"/>
                    <w:jc w:val="center"/>
                    <w:rPr>
                      <w:kern w:val="21"/>
                      <w:szCs w:val="21"/>
                    </w:rPr>
                  </w:pPr>
                  <w:r>
                    <w:rPr>
                      <w:rFonts w:hint="eastAsia"/>
                      <w:kern w:val="21"/>
                      <w:szCs w:val="21"/>
                    </w:rPr>
                    <w:t>1</w:t>
                  </w:r>
                </w:p>
              </w:tc>
              <w:tc>
                <w:tcPr>
                  <w:tcW w:w="1483" w:type="dxa"/>
                  <w:vMerge w:val="continue"/>
                  <w:noWrap w:val="0"/>
                  <w:vAlign w:val="center"/>
                </w:tcPr>
                <w:p>
                  <w:pPr>
                    <w:adjustRightInd w:val="0"/>
                    <w:snapToGrid w:val="0"/>
                    <w:jc w:val="center"/>
                    <w:rPr>
                      <w:kern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4</w:t>
                  </w:r>
                </w:p>
              </w:tc>
              <w:tc>
                <w:tcPr>
                  <w:tcW w:w="2198" w:type="dxa"/>
                  <w:noWrap w:val="0"/>
                  <w:vAlign w:val="center"/>
                </w:tcPr>
                <w:p>
                  <w:pPr>
                    <w:adjustRightInd w:val="0"/>
                    <w:snapToGrid w:val="0"/>
                    <w:jc w:val="center"/>
                    <w:rPr>
                      <w:kern w:val="21"/>
                      <w:szCs w:val="21"/>
                    </w:rPr>
                  </w:pPr>
                  <w:r>
                    <w:rPr>
                      <w:szCs w:val="21"/>
                    </w:rPr>
                    <w:t>95#</w:t>
                  </w:r>
                  <w:r>
                    <w:rPr>
                      <w:rFonts w:hint="eastAsia"/>
                      <w:szCs w:val="21"/>
                    </w:rPr>
                    <w:t>/98#</w:t>
                  </w:r>
                  <w:r>
                    <w:rPr>
                      <w:szCs w:val="21"/>
                    </w:rPr>
                    <w:t>汽油储罐</w:t>
                  </w:r>
                </w:p>
              </w:tc>
              <w:tc>
                <w:tcPr>
                  <w:tcW w:w="2362" w:type="dxa"/>
                  <w:noWrap w:val="0"/>
                  <w:vAlign w:val="center"/>
                </w:tcPr>
                <w:p>
                  <w:pPr>
                    <w:adjustRightInd w:val="0"/>
                    <w:snapToGrid w:val="0"/>
                    <w:jc w:val="center"/>
                    <w:rPr>
                      <w:szCs w:val="21"/>
                    </w:rPr>
                  </w:pPr>
                  <w:r>
                    <w:rPr>
                      <w:rFonts w:hint="eastAsia"/>
                      <w:szCs w:val="21"/>
                    </w:rPr>
                    <w:t>50</w:t>
                  </w:r>
                  <w:r>
                    <w:rPr>
                      <w:szCs w:val="21"/>
                    </w:rPr>
                    <w:t>m</w:t>
                  </w:r>
                  <w:r>
                    <w:rPr>
                      <w:szCs w:val="21"/>
                      <w:vertAlign w:val="superscript"/>
                    </w:rPr>
                    <w:t>3</w:t>
                  </w:r>
                  <w:r>
                    <w:rPr>
                      <w:szCs w:val="21"/>
                    </w:rPr>
                    <w:t>FF双层</w:t>
                  </w:r>
                  <w:r>
                    <w:rPr>
                      <w:rFonts w:hint="eastAsia"/>
                      <w:szCs w:val="21"/>
                    </w:rPr>
                    <w:t>隔舱</w:t>
                  </w:r>
                  <w:r>
                    <w:rPr>
                      <w:szCs w:val="21"/>
                    </w:rPr>
                    <w:t>碳钢玻纤（防腐绝缘）储罐</w:t>
                  </w:r>
                </w:p>
              </w:tc>
              <w:tc>
                <w:tcPr>
                  <w:tcW w:w="628" w:type="dxa"/>
                  <w:noWrap w:val="0"/>
                  <w:vAlign w:val="center"/>
                </w:tcPr>
                <w:p>
                  <w:pPr>
                    <w:adjustRightInd w:val="0"/>
                    <w:snapToGrid w:val="0"/>
                    <w:jc w:val="center"/>
                    <w:rPr>
                      <w:kern w:val="21"/>
                      <w:szCs w:val="21"/>
                    </w:rPr>
                  </w:pPr>
                  <w:r>
                    <w:rPr>
                      <w:szCs w:val="21"/>
                    </w:rPr>
                    <w:t>座</w:t>
                  </w:r>
                </w:p>
              </w:tc>
              <w:tc>
                <w:tcPr>
                  <w:tcW w:w="613" w:type="dxa"/>
                  <w:noWrap w:val="0"/>
                  <w:vAlign w:val="center"/>
                </w:tcPr>
                <w:p>
                  <w:pPr>
                    <w:adjustRightInd w:val="0"/>
                    <w:snapToGrid w:val="0"/>
                    <w:jc w:val="center"/>
                    <w:rPr>
                      <w:kern w:val="21"/>
                      <w:szCs w:val="21"/>
                    </w:rPr>
                  </w:pPr>
                  <w:r>
                    <w:rPr>
                      <w:kern w:val="21"/>
                      <w:szCs w:val="21"/>
                    </w:rPr>
                    <w:t>1</w:t>
                  </w:r>
                </w:p>
              </w:tc>
              <w:tc>
                <w:tcPr>
                  <w:tcW w:w="1483" w:type="dxa"/>
                  <w:vMerge w:val="continue"/>
                  <w:noWrap w:val="0"/>
                  <w:vAlign w:val="center"/>
                </w:tcPr>
                <w:p>
                  <w:pPr>
                    <w:adjustRightInd w:val="0"/>
                    <w:snapToGrid w:val="0"/>
                    <w:jc w:val="center"/>
                    <w:rPr>
                      <w:kern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5</w:t>
                  </w:r>
                </w:p>
              </w:tc>
              <w:tc>
                <w:tcPr>
                  <w:tcW w:w="2198" w:type="dxa"/>
                  <w:noWrap w:val="0"/>
                  <w:vAlign w:val="center"/>
                </w:tcPr>
                <w:p>
                  <w:pPr>
                    <w:adjustRightInd w:val="0"/>
                    <w:snapToGrid w:val="0"/>
                    <w:jc w:val="center"/>
                    <w:rPr>
                      <w:kern w:val="21"/>
                      <w:szCs w:val="21"/>
                    </w:rPr>
                  </w:pPr>
                  <w:r>
                    <w:rPr>
                      <w:szCs w:val="21"/>
                    </w:rPr>
                    <w:t>快速接头</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kern w:val="21"/>
                      <w:szCs w:val="21"/>
                    </w:rPr>
                  </w:pPr>
                  <w:r>
                    <w:rPr>
                      <w:szCs w:val="21"/>
                    </w:rPr>
                    <w:t>套</w:t>
                  </w:r>
                </w:p>
              </w:tc>
              <w:tc>
                <w:tcPr>
                  <w:tcW w:w="613" w:type="dxa"/>
                  <w:noWrap w:val="0"/>
                  <w:vAlign w:val="center"/>
                </w:tcPr>
                <w:p>
                  <w:pPr>
                    <w:adjustRightInd w:val="0"/>
                    <w:snapToGrid w:val="0"/>
                    <w:jc w:val="center"/>
                    <w:rPr>
                      <w:kern w:val="21"/>
                      <w:szCs w:val="21"/>
                    </w:rPr>
                  </w:pPr>
                  <w:r>
                    <w:rPr>
                      <w:rFonts w:hint="eastAsia"/>
                      <w:kern w:val="21"/>
                      <w:szCs w:val="21"/>
                    </w:rPr>
                    <w:t>5</w:t>
                  </w:r>
                </w:p>
              </w:tc>
              <w:tc>
                <w:tcPr>
                  <w:tcW w:w="1483" w:type="dxa"/>
                  <w:noWrap w:val="0"/>
                  <w:vAlign w:val="center"/>
                </w:tcPr>
                <w:p>
                  <w:pPr>
                    <w:adjustRightInd w:val="0"/>
                    <w:snapToGrid w:val="0"/>
                    <w:jc w:val="center"/>
                    <w:rPr>
                      <w:szCs w:val="21"/>
                    </w:rPr>
                  </w:pPr>
                  <w:r>
                    <w:rPr>
                      <w:szCs w:val="21"/>
                    </w:rPr>
                    <w:t>与卸油系统配套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6</w:t>
                  </w:r>
                </w:p>
              </w:tc>
              <w:tc>
                <w:tcPr>
                  <w:tcW w:w="2198" w:type="dxa"/>
                  <w:noWrap w:val="0"/>
                  <w:vAlign w:val="center"/>
                </w:tcPr>
                <w:p>
                  <w:pPr>
                    <w:adjustRightInd w:val="0"/>
                    <w:snapToGrid w:val="0"/>
                    <w:jc w:val="center"/>
                    <w:rPr>
                      <w:kern w:val="21"/>
                      <w:szCs w:val="21"/>
                    </w:rPr>
                  </w:pPr>
                  <w:r>
                    <w:rPr>
                      <w:szCs w:val="21"/>
                    </w:rPr>
                    <w:t>卸油计量系统</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kern w:val="21"/>
                      <w:szCs w:val="21"/>
                    </w:rPr>
                  </w:pPr>
                  <w:r>
                    <w:rPr>
                      <w:szCs w:val="21"/>
                    </w:rPr>
                    <w:t>套</w:t>
                  </w:r>
                </w:p>
              </w:tc>
              <w:tc>
                <w:tcPr>
                  <w:tcW w:w="613" w:type="dxa"/>
                  <w:noWrap w:val="0"/>
                  <w:vAlign w:val="center"/>
                </w:tcPr>
                <w:p>
                  <w:pPr>
                    <w:adjustRightInd w:val="0"/>
                    <w:snapToGrid w:val="0"/>
                    <w:jc w:val="center"/>
                    <w:rPr>
                      <w:kern w:val="21"/>
                      <w:szCs w:val="21"/>
                    </w:rPr>
                  </w:pPr>
                  <w:r>
                    <w:rPr>
                      <w:rFonts w:hint="eastAsia"/>
                      <w:kern w:val="21"/>
                      <w:szCs w:val="21"/>
                    </w:rPr>
                    <w:t>5</w:t>
                  </w:r>
                </w:p>
              </w:tc>
              <w:tc>
                <w:tcPr>
                  <w:tcW w:w="1483" w:type="dxa"/>
                  <w:noWrap w:val="0"/>
                  <w:vAlign w:val="center"/>
                </w:tcPr>
                <w:p>
                  <w:pPr>
                    <w:adjustRightInd w:val="0"/>
                    <w:snapToGrid w:val="0"/>
                    <w:jc w:val="center"/>
                    <w:rPr>
                      <w:kern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7</w:t>
                  </w:r>
                </w:p>
              </w:tc>
              <w:tc>
                <w:tcPr>
                  <w:tcW w:w="2198" w:type="dxa"/>
                  <w:noWrap w:val="0"/>
                  <w:vAlign w:val="center"/>
                </w:tcPr>
                <w:p>
                  <w:pPr>
                    <w:adjustRightInd w:val="0"/>
                    <w:snapToGrid w:val="0"/>
                    <w:jc w:val="center"/>
                    <w:rPr>
                      <w:kern w:val="21"/>
                      <w:szCs w:val="21"/>
                    </w:rPr>
                  </w:pPr>
                  <w:r>
                    <w:rPr>
                      <w:szCs w:val="21"/>
                    </w:rPr>
                    <w:t>一次油气回收系统</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kern w:val="21"/>
                      <w:szCs w:val="21"/>
                    </w:rPr>
                  </w:pPr>
                  <w:r>
                    <w:rPr>
                      <w:szCs w:val="21"/>
                    </w:rPr>
                    <w:t>套</w:t>
                  </w:r>
                </w:p>
              </w:tc>
              <w:tc>
                <w:tcPr>
                  <w:tcW w:w="613" w:type="dxa"/>
                  <w:noWrap w:val="0"/>
                  <w:vAlign w:val="center"/>
                </w:tcPr>
                <w:p>
                  <w:pPr>
                    <w:adjustRightInd w:val="0"/>
                    <w:snapToGrid w:val="0"/>
                    <w:jc w:val="center"/>
                    <w:rPr>
                      <w:kern w:val="21"/>
                      <w:szCs w:val="21"/>
                    </w:rPr>
                  </w:pPr>
                  <w:r>
                    <w:rPr>
                      <w:kern w:val="21"/>
                      <w:szCs w:val="21"/>
                    </w:rPr>
                    <w:t>1</w:t>
                  </w:r>
                </w:p>
              </w:tc>
              <w:tc>
                <w:tcPr>
                  <w:tcW w:w="1483" w:type="dxa"/>
                  <w:noWrap w:val="0"/>
                  <w:vAlign w:val="center"/>
                </w:tcPr>
                <w:p>
                  <w:pPr>
                    <w:adjustRightInd w:val="0"/>
                    <w:snapToGrid w:val="0"/>
                    <w:jc w:val="center"/>
                    <w:rPr>
                      <w:kern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8</w:t>
                  </w:r>
                </w:p>
              </w:tc>
              <w:tc>
                <w:tcPr>
                  <w:tcW w:w="2198" w:type="dxa"/>
                  <w:noWrap w:val="0"/>
                  <w:vAlign w:val="center"/>
                </w:tcPr>
                <w:p>
                  <w:pPr>
                    <w:adjustRightInd w:val="0"/>
                    <w:snapToGrid w:val="0"/>
                    <w:jc w:val="center"/>
                    <w:rPr>
                      <w:szCs w:val="21"/>
                    </w:rPr>
                  </w:pPr>
                  <w:r>
                    <w:rPr>
                      <w:szCs w:val="21"/>
                    </w:rPr>
                    <w:t>潜油泵</w:t>
                  </w:r>
                </w:p>
              </w:tc>
              <w:tc>
                <w:tcPr>
                  <w:tcW w:w="2362" w:type="dxa"/>
                  <w:noWrap w:val="0"/>
                  <w:vAlign w:val="center"/>
                </w:tcPr>
                <w:p>
                  <w:pPr>
                    <w:adjustRightInd w:val="0"/>
                    <w:snapToGrid w:val="0"/>
                    <w:jc w:val="center"/>
                    <w:rPr>
                      <w:szCs w:val="21"/>
                    </w:rPr>
                  </w:pPr>
                  <w:r>
                    <w:rPr>
                      <w:szCs w:val="21"/>
                    </w:rPr>
                    <w:t>Q=2~80Nm</w:t>
                  </w:r>
                  <w:r>
                    <w:rPr>
                      <w:szCs w:val="21"/>
                      <w:vertAlign w:val="superscript"/>
                    </w:rPr>
                    <w:t>3</w:t>
                  </w:r>
                  <w:r>
                    <w:rPr>
                      <w:szCs w:val="21"/>
                    </w:rPr>
                    <w:t>/min，P=20MPa</w:t>
                  </w:r>
                </w:p>
              </w:tc>
              <w:tc>
                <w:tcPr>
                  <w:tcW w:w="628" w:type="dxa"/>
                  <w:noWrap w:val="0"/>
                  <w:vAlign w:val="center"/>
                </w:tcPr>
                <w:p>
                  <w:pPr>
                    <w:adjustRightInd w:val="0"/>
                    <w:snapToGrid w:val="0"/>
                    <w:jc w:val="center"/>
                    <w:rPr>
                      <w:szCs w:val="21"/>
                    </w:rPr>
                  </w:pPr>
                  <w:r>
                    <w:rPr>
                      <w:szCs w:val="21"/>
                    </w:rPr>
                    <w:t>个</w:t>
                  </w:r>
                </w:p>
              </w:tc>
              <w:tc>
                <w:tcPr>
                  <w:tcW w:w="613" w:type="dxa"/>
                  <w:noWrap w:val="0"/>
                  <w:vAlign w:val="center"/>
                </w:tcPr>
                <w:p>
                  <w:pPr>
                    <w:adjustRightInd w:val="0"/>
                    <w:snapToGrid w:val="0"/>
                    <w:jc w:val="center"/>
                    <w:rPr>
                      <w:szCs w:val="21"/>
                    </w:rPr>
                  </w:pPr>
                  <w:r>
                    <w:rPr>
                      <w:rFonts w:hint="eastAsia"/>
                      <w:szCs w:val="21"/>
                    </w:rPr>
                    <w:t>4</w:t>
                  </w:r>
                </w:p>
              </w:tc>
              <w:tc>
                <w:tcPr>
                  <w:tcW w:w="1483" w:type="dxa"/>
                  <w:noWrap w:val="0"/>
                  <w:vAlign w:val="center"/>
                </w:tcPr>
                <w:p>
                  <w:pPr>
                    <w:adjustRightInd w:val="0"/>
                    <w:snapToGrid w:val="0"/>
                    <w:jc w:val="center"/>
                    <w:rPr>
                      <w:szCs w:val="21"/>
                    </w:rPr>
                  </w:pPr>
                  <w:r>
                    <w:rPr>
                      <w:szCs w:val="21"/>
                    </w:rPr>
                    <w:t>加油机动力装置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9</w:t>
                  </w:r>
                </w:p>
              </w:tc>
              <w:tc>
                <w:tcPr>
                  <w:tcW w:w="2198" w:type="dxa"/>
                  <w:noWrap w:val="0"/>
                  <w:vAlign w:val="center"/>
                </w:tcPr>
                <w:p>
                  <w:pPr>
                    <w:adjustRightInd w:val="0"/>
                    <w:snapToGrid w:val="0"/>
                    <w:jc w:val="center"/>
                    <w:rPr>
                      <w:szCs w:val="21"/>
                    </w:rPr>
                  </w:pPr>
                  <w:r>
                    <w:rPr>
                      <w:rFonts w:hint="eastAsia"/>
                      <w:szCs w:val="21"/>
                      <w:lang w:eastAsia="zh-CN"/>
                    </w:rPr>
                    <w:t>二次</w:t>
                  </w:r>
                  <w:r>
                    <w:rPr>
                      <w:szCs w:val="21"/>
                    </w:rPr>
                    <w:t>油气回收系统</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szCs w:val="21"/>
                    </w:rPr>
                  </w:pPr>
                  <w:r>
                    <w:rPr>
                      <w:szCs w:val="21"/>
                    </w:rPr>
                    <w:t>套</w:t>
                  </w:r>
                </w:p>
              </w:tc>
              <w:tc>
                <w:tcPr>
                  <w:tcW w:w="613" w:type="dxa"/>
                  <w:noWrap w:val="0"/>
                  <w:vAlign w:val="center"/>
                </w:tcPr>
                <w:p>
                  <w:pPr>
                    <w:adjustRightInd w:val="0"/>
                    <w:snapToGrid w:val="0"/>
                    <w:jc w:val="center"/>
                    <w:rPr>
                      <w:szCs w:val="21"/>
                    </w:rPr>
                  </w:pPr>
                  <w:r>
                    <w:rPr>
                      <w:rFonts w:hint="eastAsia"/>
                      <w:szCs w:val="21"/>
                    </w:rPr>
                    <w:t>4</w:t>
                  </w:r>
                </w:p>
              </w:tc>
              <w:tc>
                <w:tcPr>
                  <w:tcW w:w="1483" w:type="dxa"/>
                  <w:noWrap w:val="0"/>
                  <w:vAlign w:val="center"/>
                </w:tcPr>
                <w:p>
                  <w:pPr>
                    <w:adjustRightInd w:val="0"/>
                    <w:snapToGrid w:val="0"/>
                    <w:jc w:val="center"/>
                    <w:rPr>
                      <w:szCs w:val="21"/>
                    </w:rPr>
                  </w:pPr>
                  <w:r>
                    <w:rPr>
                      <w:szCs w:val="21"/>
                    </w:rPr>
                    <w:t>与加油系统配套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szCs w:val="21"/>
                    </w:rPr>
                  </w:pPr>
                  <w:r>
                    <w:rPr>
                      <w:rFonts w:hint="eastAsia"/>
                      <w:szCs w:val="21"/>
                    </w:rPr>
                    <w:t>10</w:t>
                  </w:r>
                </w:p>
              </w:tc>
              <w:tc>
                <w:tcPr>
                  <w:tcW w:w="2198" w:type="dxa"/>
                  <w:noWrap w:val="0"/>
                  <w:vAlign w:val="center"/>
                </w:tcPr>
                <w:p>
                  <w:pPr>
                    <w:adjustRightInd w:val="0"/>
                    <w:snapToGrid w:val="0"/>
                    <w:jc w:val="center"/>
                    <w:rPr>
                      <w:szCs w:val="21"/>
                    </w:rPr>
                  </w:pPr>
                  <w:r>
                    <w:rPr>
                      <w:szCs w:val="21"/>
                    </w:rPr>
                    <w:t>静电报警器</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szCs w:val="21"/>
                    </w:rPr>
                  </w:pPr>
                  <w:r>
                    <w:rPr>
                      <w:szCs w:val="21"/>
                    </w:rPr>
                    <w:t>套</w:t>
                  </w:r>
                </w:p>
              </w:tc>
              <w:tc>
                <w:tcPr>
                  <w:tcW w:w="613" w:type="dxa"/>
                  <w:noWrap w:val="0"/>
                  <w:vAlign w:val="center"/>
                </w:tcPr>
                <w:p>
                  <w:pPr>
                    <w:adjustRightInd w:val="0"/>
                    <w:snapToGrid w:val="0"/>
                    <w:jc w:val="center"/>
                    <w:rPr>
                      <w:szCs w:val="21"/>
                    </w:rPr>
                  </w:pPr>
                  <w:r>
                    <w:rPr>
                      <w:szCs w:val="21"/>
                    </w:rPr>
                    <w:t>1</w:t>
                  </w:r>
                </w:p>
              </w:tc>
              <w:tc>
                <w:tcPr>
                  <w:tcW w:w="1483" w:type="dxa"/>
                  <w:noWrap w:val="0"/>
                  <w:vAlign w:val="center"/>
                </w:tcPr>
                <w:p>
                  <w:pPr>
                    <w:adjustRightInd w:val="0"/>
                    <w:snapToGrid w:val="0"/>
                    <w:jc w:val="center"/>
                    <w:rPr>
                      <w:szCs w:val="21"/>
                    </w:rPr>
                  </w:pPr>
                  <w:r>
                    <w:rPr>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default" w:eastAsia="宋体"/>
                      <w:color w:val="0000FF"/>
                      <w:szCs w:val="21"/>
                      <w:lang w:val="en-US" w:eastAsia="zh-CN"/>
                    </w:rPr>
                  </w:pPr>
                  <w:r>
                    <w:rPr>
                      <w:rFonts w:hint="eastAsia"/>
                      <w:color w:val="0000FF"/>
                      <w:szCs w:val="21"/>
                      <w:lang w:val="en-US" w:eastAsia="zh-CN"/>
                    </w:rPr>
                    <w:t>11</w:t>
                  </w:r>
                </w:p>
              </w:tc>
              <w:tc>
                <w:tcPr>
                  <w:tcW w:w="2198" w:type="dxa"/>
                  <w:noWrap w:val="0"/>
                  <w:vAlign w:val="center"/>
                </w:tcPr>
                <w:p>
                  <w:pPr>
                    <w:adjustRightInd w:val="0"/>
                    <w:snapToGrid w:val="0"/>
                    <w:jc w:val="center"/>
                    <w:rPr>
                      <w:rFonts w:hint="default" w:eastAsia="宋体"/>
                      <w:color w:val="0000FF"/>
                      <w:szCs w:val="21"/>
                      <w:lang w:val="en-US" w:eastAsia="zh-CN"/>
                    </w:rPr>
                  </w:pPr>
                  <w:r>
                    <w:rPr>
                      <w:rFonts w:hint="eastAsia"/>
                      <w:color w:val="0000FF"/>
                      <w:szCs w:val="21"/>
                      <w:lang w:val="en-US" w:eastAsia="zh-CN"/>
                    </w:rPr>
                    <w:t>三次油气回</w:t>
                  </w:r>
                  <w:r>
                    <w:rPr>
                      <w:rFonts w:hint="eastAsia" w:ascii="Times New Roman" w:hAnsi="Times New Roman" w:eastAsia="宋体" w:cs="Times New Roman"/>
                      <w:color w:val="0000FF"/>
                      <w:szCs w:val="21"/>
                      <w:lang w:val="en-US" w:eastAsia="zh-CN"/>
                    </w:rPr>
                    <w:t>收系</w:t>
                  </w:r>
                  <w:r>
                    <w:rPr>
                      <w:rFonts w:hint="eastAsia"/>
                      <w:color w:val="0000FF"/>
                      <w:szCs w:val="21"/>
                      <w:lang w:val="en-US" w:eastAsia="zh-CN"/>
                    </w:rPr>
                    <w:t>统</w:t>
                  </w:r>
                </w:p>
              </w:tc>
              <w:tc>
                <w:tcPr>
                  <w:tcW w:w="2362" w:type="dxa"/>
                  <w:noWrap w:val="0"/>
                  <w:vAlign w:val="center"/>
                </w:tcPr>
                <w:p>
                  <w:pPr>
                    <w:adjustRightInd w:val="0"/>
                    <w:snapToGrid w:val="0"/>
                    <w:jc w:val="center"/>
                    <w:rPr>
                      <w:rFonts w:hint="eastAsia" w:ascii="Times New Roman" w:hAnsi="Times New Roman" w:eastAsia="宋体" w:cs="Times New Roman"/>
                      <w:color w:val="0000FF"/>
                      <w:szCs w:val="21"/>
                      <w:lang w:val="en-US" w:eastAsia="zh-CN"/>
                    </w:rPr>
                  </w:pPr>
                  <w:r>
                    <w:rPr>
                      <w:rFonts w:hint="eastAsia" w:ascii="Times New Roman" w:hAnsi="Times New Roman" w:eastAsia="宋体" w:cs="Times New Roman"/>
                      <w:color w:val="0000FF"/>
                      <w:szCs w:val="21"/>
                      <w:lang w:val="en-US" w:eastAsia="zh-CN"/>
                    </w:rPr>
                    <w:t>冷凝+活性炭吸附+PLC</w:t>
                  </w:r>
                </w:p>
              </w:tc>
              <w:tc>
                <w:tcPr>
                  <w:tcW w:w="628" w:type="dxa"/>
                  <w:noWrap w:val="0"/>
                  <w:vAlign w:val="center"/>
                </w:tcPr>
                <w:p>
                  <w:pPr>
                    <w:adjustRightInd w:val="0"/>
                    <w:snapToGrid w:val="0"/>
                    <w:jc w:val="center"/>
                    <w:rPr>
                      <w:rFonts w:hint="eastAsia" w:ascii="Times New Roman" w:hAnsi="Times New Roman" w:eastAsia="宋体" w:cs="Times New Roman"/>
                      <w:color w:val="0000FF"/>
                      <w:szCs w:val="21"/>
                      <w:lang w:val="en-US" w:eastAsia="zh-CN"/>
                    </w:rPr>
                  </w:pPr>
                  <w:r>
                    <w:rPr>
                      <w:rFonts w:hint="eastAsia" w:ascii="Times New Roman" w:hAnsi="Times New Roman" w:eastAsia="宋体" w:cs="Times New Roman"/>
                      <w:color w:val="0000FF"/>
                      <w:szCs w:val="21"/>
                      <w:lang w:val="en-US" w:eastAsia="zh-CN"/>
                    </w:rPr>
                    <w:t>套</w:t>
                  </w:r>
                </w:p>
              </w:tc>
              <w:tc>
                <w:tcPr>
                  <w:tcW w:w="613" w:type="dxa"/>
                  <w:noWrap w:val="0"/>
                  <w:vAlign w:val="center"/>
                </w:tcPr>
                <w:p>
                  <w:pPr>
                    <w:adjustRightInd w:val="0"/>
                    <w:snapToGrid w:val="0"/>
                    <w:jc w:val="center"/>
                    <w:rPr>
                      <w:rFonts w:hint="eastAsia" w:eastAsia="宋体"/>
                      <w:color w:val="0000FF"/>
                      <w:szCs w:val="21"/>
                      <w:lang w:val="en-US" w:eastAsia="zh-CN"/>
                    </w:rPr>
                  </w:pPr>
                  <w:r>
                    <w:rPr>
                      <w:rFonts w:hint="eastAsia"/>
                      <w:color w:val="0000FF"/>
                      <w:szCs w:val="21"/>
                      <w:lang w:val="en-US" w:eastAsia="zh-CN"/>
                    </w:rPr>
                    <w:t>1</w:t>
                  </w:r>
                </w:p>
              </w:tc>
              <w:tc>
                <w:tcPr>
                  <w:tcW w:w="1483" w:type="dxa"/>
                  <w:noWrap w:val="0"/>
                  <w:vAlign w:val="center"/>
                </w:tcPr>
                <w:p>
                  <w:pPr>
                    <w:adjustRightInd w:val="0"/>
                    <w:snapToGrid w:val="0"/>
                    <w:jc w:val="center"/>
                    <w:rPr>
                      <w:rFonts w:ascii="Times New Roman" w:hAnsi="Times New Roman" w:eastAsia="宋体" w:cs="Times New Roman"/>
                      <w:color w:val="0000FF"/>
                      <w:kern w:val="2"/>
                      <w:sz w:val="21"/>
                      <w:szCs w:val="21"/>
                      <w:lang w:val="en-US" w:eastAsia="zh-CN" w:bidi="ar-SA"/>
                    </w:rPr>
                  </w:pPr>
                  <w:r>
                    <w:rPr>
                      <w:color w:val="0000FF"/>
                      <w:szCs w:val="21"/>
                    </w:rPr>
                    <w:t>与加油系统配套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eastAsia" w:eastAsia="宋体"/>
                      <w:szCs w:val="21"/>
                      <w:lang w:val="en-US" w:eastAsia="zh-CN"/>
                    </w:rPr>
                  </w:pPr>
                  <w:r>
                    <w:rPr>
                      <w:rFonts w:hint="eastAsia"/>
                      <w:szCs w:val="21"/>
                    </w:rPr>
                    <w:t>1</w:t>
                  </w:r>
                  <w:r>
                    <w:rPr>
                      <w:rFonts w:hint="eastAsia"/>
                      <w:szCs w:val="21"/>
                      <w:lang w:val="en-US" w:eastAsia="zh-CN"/>
                    </w:rPr>
                    <w:t>2</w:t>
                  </w:r>
                </w:p>
              </w:tc>
              <w:tc>
                <w:tcPr>
                  <w:tcW w:w="2198" w:type="dxa"/>
                  <w:noWrap w:val="0"/>
                  <w:vAlign w:val="center"/>
                </w:tcPr>
                <w:p>
                  <w:pPr>
                    <w:adjustRightInd w:val="0"/>
                    <w:snapToGrid w:val="0"/>
                    <w:jc w:val="center"/>
                    <w:rPr>
                      <w:szCs w:val="21"/>
                    </w:rPr>
                  </w:pPr>
                  <w:r>
                    <w:rPr>
                      <w:szCs w:val="21"/>
                    </w:rPr>
                    <w:t>中央控制系统</w:t>
                  </w:r>
                </w:p>
              </w:tc>
              <w:tc>
                <w:tcPr>
                  <w:tcW w:w="2362" w:type="dxa"/>
                  <w:noWrap w:val="0"/>
                  <w:vAlign w:val="center"/>
                </w:tcPr>
                <w:p>
                  <w:pPr>
                    <w:adjustRightInd w:val="0"/>
                    <w:snapToGrid w:val="0"/>
                    <w:jc w:val="center"/>
                    <w:rPr>
                      <w:szCs w:val="21"/>
                    </w:rPr>
                  </w:pPr>
                  <w:r>
                    <w:rPr>
                      <w:szCs w:val="21"/>
                    </w:rPr>
                    <w:t>/</w:t>
                  </w:r>
                </w:p>
              </w:tc>
              <w:tc>
                <w:tcPr>
                  <w:tcW w:w="628" w:type="dxa"/>
                  <w:noWrap w:val="0"/>
                  <w:vAlign w:val="center"/>
                </w:tcPr>
                <w:p>
                  <w:pPr>
                    <w:adjustRightInd w:val="0"/>
                    <w:snapToGrid w:val="0"/>
                    <w:jc w:val="center"/>
                    <w:rPr>
                      <w:szCs w:val="21"/>
                    </w:rPr>
                  </w:pPr>
                  <w:r>
                    <w:rPr>
                      <w:szCs w:val="21"/>
                    </w:rPr>
                    <w:t>套</w:t>
                  </w:r>
                </w:p>
              </w:tc>
              <w:tc>
                <w:tcPr>
                  <w:tcW w:w="613" w:type="dxa"/>
                  <w:noWrap w:val="0"/>
                  <w:vAlign w:val="center"/>
                </w:tcPr>
                <w:p>
                  <w:pPr>
                    <w:adjustRightInd w:val="0"/>
                    <w:snapToGrid w:val="0"/>
                    <w:jc w:val="center"/>
                    <w:rPr>
                      <w:szCs w:val="21"/>
                    </w:rPr>
                  </w:pPr>
                  <w:r>
                    <w:rPr>
                      <w:szCs w:val="21"/>
                    </w:rPr>
                    <w:t>1</w:t>
                  </w:r>
                </w:p>
              </w:tc>
              <w:tc>
                <w:tcPr>
                  <w:tcW w:w="1483" w:type="dxa"/>
                  <w:noWrap w:val="0"/>
                  <w:vAlign w:val="center"/>
                </w:tcPr>
                <w:p>
                  <w:pPr>
                    <w:adjustRightInd w:val="0"/>
                    <w:snapToGrid w:val="0"/>
                    <w:jc w:val="center"/>
                    <w:rPr>
                      <w:szCs w:val="21"/>
                    </w:rPr>
                  </w:pPr>
                  <w:r>
                    <w:rPr>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eastAsia" w:eastAsia="宋体"/>
                      <w:szCs w:val="21"/>
                      <w:lang w:val="en-US" w:eastAsia="zh-CN"/>
                    </w:rPr>
                  </w:pPr>
                  <w:r>
                    <w:rPr>
                      <w:rFonts w:hint="eastAsia"/>
                      <w:szCs w:val="21"/>
                    </w:rPr>
                    <w:t>1</w:t>
                  </w:r>
                  <w:r>
                    <w:rPr>
                      <w:rFonts w:hint="eastAsia"/>
                      <w:szCs w:val="21"/>
                      <w:lang w:val="en-US" w:eastAsia="zh-CN"/>
                    </w:rPr>
                    <w:t>3</w:t>
                  </w:r>
                </w:p>
              </w:tc>
              <w:tc>
                <w:tcPr>
                  <w:tcW w:w="2198" w:type="dxa"/>
                  <w:noWrap w:val="0"/>
                  <w:vAlign w:val="center"/>
                </w:tcPr>
                <w:p>
                  <w:pPr>
                    <w:adjustRightInd w:val="0"/>
                    <w:snapToGrid w:val="0"/>
                    <w:jc w:val="center"/>
                    <w:rPr>
                      <w:szCs w:val="21"/>
                    </w:rPr>
                  </w:pPr>
                  <w:r>
                    <w:rPr>
                      <w:szCs w:val="21"/>
                    </w:rPr>
                    <w:t>柴油发电机</w:t>
                  </w:r>
                </w:p>
              </w:tc>
              <w:tc>
                <w:tcPr>
                  <w:tcW w:w="2362" w:type="dxa"/>
                  <w:noWrap w:val="0"/>
                  <w:vAlign w:val="center"/>
                </w:tcPr>
                <w:p>
                  <w:pPr>
                    <w:adjustRightInd w:val="0"/>
                    <w:snapToGrid w:val="0"/>
                    <w:jc w:val="center"/>
                    <w:rPr>
                      <w:szCs w:val="21"/>
                    </w:rPr>
                  </w:pPr>
                  <w:r>
                    <w:rPr>
                      <w:szCs w:val="21"/>
                    </w:rPr>
                    <w:t>LXZH4105ZD/50kWh</w:t>
                  </w:r>
                </w:p>
              </w:tc>
              <w:tc>
                <w:tcPr>
                  <w:tcW w:w="628" w:type="dxa"/>
                  <w:noWrap w:val="0"/>
                  <w:vAlign w:val="center"/>
                </w:tcPr>
                <w:p>
                  <w:pPr>
                    <w:adjustRightInd w:val="0"/>
                    <w:snapToGrid w:val="0"/>
                    <w:jc w:val="center"/>
                    <w:rPr>
                      <w:szCs w:val="21"/>
                    </w:rPr>
                  </w:pPr>
                  <w:r>
                    <w:rPr>
                      <w:szCs w:val="21"/>
                    </w:rPr>
                    <w:t>台</w:t>
                  </w:r>
                </w:p>
              </w:tc>
              <w:tc>
                <w:tcPr>
                  <w:tcW w:w="613" w:type="dxa"/>
                  <w:noWrap w:val="0"/>
                  <w:vAlign w:val="center"/>
                </w:tcPr>
                <w:p>
                  <w:pPr>
                    <w:adjustRightInd w:val="0"/>
                    <w:snapToGrid w:val="0"/>
                    <w:jc w:val="center"/>
                    <w:rPr>
                      <w:szCs w:val="21"/>
                    </w:rPr>
                  </w:pPr>
                  <w:r>
                    <w:rPr>
                      <w:szCs w:val="21"/>
                    </w:rPr>
                    <w:t>1</w:t>
                  </w:r>
                </w:p>
              </w:tc>
              <w:tc>
                <w:tcPr>
                  <w:tcW w:w="1483" w:type="dxa"/>
                  <w:noWrap w:val="0"/>
                  <w:vAlign w:val="center"/>
                </w:tcPr>
                <w:p>
                  <w:pPr>
                    <w:adjustRightInd w:val="0"/>
                    <w:snapToGrid w:val="0"/>
                    <w:jc w:val="center"/>
                    <w:rPr>
                      <w:szCs w:val="21"/>
                    </w:rPr>
                  </w:pPr>
                  <w:r>
                    <w:rPr>
                      <w:szCs w:val="21"/>
                    </w:rPr>
                    <w:t>备用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r>
                    <w:rPr>
                      <w:rFonts w:hint="eastAsia" w:cs="Times New Roman"/>
                      <w:color w:val="0000FF"/>
                      <w:lang w:val="en-US" w:eastAsia="zh-CN"/>
                    </w:rPr>
                    <w:t>4</w:t>
                  </w:r>
                </w:p>
              </w:tc>
              <w:tc>
                <w:tcPr>
                  <w:tcW w:w="219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rPr>
                    <w:t>双层罐测漏检测系统</w:t>
                  </w:r>
                </w:p>
              </w:tc>
              <w:tc>
                <w:tcPr>
                  <w:tcW w:w="2362" w:type="dxa"/>
                  <w:noWrap w:val="0"/>
                  <w:vAlign w:val="center"/>
                </w:tcPr>
                <w:p>
                  <w:pPr>
                    <w:adjustRightInd w:val="0"/>
                    <w:snapToGrid w:val="0"/>
                    <w:jc w:val="center"/>
                    <w:rPr>
                      <w:rFonts w:hint="eastAsia" w:ascii="Times New Roman" w:hAnsi="Times New Roman" w:eastAsia="宋体" w:cs="Times New Roman"/>
                      <w:color w:val="0000FF"/>
                    </w:rPr>
                  </w:pPr>
                  <w:r>
                    <w:rPr>
                      <w:szCs w:val="21"/>
                    </w:rPr>
                    <w:t>/</w:t>
                  </w:r>
                </w:p>
              </w:tc>
              <w:tc>
                <w:tcPr>
                  <w:tcW w:w="628" w:type="dxa"/>
                  <w:noWrap w:val="0"/>
                  <w:vAlign w:val="center"/>
                </w:tcPr>
                <w:p>
                  <w:pPr>
                    <w:adjustRightInd w:val="0"/>
                    <w:snapToGrid w:val="0"/>
                    <w:jc w:val="center"/>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套</w:t>
                  </w:r>
                </w:p>
              </w:tc>
              <w:tc>
                <w:tcPr>
                  <w:tcW w:w="613" w:type="dxa"/>
                  <w:noWrap w:val="0"/>
                  <w:vAlign w:val="center"/>
                </w:tcPr>
                <w:p>
                  <w:pPr>
                    <w:adjustRightInd w:val="0"/>
                    <w:snapToGrid w:val="0"/>
                    <w:jc w:val="center"/>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p>
              </w:tc>
              <w:tc>
                <w:tcPr>
                  <w:tcW w:w="1483" w:type="dxa"/>
                  <w:noWrap w:val="0"/>
                  <w:vAlign w:val="center"/>
                </w:tcPr>
                <w:p>
                  <w:pPr>
                    <w:adjustRightInd w:val="0"/>
                    <w:snapToGrid w:val="0"/>
                    <w:jc w:val="center"/>
                    <w:rPr>
                      <w:rFonts w:hint="eastAsia" w:ascii="Times New Roman" w:hAnsi="Times New Roman" w:eastAsia="宋体" w:cs="Times New Roman"/>
                      <w:color w:val="0000FF"/>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r>
                    <w:rPr>
                      <w:rFonts w:hint="eastAsia" w:cs="Times New Roman"/>
                      <w:color w:val="0000FF"/>
                      <w:lang w:val="en-US" w:eastAsia="zh-CN"/>
                    </w:rPr>
                    <w:t>5</w:t>
                  </w:r>
                </w:p>
              </w:tc>
              <w:tc>
                <w:tcPr>
                  <w:tcW w:w="219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rPr>
                    <w:t>双层管渗漏检测、</w:t>
                  </w:r>
                </w:p>
              </w:tc>
              <w:tc>
                <w:tcPr>
                  <w:tcW w:w="2362" w:type="dxa"/>
                  <w:noWrap w:val="0"/>
                  <w:vAlign w:val="center"/>
                </w:tcPr>
                <w:p>
                  <w:pPr>
                    <w:adjustRightInd w:val="0"/>
                    <w:snapToGrid w:val="0"/>
                    <w:jc w:val="center"/>
                    <w:rPr>
                      <w:rFonts w:hint="eastAsia" w:ascii="Times New Roman" w:hAnsi="Times New Roman" w:eastAsia="宋体" w:cs="Times New Roman"/>
                      <w:color w:val="0000FF"/>
                    </w:rPr>
                  </w:pPr>
                  <w:r>
                    <w:rPr>
                      <w:szCs w:val="21"/>
                    </w:rPr>
                    <w:t>/</w:t>
                  </w:r>
                </w:p>
              </w:tc>
              <w:tc>
                <w:tcPr>
                  <w:tcW w:w="62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lang w:val="en-US" w:eastAsia="zh-CN"/>
                    </w:rPr>
                    <w:t>套</w:t>
                  </w:r>
                </w:p>
              </w:tc>
              <w:tc>
                <w:tcPr>
                  <w:tcW w:w="613" w:type="dxa"/>
                  <w:noWrap w:val="0"/>
                  <w:vAlign w:val="center"/>
                </w:tcPr>
                <w:p>
                  <w:pPr>
                    <w:adjustRightInd w:val="0"/>
                    <w:snapToGrid w:val="0"/>
                    <w:jc w:val="center"/>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p>
              </w:tc>
              <w:tc>
                <w:tcPr>
                  <w:tcW w:w="1483" w:type="dxa"/>
                  <w:noWrap w:val="0"/>
                  <w:vAlign w:val="center"/>
                </w:tcPr>
                <w:p>
                  <w:pPr>
                    <w:adjustRightInd w:val="0"/>
                    <w:snapToGrid w:val="0"/>
                    <w:jc w:val="center"/>
                    <w:rPr>
                      <w:rFonts w:hint="eastAsia" w:ascii="Times New Roman" w:hAnsi="Times New Roman" w:eastAsia="宋体" w:cs="Times New Roman"/>
                      <w:color w:val="0000FF"/>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r>
                    <w:rPr>
                      <w:rFonts w:hint="eastAsia" w:cs="Times New Roman"/>
                      <w:color w:val="0000FF"/>
                      <w:lang w:val="en-US" w:eastAsia="zh-CN"/>
                    </w:rPr>
                    <w:t>6</w:t>
                  </w:r>
                </w:p>
              </w:tc>
              <w:tc>
                <w:tcPr>
                  <w:tcW w:w="219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rPr>
                    <w:t>油罐液位监测</w:t>
                  </w:r>
                </w:p>
              </w:tc>
              <w:tc>
                <w:tcPr>
                  <w:tcW w:w="2362" w:type="dxa"/>
                  <w:noWrap w:val="0"/>
                  <w:vAlign w:val="center"/>
                </w:tcPr>
                <w:p>
                  <w:pPr>
                    <w:adjustRightInd w:val="0"/>
                    <w:snapToGrid w:val="0"/>
                    <w:jc w:val="center"/>
                    <w:rPr>
                      <w:rFonts w:hint="eastAsia" w:ascii="Times New Roman" w:hAnsi="Times New Roman" w:eastAsia="宋体" w:cs="Times New Roman"/>
                      <w:color w:val="0000FF"/>
                    </w:rPr>
                  </w:pPr>
                  <w:r>
                    <w:rPr>
                      <w:szCs w:val="21"/>
                    </w:rPr>
                    <w:t>/</w:t>
                  </w:r>
                </w:p>
              </w:tc>
              <w:tc>
                <w:tcPr>
                  <w:tcW w:w="62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lang w:val="en-US" w:eastAsia="zh-CN"/>
                    </w:rPr>
                    <w:t>套</w:t>
                  </w:r>
                </w:p>
              </w:tc>
              <w:tc>
                <w:tcPr>
                  <w:tcW w:w="61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p>
              </w:tc>
              <w:tc>
                <w:tcPr>
                  <w:tcW w:w="1483" w:type="dxa"/>
                  <w:noWrap w:val="0"/>
                  <w:vAlign w:val="center"/>
                </w:tcPr>
                <w:p>
                  <w:pPr>
                    <w:adjustRightInd w:val="0"/>
                    <w:snapToGrid w:val="0"/>
                    <w:jc w:val="center"/>
                    <w:rPr>
                      <w:rFonts w:hint="eastAsia" w:ascii="Times New Roman" w:hAnsi="Times New Roman" w:eastAsia="宋体" w:cs="Times New Roman"/>
                      <w:color w:val="0000FF"/>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5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r>
                    <w:rPr>
                      <w:rFonts w:hint="eastAsia" w:cs="Times New Roman"/>
                      <w:color w:val="0000FF"/>
                      <w:lang w:val="en-US" w:eastAsia="zh-CN"/>
                    </w:rPr>
                    <w:t>7</w:t>
                  </w:r>
                </w:p>
              </w:tc>
              <w:tc>
                <w:tcPr>
                  <w:tcW w:w="219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rPr>
                    <w:t>报警系统</w:t>
                  </w:r>
                </w:p>
              </w:tc>
              <w:tc>
                <w:tcPr>
                  <w:tcW w:w="2362" w:type="dxa"/>
                  <w:noWrap w:val="0"/>
                  <w:vAlign w:val="center"/>
                </w:tcPr>
                <w:p>
                  <w:pPr>
                    <w:adjustRightInd w:val="0"/>
                    <w:snapToGrid w:val="0"/>
                    <w:jc w:val="center"/>
                    <w:rPr>
                      <w:rFonts w:hint="eastAsia" w:ascii="Times New Roman" w:hAnsi="Times New Roman" w:eastAsia="宋体" w:cs="Times New Roman"/>
                      <w:color w:val="0000FF"/>
                    </w:rPr>
                  </w:pPr>
                  <w:r>
                    <w:rPr>
                      <w:szCs w:val="21"/>
                    </w:rPr>
                    <w:t>/</w:t>
                  </w:r>
                </w:p>
              </w:tc>
              <w:tc>
                <w:tcPr>
                  <w:tcW w:w="628" w:type="dxa"/>
                  <w:noWrap w:val="0"/>
                  <w:vAlign w:val="center"/>
                </w:tcPr>
                <w:p>
                  <w:pPr>
                    <w:adjustRightInd w:val="0"/>
                    <w:snapToGrid w:val="0"/>
                    <w:jc w:val="center"/>
                    <w:rPr>
                      <w:rFonts w:hint="eastAsia" w:ascii="Times New Roman" w:hAnsi="Times New Roman" w:eastAsia="宋体" w:cs="Times New Roman"/>
                      <w:color w:val="0000FF"/>
                    </w:rPr>
                  </w:pPr>
                  <w:r>
                    <w:rPr>
                      <w:rFonts w:hint="eastAsia" w:ascii="Times New Roman" w:hAnsi="Times New Roman" w:eastAsia="宋体" w:cs="Times New Roman"/>
                      <w:color w:val="0000FF"/>
                      <w:lang w:val="en-US" w:eastAsia="zh-CN"/>
                    </w:rPr>
                    <w:t>套</w:t>
                  </w:r>
                </w:p>
              </w:tc>
              <w:tc>
                <w:tcPr>
                  <w:tcW w:w="613" w:type="dxa"/>
                  <w:noWrap w:val="0"/>
                  <w:vAlign w:val="center"/>
                </w:tcPr>
                <w:p>
                  <w:pPr>
                    <w:adjustRightInd w:val="0"/>
                    <w:snapToGrid w:val="0"/>
                    <w:jc w:val="cente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1</w:t>
                  </w:r>
                </w:p>
              </w:tc>
              <w:tc>
                <w:tcPr>
                  <w:tcW w:w="1483" w:type="dxa"/>
                  <w:noWrap w:val="0"/>
                  <w:vAlign w:val="center"/>
                </w:tcPr>
                <w:p>
                  <w:pPr>
                    <w:adjustRightInd w:val="0"/>
                    <w:snapToGrid w:val="0"/>
                    <w:jc w:val="center"/>
                    <w:rPr>
                      <w:rFonts w:hint="eastAsia" w:ascii="Times New Roman" w:hAnsi="Times New Roman" w:eastAsia="宋体" w:cs="Times New Roman"/>
                      <w:color w:val="0000FF"/>
                    </w:rPr>
                  </w:pPr>
                </w:p>
              </w:tc>
            </w:tr>
          </w:tbl>
          <w:p>
            <w:pPr>
              <w:adjustRightInd w:val="0"/>
              <w:snapToGrid w:val="0"/>
              <w:spacing w:line="360" w:lineRule="auto"/>
              <w:ind w:firstLine="498" w:firstLineChars="200"/>
              <w:rPr>
                <w:rFonts w:hint="eastAsia" w:eastAsia="宋体"/>
                <w:b/>
                <w:bCs/>
                <w:spacing w:val="4"/>
                <w:sz w:val="24"/>
                <w:lang w:val="en-US" w:eastAsia="zh-CN"/>
              </w:rPr>
            </w:pPr>
            <w:r>
              <w:rPr>
                <w:rFonts w:hint="eastAsia"/>
                <w:b/>
                <w:bCs/>
                <w:spacing w:val="4"/>
                <w:sz w:val="24"/>
              </w:rPr>
              <w:t>2.8</w:t>
            </w:r>
            <w:r>
              <w:rPr>
                <w:b/>
                <w:bCs/>
                <w:spacing w:val="4"/>
                <w:sz w:val="24"/>
              </w:rPr>
              <w:t>、公用工程</w:t>
            </w:r>
          </w:p>
          <w:p>
            <w:pPr>
              <w:adjustRightInd w:val="0"/>
              <w:snapToGrid w:val="0"/>
              <w:spacing w:line="360" w:lineRule="auto"/>
              <w:ind w:firstLine="480" w:firstLineChars="200"/>
              <w:rPr>
                <w:sz w:val="24"/>
              </w:rPr>
            </w:pPr>
            <w:r>
              <w:rPr>
                <w:sz w:val="24"/>
              </w:rPr>
              <w:t>本项目给</w:t>
            </w:r>
            <w:r>
              <w:rPr>
                <w:rFonts w:hint="eastAsia"/>
                <w:sz w:val="24"/>
              </w:rPr>
              <w:t>排</w:t>
            </w:r>
            <w:r>
              <w:rPr>
                <w:sz w:val="24"/>
              </w:rPr>
              <w:t>水、供电</w:t>
            </w:r>
            <w:r>
              <w:rPr>
                <w:rFonts w:hint="eastAsia"/>
                <w:sz w:val="24"/>
              </w:rPr>
              <w:t>均</w:t>
            </w:r>
            <w:r>
              <w:rPr>
                <w:sz w:val="24"/>
              </w:rPr>
              <w:t>利用</w:t>
            </w:r>
            <w:r>
              <w:rPr>
                <w:rFonts w:hint="eastAsia"/>
                <w:sz w:val="24"/>
              </w:rPr>
              <w:t>市政已建成基础配套</w:t>
            </w:r>
            <w:r>
              <w:rPr>
                <w:sz w:val="24"/>
              </w:rPr>
              <w:t>。</w:t>
            </w:r>
          </w:p>
          <w:p>
            <w:pPr>
              <w:adjustRightInd w:val="0"/>
              <w:snapToGrid w:val="0"/>
              <w:spacing w:line="360" w:lineRule="auto"/>
              <w:ind w:firstLine="498" w:firstLineChars="200"/>
              <w:rPr>
                <w:b/>
                <w:bCs/>
                <w:spacing w:val="4"/>
                <w:sz w:val="24"/>
              </w:rPr>
            </w:pPr>
            <w:r>
              <w:rPr>
                <w:rFonts w:hint="eastAsia"/>
                <w:b/>
                <w:bCs/>
                <w:spacing w:val="4"/>
                <w:sz w:val="24"/>
              </w:rPr>
              <w:t>2.8.</w:t>
            </w:r>
            <w:r>
              <w:rPr>
                <w:b/>
                <w:bCs/>
                <w:spacing w:val="4"/>
                <w:sz w:val="24"/>
              </w:rPr>
              <w:t>1、给排水</w:t>
            </w:r>
          </w:p>
          <w:p>
            <w:pPr>
              <w:adjustRightInd w:val="0"/>
              <w:snapToGrid w:val="0"/>
              <w:spacing w:line="360" w:lineRule="auto"/>
              <w:ind w:firstLine="480" w:firstLineChars="200"/>
              <w:rPr>
                <w:sz w:val="24"/>
              </w:rPr>
            </w:pPr>
            <w:r>
              <w:rPr>
                <w:sz w:val="24"/>
              </w:rPr>
              <w:t>（1）给水</w:t>
            </w:r>
          </w:p>
          <w:p>
            <w:pPr>
              <w:adjustRightInd w:val="0"/>
              <w:snapToGrid w:val="0"/>
              <w:spacing w:line="360" w:lineRule="auto"/>
              <w:ind w:firstLine="480" w:firstLineChars="200"/>
            </w:pPr>
            <w:r>
              <w:rPr>
                <w:sz w:val="24"/>
              </w:rPr>
              <w:t>项目给水引自城市自来水供水管网。管道呈环状布置，并按消防规范设置一定数量的室外地上式消火栓；室内生活给水系统用水就近从室外给水管接入，供水系统完善合理。</w:t>
            </w:r>
          </w:p>
          <w:p>
            <w:pPr>
              <w:adjustRightInd w:val="0"/>
              <w:snapToGrid w:val="0"/>
              <w:spacing w:line="360" w:lineRule="auto"/>
              <w:ind w:firstLine="480" w:firstLineChars="200"/>
              <w:rPr>
                <w:sz w:val="24"/>
              </w:rPr>
            </w:pPr>
            <w:r>
              <w:rPr>
                <w:sz w:val="24"/>
              </w:rPr>
              <w:t>（2）排水</w:t>
            </w:r>
          </w:p>
          <w:p>
            <w:pPr>
              <w:pStyle w:val="21"/>
              <w:spacing w:after="0" w:line="360" w:lineRule="auto"/>
              <w:ind w:left="0" w:leftChars="0" w:firstLine="480" w:firstLineChars="200"/>
              <w:rPr>
                <w:bCs/>
                <w:snapToGrid w:val="0"/>
                <w:sz w:val="24"/>
              </w:rPr>
            </w:pPr>
            <w:r>
              <w:rPr>
                <w:sz w:val="24"/>
              </w:rPr>
              <w:t>本项目实行雨污分流制。</w:t>
            </w:r>
          </w:p>
          <w:p>
            <w:pPr>
              <w:adjustRightInd w:val="0"/>
              <w:snapToGrid w:val="0"/>
              <w:spacing w:line="360" w:lineRule="auto"/>
              <w:ind w:firstLine="480" w:firstLineChars="200"/>
              <w:rPr>
                <w:rFonts w:hint="eastAsia"/>
                <w:sz w:val="24"/>
                <w:u w:val="single"/>
              </w:rPr>
            </w:pPr>
            <w:r>
              <w:rPr>
                <w:sz w:val="24"/>
                <w:u w:val="single"/>
              </w:rPr>
              <w:t>项目</w:t>
            </w:r>
            <w:r>
              <w:rPr>
                <w:bCs/>
                <w:sz w:val="24"/>
                <w:u w:val="single"/>
              </w:rPr>
              <w:t>生活污水经</w:t>
            </w:r>
            <w:r>
              <w:rPr>
                <w:rFonts w:hint="eastAsia"/>
                <w:bCs/>
                <w:sz w:val="24"/>
                <w:u w:val="single"/>
              </w:rPr>
              <w:t>三级</w:t>
            </w:r>
            <w:r>
              <w:rPr>
                <w:bCs/>
                <w:sz w:val="24"/>
                <w:u w:val="single"/>
              </w:rPr>
              <w:t>化粪池</w:t>
            </w:r>
            <w:r>
              <w:rPr>
                <w:rFonts w:hint="eastAsia"/>
                <w:bCs/>
                <w:sz w:val="24"/>
                <w:u w:val="single"/>
                <w:lang w:eastAsia="zh-CN"/>
              </w:rPr>
              <w:t>（</w:t>
            </w:r>
            <w:r>
              <w:rPr>
                <w:rFonts w:hint="eastAsia"/>
                <w:bCs/>
                <w:sz w:val="24"/>
                <w:u w:val="single"/>
                <w:lang w:val="en-US" w:eastAsia="zh-CN"/>
              </w:rPr>
              <w:t>化粪池大小为4m</w:t>
            </w:r>
            <w:r>
              <w:rPr>
                <w:rFonts w:hint="eastAsia"/>
                <w:bCs/>
                <w:sz w:val="24"/>
                <w:u w:val="single"/>
                <w:vertAlign w:val="superscript"/>
                <w:lang w:val="en-US" w:eastAsia="zh-CN"/>
              </w:rPr>
              <w:t>3</w:t>
            </w:r>
            <w:r>
              <w:rPr>
                <w:rFonts w:hint="eastAsia"/>
                <w:bCs/>
                <w:sz w:val="24"/>
                <w:u w:val="single"/>
                <w:lang w:eastAsia="zh-CN"/>
              </w:rPr>
              <w:t>）</w:t>
            </w:r>
            <w:r>
              <w:rPr>
                <w:rFonts w:hint="eastAsia"/>
                <w:bCs/>
                <w:sz w:val="24"/>
                <w:u w:val="single"/>
                <w:lang w:val="en-US" w:eastAsia="zh-CN"/>
              </w:rPr>
              <w:t>+调节池（大小为4m</w:t>
            </w:r>
            <w:r>
              <w:rPr>
                <w:rFonts w:hint="eastAsia"/>
                <w:bCs/>
                <w:sz w:val="24"/>
                <w:u w:val="single"/>
                <w:vertAlign w:val="superscript"/>
                <w:lang w:val="en-US" w:eastAsia="zh-CN"/>
              </w:rPr>
              <w:t>3</w:t>
            </w:r>
            <w:r>
              <w:rPr>
                <w:rFonts w:hint="eastAsia"/>
                <w:bCs/>
                <w:sz w:val="24"/>
                <w:u w:val="single"/>
                <w:lang w:val="en-US" w:eastAsia="zh-CN"/>
              </w:rPr>
              <w:t>）</w:t>
            </w:r>
            <w:r>
              <w:rPr>
                <w:bCs/>
                <w:sz w:val="24"/>
                <w:u w:val="single"/>
              </w:rPr>
              <w:t>处理</w:t>
            </w:r>
            <w:r>
              <w:rPr>
                <w:rFonts w:hint="eastAsia"/>
                <w:bCs/>
                <w:sz w:val="24"/>
                <w:u w:val="single"/>
              </w:rPr>
              <w:t>后用作周边绿植施肥</w:t>
            </w:r>
            <w:r>
              <w:rPr>
                <w:sz w:val="24"/>
                <w:u w:val="single"/>
              </w:rPr>
              <w:t>。</w:t>
            </w:r>
            <w:r>
              <w:rPr>
                <w:rFonts w:hint="eastAsia"/>
                <w:sz w:val="24"/>
                <w:u w:val="single"/>
              </w:rPr>
              <w:t>雨天初期雨水经罩棚四周环形导流沟进入隔油沉淀池（隔油沉淀池规格为3m*2m*1.5m）处理，用于场地降尘及绿植灌溉。</w:t>
            </w:r>
          </w:p>
          <w:p>
            <w:pPr>
              <w:adjustRightInd w:val="0"/>
              <w:snapToGrid w:val="0"/>
              <w:spacing w:line="360" w:lineRule="auto"/>
              <w:ind w:firstLine="480" w:firstLineChars="200"/>
              <w:rPr>
                <w:sz w:val="24"/>
              </w:rPr>
            </w:pPr>
            <w:r>
              <w:rPr>
                <w:sz w:val="24"/>
              </w:rPr>
              <w:t>①</w:t>
            </w:r>
            <w:r>
              <w:rPr>
                <w:rFonts w:hint="eastAsia"/>
                <w:sz w:val="24"/>
              </w:rPr>
              <w:t>员工生活用水</w:t>
            </w:r>
          </w:p>
          <w:p>
            <w:pPr>
              <w:adjustRightInd w:val="0"/>
              <w:snapToGrid w:val="0"/>
              <w:spacing w:line="360" w:lineRule="auto"/>
              <w:ind w:firstLine="480" w:firstLineChars="200"/>
              <w:rPr>
                <w:rFonts w:hint="eastAsia"/>
                <w:sz w:val="24"/>
              </w:rPr>
            </w:pPr>
            <w:r>
              <w:rPr>
                <w:sz w:val="24"/>
              </w:rPr>
              <w:t>项目</w:t>
            </w:r>
            <w:r>
              <w:rPr>
                <w:rFonts w:hint="eastAsia"/>
                <w:sz w:val="24"/>
              </w:rPr>
              <w:t>改建后计有8</w:t>
            </w:r>
            <w:r>
              <w:rPr>
                <w:sz w:val="24"/>
              </w:rPr>
              <w:t>名工作人员</w:t>
            </w:r>
            <w:r>
              <w:rPr>
                <w:rFonts w:hint="eastAsia"/>
                <w:sz w:val="24"/>
              </w:rPr>
              <w:t>（含管理人员），除夜班人员留宿，其余均不在项目内部食宿，用水系数按《湖南省用水定额》（DB43T388-2020）中先进值15</w:t>
            </w:r>
            <w:r>
              <w:rPr>
                <w:sz w:val="24"/>
              </w:rPr>
              <w:t>m</w:t>
            </w:r>
            <w:r>
              <w:rPr>
                <w:sz w:val="24"/>
                <w:vertAlign w:val="superscript"/>
              </w:rPr>
              <w:t>3</w:t>
            </w:r>
            <w:r>
              <w:rPr>
                <w:sz w:val="24"/>
              </w:rPr>
              <w:t>/人·a计算，</w:t>
            </w:r>
            <w:r>
              <w:rPr>
                <w:rFonts w:hint="eastAsia"/>
                <w:sz w:val="24"/>
              </w:rPr>
              <w:t>计算可得，</w:t>
            </w:r>
            <w:r>
              <w:rPr>
                <w:sz w:val="24"/>
              </w:rPr>
              <w:t>生活用水总量为</w:t>
            </w:r>
            <w:r>
              <w:rPr>
                <w:rFonts w:hint="eastAsia"/>
                <w:sz w:val="24"/>
              </w:rPr>
              <w:t>120</w:t>
            </w:r>
            <w:r>
              <w:rPr>
                <w:sz w:val="24"/>
              </w:rPr>
              <w:t>m</w:t>
            </w:r>
            <w:r>
              <w:rPr>
                <w:sz w:val="24"/>
                <w:vertAlign w:val="superscript"/>
              </w:rPr>
              <w:t>3</w:t>
            </w:r>
            <w:r>
              <w:rPr>
                <w:sz w:val="24"/>
              </w:rPr>
              <w:t>/</w:t>
            </w:r>
            <w:r>
              <w:rPr>
                <w:rFonts w:hint="eastAsia"/>
                <w:sz w:val="24"/>
              </w:rPr>
              <w:t>a。</w:t>
            </w:r>
          </w:p>
          <w:p>
            <w:pPr>
              <w:adjustRightInd w:val="0"/>
              <w:snapToGrid w:val="0"/>
              <w:spacing w:line="360" w:lineRule="auto"/>
              <w:ind w:firstLine="480" w:firstLineChars="200"/>
              <w:rPr>
                <w:sz w:val="24"/>
              </w:rPr>
            </w:pPr>
            <w:r>
              <w:rPr>
                <w:sz w:val="24"/>
              </w:rPr>
              <w:t>生活污水</w:t>
            </w:r>
            <w:r>
              <w:rPr>
                <w:rFonts w:hint="eastAsia"/>
                <w:sz w:val="24"/>
              </w:rPr>
              <w:t>产生量</w:t>
            </w:r>
            <w:r>
              <w:rPr>
                <w:sz w:val="24"/>
              </w:rPr>
              <w:t>按用水量的</w:t>
            </w:r>
            <w:r>
              <w:rPr>
                <w:rFonts w:hint="eastAsia"/>
                <w:sz w:val="24"/>
              </w:rPr>
              <w:t>80%</w:t>
            </w:r>
            <w:r>
              <w:rPr>
                <w:sz w:val="24"/>
              </w:rPr>
              <w:t>计算，</w:t>
            </w:r>
            <w:r>
              <w:rPr>
                <w:rFonts w:hint="eastAsia"/>
                <w:sz w:val="24"/>
              </w:rPr>
              <w:t>即96</w:t>
            </w:r>
            <w:r>
              <w:rPr>
                <w:sz w:val="24"/>
              </w:rPr>
              <w:t>m</w:t>
            </w:r>
            <w:r>
              <w:rPr>
                <w:sz w:val="24"/>
                <w:vertAlign w:val="superscript"/>
              </w:rPr>
              <w:t>3</w:t>
            </w:r>
            <w:r>
              <w:rPr>
                <w:sz w:val="24"/>
              </w:rPr>
              <w:t>/a</w:t>
            </w:r>
            <w:r>
              <w:rPr>
                <w:rFonts w:hint="eastAsia"/>
                <w:sz w:val="24"/>
              </w:rPr>
              <w:t>，经自建</w:t>
            </w:r>
            <w:r>
              <w:rPr>
                <w:sz w:val="24"/>
              </w:rPr>
              <w:t>三级化粪池</w:t>
            </w:r>
            <w:r>
              <w:rPr>
                <w:rFonts w:hint="eastAsia"/>
                <w:sz w:val="24"/>
                <w:lang w:val="en-US" w:eastAsia="zh-CN"/>
              </w:rPr>
              <w:t>+调节池</w:t>
            </w:r>
            <w:r>
              <w:rPr>
                <w:rFonts w:hint="eastAsia"/>
                <w:sz w:val="24"/>
              </w:rPr>
              <w:t>处理后用作周边绿植施肥。</w:t>
            </w:r>
          </w:p>
          <w:p>
            <w:pPr>
              <w:adjustRightInd w:val="0"/>
              <w:snapToGrid w:val="0"/>
              <w:spacing w:line="360" w:lineRule="auto"/>
              <w:ind w:firstLine="480" w:firstLineChars="200"/>
              <w:rPr>
                <w:rFonts w:hint="eastAsia"/>
                <w:sz w:val="24"/>
              </w:rPr>
            </w:pPr>
            <w:r>
              <w:rPr>
                <w:rFonts w:hint="eastAsia"/>
                <w:sz w:val="24"/>
              </w:rPr>
              <w:t>②公共卫生间用水</w:t>
            </w:r>
          </w:p>
          <w:p>
            <w:pPr>
              <w:adjustRightInd w:val="0"/>
              <w:snapToGrid w:val="0"/>
              <w:spacing w:line="360" w:lineRule="auto"/>
              <w:ind w:firstLine="480" w:firstLineChars="200"/>
              <w:rPr>
                <w:sz w:val="24"/>
              </w:rPr>
            </w:pPr>
            <w:r>
              <w:rPr>
                <w:rFonts w:hint="eastAsia"/>
                <w:sz w:val="24"/>
              </w:rPr>
              <w:t>项目设有一座公共卫生间，主要供内部员工及顾客、路人使用。根据业主提供数据，现有使用频率约为20人次/d，在扩建后预计最大使用频率为40人次/d，公共卫生间用水系数按《湖南省用水定额》（DB43T388-2020）中公共厕所的先进值6L/人次计算，折合公共卫生间总用水量约0.24</w:t>
            </w:r>
            <w:r>
              <w:rPr>
                <w:sz w:val="24"/>
              </w:rPr>
              <w:t>m</w:t>
            </w:r>
            <w:r>
              <w:rPr>
                <w:sz w:val="24"/>
                <w:vertAlign w:val="superscript"/>
              </w:rPr>
              <w:t>3</w:t>
            </w:r>
            <w:r>
              <w:rPr>
                <w:sz w:val="24"/>
              </w:rPr>
              <w:t>/d（即</w:t>
            </w:r>
            <w:r>
              <w:rPr>
                <w:rFonts w:hint="eastAsia"/>
                <w:sz w:val="24"/>
              </w:rPr>
              <w:t>87.6</w:t>
            </w:r>
            <w:r>
              <w:rPr>
                <w:sz w:val="24"/>
              </w:rPr>
              <w:t>m</w:t>
            </w:r>
            <w:r>
              <w:rPr>
                <w:sz w:val="24"/>
                <w:vertAlign w:val="superscript"/>
              </w:rPr>
              <w:t>3</w:t>
            </w:r>
            <w:r>
              <w:rPr>
                <w:sz w:val="24"/>
              </w:rPr>
              <w:t>/a）。</w:t>
            </w:r>
          </w:p>
          <w:p>
            <w:pPr>
              <w:adjustRightInd w:val="0"/>
              <w:snapToGrid w:val="0"/>
              <w:spacing w:line="360" w:lineRule="auto"/>
              <w:ind w:firstLine="480" w:firstLineChars="200"/>
              <w:rPr>
                <w:sz w:val="24"/>
              </w:rPr>
            </w:pPr>
            <w:r>
              <w:rPr>
                <w:rFonts w:hint="eastAsia"/>
                <w:sz w:val="24"/>
              </w:rPr>
              <w:t>公共卫生间污水产生量</w:t>
            </w:r>
            <w:r>
              <w:rPr>
                <w:sz w:val="24"/>
              </w:rPr>
              <w:t>按用水量的</w:t>
            </w:r>
            <w:r>
              <w:rPr>
                <w:rFonts w:hint="eastAsia"/>
                <w:sz w:val="24"/>
              </w:rPr>
              <w:t>90%</w:t>
            </w:r>
            <w:r>
              <w:rPr>
                <w:sz w:val="24"/>
              </w:rPr>
              <w:t>计算，即</w:t>
            </w:r>
            <w:r>
              <w:rPr>
                <w:rFonts w:hint="eastAsia"/>
                <w:sz w:val="24"/>
              </w:rPr>
              <w:t>78.84</w:t>
            </w:r>
            <w:r>
              <w:rPr>
                <w:sz w:val="24"/>
              </w:rPr>
              <w:t>m</w:t>
            </w:r>
            <w:r>
              <w:rPr>
                <w:sz w:val="24"/>
                <w:vertAlign w:val="superscript"/>
              </w:rPr>
              <w:t>3</w:t>
            </w:r>
            <w:r>
              <w:rPr>
                <w:sz w:val="24"/>
              </w:rPr>
              <w:t>/a，经</w:t>
            </w:r>
            <w:r>
              <w:rPr>
                <w:rFonts w:hint="eastAsia"/>
                <w:sz w:val="24"/>
              </w:rPr>
              <w:t>自建</w:t>
            </w:r>
            <w:r>
              <w:rPr>
                <w:sz w:val="24"/>
              </w:rPr>
              <w:t>三级化粪池</w:t>
            </w:r>
            <w:r>
              <w:rPr>
                <w:rFonts w:hint="eastAsia"/>
                <w:sz w:val="24"/>
                <w:lang w:val="en-US" w:eastAsia="zh-CN"/>
              </w:rPr>
              <w:t>+调节池</w:t>
            </w:r>
            <w:r>
              <w:rPr>
                <w:rFonts w:hint="eastAsia"/>
                <w:sz w:val="24"/>
              </w:rPr>
              <w:t>处理后用作周边植物施肥。</w:t>
            </w:r>
          </w:p>
          <w:p>
            <w:pPr>
              <w:adjustRightInd w:val="0"/>
              <w:snapToGrid w:val="0"/>
              <w:spacing w:line="360" w:lineRule="auto"/>
              <w:ind w:firstLine="480" w:firstLineChars="200"/>
              <w:rPr>
                <w:rFonts w:hint="eastAsia" w:eastAsia="宋体"/>
                <w:b/>
                <w:bCs/>
                <w:sz w:val="24"/>
                <w:lang w:eastAsia="zh-CN"/>
              </w:rPr>
            </w:pPr>
            <w:r>
              <w:rPr>
                <w:rFonts w:hint="eastAsia"/>
                <w:sz w:val="24"/>
              </w:rPr>
              <w:t>③罩棚区地面保洁用水</w:t>
            </w:r>
          </w:p>
          <w:p>
            <w:pPr>
              <w:adjustRightInd w:val="0"/>
              <w:snapToGrid w:val="0"/>
              <w:spacing w:line="360" w:lineRule="auto"/>
              <w:ind w:firstLine="480" w:firstLineChars="200"/>
              <w:rPr>
                <w:sz w:val="24"/>
              </w:rPr>
            </w:pPr>
            <w:r>
              <w:rPr>
                <w:rFonts w:hint="eastAsia"/>
                <w:sz w:val="24"/>
              </w:rPr>
              <w:t>建设单位平均每周对项目罩棚区地面进行一次冲洗保洁，依据业主提供的资料，用水系数按1.8L/（m</w:t>
            </w:r>
            <w:r>
              <w:rPr>
                <w:rFonts w:hint="eastAsia"/>
                <w:sz w:val="24"/>
                <w:vertAlign w:val="superscript"/>
              </w:rPr>
              <w:t>2</w:t>
            </w:r>
            <w:r>
              <w:rPr>
                <w:sz w:val="24"/>
              </w:rPr>
              <w:t>·</w:t>
            </w:r>
            <w:r>
              <w:rPr>
                <w:rFonts w:hint="eastAsia"/>
                <w:sz w:val="24"/>
              </w:rPr>
              <w:t>次）计算。项目罩棚区占地面积为382</w:t>
            </w:r>
            <w:r>
              <w:rPr>
                <w:kern w:val="21"/>
                <w:sz w:val="24"/>
              </w:rPr>
              <w:t>m</w:t>
            </w:r>
            <w:r>
              <w:rPr>
                <w:kern w:val="21"/>
                <w:sz w:val="24"/>
                <w:vertAlign w:val="superscript"/>
              </w:rPr>
              <w:t>2</w:t>
            </w:r>
            <w:r>
              <w:rPr>
                <w:rFonts w:hint="eastAsia"/>
                <w:sz w:val="24"/>
              </w:rPr>
              <w:t>，计算可得，冲洗用水为0.688m</w:t>
            </w:r>
            <w:r>
              <w:rPr>
                <w:rFonts w:hint="eastAsia"/>
                <w:sz w:val="24"/>
                <w:vertAlign w:val="superscript"/>
              </w:rPr>
              <w:t>3</w:t>
            </w:r>
            <w:r>
              <w:rPr>
                <w:rFonts w:hint="eastAsia"/>
                <w:sz w:val="24"/>
              </w:rPr>
              <w:t>/次，折合35.78m</w:t>
            </w:r>
            <w:r>
              <w:rPr>
                <w:rFonts w:hint="eastAsia"/>
                <w:sz w:val="24"/>
                <w:vertAlign w:val="superscript"/>
              </w:rPr>
              <w:t>3</w:t>
            </w:r>
            <w:r>
              <w:rPr>
                <w:rFonts w:hint="eastAsia"/>
                <w:sz w:val="24"/>
              </w:rPr>
              <w:t>/a。</w:t>
            </w:r>
          </w:p>
          <w:p>
            <w:pPr>
              <w:adjustRightInd w:val="0"/>
              <w:snapToGrid w:val="0"/>
              <w:spacing w:line="360" w:lineRule="auto"/>
              <w:ind w:firstLine="480" w:firstLineChars="200"/>
              <w:rPr>
                <w:rFonts w:hint="eastAsia"/>
                <w:sz w:val="24"/>
              </w:rPr>
            </w:pPr>
            <w:r>
              <w:rPr>
                <w:rFonts w:hint="eastAsia"/>
                <w:sz w:val="24"/>
              </w:rPr>
              <w:t>罩棚区地面保洁废水产生量按用水量的90%</w:t>
            </w:r>
            <w:r>
              <w:rPr>
                <w:sz w:val="24"/>
              </w:rPr>
              <w:t>计算，</w:t>
            </w:r>
            <w:r>
              <w:rPr>
                <w:rFonts w:hint="eastAsia"/>
                <w:sz w:val="24"/>
              </w:rPr>
              <w:t>折合0.619m</w:t>
            </w:r>
            <w:r>
              <w:rPr>
                <w:rFonts w:hint="eastAsia"/>
                <w:sz w:val="24"/>
                <w:vertAlign w:val="superscript"/>
              </w:rPr>
              <w:t>3</w:t>
            </w:r>
            <w:r>
              <w:rPr>
                <w:rFonts w:hint="eastAsia"/>
                <w:sz w:val="24"/>
              </w:rPr>
              <w:t>/次（即32.19m</w:t>
            </w:r>
            <w:r>
              <w:rPr>
                <w:rFonts w:hint="eastAsia"/>
                <w:sz w:val="24"/>
                <w:vertAlign w:val="superscript"/>
              </w:rPr>
              <w:t>3</w:t>
            </w:r>
            <w:r>
              <w:rPr>
                <w:rFonts w:hint="eastAsia"/>
                <w:sz w:val="24"/>
              </w:rPr>
              <w:t>/a），经自建隔油沉淀池处理后用作周边绿植灌溉。</w:t>
            </w:r>
          </w:p>
          <w:p>
            <w:pPr>
              <w:adjustRightInd w:val="0"/>
              <w:snapToGrid w:val="0"/>
              <w:spacing w:line="360" w:lineRule="auto"/>
              <w:ind w:firstLine="480" w:firstLineChars="200"/>
              <w:rPr>
                <w:sz w:val="24"/>
              </w:rPr>
            </w:pPr>
            <w:r>
              <w:rPr>
                <w:rFonts w:hint="eastAsia"/>
                <w:sz w:val="24"/>
              </w:rPr>
              <w:fldChar w:fldCharType="begin"/>
            </w:r>
            <w:r>
              <w:rPr>
                <w:rFonts w:hint="eastAsia"/>
                <w:sz w:val="24"/>
              </w:rPr>
              <w:instrText xml:space="preserve"> = 4 \* GB3 \* MERGEFORMAT </w:instrText>
            </w:r>
            <w:r>
              <w:rPr>
                <w:rFonts w:hint="eastAsia"/>
                <w:sz w:val="24"/>
              </w:rPr>
              <w:fldChar w:fldCharType="separate"/>
            </w:r>
            <w:r>
              <w:t>④</w:t>
            </w:r>
            <w:r>
              <w:rPr>
                <w:rFonts w:hint="eastAsia"/>
                <w:sz w:val="24"/>
              </w:rPr>
              <w:fldChar w:fldCharType="end"/>
            </w:r>
            <w:r>
              <w:rPr>
                <w:rFonts w:hint="eastAsia"/>
                <w:sz w:val="24"/>
              </w:rPr>
              <w:t>雨天初期雨水</w:t>
            </w:r>
          </w:p>
          <w:p>
            <w:pPr>
              <w:adjustRightInd w:val="0"/>
              <w:snapToGrid w:val="0"/>
              <w:spacing w:line="360" w:lineRule="auto"/>
              <w:ind w:firstLine="480" w:firstLineChars="200"/>
              <w:rPr>
                <w:sz w:val="24"/>
              </w:rPr>
            </w:pPr>
            <w:r>
              <w:rPr>
                <w:rFonts w:hint="eastAsia"/>
                <w:sz w:val="24"/>
              </w:rPr>
              <w:t>项目运营期间，在降雨天气会产生一定的地面冲刷雨水，其中，罩棚区的初期雨水会含有一定的SS及石油类污染物。</w:t>
            </w:r>
          </w:p>
          <w:p>
            <w:pPr>
              <w:adjustRightInd w:val="0"/>
              <w:snapToGrid w:val="0"/>
              <w:spacing w:line="360" w:lineRule="auto"/>
              <w:ind w:firstLine="480" w:firstLineChars="200"/>
              <w:rPr>
                <w:sz w:val="24"/>
              </w:rPr>
            </w:pPr>
            <w:r>
              <w:rPr>
                <w:rFonts w:hint="eastAsia"/>
                <w:sz w:val="24"/>
              </w:rPr>
              <w:t>项目实行雨污分流制度，其中罩棚区前15分钟的冲刷废水（初期雨水）经回型集水沟收集引至隔油沉淀池，预处理后</w:t>
            </w:r>
            <w:r>
              <w:rPr>
                <w:rFonts w:hint="eastAsia"/>
                <w:sz w:val="24"/>
                <w:lang w:val="en-US" w:eastAsia="zh-CN"/>
              </w:rPr>
              <w:t>用作绿植灌溉</w:t>
            </w:r>
            <w:r>
              <w:rPr>
                <w:rFonts w:hint="eastAsia"/>
                <w:sz w:val="24"/>
              </w:rPr>
              <w:t>；后期雨水则与项目其他区域的雨水一同汇入市政雨水管网。</w:t>
            </w:r>
          </w:p>
          <w:p>
            <w:pPr>
              <w:adjustRightInd w:val="0"/>
              <w:snapToGrid w:val="0"/>
              <w:spacing w:line="360" w:lineRule="auto"/>
              <w:ind w:firstLine="480" w:firstLineChars="200"/>
              <w:rPr>
                <w:sz w:val="24"/>
              </w:rPr>
            </w:pPr>
            <w:r>
              <w:rPr>
                <w:rFonts w:hint="eastAsia"/>
                <w:sz w:val="24"/>
              </w:rPr>
              <w:t>为量化项目罩棚区雨天冲刷废水产生量，本报告以</w:t>
            </w:r>
            <w:r>
              <w:rPr>
                <w:sz w:val="24"/>
              </w:rPr>
              <w:t>湖南大学采用数理统计法编制的暴雨公式进行</w:t>
            </w:r>
            <w:r>
              <w:rPr>
                <w:rFonts w:hint="eastAsia"/>
                <w:sz w:val="24"/>
              </w:rPr>
              <w:t>计算，其公式为：</w:t>
            </w:r>
          </w:p>
          <w:p>
            <w:pPr>
              <w:adjustRightInd w:val="0"/>
              <w:snapToGrid w:val="0"/>
              <w:spacing w:line="360" w:lineRule="auto"/>
              <w:jc w:val="center"/>
              <w:rPr>
                <w:sz w:val="24"/>
              </w:rPr>
            </w:pPr>
            <w:r>
              <w:rPr>
                <w:position w:val="-28"/>
                <w:sz w:val="24"/>
              </w:rPr>
              <w:object>
                <v:shape id="_x0000_i1025" o:spt="75" type="#_x0000_t75" style="height:33pt;width:112pt;" o:ole="t" filled="f" o:preferrelative="t" stroked="f" coordsize="21600,21600">
                  <v:path/>
                  <v:fill on="f" focussize="0,0"/>
                  <v:stroke on="f"/>
                  <v:imagedata r:id="rId17" o:title=""/>
                  <o:lock v:ext="edit" aspectratio="t"/>
                  <w10:wrap type="none"/>
                  <w10:anchorlock/>
                </v:shape>
                <o:OLEObject Type="Embed" ProgID="Equation.KSEE3" ShapeID="_x0000_i1025" DrawAspect="Content" ObjectID="_1468075725" r:id="rId16">
                  <o:LockedField>false</o:LockedField>
                </o:OLEObject>
              </w:object>
            </w:r>
          </w:p>
          <w:p>
            <w:pPr>
              <w:adjustRightInd w:val="0"/>
              <w:snapToGrid w:val="0"/>
              <w:spacing w:line="360" w:lineRule="auto"/>
              <w:ind w:firstLine="480" w:firstLineChars="200"/>
              <w:rPr>
                <w:rFonts w:hint="eastAsia"/>
                <w:sz w:val="24"/>
              </w:rPr>
            </w:pPr>
            <w:r>
              <w:rPr>
                <w:rFonts w:hint="eastAsia"/>
                <w:sz w:val="24"/>
              </w:rPr>
              <w:t>式中：</w:t>
            </w:r>
          </w:p>
          <w:p>
            <w:pPr>
              <w:adjustRightInd w:val="0"/>
              <w:snapToGrid w:val="0"/>
              <w:spacing w:line="360" w:lineRule="auto"/>
              <w:ind w:firstLine="3120" w:firstLineChars="1300"/>
              <w:rPr>
                <w:rFonts w:hint="eastAsia"/>
                <w:sz w:val="24"/>
              </w:rPr>
            </w:pPr>
            <w:r>
              <w:rPr>
                <w:rFonts w:hint="eastAsia"/>
                <w:i/>
                <w:iCs/>
                <w:sz w:val="24"/>
              </w:rPr>
              <w:t>q</w:t>
            </w:r>
            <w:r>
              <w:rPr>
                <w:sz w:val="24"/>
              </w:rPr>
              <w:t>——</w:t>
            </w:r>
            <w:r>
              <w:rPr>
                <w:rFonts w:hint="eastAsia"/>
                <w:sz w:val="24"/>
              </w:rPr>
              <w:t>暴雨强度，L/s</w:t>
            </w:r>
            <w:r>
              <w:rPr>
                <w:sz w:val="24"/>
              </w:rPr>
              <w:t>·</w:t>
            </w:r>
            <w:r>
              <w:rPr>
                <w:rFonts w:hint="eastAsia"/>
                <w:sz w:val="24"/>
              </w:rPr>
              <w:t>ha；</w:t>
            </w:r>
          </w:p>
          <w:p>
            <w:pPr>
              <w:adjustRightInd w:val="0"/>
              <w:snapToGrid w:val="0"/>
              <w:spacing w:line="360" w:lineRule="auto"/>
              <w:ind w:firstLine="3120" w:firstLineChars="1300"/>
              <w:rPr>
                <w:sz w:val="24"/>
              </w:rPr>
            </w:pPr>
            <w:r>
              <w:rPr>
                <w:rFonts w:hint="eastAsia"/>
                <w:i/>
                <w:iCs/>
                <w:sz w:val="24"/>
              </w:rPr>
              <w:t>P</w:t>
            </w:r>
            <w:r>
              <w:rPr>
                <w:sz w:val="24"/>
              </w:rPr>
              <w:t>——</w:t>
            </w:r>
            <w:r>
              <w:rPr>
                <w:rFonts w:hint="eastAsia"/>
                <w:sz w:val="24"/>
              </w:rPr>
              <w:t>设计重现期，a；</w:t>
            </w:r>
          </w:p>
          <w:p>
            <w:pPr>
              <w:adjustRightInd w:val="0"/>
              <w:snapToGrid w:val="0"/>
              <w:spacing w:line="360" w:lineRule="auto"/>
              <w:ind w:firstLine="3120" w:firstLineChars="1300"/>
              <w:rPr>
                <w:sz w:val="24"/>
              </w:rPr>
            </w:pPr>
            <w:r>
              <w:rPr>
                <w:rFonts w:hint="eastAsia"/>
                <w:i/>
                <w:iCs/>
                <w:sz w:val="24"/>
              </w:rPr>
              <w:t>t</w:t>
            </w:r>
            <w:r>
              <w:rPr>
                <w:sz w:val="24"/>
              </w:rPr>
              <w:t>——</w:t>
            </w:r>
            <w:r>
              <w:rPr>
                <w:rFonts w:hint="eastAsia"/>
                <w:sz w:val="24"/>
              </w:rPr>
              <w:t>设计降雨历时，min。</w:t>
            </w:r>
          </w:p>
          <w:p>
            <w:pPr>
              <w:adjustRightInd w:val="0"/>
              <w:snapToGrid w:val="0"/>
              <w:spacing w:line="360" w:lineRule="auto"/>
              <w:ind w:firstLine="480" w:firstLineChars="200"/>
              <w:rPr>
                <w:sz w:val="24"/>
              </w:rPr>
            </w:pPr>
            <w:r>
              <w:rPr>
                <w:rFonts w:hint="eastAsia"/>
                <w:sz w:val="24"/>
              </w:rPr>
              <w:t>结合岳阳市当地降雨特征，雨水设计重现期</w:t>
            </w:r>
            <w:r>
              <w:rPr>
                <w:rFonts w:hint="eastAsia"/>
                <w:i/>
                <w:iCs/>
                <w:sz w:val="24"/>
              </w:rPr>
              <w:t>P</w:t>
            </w:r>
            <w:r>
              <w:rPr>
                <w:rFonts w:hint="eastAsia"/>
                <w:sz w:val="24"/>
              </w:rPr>
              <w:t>取2a；设计降雨历时</w:t>
            </w:r>
            <w:r>
              <w:rPr>
                <w:rFonts w:hint="eastAsia"/>
                <w:i/>
                <w:iCs/>
                <w:sz w:val="24"/>
              </w:rPr>
              <w:t>t</w:t>
            </w:r>
            <w:r>
              <w:rPr>
                <w:rFonts w:hint="eastAsia"/>
                <w:sz w:val="24"/>
              </w:rPr>
              <w:t>取20min；计算可得，暴雨强度</w:t>
            </w:r>
            <w:r>
              <w:rPr>
                <w:rFonts w:hint="eastAsia"/>
                <w:i/>
                <w:iCs/>
                <w:sz w:val="24"/>
              </w:rPr>
              <w:t>q</w:t>
            </w:r>
            <w:r>
              <w:rPr>
                <w:rFonts w:hint="eastAsia"/>
                <w:sz w:val="24"/>
              </w:rPr>
              <w:t>=211.60L/s</w:t>
            </w:r>
            <w:r>
              <w:rPr>
                <w:sz w:val="24"/>
              </w:rPr>
              <w:t>·</w:t>
            </w:r>
            <w:r>
              <w:rPr>
                <w:rFonts w:hint="eastAsia"/>
                <w:sz w:val="24"/>
              </w:rPr>
              <w:t>ha。</w:t>
            </w:r>
          </w:p>
          <w:p>
            <w:pPr>
              <w:adjustRightInd w:val="0"/>
              <w:snapToGrid w:val="0"/>
              <w:spacing w:line="360" w:lineRule="auto"/>
              <w:ind w:firstLine="480" w:firstLineChars="200"/>
              <w:rPr>
                <w:rFonts w:hint="eastAsia"/>
                <w:sz w:val="24"/>
              </w:rPr>
            </w:pPr>
            <w:r>
              <w:rPr>
                <w:rFonts w:hint="eastAsia"/>
                <w:color w:val="0000FF"/>
                <w:sz w:val="24"/>
              </w:rPr>
              <w:t>参照《室外排水设计规范》（GB50014-20</w:t>
            </w:r>
            <w:r>
              <w:rPr>
                <w:rFonts w:hint="eastAsia"/>
                <w:color w:val="0000FF"/>
                <w:sz w:val="24"/>
                <w:lang w:val="en-US" w:eastAsia="zh-CN"/>
              </w:rPr>
              <w:t>21</w:t>
            </w:r>
            <w:r>
              <w:rPr>
                <w:rFonts w:hint="eastAsia"/>
                <w:color w:val="0000FF"/>
                <w:sz w:val="24"/>
              </w:rPr>
              <w:t>）</w:t>
            </w:r>
            <w:r>
              <w:rPr>
                <w:rFonts w:hint="eastAsia"/>
                <w:sz w:val="24"/>
              </w:rPr>
              <w:t>，初期雨水流量计算公式为：</w:t>
            </w:r>
          </w:p>
          <w:p>
            <w:pPr>
              <w:adjustRightInd w:val="0"/>
              <w:snapToGrid w:val="0"/>
              <w:spacing w:line="360" w:lineRule="auto"/>
              <w:jc w:val="center"/>
              <w:rPr>
                <w:rFonts w:hint="eastAsia"/>
                <w:sz w:val="24"/>
              </w:rPr>
            </w:pPr>
            <w:r>
              <w:rPr>
                <w:i/>
                <w:iCs/>
                <w:sz w:val="24"/>
              </w:rPr>
              <w:t>Q</w:t>
            </w:r>
            <w:r>
              <w:rPr>
                <w:sz w:val="24"/>
              </w:rPr>
              <w:t>＝</w:t>
            </w:r>
            <w:r>
              <w:rPr>
                <w:i/>
                <w:iCs/>
                <w:sz w:val="24"/>
              </w:rPr>
              <w:t>Ψfq</w:t>
            </w:r>
          </w:p>
          <w:p>
            <w:pPr>
              <w:adjustRightInd w:val="0"/>
              <w:snapToGrid w:val="0"/>
              <w:spacing w:line="360" w:lineRule="auto"/>
              <w:ind w:firstLine="480" w:firstLineChars="200"/>
              <w:rPr>
                <w:rFonts w:hint="eastAsia"/>
                <w:sz w:val="24"/>
              </w:rPr>
            </w:pPr>
            <w:r>
              <w:rPr>
                <w:rFonts w:hint="eastAsia"/>
                <w:sz w:val="24"/>
              </w:rPr>
              <w:t>式中：</w:t>
            </w:r>
          </w:p>
          <w:p>
            <w:pPr>
              <w:adjustRightInd w:val="0"/>
              <w:snapToGrid w:val="0"/>
              <w:spacing w:line="360" w:lineRule="auto"/>
              <w:ind w:firstLine="3120" w:firstLineChars="1300"/>
              <w:rPr>
                <w:rFonts w:hint="eastAsia"/>
                <w:sz w:val="24"/>
              </w:rPr>
            </w:pPr>
            <w:r>
              <w:rPr>
                <w:rFonts w:hint="eastAsia"/>
                <w:i/>
                <w:iCs/>
                <w:sz w:val="24"/>
              </w:rPr>
              <w:t>Q</w:t>
            </w:r>
            <w:r>
              <w:rPr>
                <w:sz w:val="24"/>
              </w:rPr>
              <w:t>——</w:t>
            </w:r>
            <w:r>
              <w:rPr>
                <w:rFonts w:hint="eastAsia"/>
                <w:sz w:val="24"/>
              </w:rPr>
              <w:t>雨水流量，L/s；</w:t>
            </w:r>
          </w:p>
          <w:p>
            <w:pPr>
              <w:adjustRightInd w:val="0"/>
              <w:snapToGrid w:val="0"/>
              <w:spacing w:line="360" w:lineRule="auto"/>
              <w:ind w:firstLine="3120" w:firstLineChars="1300"/>
              <w:rPr>
                <w:rFonts w:hint="eastAsia"/>
                <w:sz w:val="24"/>
              </w:rPr>
            </w:pPr>
            <w:r>
              <w:rPr>
                <w:i/>
                <w:iCs/>
                <w:sz w:val="24"/>
              </w:rPr>
              <w:t>Ψ</w:t>
            </w:r>
            <w:r>
              <w:rPr>
                <w:sz w:val="24"/>
              </w:rPr>
              <w:t>——</w:t>
            </w:r>
            <w:r>
              <w:rPr>
                <w:rFonts w:hint="eastAsia"/>
                <w:sz w:val="24"/>
              </w:rPr>
              <w:t>径流系数，无量纲；</w:t>
            </w:r>
          </w:p>
          <w:p>
            <w:pPr>
              <w:adjustRightInd w:val="0"/>
              <w:snapToGrid w:val="0"/>
              <w:spacing w:line="360" w:lineRule="auto"/>
              <w:ind w:firstLine="3120" w:firstLineChars="1300"/>
              <w:rPr>
                <w:rFonts w:hint="eastAsia"/>
                <w:sz w:val="24"/>
              </w:rPr>
            </w:pPr>
            <w:r>
              <w:rPr>
                <w:rFonts w:hint="eastAsia"/>
                <w:i/>
                <w:iCs/>
                <w:sz w:val="24"/>
              </w:rPr>
              <w:t>f</w:t>
            </w:r>
            <w:r>
              <w:rPr>
                <w:sz w:val="24"/>
              </w:rPr>
              <w:t>——</w:t>
            </w:r>
            <w:r>
              <w:rPr>
                <w:rFonts w:hint="eastAsia"/>
                <w:sz w:val="24"/>
              </w:rPr>
              <w:t>汇水面积，ha。</w:t>
            </w:r>
          </w:p>
          <w:p>
            <w:pPr>
              <w:adjustRightInd w:val="0"/>
              <w:snapToGrid w:val="0"/>
              <w:spacing w:line="360" w:lineRule="auto"/>
              <w:ind w:firstLine="480" w:firstLineChars="200"/>
              <w:rPr>
                <w:sz w:val="24"/>
              </w:rPr>
            </w:pPr>
            <w:r>
              <w:rPr>
                <w:rFonts w:hint="eastAsia"/>
                <w:sz w:val="24"/>
              </w:rPr>
              <w:t>据资料，铺砌硬化路面径流系数</w:t>
            </w:r>
            <w:r>
              <w:rPr>
                <w:i/>
                <w:iCs/>
                <w:sz w:val="24"/>
              </w:rPr>
              <w:t>Ψ</w:t>
            </w:r>
            <w:r>
              <w:rPr>
                <w:rFonts w:hint="eastAsia"/>
                <w:sz w:val="24"/>
              </w:rPr>
              <w:t>取0.9；项目</w:t>
            </w:r>
            <w:r>
              <w:rPr>
                <w:rFonts w:hint="eastAsia"/>
                <w:sz w:val="24"/>
                <w:lang w:val="en-US" w:eastAsia="zh-CN"/>
              </w:rPr>
              <w:t>污染地面和</w:t>
            </w:r>
            <w:r>
              <w:rPr>
                <w:rFonts w:hint="eastAsia"/>
                <w:sz w:val="24"/>
              </w:rPr>
              <w:t>罩棚面积（汇水）面积</w:t>
            </w:r>
            <w:r>
              <w:rPr>
                <w:rFonts w:hint="eastAsia"/>
                <w:i/>
                <w:iCs/>
                <w:sz w:val="24"/>
              </w:rPr>
              <w:t>f</w:t>
            </w:r>
            <w:r>
              <w:rPr>
                <w:rFonts w:hint="eastAsia"/>
                <w:sz w:val="24"/>
              </w:rPr>
              <w:t>为382</w:t>
            </w:r>
            <w:r>
              <w:rPr>
                <w:kern w:val="21"/>
                <w:sz w:val="24"/>
              </w:rPr>
              <w:t>m</w:t>
            </w:r>
            <w:r>
              <w:rPr>
                <w:kern w:val="21"/>
                <w:sz w:val="24"/>
                <w:vertAlign w:val="superscript"/>
              </w:rPr>
              <w:t>2</w:t>
            </w:r>
            <w:r>
              <w:rPr>
                <w:rFonts w:hint="eastAsia"/>
                <w:sz w:val="24"/>
              </w:rPr>
              <w:t>（折合0.038ha）；计算可得，项目雨水流量</w:t>
            </w:r>
            <w:r>
              <w:rPr>
                <w:rFonts w:hint="eastAsia"/>
                <w:i/>
                <w:iCs/>
                <w:sz w:val="24"/>
              </w:rPr>
              <w:t>Q</w:t>
            </w:r>
            <w:r>
              <w:rPr>
                <w:rFonts w:hint="eastAsia"/>
                <w:sz w:val="24"/>
              </w:rPr>
              <w:t>=8.0L/s。</w:t>
            </w:r>
          </w:p>
          <w:p>
            <w:pPr>
              <w:adjustRightInd w:val="0"/>
              <w:snapToGrid w:val="0"/>
              <w:spacing w:line="360" w:lineRule="auto"/>
              <w:ind w:firstLine="480" w:firstLineChars="200"/>
              <w:rPr>
                <w:sz w:val="24"/>
              </w:rPr>
            </w:pPr>
            <w:r>
              <w:rPr>
                <w:rFonts w:hint="eastAsia"/>
                <w:sz w:val="24"/>
              </w:rPr>
              <w:t>初期雨水按前15min计算，折合6.51m</w:t>
            </w:r>
            <w:r>
              <w:rPr>
                <w:rFonts w:hint="eastAsia"/>
                <w:sz w:val="24"/>
                <w:vertAlign w:val="superscript"/>
              </w:rPr>
              <w:t>3</w:t>
            </w:r>
            <w:r>
              <w:rPr>
                <w:rFonts w:hint="eastAsia"/>
                <w:sz w:val="24"/>
              </w:rPr>
              <w:t>/次。</w:t>
            </w:r>
          </w:p>
          <w:p>
            <w:pPr>
              <w:adjustRightInd w:val="0"/>
              <w:snapToGrid w:val="0"/>
              <w:spacing w:line="360" w:lineRule="auto"/>
              <w:ind w:firstLine="480" w:firstLineChars="200"/>
              <w:rPr>
                <w:rFonts w:hint="eastAsia"/>
                <w:sz w:val="24"/>
              </w:rPr>
            </w:pPr>
            <w:r>
              <w:rPr>
                <w:rFonts w:hint="eastAsia"/>
                <w:sz w:val="24"/>
              </w:rPr>
              <w:t>⑤汇总：</w:t>
            </w:r>
          </w:p>
          <w:p>
            <w:pPr>
              <w:adjustRightInd w:val="0"/>
              <w:snapToGrid w:val="0"/>
              <w:spacing w:line="360" w:lineRule="auto"/>
              <w:ind w:firstLine="480" w:firstLineChars="200"/>
              <w:rPr>
                <w:rFonts w:hint="eastAsia"/>
                <w:sz w:val="24"/>
              </w:rPr>
            </w:pPr>
            <w:r>
              <w:rPr>
                <w:rFonts w:hint="eastAsia"/>
                <w:sz w:val="24"/>
              </w:rPr>
              <w:t>项目运营期间给排水情况如下：</w:t>
            </w:r>
          </w:p>
          <w:p>
            <w:pPr>
              <w:adjustRightInd w:val="0"/>
              <w:snapToGrid w:val="0"/>
              <w:jc w:val="center"/>
              <w:rPr>
                <w:rFonts w:hint="eastAsia"/>
                <w:b/>
                <w:szCs w:val="21"/>
              </w:rPr>
            </w:pPr>
            <w:r>
              <w:rPr>
                <w:rFonts w:hint="eastAsia"/>
                <w:b/>
                <w:szCs w:val="21"/>
              </w:rPr>
              <w:t>表2-5  项目给排水情况一览表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1211"/>
              <w:gridCol w:w="1322"/>
              <w:gridCol w:w="1322"/>
              <w:gridCol w:w="1322"/>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4" w:type="dxa"/>
                  <w:noWrap w:val="0"/>
                  <w:vAlign w:val="center"/>
                </w:tcPr>
                <w:p>
                  <w:pPr>
                    <w:adjustRightInd w:val="0"/>
                    <w:snapToGrid w:val="0"/>
                    <w:jc w:val="center"/>
                    <w:rPr>
                      <w:bCs/>
                      <w:kern w:val="21"/>
                      <w:szCs w:val="21"/>
                    </w:rPr>
                  </w:pPr>
                  <w:r>
                    <w:rPr>
                      <w:bCs/>
                      <w:kern w:val="21"/>
                      <w:szCs w:val="21"/>
                    </w:rPr>
                    <w:t>用水单元</w:t>
                  </w:r>
                </w:p>
              </w:tc>
              <w:tc>
                <w:tcPr>
                  <w:tcW w:w="1211" w:type="dxa"/>
                  <w:noWrap w:val="0"/>
                  <w:vAlign w:val="center"/>
                </w:tcPr>
                <w:p>
                  <w:pPr>
                    <w:adjustRightInd w:val="0"/>
                    <w:snapToGrid w:val="0"/>
                    <w:jc w:val="center"/>
                    <w:rPr>
                      <w:bCs/>
                      <w:kern w:val="21"/>
                      <w:szCs w:val="21"/>
                    </w:rPr>
                  </w:pPr>
                  <w:r>
                    <w:rPr>
                      <w:bCs/>
                      <w:kern w:val="21"/>
                      <w:szCs w:val="21"/>
                    </w:rPr>
                    <w:t>用水系数</w:t>
                  </w:r>
                </w:p>
              </w:tc>
              <w:tc>
                <w:tcPr>
                  <w:tcW w:w="1322" w:type="dxa"/>
                  <w:noWrap w:val="0"/>
                  <w:vAlign w:val="center"/>
                </w:tcPr>
                <w:p>
                  <w:pPr>
                    <w:adjustRightInd w:val="0"/>
                    <w:snapToGrid w:val="0"/>
                    <w:jc w:val="center"/>
                    <w:rPr>
                      <w:rFonts w:hint="eastAsia"/>
                      <w:bCs/>
                      <w:kern w:val="21"/>
                      <w:szCs w:val="21"/>
                    </w:rPr>
                  </w:pPr>
                  <w:r>
                    <w:rPr>
                      <w:rFonts w:hint="eastAsia"/>
                      <w:bCs/>
                      <w:kern w:val="21"/>
                      <w:szCs w:val="21"/>
                    </w:rPr>
                    <w:t>用水规模</w:t>
                  </w:r>
                </w:p>
              </w:tc>
              <w:tc>
                <w:tcPr>
                  <w:tcW w:w="1322" w:type="dxa"/>
                  <w:noWrap w:val="0"/>
                  <w:vAlign w:val="center"/>
                </w:tcPr>
                <w:p>
                  <w:pPr>
                    <w:adjustRightInd w:val="0"/>
                    <w:snapToGrid w:val="0"/>
                    <w:jc w:val="center"/>
                    <w:rPr>
                      <w:bCs/>
                      <w:kern w:val="21"/>
                      <w:szCs w:val="21"/>
                    </w:rPr>
                  </w:pPr>
                  <w:r>
                    <w:rPr>
                      <w:bCs/>
                      <w:kern w:val="21"/>
                      <w:szCs w:val="21"/>
                    </w:rPr>
                    <w:t>用水量</w:t>
                  </w:r>
                </w:p>
              </w:tc>
              <w:tc>
                <w:tcPr>
                  <w:tcW w:w="1322" w:type="dxa"/>
                  <w:noWrap w:val="0"/>
                  <w:vAlign w:val="center"/>
                </w:tcPr>
                <w:p>
                  <w:pPr>
                    <w:adjustRightInd w:val="0"/>
                    <w:snapToGrid w:val="0"/>
                    <w:jc w:val="center"/>
                    <w:rPr>
                      <w:bCs/>
                      <w:kern w:val="21"/>
                      <w:szCs w:val="21"/>
                    </w:rPr>
                  </w:pPr>
                  <w:r>
                    <w:rPr>
                      <w:bCs/>
                      <w:kern w:val="21"/>
                      <w:szCs w:val="21"/>
                    </w:rPr>
                    <w:t>排水系数</w:t>
                  </w:r>
                </w:p>
              </w:tc>
              <w:tc>
                <w:tcPr>
                  <w:tcW w:w="1326" w:type="dxa"/>
                  <w:noWrap w:val="0"/>
                  <w:vAlign w:val="center"/>
                </w:tcPr>
                <w:p>
                  <w:pPr>
                    <w:adjustRightInd w:val="0"/>
                    <w:snapToGrid w:val="0"/>
                    <w:jc w:val="center"/>
                    <w:rPr>
                      <w:bCs/>
                      <w:kern w:val="21"/>
                      <w:szCs w:val="21"/>
                    </w:rPr>
                  </w:pPr>
                  <w:r>
                    <w:rPr>
                      <w:bCs/>
                      <w:kern w:val="21"/>
                      <w:szCs w:val="21"/>
                    </w:rPr>
                    <w:t>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4" w:type="dxa"/>
                  <w:noWrap w:val="0"/>
                  <w:vAlign w:val="center"/>
                </w:tcPr>
                <w:p>
                  <w:pPr>
                    <w:adjustRightInd w:val="0"/>
                    <w:snapToGrid w:val="0"/>
                    <w:jc w:val="center"/>
                    <w:rPr>
                      <w:bCs/>
                      <w:kern w:val="21"/>
                      <w:szCs w:val="21"/>
                    </w:rPr>
                  </w:pPr>
                  <w:r>
                    <w:rPr>
                      <w:rFonts w:hint="eastAsia"/>
                      <w:kern w:val="21"/>
                      <w:szCs w:val="21"/>
                    </w:rPr>
                    <w:t>员工生活用水</w:t>
                  </w:r>
                </w:p>
              </w:tc>
              <w:tc>
                <w:tcPr>
                  <w:tcW w:w="1211" w:type="dxa"/>
                  <w:noWrap w:val="0"/>
                  <w:vAlign w:val="center"/>
                </w:tcPr>
                <w:p>
                  <w:pPr>
                    <w:adjustRightInd w:val="0"/>
                    <w:snapToGrid w:val="0"/>
                    <w:jc w:val="center"/>
                    <w:rPr>
                      <w:rFonts w:hint="eastAsia"/>
                      <w:bCs/>
                      <w:kern w:val="21"/>
                      <w:szCs w:val="21"/>
                    </w:rPr>
                  </w:pPr>
                  <w:r>
                    <w:rPr>
                      <w:rFonts w:hint="eastAsia"/>
                      <w:kern w:val="21"/>
                      <w:szCs w:val="21"/>
                    </w:rPr>
                    <w:t>15</w:t>
                  </w:r>
                  <w:r>
                    <w:rPr>
                      <w:kern w:val="21"/>
                      <w:szCs w:val="21"/>
                    </w:rPr>
                    <w:t>m</w:t>
                  </w:r>
                  <w:r>
                    <w:rPr>
                      <w:kern w:val="21"/>
                      <w:szCs w:val="21"/>
                      <w:vertAlign w:val="superscript"/>
                    </w:rPr>
                    <w:t>3</w:t>
                  </w:r>
                  <w:r>
                    <w:rPr>
                      <w:kern w:val="21"/>
                      <w:szCs w:val="21"/>
                    </w:rPr>
                    <w:t>/人·</w:t>
                  </w:r>
                  <w:r>
                    <w:rPr>
                      <w:rFonts w:hint="eastAsia"/>
                      <w:kern w:val="21"/>
                      <w:szCs w:val="21"/>
                    </w:rPr>
                    <w:t>a</w:t>
                  </w:r>
                </w:p>
              </w:tc>
              <w:tc>
                <w:tcPr>
                  <w:tcW w:w="1322" w:type="dxa"/>
                  <w:noWrap w:val="0"/>
                  <w:vAlign w:val="center"/>
                </w:tcPr>
                <w:p>
                  <w:pPr>
                    <w:adjustRightInd w:val="0"/>
                    <w:snapToGrid w:val="0"/>
                    <w:jc w:val="center"/>
                    <w:rPr>
                      <w:rFonts w:hint="eastAsia"/>
                      <w:bCs/>
                      <w:kern w:val="21"/>
                      <w:szCs w:val="21"/>
                    </w:rPr>
                  </w:pPr>
                  <w:r>
                    <w:rPr>
                      <w:rFonts w:hint="eastAsia"/>
                      <w:kern w:val="21"/>
                      <w:szCs w:val="21"/>
                    </w:rPr>
                    <w:t>8</w:t>
                  </w:r>
                  <w:r>
                    <w:rPr>
                      <w:rFonts w:hint="eastAsia"/>
                      <w:bCs/>
                      <w:kern w:val="21"/>
                      <w:szCs w:val="21"/>
                    </w:rPr>
                    <w:t>人/d*365d/a</w:t>
                  </w:r>
                </w:p>
              </w:tc>
              <w:tc>
                <w:tcPr>
                  <w:tcW w:w="1322" w:type="dxa"/>
                  <w:noWrap w:val="0"/>
                  <w:vAlign w:val="center"/>
                </w:tcPr>
                <w:p>
                  <w:pPr>
                    <w:adjustRightInd w:val="0"/>
                    <w:snapToGrid w:val="0"/>
                    <w:jc w:val="center"/>
                    <w:rPr>
                      <w:bCs/>
                      <w:kern w:val="21"/>
                      <w:szCs w:val="21"/>
                    </w:rPr>
                  </w:pPr>
                  <w:r>
                    <w:rPr>
                      <w:rFonts w:hint="eastAsia"/>
                      <w:kern w:val="21"/>
                      <w:szCs w:val="21"/>
                    </w:rPr>
                    <w:t>120</w:t>
                  </w:r>
                  <w:r>
                    <w:rPr>
                      <w:kern w:val="21"/>
                      <w:szCs w:val="21"/>
                    </w:rPr>
                    <w:t>m</w:t>
                  </w:r>
                  <w:r>
                    <w:rPr>
                      <w:kern w:val="21"/>
                      <w:szCs w:val="21"/>
                      <w:vertAlign w:val="superscript"/>
                    </w:rPr>
                    <w:t>3</w:t>
                  </w:r>
                  <w:r>
                    <w:rPr>
                      <w:kern w:val="21"/>
                      <w:szCs w:val="21"/>
                    </w:rPr>
                    <w:t>/a</w:t>
                  </w:r>
                </w:p>
              </w:tc>
              <w:tc>
                <w:tcPr>
                  <w:tcW w:w="1322" w:type="dxa"/>
                  <w:noWrap w:val="0"/>
                  <w:vAlign w:val="center"/>
                </w:tcPr>
                <w:p>
                  <w:pPr>
                    <w:adjustRightInd w:val="0"/>
                    <w:snapToGrid w:val="0"/>
                    <w:jc w:val="center"/>
                    <w:rPr>
                      <w:bCs/>
                      <w:kern w:val="21"/>
                      <w:szCs w:val="21"/>
                    </w:rPr>
                  </w:pPr>
                  <w:r>
                    <w:rPr>
                      <w:rFonts w:hint="eastAsia"/>
                      <w:bCs/>
                      <w:kern w:val="21"/>
                      <w:szCs w:val="21"/>
                    </w:rPr>
                    <w:t>80%</w:t>
                  </w:r>
                </w:p>
              </w:tc>
              <w:tc>
                <w:tcPr>
                  <w:tcW w:w="1326" w:type="dxa"/>
                  <w:noWrap w:val="0"/>
                  <w:vAlign w:val="center"/>
                </w:tcPr>
                <w:p>
                  <w:pPr>
                    <w:adjustRightInd w:val="0"/>
                    <w:snapToGrid w:val="0"/>
                    <w:jc w:val="center"/>
                    <w:rPr>
                      <w:bCs/>
                      <w:kern w:val="21"/>
                      <w:szCs w:val="21"/>
                    </w:rPr>
                  </w:pPr>
                  <w:r>
                    <w:rPr>
                      <w:rFonts w:hint="eastAsia"/>
                      <w:kern w:val="21"/>
                      <w:szCs w:val="21"/>
                    </w:rPr>
                    <w:t>96</w:t>
                  </w:r>
                  <w:r>
                    <w:rPr>
                      <w:kern w:val="21"/>
                      <w:szCs w:val="21"/>
                    </w:rPr>
                    <w:t>m</w:t>
                  </w:r>
                  <w:r>
                    <w:rPr>
                      <w:kern w:val="21"/>
                      <w:szCs w:val="21"/>
                      <w:vertAlign w:val="superscript"/>
                    </w:rPr>
                    <w:t>3</w:t>
                  </w:r>
                  <w:r>
                    <w:rPr>
                      <w:kern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4" w:type="dxa"/>
                  <w:noWrap w:val="0"/>
                  <w:vAlign w:val="center"/>
                </w:tcPr>
                <w:p>
                  <w:pPr>
                    <w:adjustRightInd w:val="0"/>
                    <w:snapToGrid w:val="0"/>
                    <w:jc w:val="center"/>
                    <w:rPr>
                      <w:bCs/>
                      <w:kern w:val="21"/>
                      <w:szCs w:val="21"/>
                    </w:rPr>
                  </w:pPr>
                  <w:r>
                    <w:rPr>
                      <w:rFonts w:hint="eastAsia"/>
                      <w:kern w:val="21"/>
                      <w:szCs w:val="21"/>
                    </w:rPr>
                    <w:t>公共卫生间用水</w:t>
                  </w:r>
                </w:p>
              </w:tc>
              <w:tc>
                <w:tcPr>
                  <w:tcW w:w="1211" w:type="dxa"/>
                  <w:noWrap w:val="0"/>
                  <w:vAlign w:val="center"/>
                </w:tcPr>
                <w:p>
                  <w:pPr>
                    <w:adjustRightInd w:val="0"/>
                    <w:snapToGrid w:val="0"/>
                    <w:jc w:val="center"/>
                    <w:rPr>
                      <w:bCs/>
                      <w:kern w:val="21"/>
                      <w:szCs w:val="21"/>
                    </w:rPr>
                  </w:pPr>
                  <w:r>
                    <w:rPr>
                      <w:rFonts w:hint="eastAsia"/>
                      <w:kern w:val="21"/>
                      <w:szCs w:val="21"/>
                    </w:rPr>
                    <w:t>6L/人</w:t>
                  </w:r>
                </w:p>
              </w:tc>
              <w:tc>
                <w:tcPr>
                  <w:tcW w:w="1322" w:type="dxa"/>
                  <w:noWrap w:val="0"/>
                  <w:vAlign w:val="center"/>
                </w:tcPr>
                <w:p>
                  <w:pPr>
                    <w:adjustRightInd w:val="0"/>
                    <w:snapToGrid w:val="0"/>
                    <w:jc w:val="center"/>
                    <w:rPr>
                      <w:rFonts w:hint="eastAsia"/>
                      <w:bCs/>
                      <w:kern w:val="21"/>
                      <w:szCs w:val="21"/>
                    </w:rPr>
                  </w:pPr>
                  <w:r>
                    <w:rPr>
                      <w:rFonts w:hint="eastAsia"/>
                      <w:kern w:val="21"/>
                      <w:szCs w:val="21"/>
                    </w:rPr>
                    <w:t>40人次/d</w:t>
                  </w:r>
                  <w:r>
                    <w:rPr>
                      <w:rFonts w:hint="eastAsia"/>
                      <w:bCs/>
                      <w:kern w:val="21"/>
                      <w:szCs w:val="21"/>
                    </w:rPr>
                    <w:t>*365d/a</w:t>
                  </w:r>
                </w:p>
              </w:tc>
              <w:tc>
                <w:tcPr>
                  <w:tcW w:w="1322" w:type="dxa"/>
                  <w:noWrap w:val="0"/>
                  <w:vAlign w:val="center"/>
                </w:tcPr>
                <w:p>
                  <w:pPr>
                    <w:adjustRightInd w:val="0"/>
                    <w:snapToGrid w:val="0"/>
                    <w:jc w:val="center"/>
                    <w:rPr>
                      <w:bCs/>
                      <w:kern w:val="21"/>
                      <w:szCs w:val="21"/>
                    </w:rPr>
                  </w:pPr>
                  <w:r>
                    <w:rPr>
                      <w:rFonts w:hint="eastAsia"/>
                      <w:kern w:val="21"/>
                      <w:szCs w:val="21"/>
                    </w:rPr>
                    <w:t>87.6</w:t>
                  </w:r>
                  <w:r>
                    <w:rPr>
                      <w:kern w:val="21"/>
                      <w:szCs w:val="21"/>
                    </w:rPr>
                    <w:t>m</w:t>
                  </w:r>
                  <w:r>
                    <w:rPr>
                      <w:kern w:val="21"/>
                      <w:szCs w:val="21"/>
                      <w:vertAlign w:val="superscript"/>
                    </w:rPr>
                    <w:t>3</w:t>
                  </w:r>
                  <w:r>
                    <w:rPr>
                      <w:kern w:val="21"/>
                      <w:szCs w:val="21"/>
                    </w:rPr>
                    <w:t>/a</w:t>
                  </w:r>
                </w:p>
              </w:tc>
              <w:tc>
                <w:tcPr>
                  <w:tcW w:w="1322" w:type="dxa"/>
                  <w:noWrap w:val="0"/>
                  <w:vAlign w:val="center"/>
                </w:tcPr>
                <w:p>
                  <w:pPr>
                    <w:adjustRightInd w:val="0"/>
                    <w:snapToGrid w:val="0"/>
                    <w:jc w:val="center"/>
                    <w:rPr>
                      <w:bCs/>
                      <w:kern w:val="21"/>
                      <w:szCs w:val="21"/>
                    </w:rPr>
                  </w:pPr>
                  <w:r>
                    <w:rPr>
                      <w:rFonts w:hint="eastAsia"/>
                      <w:kern w:val="21"/>
                      <w:szCs w:val="21"/>
                    </w:rPr>
                    <w:t>90%</w:t>
                  </w:r>
                </w:p>
              </w:tc>
              <w:tc>
                <w:tcPr>
                  <w:tcW w:w="1326" w:type="dxa"/>
                  <w:noWrap w:val="0"/>
                  <w:vAlign w:val="center"/>
                </w:tcPr>
                <w:p>
                  <w:pPr>
                    <w:adjustRightInd w:val="0"/>
                    <w:snapToGrid w:val="0"/>
                    <w:jc w:val="center"/>
                    <w:rPr>
                      <w:bCs/>
                      <w:kern w:val="21"/>
                      <w:szCs w:val="21"/>
                    </w:rPr>
                  </w:pPr>
                  <w:r>
                    <w:rPr>
                      <w:rFonts w:hint="eastAsia"/>
                      <w:kern w:val="21"/>
                      <w:szCs w:val="21"/>
                    </w:rPr>
                    <w:t>78.84</w:t>
                  </w:r>
                  <w:r>
                    <w:rPr>
                      <w:kern w:val="21"/>
                      <w:szCs w:val="21"/>
                    </w:rPr>
                    <w:t>m</w:t>
                  </w:r>
                  <w:r>
                    <w:rPr>
                      <w:kern w:val="21"/>
                      <w:szCs w:val="21"/>
                      <w:vertAlign w:val="superscript"/>
                    </w:rPr>
                    <w:t>3</w:t>
                  </w:r>
                  <w:r>
                    <w:rPr>
                      <w:kern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4" w:type="dxa"/>
                  <w:noWrap w:val="0"/>
                  <w:vAlign w:val="center"/>
                </w:tcPr>
                <w:p>
                  <w:pPr>
                    <w:adjustRightInd w:val="0"/>
                    <w:snapToGrid w:val="0"/>
                    <w:jc w:val="center"/>
                    <w:rPr>
                      <w:bCs/>
                      <w:kern w:val="21"/>
                      <w:szCs w:val="21"/>
                    </w:rPr>
                  </w:pPr>
                  <w:r>
                    <w:rPr>
                      <w:rFonts w:hint="eastAsia"/>
                      <w:kern w:val="21"/>
                      <w:szCs w:val="21"/>
                    </w:rPr>
                    <w:t>罩棚区地面保洁用水</w:t>
                  </w:r>
                </w:p>
              </w:tc>
              <w:tc>
                <w:tcPr>
                  <w:tcW w:w="1211" w:type="dxa"/>
                  <w:noWrap w:val="0"/>
                  <w:vAlign w:val="center"/>
                </w:tcPr>
                <w:p>
                  <w:pPr>
                    <w:adjustRightInd w:val="0"/>
                    <w:snapToGrid w:val="0"/>
                    <w:jc w:val="center"/>
                    <w:rPr>
                      <w:bCs/>
                      <w:kern w:val="21"/>
                      <w:szCs w:val="21"/>
                    </w:rPr>
                  </w:pPr>
                  <w:r>
                    <w:rPr>
                      <w:rFonts w:hint="eastAsia"/>
                      <w:kern w:val="21"/>
                      <w:szCs w:val="21"/>
                    </w:rPr>
                    <w:t>1.8L/（m</w:t>
                  </w:r>
                  <w:r>
                    <w:rPr>
                      <w:rFonts w:hint="eastAsia"/>
                      <w:kern w:val="21"/>
                      <w:szCs w:val="21"/>
                      <w:vertAlign w:val="superscript"/>
                    </w:rPr>
                    <w:t>2</w:t>
                  </w:r>
                  <w:r>
                    <w:rPr>
                      <w:kern w:val="21"/>
                      <w:szCs w:val="21"/>
                    </w:rPr>
                    <w:t>·</w:t>
                  </w:r>
                  <w:r>
                    <w:rPr>
                      <w:rFonts w:hint="eastAsia"/>
                      <w:kern w:val="21"/>
                      <w:szCs w:val="21"/>
                    </w:rPr>
                    <w:t>次）</w:t>
                  </w:r>
                </w:p>
              </w:tc>
              <w:tc>
                <w:tcPr>
                  <w:tcW w:w="1322" w:type="dxa"/>
                  <w:noWrap w:val="0"/>
                  <w:vAlign w:val="center"/>
                </w:tcPr>
                <w:p>
                  <w:pPr>
                    <w:adjustRightInd w:val="0"/>
                    <w:snapToGrid w:val="0"/>
                    <w:jc w:val="center"/>
                    <w:rPr>
                      <w:bCs/>
                      <w:kern w:val="21"/>
                      <w:szCs w:val="21"/>
                    </w:rPr>
                  </w:pPr>
                  <w:r>
                    <w:rPr>
                      <w:rFonts w:hint="eastAsia"/>
                      <w:kern w:val="21"/>
                      <w:szCs w:val="21"/>
                    </w:rPr>
                    <w:t>0.688</w:t>
                  </w:r>
                  <w:r>
                    <w:rPr>
                      <w:kern w:val="21"/>
                      <w:szCs w:val="21"/>
                    </w:rPr>
                    <w:t>m</w:t>
                  </w:r>
                  <w:r>
                    <w:rPr>
                      <w:kern w:val="21"/>
                      <w:szCs w:val="21"/>
                      <w:vertAlign w:val="superscript"/>
                    </w:rPr>
                    <w:t>2</w:t>
                  </w:r>
                  <w:r>
                    <w:rPr>
                      <w:rFonts w:hint="eastAsia"/>
                      <w:kern w:val="21"/>
                      <w:szCs w:val="21"/>
                    </w:rPr>
                    <w:t>/次</w:t>
                  </w:r>
                  <w:r>
                    <w:rPr>
                      <w:rFonts w:hint="eastAsia"/>
                      <w:bCs/>
                      <w:kern w:val="21"/>
                      <w:szCs w:val="21"/>
                    </w:rPr>
                    <w:t>*52次/a</w:t>
                  </w:r>
                </w:p>
              </w:tc>
              <w:tc>
                <w:tcPr>
                  <w:tcW w:w="1322" w:type="dxa"/>
                  <w:noWrap w:val="0"/>
                  <w:vAlign w:val="center"/>
                </w:tcPr>
                <w:p>
                  <w:pPr>
                    <w:adjustRightInd w:val="0"/>
                    <w:snapToGrid w:val="0"/>
                    <w:jc w:val="center"/>
                    <w:rPr>
                      <w:rFonts w:hint="eastAsia"/>
                      <w:bCs/>
                      <w:kern w:val="21"/>
                      <w:szCs w:val="21"/>
                    </w:rPr>
                  </w:pPr>
                  <w:r>
                    <w:rPr>
                      <w:rFonts w:hint="eastAsia"/>
                      <w:kern w:val="21"/>
                      <w:szCs w:val="21"/>
                    </w:rPr>
                    <w:t>35.78m</w:t>
                  </w:r>
                  <w:r>
                    <w:rPr>
                      <w:rFonts w:hint="eastAsia"/>
                      <w:kern w:val="21"/>
                      <w:szCs w:val="21"/>
                      <w:vertAlign w:val="superscript"/>
                    </w:rPr>
                    <w:t>3</w:t>
                  </w:r>
                  <w:r>
                    <w:rPr>
                      <w:rFonts w:hint="eastAsia"/>
                      <w:kern w:val="21"/>
                      <w:szCs w:val="21"/>
                    </w:rPr>
                    <w:t>/a</w:t>
                  </w:r>
                </w:p>
              </w:tc>
              <w:tc>
                <w:tcPr>
                  <w:tcW w:w="1322" w:type="dxa"/>
                  <w:noWrap w:val="0"/>
                  <w:vAlign w:val="center"/>
                </w:tcPr>
                <w:p>
                  <w:pPr>
                    <w:adjustRightInd w:val="0"/>
                    <w:snapToGrid w:val="0"/>
                    <w:jc w:val="center"/>
                    <w:rPr>
                      <w:rFonts w:hint="eastAsia"/>
                      <w:bCs/>
                      <w:kern w:val="21"/>
                      <w:szCs w:val="21"/>
                    </w:rPr>
                  </w:pPr>
                  <w:r>
                    <w:rPr>
                      <w:rFonts w:hint="eastAsia"/>
                      <w:kern w:val="21"/>
                      <w:szCs w:val="21"/>
                    </w:rPr>
                    <w:t>90%</w:t>
                  </w:r>
                </w:p>
              </w:tc>
              <w:tc>
                <w:tcPr>
                  <w:tcW w:w="1326" w:type="dxa"/>
                  <w:noWrap w:val="0"/>
                  <w:vAlign w:val="center"/>
                </w:tcPr>
                <w:p>
                  <w:pPr>
                    <w:adjustRightInd w:val="0"/>
                    <w:snapToGrid w:val="0"/>
                    <w:jc w:val="center"/>
                    <w:rPr>
                      <w:rFonts w:hint="eastAsia"/>
                      <w:bCs/>
                      <w:kern w:val="21"/>
                      <w:szCs w:val="21"/>
                    </w:rPr>
                  </w:pPr>
                  <w:r>
                    <w:rPr>
                      <w:rFonts w:hint="eastAsia"/>
                      <w:bCs/>
                      <w:kern w:val="21"/>
                      <w:szCs w:val="21"/>
                    </w:rPr>
                    <w:t>32.19</w:t>
                  </w:r>
                  <w:r>
                    <w:rPr>
                      <w:rFonts w:hint="eastAsia"/>
                      <w:kern w:val="21"/>
                      <w:szCs w:val="21"/>
                    </w:rPr>
                    <w:t>m</w:t>
                  </w:r>
                  <w:r>
                    <w:rPr>
                      <w:rFonts w:hint="eastAsia"/>
                      <w:kern w:val="21"/>
                      <w:szCs w:val="21"/>
                      <w:vertAlign w:val="superscript"/>
                    </w:rPr>
                    <w:t>3</w:t>
                  </w:r>
                  <w:r>
                    <w:rPr>
                      <w:rFonts w:hint="eastAsia"/>
                      <w:kern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34" w:type="dxa"/>
                  <w:noWrap w:val="0"/>
                  <w:vAlign w:val="center"/>
                </w:tcPr>
                <w:p>
                  <w:pPr>
                    <w:adjustRightInd w:val="0"/>
                    <w:snapToGrid w:val="0"/>
                    <w:jc w:val="center"/>
                    <w:rPr>
                      <w:bCs/>
                      <w:kern w:val="21"/>
                      <w:szCs w:val="21"/>
                    </w:rPr>
                  </w:pPr>
                  <w:r>
                    <w:rPr>
                      <w:bCs/>
                      <w:kern w:val="21"/>
                      <w:szCs w:val="21"/>
                    </w:rPr>
                    <w:t>小计</w:t>
                  </w:r>
                </w:p>
              </w:tc>
              <w:tc>
                <w:tcPr>
                  <w:tcW w:w="1211" w:type="dxa"/>
                  <w:noWrap w:val="0"/>
                  <w:vAlign w:val="center"/>
                </w:tcPr>
                <w:p>
                  <w:pPr>
                    <w:adjustRightInd w:val="0"/>
                    <w:snapToGrid w:val="0"/>
                    <w:jc w:val="center"/>
                    <w:rPr>
                      <w:rFonts w:hint="eastAsia"/>
                      <w:bCs/>
                      <w:kern w:val="21"/>
                      <w:szCs w:val="21"/>
                    </w:rPr>
                  </w:pPr>
                  <w:r>
                    <w:rPr>
                      <w:rFonts w:hint="eastAsia"/>
                      <w:bCs/>
                      <w:kern w:val="21"/>
                      <w:szCs w:val="21"/>
                    </w:rPr>
                    <w:t>/</w:t>
                  </w:r>
                </w:p>
              </w:tc>
              <w:tc>
                <w:tcPr>
                  <w:tcW w:w="1322" w:type="dxa"/>
                  <w:noWrap w:val="0"/>
                  <w:vAlign w:val="center"/>
                </w:tcPr>
                <w:p>
                  <w:pPr>
                    <w:adjustRightInd w:val="0"/>
                    <w:snapToGrid w:val="0"/>
                    <w:jc w:val="center"/>
                    <w:rPr>
                      <w:rFonts w:hint="eastAsia"/>
                      <w:bCs/>
                      <w:kern w:val="21"/>
                      <w:szCs w:val="21"/>
                    </w:rPr>
                  </w:pPr>
                  <w:r>
                    <w:rPr>
                      <w:rFonts w:hint="eastAsia"/>
                      <w:bCs/>
                      <w:kern w:val="21"/>
                      <w:szCs w:val="21"/>
                    </w:rPr>
                    <w:t>/</w:t>
                  </w:r>
                </w:p>
              </w:tc>
              <w:tc>
                <w:tcPr>
                  <w:tcW w:w="1322" w:type="dxa"/>
                  <w:noWrap w:val="0"/>
                  <w:vAlign w:val="center"/>
                </w:tcPr>
                <w:p>
                  <w:pPr>
                    <w:adjustRightInd w:val="0"/>
                    <w:snapToGrid w:val="0"/>
                    <w:jc w:val="center"/>
                    <w:rPr>
                      <w:bCs/>
                      <w:kern w:val="21"/>
                      <w:szCs w:val="21"/>
                    </w:rPr>
                  </w:pPr>
                  <w:r>
                    <w:rPr>
                      <w:rFonts w:hint="eastAsia"/>
                      <w:bCs/>
                      <w:kern w:val="21"/>
                      <w:szCs w:val="21"/>
                    </w:rPr>
                    <w:t>243.38</w:t>
                  </w:r>
                  <w:r>
                    <w:rPr>
                      <w:rFonts w:hint="eastAsia"/>
                      <w:kern w:val="21"/>
                      <w:szCs w:val="21"/>
                    </w:rPr>
                    <w:t>m</w:t>
                  </w:r>
                  <w:r>
                    <w:rPr>
                      <w:rFonts w:hint="eastAsia"/>
                      <w:kern w:val="21"/>
                      <w:szCs w:val="21"/>
                      <w:vertAlign w:val="superscript"/>
                    </w:rPr>
                    <w:t>3</w:t>
                  </w:r>
                  <w:r>
                    <w:rPr>
                      <w:rFonts w:hint="eastAsia"/>
                      <w:kern w:val="21"/>
                      <w:szCs w:val="21"/>
                    </w:rPr>
                    <w:t>/a</w:t>
                  </w:r>
                </w:p>
              </w:tc>
              <w:tc>
                <w:tcPr>
                  <w:tcW w:w="1322" w:type="dxa"/>
                  <w:noWrap w:val="0"/>
                  <w:vAlign w:val="center"/>
                </w:tcPr>
                <w:p>
                  <w:pPr>
                    <w:adjustRightInd w:val="0"/>
                    <w:snapToGrid w:val="0"/>
                    <w:jc w:val="center"/>
                    <w:rPr>
                      <w:rFonts w:hint="eastAsia"/>
                      <w:bCs/>
                      <w:kern w:val="21"/>
                      <w:szCs w:val="21"/>
                    </w:rPr>
                  </w:pPr>
                  <w:r>
                    <w:rPr>
                      <w:rFonts w:hint="eastAsia"/>
                      <w:bCs/>
                      <w:kern w:val="21"/>
                      <w:szCs w:val="21"/>
                    </w:rPr>
                    <w:t>/</w:t>
                  </w:r>
                </w:p>
              </w:tc>
              <w:tc>
                <w:tcPr>
                  <w:tcW w:w="1326" w:type="dxa"/>
                  <w:noWrap w:val="0"/>
                  <w:vAlign w:val="center"/>
                </w:tcPr>
                <w:p>
                  <w:pPr>
                    <w:adjustRightInd w:val="0"/>
                    <w:snapToGrid w:val="0"/>
                    <w:jc w:val="center"/>
                    <w:rPr>
                      <w:bCs/>
                      <w:kern w:val="21"/>
                      <w:szCs w:val="21"/>
                    </w:rPr>
                  </w:pPr>
                  <w:r>
                    <w:rPr>
                      <w:rFonts w:hint="eastAsia"/>
                      <w:bCs/>
                      <w:kern w:val="21"/>
                      <w:szCs w:val="21"/>
                    </w:rPr>
                    <w:t>207.03</w:t>
                  </w:r>
                  <w:r>
                    <w:rPr>
                      <w:rFonts w:hint="eastAsia"/>
                      <w:kern w:val="21"/>
                      <w:szCs w:val="21"/>
                    </w:rPr>
                    <w:t>m</w:t>
                  </w:r>
                  <w:r>
                    <w:rPr>
                      <w:rFonts w:hint="eastAsia"/>
                      <w:kern w:val="21"/>
                      <w:szCs w:val="21"/>
                      <w:vertAlign w:val="superscript"/>
                    </w:rPr>
                    <w:t>3</w:t>
                  </w:r>
                  <w:r>
                    <w:rPr>
                      <w:rFonts w:hint="eastAsia"/>
                      <w:kern w:val="21"/>
                      <w:szCs w:val="21"/>
                    </w:rPr>
                    <w:t>/a</w:t>
                  </w:r>
                </w:p>
              </w:tc>
            </w:tr>
          </w:tbl>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rFonts w:hint="eastAsia"/>
                <w:sz w:val="24"/>
              </w:rPr>
            </w:pPr>
          </w:p>
          <w:p>
            <w:pPr>
              <w:adjustRightInd w:val="0"/>
              <w:snapToGrid w:val="0"/>
              <w:spacing w:line="360" w:lineRule="auto"/>
              <w:ind w:firstLine="480" w:firstLineChars="200"/>
              <w:rPr>
                <w:sz w:val="24"/>
              </w:rPr>
            </w:pPr>
            <w:r>
              <w:rPr>
                <w:rFonts w:hint="eastAsia"/>
                <w:sz w:val="24"/>
              </w:rPr>
              <w:t>项目运营期间给排水平衡示意简图如下：</w:t>
            </w:r>
          </w:p>
          <w:p>
            <w:pPr>
              <w:adjustRightInd w:val="0"/>
              <w:snapToGrid w:val="0"/>
              <w:jc w:val="center"/>
              <w:rPr>
                <w:rFonts w:hint="eastAsia"/>
                <w:sz w:val="24"/>
                <w:highlight w:val="yellow"/>
              </w:rPr>
            </w:pPr>
            <w:r>
              <w:object>
                <v:shape id="_x0000_i1026" o:spt="75" type="#_x0000_t75" style="height:217.2pt;width:543.4pt;" o:ole="t" filled="f" o:preferrelative="t" stroked="f" coordsize="21600,21600">
                  <v:path/>
                  <v:fill on="f" focussize="0,0"/>
                  <v:stroke on="f"/>
                  <v:imagedata r:id="rId19" cropbottom="19737f" o:title=""/>
                  <o:lock v:ext="edit" aspectratio="f"/>
                  <w10:wrap type="none"/>
                  <w10:anchorlock/>
                </v:shape>
                <o:OLEObject Type="Embed" ProgID="Visio.Drawing.11" ShapeID="_x0000_i1026" DrawAspect="Content" ObjectID="_1468075726" r:id="rId18">
                  <o:LockedField>false</o:LockedField>
                </o:OLEObject>
              </w:object>
            </w:r>
          </w:p>
          <w:p>
            <w:pPr>
              <w:adjustRightInd w:val="0"/>
              <w:snapToGrid w:val="0"/>
              <w:spacing w:after="120" w:afterLines="50"/>
              <w:jc w:val="center"/>
              <w:rPr>
                <w:color w:val="000000"/>
                <w:szCs w:val="21"/>
              </w:rPr>
            </w:pPr>
            <w:r>
              <w:rPr>
                <w:rFonts w:hint="eastAsia"/>
                <w:b/>
                <w:bCs/>
                <w:color w:val="000000"/>
                <w:szCs w:val="21"/>
              </w:rPr>
              <w:t>图2-1   项目运营期间给排水平衡示意简图</w:t>
            </w:r>
            <w:r>
              <w:rPr>
                <w:rFonts w:hint="eastAsia"/>
                <w:color w:val="000000"/>
                <w:szCs w:val="21"/>
              </w:rPr>
              <w:t>（单位：</w:t>
            </w:r>
            <w:r>
              <w:rPr>
                <w:color w:val="000000"/>
                <w:kern w:val="21"/>
                <w:szCs w:val="21"/>
              </w:rPr>
              <w:t>m</w:t>
            </w:r>
            <w:r>
              <w:rPr>
                <w:color w:val="000000"/>
                <w:kern w:val="21"/>
                <w:szCs w:val="21"/>
                <w:vertAlign w:val="superscript"/>
              </w:rPr>
              <w:t>3</w:t>
            </w:r>
            <w:r>
              <w:rPr>
                <w:color w:val="000000"/>
                <w:kern w:val="21"/>
                <w:szCs w:val="21"/>
              </w:rPr>
              <w:t>/a</w:t>
            </w:r>
            <w:r>
              <w:rPr>
                <w:rFonts w:hint="eastAsia"/>
                <w:color w:val="000000"/>
                <w:szCs w:val="21"/>
              </w:rPr>
              <w:t>）</w:t>
            </w:r>
          </w:p>
          <w:p>
            <w:pPr>
              <w:spacing w:line="360" w:lineRule="auto"/>
              <w:ind w:firstLine="498" w:firstLineChars="200"/>
              <w:rPr>
                <w:b/>
                <w:bCs/>
                <w:spacing w:val="4"/>
                <w:sz w:val="24"/>
              </w:rPr>
            </w:pPr>
            <w:r>
              <w:rPr>
                <w:rFonts w:hint="eastAsia"/>
                <w:b/>
                <w:bCs/>
                <w:spacing w:val="4"/>
                <w:sz w:val="24"/>
              </w:rPr>
              <w:t>2.8.</w:t>
            </w:r>
            <w:r>
              <w:rPr>
                <w:b/>
                <w:bCs/>
                <w:spacing w:val="4"/>
                <w:sz w:val="24"/>
              </w:rPr>
              <w:t>2、供电</w:t>
            </w:r>
          </w:p>
          <w:p>
            <w:pPr>
              <w:spacing w:line="360" w:lineRule="auto"/>
              <w:ind w:firstLine="480" w:firstLineChars="200"/>
              <w:rPr>
                <w:color w:val="FF0000"/>
                <w:sz w:val="24"/>
              </w:rPr>
            </w:pPr>
            <w:r>
              <w:rPr>
                <w:sz w:val="24"/>
              </w:rPr>
              <w:t>项目供电依托</w:t>
            </w:r>
            <w:r>
              <w:rPr>
                <w:rFonts w:hint="eastAsia"/>
                <w:sz w:val="24"/>
              </w:rPr>
              <w:t>市政</w:t>
            </w:r>
            <w:r>
              <w:rPr>
                <w:sz w:val="24"/>
              </w:rPr>
              <w:t>供电系统，供电可满足要求。</w:t>
            </w:r>
          </w:p>
          <w:p>
            <w:pPr>
              <w:spacing w:line="360" w:lineRule="auto"/>
              <w:ind w:firstLine="498" w:firstLineChars="200"/>
              <w:rPr>
                <w:b/>
                <w:bCs/>
                <w:color w:val="000000"/>
                <w:spacing w:val="4"/>
                <w:sz w:val="24"/>
              </w:rPr>
            </w:pPr>
            <w:r>
              <w:rPr>
                <w:rFonts w:hint="eastAsia"/>
                <w:b/>
                <w:bCs/>
                <w:color w:val="000000"/>
                <w:spacing w:val="4"/>
                <w:sz w:val="24"/>
              </w:rPr>
              <w:t>2.8.</w:t>
            </w:r>
            <w:r>
              <w:rPr>
                <w:b/>
                <w:bCs/>
                <w:color w:val="000000"/>
                <w:spacing w:val="4"/>
                <w:sz w:val="24"/>
              </w:rPr>
              <w:t>3、空调、通风</w:t>
            </w:r>
          </w:p>
          <w:p>
            <w:pPr>
              <w:spacing w:line="360" w:lineRule="auto"/>
              <w:ind w:firstLine="480" w:firstLineChars="200"/>
              <w:rPr>
                <w:sz w:val="24"/>
              </w:rPr>
            </w:pPr>
            <w:r>
              <w:rPr>
                <w:sz w:val="24"/>
              </w:rPr>
              <w:t>项目属小型社会服务企业，供暖与制冷要求不高，</w:t>
            </w:r>
            <w:r>
              <w:rPr>
                <w:rFonts w:hint="eastAsia"/>
                <w:sz w:val="24"/>
              </w:rPr>
              <w:t>站房</w:t>
            </w:r>
            <w:r>
              <w:rPr>
                <w:sz w:val="24"/>
              </w:rPr>
              <w:t>由</w:t>
            </w:r>
            <w:r>
              <w:rPr>
                <w:rFonts w:hint="eastAsia"/>
                <w:sz w:val="24"/>
              </w:rPr>
              <w:t>家庭式空气调节器</w:t>
            </w:r>
            <w:r>
              <w:rPr>
                <w:sz w:val="24"/>
              </w:rPr>
              <w:t>调节，罩棚区采用敞开式设计，自然通风。</w:t>
            </w:r>
          </w:p>
          <w:p>
            <w:pPr>
              <w:adjustRightInd w:val="0"/>
              <w:snapToGrid w:val="0"/>
              <w:spacing w:line="360" w:lineRule="auto"/>
              <w:ind w:firstLine="498" w:firstLineChars="200"/>
              <w:rPr>
                <w:sz w:val="24"/>
              </w:rPr>
            </w:pPr>
            <w:r>
              <w:rPr>
                <w:rFonts w:hint="eastAsia"/>
                <w:b/>
                <w:bCs/>
                <w:spacing w:val="4"/>
                <w:sz w:val="24"/>
              </w:rPr>
              <w:t>2.9、</w:t>
            </w:r>
            <w:r>
              <w:rPr>
                <w:sz w:val="24"/>
              </w:rPr>
              <w:t>消防：</w:t>
            </w:r>
          </w:p>
          <w:p>
            <w:pPr>
              <w:adjustRightInd w:val="0"/>
              <w:snapToGrid w:val="0"/>
              <w:spacing w:line="360" w:lineRule="auto"/>
              <w:ind w:firstLine="480" w:firstLineChars="200"/>
              <w:rPr>
                <w:sz w:val="24"/>
              </w:rPr>
            </w:pPr>
            <w:r>
              <w:rPr>
                <w:sz w:val="24"/>
              </w:rPr>
              <w:t>项目设计规模为</w:t>
            </w:r>
            <w:r>
              <w:rPr>
                <w:rFonts w:hint="eastAsia"/>
                <w:sz w:val="24"/>
                <w:lang w:eastAsia="zh-CN"/>
              </w:rPr>
              <w:t>二次</w:t>
            </w:r>
            <w:r>
              <w:rPr>
                <w:sz w:val="24"/>
              </w:rPr>
              <w:t>加油站，站区平面布局及消防配置严格遵守</w:t>
            </w:r>
            <w:r>
              <w:rPr>
                <w:rFonts w:hint="eastAsia"/>
                <w:sz w:val="24"/>
              </w:rPr>
              <w:t>《汽车加油加气加氢站设计标准》（GB50156-2021）的各项规定。</w:t>
            </w:r>
            <w:r>
              <w:rPr>
                <w:kern w:val="0"/>
                <w:sz w:val="24"/>
              </w:rPr>
              <w:t>和</w:t>
            </w:r>
            <w:r>
              <w:rPr>
                <w:spacing w:val="10"/>
                <w:sz w:val="24"/>
              </w:rPr>
              <w:t>《建筑灭火器配置设计规范》（GB50140-2005）中的相关要求</w:t>
            </w:r>
            <w:r>
              <w:rPr>
                <w:kern w:val="0"/>
                <w:sz w:val="24"/>
              </w:rPr>
              <w:t>，</w:t>
            </w:r>
            <w:r>
              <w:rPr>
                <w:sz w:val="24"/>
              </w:rPr>
              <w:t>详细消防设施配置如下：</w:t>
            </w:r>
          </w:p>
          <w:p>
            <w:pPr>
              <w:spacing w:line="360" w:lineRule="auto"/>
              <w:ind w:firstLine="422" w:firstLineChars="200"/>
              <w:jc w:val="center"/>
              <w:rPr>
                <w:rFonts w:hint="eastAsia"/>
                <w:b/>
                <w:szCs w:val="21"/>
              </w:rPr>
            </w:pPr>
            <w:r>
              <w:rPr>
                <w:rFonts w:hint="eastAsia"/>
                <w:b/>
                <w:szCs w:val="21"/>
              </w:rPr>
              <w:t>表2-6   项目消防设施配置情况一览表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8"/>
              <w:gridCol w:w="3629"/>
              <w:gridCol w:w="1906"/>
              <w:gridCol w:w="1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blHeader/>
                <w:jc w:val="center"/>
              </w:trPr>
              <w:tc>
                <w:tcPr>
                  <w:tcW w:w="1057" w:type="dxa"/>
                  <w:noWrap w:val="0"/>
                  <w:vAlign w:val="center"/>
                </w:tcPr>
                <w:p>
                  <w:pPr>
                    <w:adjustRightInd w:val="0"/>
                    <w:snapToGrid w:val="0"/>
                    <w:jc w:val="center"/>
                    <w:rPr>
                      <w:b/>
                      <w:bCs/>
                      <w:snapToGrid w:val="0"/>
                      <w:szCs w:val="21"/>
                    </w:rPr>
                  </w:pPr>
                  <w:r>
                    <w:rPr>
                      <w:b/>
                      <w:bCs/>
                      <w:snapToGrid w:val="0"/>
                      <w:szCs w:val="21"/>
                    </w:rPr>
                    <w:t>序号</w:t>
                  </w:r>
                </w:p>
              </w:tc>
              <w:tc>
                <w:tcPr>
                  <w:tcW w:w="4047" w:type="dxa"/>
                  <w:noWrap w:val="0"/>
                  <w:vAlign w:val="center"/>
                </w:tcPr>
                <w:p>
                  <w:pPr>
                    <w:adjustRightInd w:val="0"/>
                    <w:snapToGrid w:val="0"/>
                    <w:jc w:val="center"/>
                    <w:rPr>
                      <w:b/>
                      <w:bCs/>
                      <w:snapToGrid w:val="0"/>
                      <w:szCs w:val="21"/>
                    </w:rPr>
                  </w:pPr>
                  <w:r>
                    <w:rPr>
                      <w:b/>
                      <w:bCs/>
                      <w:snapToGrid w:val="0"/>
                      <w:szCs w:val="21"/>
                    </w:rPr>
                    <w:t>名称</w:t>
                  </w:r>
                </w:p>
              </w:tc>
              <w:tc>
                <w:tcPr>
                  <w:tcW w:w="2112" w:type="dxa"/>
                  <w:noWrap w:val="0"/>
                  <w:vAlign w:val="center"/>
                </w:tcPr>
                <w:p>
                  <w:pPr>
                    <w:adjustRightInd w:val="0"/>
                    <w:snapToGrid w:val="0"/>
                    <w:jc w:val="center"/>
                    <w:rPr>
                      <w:b/>
                      <w:bCs/>
                      <w:snapToGrid w:val="0"/>
                      <w:szCs w:val="21"/>
                    </w:rPr>
                  </w:pPr>
                  <w:r>
                    <w:rPr>
                      <w:b/>
                      <w:bCs/>
                      <w:snapToGrid w:val="0"/>
                      <w:szCs w:val="21"/>
                    </w:rPr>
                    <w:t>规格型号</w:t>
                  </w:r>
                </w:p>
              </w:tc>
              <w:tc>
                <w:tcPr>
                  <w:tcW w:w="1582" w:type="dxa"/>
                  <w:noWrap w:val="0"/>
                  <w:vAlign w:val="center"/>
                </w:tcPr>
                <w:p>
                  <w:pPr>
                    <w:adjustRightInd w:val="0"/>
                    <w:snapToGrid w:val="0"/>
                    <w:jc w:val="center"/>
                    <w:rPr>
                      <w:b/>
                      <w:bCs/>
                      <w:snapToGrid w:val="0"/>
                      <w:szCs w:val="21"/>
                    </w:rPr>
                  </w:pPr>
                  <w:r>
                    <w:rPr>
                      <w:b/>
                      <w:bCs/>
                      <w:snapToGrid w:val="0"/>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1</w:t>
                  </w:r>
                </w:p>
              </w:tc>
              <w:tc>
                <w:tcPr>
                  <w:tcW w:w="4047" w:type="dxa"/>
                  <w:noWrap w:val="0"/>
                  <w:vAlign w:val="center"/>
                </w:tcPr>
                <w:p>
                  <w:pPr>
                    <w:adjustRightInd w:val="0"/>
                    <w:snapToGrid w:val="0"/>
                    <w:jc w:val="center"/>
                    <w:rPr>
                      <w:rFonts w:hint="eastAsia"/>
                      <w:snapToGrid w:val="0"/>
                      <w:szCs w:val="21"/>
                    </w:rPr>
                  </w:pPr>
                  <w:r>
                    <w:rPr>
                      <w:rFonts w:hint="eastAsia"/>
                      <w:snapToGrid w:val="0"/>
                      <w:szCs w:val="21"/>
                    </w:rPr>
                    <w:t>静电报警器</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center"/>
                </w:tcPr>
                <w:p>
                  <w:pPr>
                    <w:adjustRightInd w:val="0"/>
                    <w:snapToGrid w:val="0"/>
                    <w:jc w:val="center"/>
                    <w:rPr>
                      <w:rFonts w:hint="eastAsia"/>
                      <w:snapToGrid w:val="0"/>
                      <w:szCs w:val="21"/>
                    </w:rPr>
                  </w:pPr>
                  <w:r>
                    <w:rPr>
                      <w:rFonts w:hint="eastAsia"/>
                      <w:snapToGrid w:val="0"/>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2</w:t>
                  </w:r>
                </w:p>
              </w:tc>
              <w:tc>
                <w:tcPr>
                  <w:tcW w:w="4047" w:type="dxa"/>
                  <w:noWrap w:val="0"/>
                  <w:vAlign w:val="center"/>
                </w:tcPr>
                <w:p>
                  <w:pPr>
                    <w:adjustRightInd w:val="0"/>
                    <w:snapToGrid w:val="0"/>
                    <w:jc w:val="center"/>
                    <w:rPr>
                      <w:rFonts w:hint="eastAsia"/>
                      <w:snapToGrid w:val="0"/>
                      <w:szCs w:val="21"/>
                    </w:rPr>
                  </w:pPr>
                  <w:r>
                    <w:rPr>
                      <w:snapToGrid w:val="0"/>
                      <w:szCs w:val="21"/>
                    </w:rPr>
                    <w:t>推车式干粉灭火器</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MFTZ/ABC35</w:t>
                  </w:r>
                </w:p>
              </w:tc>
              <w:tc>
                <w:tcPr>
                  <w:tcW w:w="1582" w:type="dxa"/>
                  <w:noWrap w:val="0"/>
                  <w:vAlign w:val="center"/>
                </w:tcPr>
                <w:p>
                  <w:pPr>
                    <w:adjustRightInd w:val="0"/>
                    <w:snapToGrid w:val="0"/>
                    <w:jc w:val="center"/>
                    <w:rPr>
                      <w:rFonts w:hint="eastAsia"/>
                      <w:snapToGrid w:val="0"/>
                      <w:szCs w:val="21"/>
                    </w:rPr>
                  </w:pPr>
                  <w:r>
                    <w:rPr>
                      <w:rFonts w:hint="eastAsia"/>
                      <w:snapToGrid w:val="0"/>
                      <w:szCs w:val="21"/>
                    </w:rPr>
                    <w:t>4</w:t>
                  </w:r>
                  <w:r>
                    <w:rPr>
                      <w:snapToGrid w:val="0"/>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3</w:t>
                  </w:r>
                </w:p>
              </w:tc>
              <w:tc>
                <w:tcPr>
                  <w:tcW w:w="4047" w:type="dxa"/>
                  <w:noWrap w:val="0"/>
                  <w:vAlign w:val="center"/>
                </w:tcPr>
                <w:p>
                  <w:pPr>
                    <w:adjustRightInd w:val="0"/>
                    <w:snapToGrid w:val="0"/>
                    <w:jc w:val="center"/>
                    <w:rPr>
                      <w:rFonts w:hint="eastAsia"/>
                      <w:snapToGrid w:val="0"/>
                      <w:szCs w:val="21"/>
                    </w:rPr>
                  </w:pPr>
                  <w:r>
                    <w:rPr>
                      <w:snapToGrid w:val="0"/>
                      <w:szCs w:val="21"/>
                    </w:rPr>
                    <w:t>手提式干粉灭火器</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MFZ/ABC4</w:t>
                  </w:r>
                </w:p>
              </w:tc>
              <w:tc>
                <w:tcPr>
                  <w:tcW w:w="1582" w:type="dxa"/>
                  <w:noWrap w:val="0"/>
                  <w:vAlign w:val="center"/>
                </w:tcPr>
                <w:p>
                  <w:pPr>
                    <w:adjustRightInd w:val="0"/>
                    <w:snapToGrid w:val="0"/>
                    <w:jc w:val="center"/>
                    <w:rPr>
                      <w:rFonts w:hint="eastAsia"/>
                      <w:snapToGrid w:val="0"/>
                      <w:szCs w:val="21"/>
                    </w:rPr>
                  </w:pPr>
                  <w:r>
                    <w:rPr>
                      <w:rFonts w:hint="eastAsia"/>
                      <w:snapToGrid w:val="0"/>
                      <w:szCs w:val="21"/>
                    </w:rPr>
                    <w:t>11</w:t>
                  </w:r>
                  <w:r>
                    <w:rPr>
                      <w:snapToGrid w:val="0"/>
                      <w:szCs w:val="21"/>
                    </w:rPr>
                    <w:t>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4</w:t>
                  </w:r>
                </w:p>
              </w:tc>
              <w:tc>
                <w:tcPr>
                  <w:tcW w:w="4047" w:type="dxa"/>
                  <w:noWrap w:val="0"/>
                  <w:vAlign w:val="center"/>
                </w:tcPr>
                <w:p>
                  <w:pPr>
                    <w:adjustRightInd w:val="0"/>
                    <w:snapToGrid w:val="0"/>
                    <w:jc w:val="center"/>
                    <w:rPr>
                      <w:rFonts w:hint="eastAsia"/>
                      <w:snapToGrid w:val="0"/>
                      <w:szCs w:val="21"/>
                    </w:rPr>
                  </w:pPr>
                  <w:r>
                    <w:rPr>
                      <w:rFonts w:hint="eastAsia"/>
                      <w:snapToGrid w:val="0"/>
                      <w:szCs w:val="21"/>
                    </w:rPr>
                    <w:t>二氧化碳灭火器</w:t>
                  </w:r>
                </w:p>
              </w:tc>
              <w:tc>
                <w:tcPr>
                  <w:tcW w:w="2112" w:type="dxa"/>
                  <w:noWrap w:val="0"/>
                  <w:vAlign w:val="center"/>
                </w:tcPr>
                <w:p>
                  <w:pPr>
                    <w:adjustRightInd w:val="0"/>
                    <w:snapToGrid w:val="0"/>
                    <w:jc w:val="center"/>
                    <w:rPr>
                      <w:snapToGrid w:val="0"/>
                      <w:szCs w:val="21"/>
                    </w:rPr>
                  </w:pPr>
                  <w:r>
                    <w:rPr>
                      <w:rFonts w:hint="eastAsia"/>
                      <w:snapToGrid w:val="0"/>
                      <w:szCs w:val="21"/>
                    </w:rPr>
                    <w:t>MT/3</w:t>
                  </w:r>
                </w:p>
              </w:tc>
              <w:tc>
                <w:tcPr>
                  <w:tcW w:w="1582" w:type="dxa"/>
                  <w:noWrap w:val="0"/>
                  <w:vAlign w:val="center"/>
                </w:tcPr>
                <w:p>
                  <w:pPr>
                    <w:adjustRightInd w:val="0"/>
                    <w:snapToGrid w:val="0"/>
                    <w:jc w:val="center"/>
                    <w:rPr>
                      <w:snapToGrid w:val="0"/>
                      <w:szCs w:val="21"/>
                    </w:rPr>
                  </w:pPr>
                  <w:r>
                    <w:rPr>
                      <w:rFonts w:hint="eastAsia"/>
                      <w:snapToGrid w:val="0"/>
                      <w:szCs w:val="21"/>
                    </w:rPr>
                    <w:t>2具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5</w:t>
                  </w:r>
                </w:p>
              </w:tc>
              <w:tc>
                <w:tcPr>
                  <w:tcW w:w="4047" w:type="dxa"/>
                  <w:noWrap w:val="0"/>
                  <w:vAlign w:val="center"/>
                </w:tcPr>
                <w:p>
                  <w:pPr>
                    <w:adjustRightInd w:val="0"/>
                    <w:snapToGrid w:val="0"/>
                    <w:jc w:val="center"/>
                    <w:rPr>
                      <w:snapToGrid w:val="0"/>
                      <w:szCs w:val="21"/>
                    </w:rPr>
                  </w:pPr>
                  <w:r>
                    <w:rPr>
                      <w:rFonts w:hint="eastAsia"/>
                      <w:snapToGrid w:val="0"/>
                      <w:szCs w:val="21"/>
                    </w:rPr>
                    <w:t>灭火</w:t>
                  </w:r>
                  <w:r>
                    <w:rPr>
                      <w:snapToGrid w:val="0"/>
                      <w:szCs w:val="21"/>
                    </w:rPr>
                    <w:t>毯</w:t>
                  </w:r>
                  <w:r>
                    <w:rPr>
                      <w:rFonts w:hint="eastAsia"/>
                      <w:snapToGrid w:val="0"/>
                      <w:szCs w:val="21"/>
                    </w:rPr>
                    <w:t>（石棉被）</w:t>
                  </w:r>
                </w:p>
              </w:tc>
              <w:tc>
                <w:tcPr>
                  <w:tcW w:w="2112" w:type="dxa"/>
                  <w:noWrap w:val="0"/>
                  <w:vAlign w:val="center"/>
                </w:tcPr>
                <w:p>
                  <w:pPr>
                    <w:adjustRightInd w:val="0"/>
                    <w:snapToGrid w:val="0"/>
                    <w:jc w:val="center"/>
                    <w:rPr>
                      <w:rFonts w:hint="eastAsia"/>
                      <w:snapToGrid w:val="0"/>
                      <w:szCs w:val="21"/>
                    </w:rPr>
                  </w:pPr>
                  <w:r>
                    <w:rPr>
                      <w:snapToGrid w:val="0"/>
                      <w:szCs w:val="21"/>
                    </w:rPr>
                    <w:t>1.</w:t>
                  </w:r>
                  <w:r>
                    <w:rPr>
                      <w:rFonts w:hint="eastAsia"/>
                      <w:snapToGrid w:val="0"/>
                      <w:szCs w:val="21"/>
                    </w:rPr>
                    <w:t>5</w:t>
                  </w:r>
                  <w:r>
                    <w:rPr>
                      <w:snapToGrid w:val="0"/>
                      <w:szCs w:val="21"/>
                    </w:rPr>
                    <w:t>*1.</w:t>
                  </w:r>
                  <w:r>
                    <w:rPr>
                      <w:rFonts w:hint="eastAsia"/>
                      <w:snapToGrid w:val="0"/>
                      <w:szCs w:val="21"/>
                    </w:rPr>
                    <w:t>5</w:t>
                  </w:r>
                  <w:r>
                    <w:rPr>
                      <w:snapToGrid w:val="0"/>
                      <w:szCs w:val="21"/>
                    </w:rPr>
                    <w:t>m</w:t>
                  </w:r>
                </w:p>
              </w:tc>
              <w:tc>
                <w:tcPr>
                  <w:tcW w:w="1582" w:type="dxa"/>
                  <w:noWrap w:val="0"/>
                  <w:vAlign w:val="center"/>
                </w:tcPr>
                <w:p>
                  <w:pPr>
                    <w:adjustRightInd w:val="0"/>
                    <w:snapToGrid w:val="0"/>
                    <w:jc w:val="center"/>
                    <w:rPr>
                      <w:rFonts w:hint="eastAsia"/>
                      <w:snapToGrid w:val="0"/>
                      <w:szCs w:val="21"/>
                    </w:rPr>
                  </w:pPr>
                  <w:r>
                    <w:rPr>
                      <w:rFonts w:hint="eastAsia"/>
                      <w:snapToGrid w:val="0"/>
                      <w:szCs w:val="21"/>
                    </w:rPr>
                    <w:t>7床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snapToGrid w:val="0"/>
                      <w:szCs w:val="21"/>
                    </w:rPr>
                    <w:t>6</w:t>
                  </w:r>
                </w:p>
              </w:tc>
              <w:tc>
                <w:tcPr>
                  <w:tcW w:w="4047" w:type="dxa"/>
                  <w:noWrap w:val="0"/>
                  <w:vAlign w:val="center"/>
                </w:tcPr>
                <w:p>
                  <w:pPr>
                    <w:adjustRightInd w:val="0"/>
                    <w:snapToGrid w:val="0"/>
                    <w:jc w:val="center"/>
                    <w:rPr>
                      <w:snapToGrid w:val="0"/>
                      <w:szCs w:val="21"/>
                    </w:rPr>
                  </w:pPr>
                  <w:r>
                    <w:rPr>
                      <w:snapToGrid w:val="0"/>
                      <w:szCs w:val="21"/>
                    </w:rPr>
                    <w:t>消防砂</w:t>
                  </w:r>
                </w:p>
              </w:tc>
              <w:tc>
                <w:tcPr>
                  <w:tcW w:w="2112" w:type="dxa"/>
                  <w:noWrap w:val="0"/>
                  <w:vAlign w:val="center"/>
                </w:tcPr>
                <w:p>
                  <w:pPr>
                    <w:adjustRightInd w:val="0"/>
                    <w:snapToGrid w:val="0"/>
                    <w:jc w:val="center"/>
                    <w:rPr>
                      <w:snapToGrid w:val="0"/>
                      <w:szCs w:val="21"/>
                    </w:rPr>
                  </w:pPr>
                  <w:r>
                    <w:rPr>
                      <w:snapToGrid w:val="0"/>
                      <w:szCs w:val="21"/>
                    </w:rPr>
                    <w:t>石英砂</w:t>
                  </w:r>
                </w:p>
              </w:tc>
              <w:tc>
                <w:tcPr>
                  <w:tcW w:w="1582" w:type="dxa"/>
                  <w:noWrap w:val="0"/>
                  <w:vAlign w:val="center"/>
                </w:tcPr>
                <w:p>
                  <w:pPr>
                    <w:adjustRightInd w:val="0"/>
                    <w:snapToGrid w:val="0"/>
                    <w:jc w:val="center"/>
                    <w:rPr>
                      <w:snapToGrid w:val="0"/>
                      <w:szCs w:val="21"/>
                    </w:rPr>
                  </w:pPr>
                  <w:r>
                    <w:rPr>
                      <w:rFonts w:hint="eastAsia"/>
                      <w:snapToGrid w:val="0"/>
                      <w:szCs w:val="21"/>
                    </w:rPr>
                    <w:t>3</w:t>
                  </w:r>
                  <w:r>
                    <w:rPr>
                      <w:snapToGrid w:val="0"/>
                      <w:szCs w:val="21"/>
                    </w:rPr>
                    <w:t>m</w:t>
                  </w:r>
                  <w:r>
                    <w:rPr>
                      <w:snapToGrid w:val="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center"/>
                </w:tcPr>
                <w:p>
                  <w:pPr>
                    <w:adjustRightInd w:val="0"/>
                    <w:snapToGrid w:val="0"/>
                    <w:jc w:val="center"/>
                    <w:rPr>
                      <w:snapToGrid w:val="0"/>
                      <w:szCs w:val="21"/>
                    </w:rPr>
                  </w:pPr>
                  <w:r>
                    <w:rPr>
                      <w:rFonts w:hint="eastAsia"/>
                      <w:snapToGrid w:val="0"/>
                      <w:szCs w:val="21"/>
                    </w:rPr>
                    <w:t>7</w:t>
                  </w:r>
                </w:p>
              </w:tc>
              <w:tc>
                <w:tcPr>
                  <w:tcW w:w="4047" w:type="dxa"/>
                  <w:noWrap w:val="0"/>
                  <w:vAlign w:val="center"/>
                </w:tcPr>
                <w:p>
                  <w:pPr>
                    <w:adjustRightInd w:val="0"/>
                    <w:snapToGrid w:val="0"/>
                    <w:jc w:val="center"/>
                    <w:rPr>
                      <w:snapToGrid w:val="0"/>
                      <w:szCs w:val="21"/>
                    </w:rPr>
                  </w:pPr>
                  <w:r>
                    <w:rPr>
                      <w:snapToGrid w:val="0"/>
                      <w:szCs w:val="21"/>
                    </w:rPr>
                    <w:t>消防铲</w:t>
                  </w:r>
                </w:p>
              </w:tc>
              <w:tc>
                <w:tcPr>
                  <w:tcW w:w="2112" w:type="dxa"/>
                  <w:noWrap w:val="0"/>
                  <w:vAlign w:val="center"/>
                </w:tcPr>
                <w:p>
                  <w:pPr>
                    <w:adjustRightInd w:val="0"/>
                    <w:snapToGrid w:val="0"/>
                    <w:jc w:val="center"/>
                    <w:rPr>
                      <w:snapToGrid w:val="0"/>
                      <w:szCs w:val="21"/>
                    </w:rPr>
                  </w:pPr>
                  <w:r>
                    <w:rPr>
                      <w:rFonts w:hint="eastAsia"/>
                      <w:snapToGrid w:val="0"/>
                      <w:szCs w:val="21"/>
                    </w:rPr>
                    <w:t>/</w:t>
                  </w:r>
                </w:p>
              </w:tc>
              <w:tc>
                <w:tcPr>
                  <w:tcW w:w="1582" w:type="dxa"/>
                  <w:noWrap w:val="0"/>
                  <w:vAlign w:val="center"/>
                </w:tcPr>
                <w:p>
                  <w:pPr>
                    <w:adjustRightInd w:val="0"/>
                    <w:snapToGrid w:val="0"/>
                    <w:jc w:val="center"/>
                    <w:rPr>
                      <w:snapToGrid w:val="0"/>
                      <w:szCs w:val="21"/>
                    </w:rPr>
                  </w:pPr>
                  <w:r>
                    <w:rPr>
                      <w:snapToGrid w:val="0"/>
                      <w:szCs w:val="21"/>
                    </w:rPr>
                    <w:t>2把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8</w:t>
                  </w:r>
                </w:p>
              </w:tc>
              <w:tc>
                <w:tcPr>
                  <w:tcW w:w="4047" w:type="dxa"/>
                  <w:noWrap w:val="0"/>
                  <w:vAlign w:val="center"/>
                </w:tcPr>
                <w:p>
                  <w:pPr>
                    <w:adjustRightInd w:val="0"/>
                    <w:snapToGrid w:val="0"/>
                    <w:jc w:val="center"/>
                    <w:rPr>
                      <w:snapToGrid w:val="0"/>
                      <w:szCs w:val="21"/>
                    </w:rPr>
                  </w:pPr>
                  <w:r>
                    <w:rPr>
                      <w:rFonts w:hint="eastAsia"/>
                      <w:snapToGrid w:val="0"/>
                      <w:szCs w:val="21"/>
                    </w:rPr>
                    <w:t>水封井</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center"/>
                </w:tcPr>
                <w:p>
                  <w:pPr>
                    <w:adjustRightInd w:val="0"/>
                    <w:snapToGrid w:val="0"/>
                    <w:jc w:val="center"/>
                    <w:rPr>
                      <w:snapToGrid w:val="0"/>
                      <w:szCs w:val="21"/>
                    </w:rPr>
                  </w:pPr>
                  <w:r>
                    <w:rPr>
                      <w:rFonts w:hint="eastAsia"/>
                      <w:snapToGrid w:val="0"/>
                      <w:szCs w:val="21"/>
                    </w:rPr>
                    <w:t>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9</w:t>
                  </w:r>
                </w:p>
              </w:tc>
              <w:tc>
                <w:tcPr>
                  <w:tcW w:w="4047" w:type="dxa"/>
                  <w:noWrap w:val="0"/>
                  <w:vAlign w:val="center"/>
                </w:tcPr>
                <w:p>
                  <w:pPr>
                    <w:adjustRightInd w:val="0"/>
                    <w:snapToGrid w:val="0"/>
                    <w:jc w:val="center"/>
                    <w:rPr>
                      <w:rFonts w:hint="eastAsia"/>
                      <w:snapToGrid w:val="0"/>
                      <w:szCs w:val="21"/>
                    </w:rPr>
                  </w:pPr>
                  <w:r>
                    <w:rPr>
                      <w:rFonts w:hint="eastAsia"/>
                      <w:snapToGrid w:val="0"/>
                      <w:szCs w:val="21"/>
                    </w:rPr>
                    <w:t>消防桶</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center"/>
                </w:tcPr>
                <w:p>
                  <w:pPr>
                    <w:adjustRightInd w:val="0"/>
                    <w:snapToGrid w:val="0"/>
                    <w:jc w:val="center"/>
                    <w:rPr>
                      <w:snapToGrid w:val="0"/>
                      <w:szCs w:val="21"/>
                    </w:rPr>
                  </w:pPr>
                  <w:r>
                    <w:rPr>
                      <w:rFonts w:hint="eastAsia"/>
                      <w:snapToGrid w:val="0"/>
                      <w:szCs w:val="21"/>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10</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消防战斗服</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10</w:t>
                  </w:r>
                  <w:r>
                    <w:rPr>
                      <w:rFonts w:hint="eastAsia" w:ascii="宋体" w:hAnsi="宋体" w:cs="宋体"/>
                      <w:color w:val="000000"/>
                      <w:kern w:val="0"/>
                      <w:sz w:val="24"/>
                      <w:lang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11</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消防战斗套靴</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10</w:t>
                  </w:r>
                  <w:r>
                    <w:rPr>
                      <w:rFonts w:hint="eastAsia" w:ascii="宋体" w:hAnsi="宋体" w:cs="宋体"/>
                      <w:color w:val="000000"/>
                      <w:kern w:val="0"/>
                      <w:sz w:val="24"/>
                      <w:lang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12</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消防手套</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10</w:t>
                  </w:r>
                  <w:r>
                    <w:rPr>
                      <w:rFonts w:hint="eastAsia" w:ascii="宋体" w:hAnsi="宋体" w:cs="宋体"/>
                      <w:color w:val="000000"/>
                      <w:kern w:val="0"/>
                      <w:sz w:val="24"/>
                      <w:lang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13</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防毒面罩</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10</w:t>
                  </w:r>
                  <w:r>
                    <w:rPr>
                      <w:rFonts w:hint="eastAsia" w:ascii="宋体" w:hAnsi="宋体" w:cs="宋体"/>
                      <w:color w:val="000000"/>
                      <w:kern w:val="0"/>
                      <w:sz w:val="24"/>
                      <w:lang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14</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消防水带</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5</w:t>
                  </w:r>
                  <w:r>
                    <w:rPr>
                      <w:rFonts w:hint="eastAsia" w:ascii="宋体" w:hAnsi="宋体" w:cs="宋体"/>
                      <w:color w:val="000000"/>
                      <w:kern w:val="0"/>
                      <w:sz w:val="24"/>
                      <w:lang w:bidi="ar"/>
                    </w:rPr>
                    <w:t>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15</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消防水枪</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5</w:t>
                  </w:r>
                  <w:r>
                    <w:rPr>
                      <w:rFonts w:hint="eastAsia" w:ascii="宋体" w:hAnsi="宋体" w:cs="宋体"/>
                      <w:color w:val="000000"/>
                      <w:kern w:val="0"/>
                      <w:sz w:val="24"/>
                      <w:lang w:bidi="ar"/>
                    </w:rPr>
                    <w:t>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16</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分离器</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1</w:t>
                  </w:r>
                  <w:r>
                    <w:rPr>
                      <w:rFonts w:hint="eastAsia" w:ascii="宋体" w:hAnsi="宋体" w:cs="宋体"/>
                      <w:color w:val="000000"/>
                      <w:kern w:val="0"/>
                      <w:sz w:val="24"/>
                      <w:lang w:bidi="ar"/>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17</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钢叉</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2</w:t>
                  </w:r>
                  <w:r>
                    <w:rPr>
                      <w:rFonts w:hint="eastAsia" w:ascii="宋体" w:hAnsi="宋体" w:cs="宋体"/>
                      <w:color w:val="000000"/>
                      <w:kern w:val="0"/>
                      <w:sz w:val="24"/>
                      <w:lang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057" w:type="dxa"/>
                  <w:noWrap w:val="0"/>
                  <w:vAlign w:val="bottom"/>
                </w:tcPr>
                <w:p>
                  <w:pPr>
                    <w:adjustRightInd w:val="0"/>
                    <w:snapToGrid w:val="0"/>
                    <w:jc w:val="center"/>
                    <w:rPr>
                      <w:rFonts w:hint="eastAsia"/>
                      <w:snapToGrid w:val="0"/>
                      <w:szCs w:val="21"/>
                    </w:rPr>
                  </w:pPr>
                  <w:r>
                    <w:rPr>
                      <w:rFonts w:hint="eastAsia"/>
                      <w:snapToGrid w:val="0"/>
                      <w:szCs w:val="21"/>
                    </w:rPr>
                    <w:t>18</w:t>
                  </w:r>
                </w:p>
              </w:tc>
              <w:tc>
                <w:tcPr>
                  <w:tcW w:w="4047" w:type="dxa"/>
                  <w:noWrap w:val="0"/>
                  <w:vAlign w:val="bottom"/>
                </w:tcPr>
                <w:p>
                  <w:pPr>
                    <w:adjustRightInd w:val="0"/>
                    <w:snapToGrid w:val="0"/>
                    <w:jc w:val="center"/>
                    <w:rPr>
                      <w:rFonts w:hint="eastAsia"/>
                      <w:snapToGrid w:val="0"/>
                      <w:szCs w:val="21"/>
                    </w:rPr>
                  </w:pPr>
                  <w:r>
                    <w:rPr>
                      <w:rFonts w:hint="eastAsia"/>
                      <w:snapToGrid w:val="0"/>
                      <w:szCs w:val="21"/>
                    </w:rPr>
                    <w:t>盾牌</w:t>
                  </w:r>
                </w:p>
              </w:tc>
              <w:tc>
                <w:tcPr>
                  <w:tcW w:w="2112" w:type="dxa"/>
                  <w:noWrap w:val="0"/>
                  <w:vAlign w:val="center"/>
                </w:tcPr>
                <w:p>
                  <w:pPr>
                    <w:adjustRightInd w:val="0"/>
                    <w:snapToGrid w:val="0"/>
                    <w:jc w:val="center"/>
                    <w:rPr>
                      <w:rFonts w:hint="eastAsia"/>
                      <w:snapToGrid w:val="0"/>
                      <w:szCs w:val="21"/>
                    </w:rPr>
                  </w:pPr>
                  <w:r>
                    <w:rPr>
                      <w:rFonts w:hint="eastAsia"/>
                      <w:snapToGrid w:val="0"/>
                      <w:szCs w:val="21"/>
                    </w:rPr>
                    <w:t>/</w:t>
                  </w:r>
                </w:p>
              </w:tc>
              <w:tc>
                <w:tcPr>
                  <w:tcW w:w="1582" w:type="dxa"/>
                  <w:noWrap w:val="0"/>
                  <w:vAlign w:val="bottom"/>
                </w:tcPr>
                <w:p>
                  <w:pPr>
                    <w:widowControl/>
                    <w:jc w:val="center"/>
                    <w:textAlignment w:val="bottom"/>
                    <w:rPr>
                      <w:rFonts w:hint="eastAsia"/>
                      <w:snapToGrid w:val="0"/>
                      <w:szCs w:val="21"/>
                    </w:rPr>
                  </w:pPr>
                  <w:r>
                    <w:rPr>
                      <w:color w:val="000000"/>
                      <w:kern w:val="0"/>
                      <w:sz w:val="24"/>
                      <w:lang w:bidi="ar"/>
                    </w:rPr>
                    <w:t>2</w:t>
                  </w:r>
                  <w:r>
                    <w:rPr>
                      <w:rFonts w:hint="eastAsia" w:ascii="宋体" w:hAnsi="宋体" w:cs="宋体"/>
                      <w:color w:val="000000"/>
                      <w:kern w:val="0"/>
                      <w:sz w:val="24"/>
                      <w:lang w:bidi="ar"/>
                    </w:rPr>
                    <w:t>套</w:t>
                  </w:r>
                </w:p>
              </w:tc>
            </w:tr>
          </w:tbl>
          <w:p>
            <w:pPr>
              <w:spacing w:line="360" w:lineRule="auto"/>
              <w:ind w:firstLine="498" w:firstLineChars="200"/>
              <w:rPr>
                <w:b/>
                <w:bCs/>
                <w:spacing w:val="4"/>
                <w:sz w:val="24"/>
              </w:rPr>
            </w:pPr>
            <w:r>
              <w:rPr>
                <w:rFonts w:hint="eastAsia"/>
                <w:b/>
                <w:bCs/>
                <w:spacing w:val="4"/>
                <w:sz w:val="24"/>
              </w:rPr>
              <w:t>2.10</w:t>
            </w:r>
            <w:r>
              <w:rPr>
                <w:b/>
                <w:bCs/>
                <w:spacing w:val="4"/>
                <w:sz w:val="24"/>
              </w:rPr>
              <w:t>、劳动定员及工作制度</w:t>
            </w:r>
          </w:p>
          <w:p>
            <w:pPr>
              <w:adjustRightInd w:val="0"/>
              <w:snapToGrid w:val="0"/>
              <w:spacing w:line="360" w:lineRule="auto"/>
              <w:ind w:firstLine="480" w:firstLineChars="200"/>
              <w:rPr>
                <w:sz w:val="24"/>
              </w:rPr>
            </w:pPr>
            <w:r>
              <w:rPr>
                <w:sz w:val="24"/>
              </w:rPr>
              <w:t>项目现有</w:t>
            </w:r>
            <w:r>
              <w:rPr>
                <w:rFonts w:hint="eastAsia"/>
                <w:sz w:val="24"/>
              </w:rPr>
              <w:t>8</w:t>
            </w:r>
            <w:r>
              <w:rPr>
                <w:sz w:val="24"/>
              </w:rPr>
              <w:t>名工作人员</w:t>
            </w:r>
            <w:r>
              <w:rPr>
                <w:rFonts w:hint="eastAsia"/>
                <w:sz w:val="24"/>
              </w:rPr>
              <w:t>（含管理人员），除夜班人员留宿，其余均不在项目内部食宿。</w:t>
            </w:r>
          </w:p>
          <w:p>
            <w:pPr>
              <w:adjustRightInd w:val="0"/>
              <w:snapToGrid w:val="0"/>
              <w:spacing w:line="360" w:lineRule="auto"/>
              <w:ind w:firstLine="480" w:firstLineChars="200"/>
              <w:rPr>
                <w:rFonts w:ascii="宋体" w:hAnsi="宋体" w:cs="宋体"/>
                <w:bCs/>
                <w:szCs w:val="21"/>
              </w:rPr>
            </w:pPr>
            <w:r>
              <w:rPr>
                <w:rFonts w:hint="eastAsia"/>
                <w:sz w:val="24"/>
              </w:rPr>
              <w:t>项目为社会服务型企业，日经营24小时，年运营365天，实行三班8小时制。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1" w:hRule="atLeast"/>
          <w:jc w:val="center"/>
        </w:trPr>
        <w:tc>
          <w:tcPr>
            <w:tcW w:w="823" w:type="dxa"/>
            <w:noWrap w:val="0"/>
            <w:vAlign w:val="center"/>
          </w:tcPr>
          <w:p>
            <w:pPr>
              <w:pStyle w:val="23"/>
              <w:adjustRightInd w:val="0"/>
              <w:snapToGrid w:val="0"/>
              <w:spacing w:before="0" w:beforeAutospacing="0" w:after="0" w:afterAutospacing="0"/>
              <w:jc w:val="center"/>
              <w:rPr>
                <w:rFonts w:cs="宋体"/>
                <w:sz w:val="21"/>
                <w:szCs w:val="21"/>
              </w:rPr>
            </w:pPr>
            <w:r>
              <w:rPr>
                <w:rFonts w:hint="eastAsia" w:cs="宋体"/>
                <w:sz w:val="21"/>
                <w:szCs w:val="21"/>
              </w:rPr>
              <w:t>工艺流程和产排污环节</w:t>
            </w:r>
          </w:p>
        </w:tc>
        <w:tc>
          <w:tcPr>
            <w:tcW w:w="8161" w:type="dxa"/>
            <w:noWrap w:val="0"/>
            <w:vAlign w:val="top"/>
          </w:tcPr>
          <w:p>
            <w:pPr>
              <w:spacing w:line="360" w:lineRule="auto"/>
              <w:ind w:firstLine="498" w:firstLineChars="200"/>
              <w:rPr>
                <w:rFonts w:hint="eastAsia"/>
                <w:b/>
                <w:bCs/>
                <w:spacing w:val="4"/>
                <w:sz w:val="24"/>
              </w:rPr>
            </w:pPr>
            <w:r>
              <w:rPr>
                <w:rFonts w:hint="eastAsia"/>
                <w:b/>
                <w:bCs/>
                <w:spacing w:val="4"/>
                <w:sz w:val="24"/>
              </w:rPr>
              <w:t>2.11施工期</w:t>
            </w:r>
          </w:p>
          <w:p>
            <w:pPr>
              <w:adjustRightInd w:val="0"/>
              <w:snapToGrid w:val="0"/>
              <w:spacing w:line="360" w:lineRule="auto"/>
              <w:ind w:firstLine="480" w:firstLineChars="200"/>
              <w:rPr>
                <w:sz w:val="24"/>
                <w:u w:val="single"/>
              </w:rPr>
            </w:pPr>
            <w:r>
              <w:rPr>
                <w:rFonts w:hint="eastAsia"/>
                <w:sz w:val="24"/>
                <w:u w:val="single"/>
              </w:rPr>
              <w:t>1、施工内容及施工工艺</w:t>
            </w:r>
          </w:p>
          <w:p>
            <w:pPr>
              <w:adjustRightInd w:val="0"/>
              <w:snapToGrid w:val="0"/>
              <w:spacing w:line="360" w:lineRule="auto"/>
              <w:ind w:firstLine="480" w:firstLineChars="200"/>
              <w:rPr>
                <w:sz w:val="24"/>
                <w:u w:val="single"/>
              </w:rPr>
            </w:pPr>
            <w:r>
              <w:rPr>
                <w:rFonts w:hint="eastAsia"/>
                <w:sz w:val="24"/>
                <w:u w:val="single"/>
              </w:rPr>
              <w:t>本项目主要将原有油罐进行更换，本项目施工期污染源产生环节见下图。</w:t>
            </w:r>
          </w:p>
          <w:p>
            <w:pPr>
              <w:adjustRightInd w:val="0"/>
              <w:snapToGrid w:val="0"/>
              <w:jc w:val="center"/>
            </w:pPr>
            <w:r>
              <w:drawing>
                <wp:inline distT="0" distB="0" distL="114300" distR="114300">
                  <wp:extent cx="2768600" cy="1924685"/>
                  <wp:effectExtent l="0" t="0" r="12700" b="18415"/>
                  <wp:docPr id="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3"/>
                          <pic:cNvPicPr>
                            <a:picLocks noChangeAspect="1"/>
                          </pic:cNvPicPr>
                        </pic:nvPicPr>
                        <pic:blipFill>
                          <a:blip r:embed="rId20"/>
                          <a:stretch>
                            <a:fillRect/>
                          </a:stretch>
                        </pic:blipFill>
                        <pic:spPr>
                          <a:xfrm>
                            <a:off x="0" y="0"/>
                            <a:ext cx="2768600" cy="1924685"/>
                          </a:xfrm>
                          <a:prstGeom prst="rect">
                            <a:avLst/>
                          </a:prstGeom>
                          <a:noFill/>
                          <a:ln>
                            <a:noFill/>
                          </a:ln>
                        </pic:spPr>
                      </pic:pic>
                    </a:graphicData>
                  </a:graphic>
                </wp:inline>
              </w:drawing>
            </w:r>
          </w:p>
          <w:p>
            <w:pPr>
              <w:adjustRightInd w:val="0"/>
              <w:snapToGrid w:val="0"/>
              <w:spacing w:after="120" w:afterLines="50"/>
              <w:jc w:val="center"/>
              <w:rPr>
                <w:rFonts w:hint="eastAsia"/>
                <w:b/>
                <w:bCs/>
                <w:color w:val="000000"/>
                <w:szCs w:val="21"/>
              </w:rPr>
            </w:pPr>
            <w:r>
              <w:rPr>
                <w:rFonts w:hint="eastAsia"/>
                <w:b/>
                <w:bCs/>
                <w:color w:val="000000"/>
                <w:szCs w:val="21"/>
              </w:rPr>
              <w:t>图2-2   施工期流程及产污环节示意图</w:t>
            </w:r>
          </w:p>
          <w:p>
            <w:pPr>
              <w:adjustRightInd w:val="0"/>
              <w:snapToGrid w:val="0"/>
              <w:spacing w:line="360" w:lineRule="auto"/>
              <w:ind w:firstLine="480" w:firstLineChars="200"/>
              <w:rPr>
                <w:sz w:val="24"/>
                <w:u w:val="single"/>
              </w:rPr>
            </w:pPr>
            <w:r>
              <w:rPr>
                <w:rFonts w:hint="eastAsia"/>
                <w:sz w:val="24"/>
                <w:u w:val="single"/>
              </w:rPr>
              <w:t>2、施工期污染工序</w:t>
            </w:r>
          </w:p>
          <w:p>
            <w:pPr>
              <w:adjustRightInd w:val="0"/>
              <w:snapToGrid w:val="0"/>
              <w:spacing w:line="360" w:lineRule="auto"/>
              <w:ind w:firstLine="480" w:firstLineChars="200"/>
              <w:rPr>
                <w:rFonts w:hint="eastAsia"/>
                <w:sz w:val="24"/>
                <w:u w:val="single"/>
              </w:rPr>
            </w:pPr>
            <w:r>
              <w:rPr>
                <w:rFonts w:hint="eastAsia"/>
                <w:sz w:val="24"/>
                <w:u w:val="single"/>
              </w:rPr>
              <w:t>施工期主要进行储罐及加油机等设备的更换，施工期会产生一定量的的扬尘、建筑垃圾等，储罐更换过程中，将产生油渣，油渣应进行收集，交由有资质单位进行处置，换下的油罐需交由有资质单位进行处置。</w:t>
            </w:r>
          </w:p>
          <w:p>
            <w:pPr>
              <w:spacing w:line="360" w:lineRule="auto"/>
              <w:ind w:left="435"/>
              <w:rPr>
                <w:rFonts w:hint="eastAsia"/>
                <w:sz w:val="24"/>
                <w:u w:val="single"/>
              </w:rPr>
            </w:pPr>
            <w:r>
              <w:rPr>
                <w:rFonts w:hint="eastAsia"/>
                <w:sz w:val="24"/>
                <w:u w:val="single"/>
              </w:rPr>
              <w:t>（1）废气</w:t>
            </w:r>
          </w:p>
          <w:p>
            <w:pPr>
              <w:adjustRightInd w:val="0"/>
              <w:snapToGrid w:val="0"/>
              <w:spacing w:line="360" w:lineRule="auto"/>
              <w:ind w:firstLine="480" w:firstLineChars="200"/>
              <w:rPr>
                <w:rFonts w:hint="eastAsia"/>
                <w:sz w:val="24"/>
                <w:u w:val="single"/>
              </w:rPr>
            </w:pPr>
            <w:r>
              <w:rPr>
                <w:rFonts w:hint="eastAsia"/>
                <w:sz w:val="24"/>
                <w:u w:val="single"/>
              </w:rPr>
              <w:t>本项目施工期的大气污染源主要为、露天堆场、裸露场地的风力扬尘和 施工车辆的燃烧尾气，建筑材料运输所产生的动力道路扬尘。</w:t>
            </w:r>
          </w:p>
          <w:p>
            <w:pPr>
              <w:adjustRightInd w:val="0"/>
              <w:snapToGrid w:val="0"/>
              <w:spacing w:line="360" w:lineRule="auto"/>
              <w:ind w:firstLine="480" w:firstLineChars="200"/>
              <w:rPr>
                <w:sz w:val="24"/>
                <w:u w:val="single"/>
              </w:rPr>
            </w:pPr>
            <w:r>
              <w:rPr>
                <w:rFonts w:hint="eastAsia"/>
                <w:sz w:val="24"/>
                <w:u w:val="single"/>
              </w:rPr>
              <w:t>（2）废水</w:t>
            </w:r>
          </w:p>
          <w:p>
            <w:pPr>
              <w:adjustRightInd w:val="0"/>
              <w:snapToGrid w:val="0"/>
              <w:spacing w:line="360" w:lineRule="auto"/>
              <w:ind w:firstLine="480" w:firstLineChars="200"/>
              <w:rPr>
                <w:rFonts w:hint="eastAsia"/>
                <w:sz w:val="24"/>
                <w:u w:val="single"/>
              </w:rPr>
            </w:pPr>
            <w:r>
              <w:rPr>
                <w:rFonts w:hint="eastAsia"/>
                <w:sz w:val="24"/>
                <w:u w:val="single"/>
              </w:rPr>
              <w:t>项目仅为油罐及加油机等设备的更换，施工期较短，主要施工员工产生的生活污水及施工机械冲洗废水，生活污水经化粪池</w:t>
            </w:r>
            <w:r>
              <w:rPr>
                <w:rFonts w:hint="eastAsia"/>
                <w:sz w:val="24"/>
                <w:u w:val="single"/>
                <w:lang w:val="en-US" w:eastAsia="zh-CN"/>
              </w:rPr>
              <w:t>+调节池</w:t>
            </w:r>
            <w:r>
              <w:rPr>
                <w:rFonts w:hint="eastAsia"/>
                <w:sz w:val="24"/>
                <w:u w:val="single"/>
              </w:rPr>
              <w:t>处理后用农肥，施工机械冲洗废水设置施工废水沉淀设施，在冲洗车辆场地设简易沉淀池，对冲洗废水进行沉淀处理，处理后的废水循环使用。</w:t>
            </w:r>
          </w:p>
          <w:p>
            <w:pPr>
              <w:adjustRightInd w:val="0"/>
              <w:snapToGrid w:val="0"/>
              <w:spacing w:line="360" w:lineRule="auto"/>
              <w:ind w:firstLine="480" w:firstLineChars="200"/>
              <w:rPr>
                <w:rFonts w:hint="eastAsia"/>
                <w:sz w:val="24"/>
                <w:u w:val="single"/>
              </w:rPr>
            </w:pPr>
            <w:r>
              <w:rPr>
                <w:rFonts w:hint="eastAsia"/>
                <w:sz w:val="24"/>
                <w:u w:val="single"/>
              </w:rPr>
              <w:t>（3）噪声</w:t>
            </w:r>
          </w:p>
          <w:p>
            <w:pPr>
              <w:adjustRightInd w:val="0"/>
              <w:snapToGrid w:val="0"/>
              <w:spacing w:line="360" w:lineRule="auto"/>
              <w:ind w:firstLine="480" w:firstLineChars="200"/>
              <w:rPr>
                <w:rFonts w:hint="eastAsia"/>
                <w:sz w:val="24"/>
                <w:u w:val="single"/>
              </w:rPr>
            </w:pPr>
            <w:r>
              <w:rPr>
                <w:rFonts w:hint="eastAsia"/>
                <w:sz w:val="24"/>
                <w:u w:val="single"/>
              </w:rPr>
              <w:t>项目施工期产生的噪声为吊车、运输车辆产生的噪声，施工期较短，随着施工期的结束而结束，影响较小。</w:t>
            </w:r>
          </w:p>
          <w:p>
            <w:pPr>
              <w:adjustRightInd w:val="0"/>
              <w:snapToGrid w:val="0"/>
              <w:spacing w:line="360" w:lineRule="auto"/>
              <w:ind w:firstLine="480" w:firstLineChars="200"/>
              <w:rPr>
                <w:rFonts w:hint="eastAsia"/>
                <w:sz w:val="24"/>
                <w:u w:val="single"/>
              </w:rPr>
            </w:pPr>
            <w:r>
              <w:rPr>
                <w:rFonts w:hint="eastAsia"/>
                <w:sz w:val="24"/>
                <w:u w:val="single"/>
              </w:rPr>
              <w:t>（4）固体废物</w:t>
            </w:r>
          </w:p>
          <w:p>
            <w:pPr>
              <w:adjustRightInd w:val="0"/>
              <w:snapToGrid w:val="0"/>
              <w:spacing w:line="360" w:lineRule="auto"/>
              <w:ind w:firstLine="480" w:firstLineChars="200"/>
              <w:rPr>
                <w:sz w:val="24"/>
                <w:u w:val="single"/>
              </w:rPr>
            </w:pPr>
            <w:r>
              <w:rPr>
                <w:rFonts w:hint="eastAsia"/>
                <w:sz w:val="24"/>
                <w:u w:val="single"/>
              </w:rPr>
              <w:t>施工期产生的固体废物主要包括施工人员产生的生活垃圾、建筑垃圾及更换下来的废旧油罐和加油机等设备、油罐中产生的油渣。施工期较短，生活垃圾均交由环卫部门定期处理，项目施工阶段建筑垃圾运送到指点的建筑垃圾处置场，更换下来的废旧油罐及加油机等设备应交由有资质的回收单位进行回收，油罐中清理出的油渣应交由有资质的危险废物处置单位进行处置。</w:t>
            </w: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rFonts w:hint="eastAsia"/>
                <w:b/>
                <w:bCs/>
                <w:spacing w:val="4"/>
                <w:sz w:val="24"/>
              </w:rPr>
            </w:pPr>
          </w:p>
          <w:p>
            <w:pPr>
              <w:spacing w:line="360" w:lineRule="auto"/>
              <w:ind w:firstLine="498" w:firstLineChars="200"/>
              <w:rPr>
                <w:b/>
                <w:bCs/>
                <w:spacing w:val="4"/>
                <w:sz w:val="24"/>
              </w:rPr>
            </w:pPr>
            <w:r>
              <w:rPr>
                <w:rFonts w:hint="eastAsia"/>
                <w:b/>
                <w:bCs/>
                <w:spacing w:val="4"/>
                <w:sz w:val="24"/>
              </w:rPr>
              <w:t>2.12 运营期</w:t>
            </w:r>
          </w:p>
          <w:p>
            <w:pPr>
              <w:adjustRightInd w:val="0"/>
              <w:snapToGrid w:val="0"/>
              <w:jc w:val="center"/>
            </w:pPr>
            <w:r>
              <w:rPr>
                <w:sz w:val="21"/>
              </w:rPr>
              <mc:AlternateContent>
                <mc:Choice Requires="wps">
                  <w:drawing>
                    <wp:anchor distT="0" distB="0" distL="114300" distR="114300" simplePos="0" relativeHeight="251675648" behindDoc="0" locked="0" layoutInCell="1" allowOverlap="1">
                      <wp:simplePos x="0" y="0"/>
                      <wp:positionH relativeFrom="column">
                        <wp:posOffset>1606550</wp:posOffset>
                      </wp:positionH>
                      <wp:positionV relativeFrom="paragraph">
                        <wp:posOffset>1921510</wp:posOffset>
                      </wp:positionV>
                      <wp:extent cx="0" cy="720090"/>
                      <wp:effectExtent l="48895" t="0" r="52705" b="3810"/>
                      <wp:wrapNone/>
                      <wp:docPr id="82" name="直接箭头连接符 82"/>
                      <wp:cNvGraphicFramePr/>
                      <a:graphic xmlns:a="http://schemas.openxmlformats.org/drawingml/2006/main">
                        <a:graphicData uri="http://schemas.microsoft.com/office/word/2010/wordprocessingShape">
                          <wps:wsp>
                            <wps:cNvCnPr/>
                            <wps:spPr>
                              <a:xfrm flipV="1">
                                <a:off x="3125470" y="3566795"/>
                                <a:ext cx="0" cy="720090"/>
                              </a:xfrm>
                              <a:prstGeom prst="straightConnector1">
                                <a:avLst/>
                              </a:prstGeom>
                              <a:ln w="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6.5pt;margin-top:151.3pt;height:56.7pt;width:0pt;z-index:251675648;mso-width-relative:page;mso-height-relative:page;" filled="f" stroked="t" coordsize="21600,21600" o:gfxdata="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WnMBdYAAAALAQAADwAAAAAAAAABACAAAAAiAAAA&#10;ZHJzL2Rvd25yZXYueG1sUEsBAhQAFAAAAAgAh07iQAuZcOwJAgAA2wMAAA4AAAAAAAAAAQAgAAAA&#10;JQEAAGRycy9lMm9Eb2MueG1sUEsFBgAAAAAGAAYAWQEAAKAFAAAAAA==&#10;">
                      <v:fill on="f" focussize="0,0"/>
                      <v:stroke weight="0pt" color="#000000 [3213]" joinstyle="round" endarrow="open"/>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2066290</wp:posOffset>
                      </wp:positionH>
                      <wp:positionV relativeFrom="paragraph">
                        <wp:posOffset>2454910</wp:posOffset>
                      </wp:positionV>
                      <wp:extent cx="1606550" cy="297180"/>
                      <wp:effectExtent l="0" t="0" r="0" b="0"/>
                      <wp:wrapNone/>
                      <wp:docPr id="15" name="矩形 21"/>
                      <wp:cNvGraphicFramePr/>
                      <a:graphic xmlns:a="http://schemas.openxmlformats.org/drawingml/2006/main">
                        <a:graphicData uri="http://schemas.microsoft.com/office/word/2010/wordprocessingShape">
                          <wps:wsp>
                            <wps:cNvSpPr/>
                            <wps:spPr>
                              <a:xfrm>
                                <a:off x="0" y="0"/>
                                <a:ext cx="1606550" cy="297180"/>
                              </a:xfrm>
                              <a:prstGeom prst="rect">
                                <a:avLst/>
                              </a:prstGeom>
                              <a:noFill/>
                              <a:ln>
                                <a:noFill/>
                              </a:ln>
                            </wps:spPr>
                            <wps:txbx>
                              <w:txbxContent>
                                <w:p>
                                  <w:pPr>
                                    <w:rPr>
                                      <w:rFonts w:hint="default" w:eastAsia="宋体"/>
                                      <w:color w:val="0000FF"/>
                                      <w:lang w:val="en-US" w:eastAsia="zh-CN"/>
                                    </w:rPr>
                                  </w:pPr>
                                  <w:r>
                                    <w:rPr>
                                      <w:rFonts w:hint="eastAsia"/>
                                      <w:color w:val="0000FF"/>
                                      <w:lang w:val="en-US" w:eastAsia="zh-CN"/>
                                    </w:rPr>
                                    <w:t>回到加油机后回到储罐</w:t>
                                  </w:r>
                                </w:p>
                              </w:txbxContent>
                            </wps:txbx>
                            <wps:bodyPr wrap="square" upright="1"/>
                          </wps:wsp>
                        </a:graphicData>
                      </a:graphic>
                    </wp:anchor>
                  </w:drawing>
                </mc:Choice>
                <mc:Fallback>
                  <w:pict>
                    <v:rect id="矩形 21" o:spid="_x0000_s1026" o:spt="1" style="position:absolute;left:0pt;margin-left:162.7pt;margin-top:193.3pt;height:23.4pt;width:126.5pt;z-index:251673600;mso-width-relative:page;mso-height-relative:page;" filled="f" stroked="f" coordsize="21600,21600" o:gfxdata="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F&#10;TQ8q3AAAAAsBAAAPAAAAAAAAAAEAIAAAACIAAABkcnMvZG93bnJldi54bWxQSwECFAAUAAAACACH&#10;TuJAs+WS264BAABRAwAADgAAAAAAAAABACAAAAArAQAAZHJzL2Uyb0RvYy54bWxQSwUGAAAAAAYA&#10;BgBZAQAASwUAAAAA&#10;">
                      <v:fill on="f" focussize="0,0"/>
                      <v:stroke on="f"/>
                      <v:imagedata o:title=""/>
                      <o:lock v:ext="edit" aspectratio="f"/>
                      <v:textbox>
                        <w:txbxContent>
                          <w:p>
                            <w:pPr>
                              <w:rPr>
                                <w:rFonts w:hint="default" w:eastAsia="宋体"/>
                                <w:color w:val="0000FF"/>
                                <w:lang w:val="en-US" w:eastAsia="zh-CN"/>
                              </w:rPr>
                            </w:pPr>
                            <w:r>
                              <w:rPr>
                                <w:rFonts w:hint="eastAsia"/>
                                <w:color w:val="0000FF"/>
                                <w:lang w:val="en-US" w:eastAsia="zh-CN"/>
                              </w:rPr>
                              <w:t>回到加油机后回到储罐</w:t>
                            </w:r>
                          </w:p>
                        </w:txbxContent>
                      </v:textbox>
                    </v:rect>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2410460</wp:posOffset>
                      </wp:positionH>
                      <wp:positionV relativeFrom="paragraph">
                        <wp:posOffset>90805</wp:posOffset>
                      </wp:positionV>
                      <wp:extent cx="1137920" cy="297180"/>
                      <wp:effectExtent l="0" t="0" r="0" b="0"/>
                      <wp:wrapNone/>
                      <wp:docPr id="14" name="矩形 20"/>
                      <wp:cNvGraphicFramePr/>
                      <a:graphic xmlns:a="http://schemas.openxmlformats.org/drawingml/2006/main">
                        <a:graphicData uri="http://schemas.microsoft.com/office/word/2010/wordprocessingShape">
                          <wps:wsp>
                            <wps:cNvSpPr/>
                            <wps:spPr>
                              <a:xfrm>
                                <a:off x="0" y="0"/>
                                <a:ext cx="1137920" cy="297180"/>
                              </a:xfrm>
                              <a:prstGeom prst="rect">
                                <a:avLst/>
                              </a:prstGeom>
                              <a:noFill/>
                              <a:ln>
                                <a:noFill/>
                              </a:ln>
                            </wps:spPr>
                            <wps:txbx>
                              <w:txbxContent>
                                <w:p>
                                  <w:pPr>
                                    <w:rPr>
                                      <w:rFonts w:hint="default" w:eastAsia="宋体"/>
                                      <w:color w:val="0000FF"/>
                                      <w:lang w:val="en-US" w:eastAsia="zh-CN"/>
                                    </w:rPr>
                                  </w:pPr>
                                  <w:r>
                                    <w:rPr>
                                      <w:rFonts w:hint="eastAsia"/>
                                      <w:color w:val="0000FF"/>
                                      <w:lang w:val="en-US" w:eastAsia="zh-CN"/>
                                    </w:rPr>
                                    <w:t>回到槽罐车</w:t>
                                  </w:r>
                                </w:p>
                              </w:txbxContent>
                            </wps:txbx>
                            <wps:bodyPr wrap="square" upright="1"/>
                          </wps:wsp>
                        </a:graphicData>
                      </a:graphic>
                    </wp:anchor>
                  </w:drawing>
                </mc:Choice>
                <mc:Fallback>
                  <w:pict>
                    <v:rect id="矩形 20" o:spid="_x0000_s1026" o:spt="1" style="position:absolute;left:0pt;margin-left:189.8pt;margin-top:7.15pt;height:23.4pt;width:89.6pt;z-index:251672576;mso-width-relative:page;mso-height-relative:page;" filled="f" stroked="f" coordsize="21600,21600" o:gfxdata="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LF1pja&#10;AAAACQEAAA8AAAAAAAAAAQAgAAAAIgAAAGRycy9kb3ducmV2LnhtbFBLAQIUABQAAAAIAIdO4kBb&#10;YT6GrAEAAFEDAAAOAAAAAAAAAAEAIAAAACkBAABkcnMvZTJvRG9jLnhtbFBLBQYAAAAABgAGAFkB&#10;AABHBQAAAAA=&#10;">
                      <v:fill on="f" focussize="0,0"/>
                      <v:stroke on="f"/>
                      <v:imagedata o:title=""/>
                      <o:lock v:ext="edit" aspectratio="f"/>
                      <v:textbox>
                        <w:txbxContent>
                          <w:p>
                            <w:pPr>
                              <w:rPr>
                                <w:rFonts w:hint="default" w:eastAsia="宋体"/>
                                <w:color w:val="0000FF"/>
                                <w:lang w:val="en-US" w:eastAsia="zh-CN"/>
                              </w:rPr>
                            </w:pPr>
                            <w:r>
                              <w:rPr>
                                <w:rFonts w:hint="eastAsia"/>
                                <w:color w:val="0000FF"/>
                                <w:lang w:val="en-US" w:eastAsia="zh-CN"/>
                              </w:rPr>
                              <w:t>回到槽罐车</w:t>
                            </w:r>
                          </w:p>
                        </w:txbxContent>
                      </v:textbox>
                    </v:rect>
                  </w:pict>
                </mc:Fallback>
              </mc:AlternateContent>
            </w:r>
            <w:r>
              <w:drawing>
                <wp:inline distT="0" distB="0" distL="114300" distR="114300">
                  <wp:extent cx="3838575" cy="4400550"/>
                  <wp:effectExtent l="0" t="0" r="9525" b="6350"/>
                  <wp:docPr id="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pic:cNvPicPr>
                            <a:picLocks noChangeAspect="1"/>
                          </pic:cNvPicPr>
                        </pic:nvPicPr>
                        <pic:blipFill>
                          <a:blip r:embed="rId21"/>
                          <a:stretch>
                            <a:fillRect/>
                          </a:stretch>
                        </pic:blipFill>
                        <pic:spPr>
                          <a:xfrm>
                            <a:off x="0" y="0"/>
                            <a:ext cx="3838575" cy="4400550"/>
                          </a:xfrm>
                          <a:prstGeom prst="rect">
                            <a:avLst/>
                          </a:prstGeom>
                          <a:noFill/>
                          <a:ln>
                            <a:noFill/>
                          </a:ln>
                        </pic:spPr>
                      </pic:pic>
                    </a:graphicData>
                  </a:graphic>
                </wp:inline>
              </w:drawing>
            </w:r>
          </w:p>
          <w:p>
            <w:pPr>
              <w:adjustRightInd w:val="0"/>
              <w:snapToGrid w:val="0"/>
              <w:spacing w:line="360" w:lineRule="auto"/>
              <w:jc w:val="center"/>
              <w:rPr>
                <w:rFonts w:hint="eastAsia"/>
              </w:rPr>
            </w:pPr>
            <w:r>
              <w:rPr>
                <w:b/>
                <w:bCs/>
              </w:rPr>
              <w:t>图</w:t>
            </w:r>
            <w:r>
              <w:rPr>
                <w:rFonts w:hint="eastAsia"/>
                <w:b/>
                <w:bCs/>
              </w:rPr>
              <w:t>2</w:t>
            </w:r>
            <w:r>
              <w:rPr>
                <w:b/>
                <w:bCs/>
              </w:rPr>
              <w:t>-</w:t>
            </w:r>
            <w:r>
              <w:rPr>
                <w:rFonts w:hint="eastAsia"/>
                <w:b/>
                <w:bCs/>
              </w:rPr>
              <w:t>3</w:t>
            </w:r>
            <w:r>
              <w:rPr>
                <w:b/>
                <w:bCs/>
              </w:rPr>
              <w:t xml:space="preserve">   项目</w:t>
            </w:r>
            <w:r>
              <w:rPr>
                <w:rFonts w:hint="eastAsia"/>
                <w:b/>
                <w:bCs/>
              </w:rPr>
              <w:t>加油</w:t>
            </w:r>
            <w:r>
              <w:rPr>
                <w:b/>
                <w:bCs/>
              </w:rPr>
              <w:t>生产流程</w:t>
            </w:r>
            <w:r>
              <w:rPr>
                <w:rFonts w:hint="eastAsia"/>
                <w:b/>
                <w:bCs/>
              </w:rPr>
              <w:t>及产污环节示意</w:t>
            </w:r>
            <w:r>
              <w:rPr>
                <w:b/>
                <w:bCs/>
              </w:rPr>
              <w:t>图</w:t>
            </w:r>
          </w:p>
          <w:p>
            <w:pPr>
              <w:adjustRightInd w:val="0"/>
              <w:snapToGrid w:val="0"/>
              <w:spacing w:line="360" w:lineRule="auto"/>
              <w:ind w:firstLine="480" w:firstLineChars="200"/>
              <w:rPr>
                <w:rFonts w:hint="eastAsia"/>
                <w:sz w:val="24"/>
                <w:u w:val="single"/>
              </w:rPr>
            </w:pPr>
            <w:r>
              <w:rPr>
                <w:rFonts w:hint="eastAsia"/>
                <w:sz w:val="24"/>
                <w:u w:val="single"/>
              </w:rPr>
              <w:t>生产工艺简述：</w:t>
            </w:r>
          </w:p>
          <w:p>
            <w:pPr>
              <w:adjustRightInd w:val="0"/>
              <w:snapToGrid w:val="0"/>
              <w:spacing w:line="360" w:lineRule="auto"/>
              <w:ind w:firstLine="480" w:firstLineChars="200"/>
              <w:rPr>
                <w:rFonts w:hint="eastAsia"/>
                <w:sz w:val="24"/>
                <w:u w:val="single"/>
              </w:rPr>
            </w:pPr>
            <w:r>
              <w:rPr>
                <w:rFonts w:hint="eastAsia"/>
                <w:sz w:val="24"/>
                <w:u w:val="single"/>
              </w:rPr>
              <w:t>（1）卸油：</w:t>
            </w:r>
          </w:p>
          <w:p>
            <w:pPr>
              <w:adjustRightInd w:val="0"/>
              <w:snapToGrid w:val="0"/>
              <w:spacing w:line="360" w:lineRule="auto"/>
              <w:ind w:firstLine="480" w:firstLineChars="200"/>
              <w:rPr>
                <w:rFonts w:hint="eastAsia"/>
                <w:sz w:val="24"/>
                <w:u w:val="single"/>
              </w:rPr>
            </w:pPr>
            <w:r>
              <w:rPr>
                <w:rFonts w:hint="eastAsia"/>
                <w:sz w:val="24"/>
                <w:u w:val="single"/>
              </w:rPr>
              <w:t>项目采用软管将槽罐车卸油孔与储罐进油孔密闭连通的方式卸油：槽罐车到达储罐区停稳熄火，进行静电接地并静止15min；各项准备工作（核对油品名称及牌号等）检查无误后自流卸油；卸毕，先拆卸槽罐车连接端头并抬高卸油管使其油料流入储罐防止外溅，再分别盖严卸（进）油帽；拆除接地装置静候15min后，槽罐车方可离场。</w:t>
            </w:r>
          </w:p>
          <w:p>
            <w:pPr>
              <w:adjustRightInd w:val="0"/>
              <w:snapToGrid w:val="0"/>
              <w:spacing w:line="360" w:lineRule="auto"/>
              <w:ind w:firstLine="480" w:firstLineChars="200"/>
              <w:rPr>
                <w:rFonts w:hint="eastAsia"/>
                <w:color w:val="0000FF"/>
                <w:sz w:val="24"/>
                <w:u w:val="single"/>
              </w:rPr>
            </w:pPr>
            <w:r>
              <w:rPr>
                <w:rFonts w:hint="eastAsia"/>
                <w:color w:val="0000FF"/>
                <w:sz w:val="24"/>
                <w:u w:val="single"/>
              </w:rPr>
              <w:t>（2）卸油油气回收：</w:t>
            </w:r>
          </w:p>
          <w:p>
            <w:pPr>
              <w:adjustRightInd w:val="0"/>
              <w:snapToGrid w:val="0"/>
              <w:spacing w:line="360" w:lineRule="auto"/>
              <w:ind w:firstLine="480" w:firstLineChars="200"/>
              <w:rPr>
                <w:color w:val="0000FF"/>
                <w:sz w:val="24"/>
                <w:u w:val="single"/>
              </w:rPr>
            </w:pPr>
            <w:r>
              <w:rPr>
                <w:rFonts w:hint="eastAsia"/>
                <w:color w:val="0000FF"/>
                <w:sz w:val="24"/>
                <w:u w:val="single"/>
              </w:rPr>
              <w:t>为保持系统平衡，槽罐车卸下多少体积的油品，就需吸入大致相等的气体补充到槽罐车内部，而加油站内的储油罐也因注入油品须向外排出相应体积的油气（废气，以NMHC为评价因子，下同）。</w:t>
            </w:r>
          </w:p>
          <w:p>
            <w:pPr>
              <w:adjustRightInd w:val="0"/>
              <w:snapToGrid w:val="0"/>
              <w:spacing w:line="360" w:lineRule="auto"/>
              <w:ind w:firstLine="480" w:firstLineChars="200"/>
              <w:rPr>
                <w:rFonts w:hint="eastAsia"/>
                <w:sz w:val="24"/>
                <w:u w:val="single"/>
              </w:rPr>
            </w:pPr>
            <w:r>
              <w:rPr>
                <w:rFonts w:hint="eastAsia"/>
                <w:color w:val="0000FF"/>
                <w:sz w:val="24"/>
                <w:u w:val="single"/>
              </w:rPr>
              <w:t>为降低卸油工序排放的油气污染物，建设单位选地埋式</w:t>
            </w:r>
            <w:r>
              <w:rPr>
                <w:rFonts w:hint="eastAsia"/>
                <w:color w:val="0000FF"/>
                <w:sz w:val="24"/>
                <w:u w:val="single"/>
                <w:lang w:val="en-US" w:eastAsia="zh-CN"/>
              </w:rPr>
              <w:t>双层</w:t>
            </w:r>
            <w:r>
              <w:rPr>
                <w:rFonts w:hint="eastAsia"/>
                <w:color w:val="0000FF"/>
                <w:sz w:val="24"/>
                <w:u w:val="single"/>
              </w:rPr>
              <w:t>罐（储存罐外另建有防渗池）储存油品，并通过安装相应的气相管线将槽罐车与储罐连通，卸油时，槽罐车内部的油汽通过卸车管线进入储罐，同时，储罐的油气经过气相管线回槽罐车内，完成卸油油气回收，即“一次油气回收”。</w:t>
            </w:r>
          </w:p>
          <w:p>
            <w:pPr>
              <w:adjustRightInd w:val="0"/>
              <w:snapToGrid w:val="0"/>
              <w:spacing w:line="360" w:lineRule="auto"/>
              <w:ind w:firstLine="480" w:firstLineChars="200"/>
              <w:rPr>
                <w:rFonts w:hint="eastAsia"/>
                <w:sz w:val="24"/>
                <w:u w:val="single"/>
              </w:rPr>
            </w:pPr>
            <w:r>
              <w:rPr>
                <w:rFonts w:hint="eastAsia"/>
                <w:sz w:val="24"/>
                <w:u w:val="single"/>
              </w:rPr>
              <w:t>加油站一次油气回收系统基本原理如下图所示：</w:t>
            </w:r>
          </w:p>
          <w:p>
            <w:pPr>
              <w:adjustRightInd w:val="0"/>
              <w:snapToGrid w:val="0"/>
              <w:jc w:val="center"/>
              <w:rPr>
                <w:rFonts w:hint="eastAsia"/>
              </w:rPr>
            </w:pPr>
            <w:r>
              <w:rPr>
                <w:rFonts w:hint="eastAsia"/>
              </w:rPr>
              <w:drawing>
                <wp:inline distT="0" distB="0" distL="114300" distR="114300">
                  <wp:extent cx="4846320" cy="1936750"/>
                  <wp:effectExtent l="0" t="0" r="11430" b="635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2"/>
                          <a:stretch>
                            <a:fillRect/>
                          </a:stretch>
                        </pic:blipFill>
                        <pic:spPr>
                          <a:xfrm>
                            <a:off x="0" y="0"/>
                            <a:ext cx="4846320" cy="1936750"/>
                          </a:xfrm>
                          <a:prstGeom prst="rect">
                            <a:avLst/>
                          </a:prstGeom>
                          <a:noFill/>
                          <a:ln>
                            <a:noFill/>
                          </a:ln>
                        </pic:spPr>
                      </pic:pic>
                    </a:graphicData>
                  </a:graphic>
                </wp:inline>
              </w:drawing>
            </w:r>
          </w:p>
          <w:p>
            <w:pPr>
              <w:adjustRightInd w:val="0"/>
              <w:snapToGrid w:val="0"/>
              <w:spacing w:line="360" w:lineRule="auto"/>
              <w:jc w:val="center"/>
              <w:rPr>
                <w:b/>
                <w:bCs/>
              </w:rPr>
            </w:pPr>
            <w:r>
              <w:rPr>
                <w:b/>
                <w:bCs/>
              </w:rPr>
              <w:t>图</w:t>
            </w:r>
            <w:r>
              <w:rPr>
                <w:rFonts w:hint="eastAsia"/>
                <w:b/>
                <w:bCs/>
              </w:rPr>
              <w:t>2</w:t>
            </w:r>
            <w:r>
              <w:rPr>
                <w:b/>
                <w:bCs/>
              </w:rPr>
              <w:t>-</w:t>
            </w:r>
            <w:r>
              <w:rPr>
                <w:rFonts w:hint="eastAsia"/>
                <w:b/>
                <w:bCs/>
              </w:rPr>
              <w:t>4</w:t>
            </w:r>
            <w:r>
              <w:rPr>
                <w:b/>
                <w:bCs/>
              </w:rPr>
              <w:t xml:space="preserve">   建设项目一次油气回收系统示意图</w:t>
            </w:r>
          </w:p>
          <w:p>
            <w:pPr>
              <w:adjustRightInd w:val="0"/>
              <w:snapToGrid w:val="0"/>
              <w:spacing w:line="360" w:lineRule="auto"/>
              <w:ind w:firstLine="480" w:firstLineChars="200"/>
              <w:rPr>
                <w:rFonts w:hint="eastAsia"/>
                <w:sz w:val="24"/>
                <w:u w:val="single"/>
              </w:rPr>
            </w:pPr>
            <w:r>
              <w:rPr>
                <w:rFonts w:hint="eastAsia"/>
                <w:sz w:val="24"/>
                <w:u w:val="single"/>
              </w:rPr>
              <w:t>（</w:t>
            </w:r>
            <w:r>
              <w:rPr>
                <w:rFonts w:hint="eastAsia"/>
                <w:sz w:val="24"/>
                <w:u w:val="single"/>
                <w:lang w:val="en-US" w:eastAsia="zh-CN"/>
              </w:rPr>
              <w:t>3</w:t>
            </w:r>
            <w:r>
              <w:rPr>
                <w:rFonts w:hint="eastAsia"/>
                <w:sz w:val="24"/>
                <w:u w:val="single"/>
              </w:rPr>
              <w:t>）加油：</w:t>
            </w:r>
          </w:p>
          <w:p>
            <w:pPr>
              <w:adjustRightInd w:val="0"/>
              <w:snapToGrid w:val="0"/>
              <w:spacing w:line="360" w:lineRule="auto"/>
              <w:ind w:firstLine="480" w:firstLineChars="200"/>
              <w:rPr>
                <w:rFonts w:hint="eastAsia"/>
                <w:sz w:val="24"/>
                <w:u w:val="single"/>
              </w:rPr>
            </w:pPr>
            <w:r>
              <w:rPr>
                <w:rFonts w:hint="eastAsia"/>
                <w:sz w:val="24"/>
                <w:u w:val="single"/>
              </w:rPr>
              <w:t>项目采用真空潜油泵加油工艺，即利用压强差的原理将油品从储油罐打出，先经过加油机的计量器，再由加油枪注入加油车辆油箱中。</w:t>
            </w:r>
          </w:p>
          <w:p>
            <w:pPr>
              <w:adjustRightInd w:val="0"/>
              <w:snapToGrid w:val="0"/>
              <w:spacing w:line="360" w:lineRule="auto"/>
              <w:ind w:firstLine="480" w:firstLineChars="200"/>
              <w:rPr>
                <w:rFonts w:hint="eastAsia"/>
                <w:color w:val="0000FF"/>
                <w:sz w:val="24"/>
                <w:u w:val="single"/>
              </w:rPr>
            </w:pPr>
            <w:r>
              <w:rPr>
                <w:rFonts w:hint="eastAsia"/>
                <w:color w:val="0000FF"/>
                <w:sz w:val="24"/>
                <w:u w:val="single"/>
              </w:rPr>
              <w:t>（</w:t>
            </w:r>
            <w:r>
              <w:rPr>
                <w:rFonts w:hint="eastAsia"/>
                <w:color w:val="0000FF"/>
                <w:sz w:val="24"/>
                <w:u w:val="single"/>
                <w:lang w:val="en-US" w:eastAsia="zh-CN"/>
              </w:rPr>
              <w:t>4</w:t>
            </w:r>
            <w:r>
              <w:rPr>
                <w:rFonts w:hint="eastAsia"/>
                <w:color w:val="0000FF"/>
                <w:sz w:val="24"/>
                <w:u w:val="single"/>
              </w:rPr>
              <w:t>）加油油气回收：</w:t>
            </w:r>
          </w:p>
          <w:p>
            <w:pPr>
              <w:adjustRightInd w:val="0"/>
              <w:snapToGrid w:val="0"/>
              <w:spacing w:line="360" w:lineRule="auto"/>
              <w:ind w:firstLine="480" w:firstLineChars="200"/>
              <w:rPr>
                <w:rFonts w:hint="eastAsia"/>
                <w:color w:val="0000FF"/>
                <w:sz w:val="24"/>
                <w:u w:val="single"/>
              </w:rPr>
            </w:pPr>
            <w:r>
              <w:rPr>
                <w:rFonts w:hint="eastAsia"/>
                <w:color w:val="0000FF"/>
                <w:sz w:val="24"/>
                <w:u w:val="single"/>
              </w:rPr>
              <w:t>车辆加油过程中，为保证加油车辆油箱内部体积及气压相对平衡，加油机往加油车辆油箱内注入多少体积的油品，油箱就需要释放多少体积的油气。</w:t>
            </w:r>
          </w:p>
          <w:p>
            <w:pPr>
              <w:adjustRightInd w:val="0"/>
              <w:snapToGrid w:val="0"/>
              <w:spacing w:line="360" w:lineRule="auto"/>
              <w:ind w:firstLine="480" w:firstLineChars="200"/>
              <w:rPr>
                <w:rFonts w:hint="eastAsia"/>
                <w:color w:val="0000FF"/>
                <w:sz w:val="24"/>
                <w:u w:val="single"/>
              </w:rPr>
            </w:pPr>
            <w:r>
              <w:rPr>
                <w:rFonts w:hint="eastAsia"/>
                <w:color w:val="0000FF"/>
                <w:sz w:val="24"/>
                <w:u w:val="single"/>
              </w:rPr>
              <w:t>为降低加油过程中油气污染物的排放量，建设单位通过改进加油枪，将原来加油车辆油箱口散溢的油气采取真空辅助方式强力收集，通过加油机的油气回收专用管线</w:t>
            </w:r>
            <w:r>
              <w:rPr>
                <w:rFonts w:hint="eastAsia"/>
                <w:color w:val="0000FF"/>
                <w:sz w:val="24"/>
                <w:u w:val="single"/>
                <w:lang w:val="en-US" w:eastAsia="zh-CN"/>
              </w:rPr>
              <w:t>经加油机输</w:t>
            </w:r>
            <w:r>
              <w:rPr>
                <w:rFonts w:hint="eastAsia"/>
                <w:color w:val="0000FF"/>
                <w:sz w:val="24"/>
                <w:u w:val="single"/>
              </w:rPr>
              <w:t>送至储罐，完成加油油气回收，即“</w:t>
            </w:r>
            <w:r>
              <w:rPr>
                <w:rFonts w:hint="eastAsia"/>
                <w:color w:val="0000FF"/>
                <w:sz w:val="24"/>
                <w:u w:val="single"/>
                <w:lang w:eastAsia="zh-CN"/>
              </w:rPr>
              <w:t>二次</w:t>
            </w:r>
            <w:r>
              <w:rPr>
                <w:rFonts w:hint="eastAsia"/>
                <w:color w:val="0000FF"/>
                <w:sz w:val="24"/>
                <w:u w:val="single"/>
              </w:rPr>
              <w:t>油气回收”。</w:t>
            </w:r>
          </w:p>
          <w:p>
            <w:pPr>
              <w:adjustRightInd w:val="0"/>
              <w:snapToGrid w:val="0"/>
              <w:spacing w:line="360" w:lineRule="auto"/>
              <w:ind w:firstLine="480" w:firstLineChars="200"/>
              <w:rPr>
                <w:rFonts w:hint="eastAsia"/>
                <w:sz w:val="24"/>
                <w:u w:val="single"/>
              </w:rPr>
            </w:pPr>
            <w:r>
              <w:rPr>
                <w:rFonts w:hint="eastAsia"/>
                <w:sz w:val="24"/>
                <w:u w:val="single"/>
              </w:rPr>
              <w:t>加油站</w:t>
            </w:r>
            <w:r>
              <w:rPr>
                <w:rFonts w:hint="eastAsia"/>
                <w:sz w:val="24"/>
                <w:u w:val="single"/>
                <w:lang w:eastAsia="zh-CN"/>
              </w:rPr>
              <w:t>二次</w:t>
            </w:r>
            <w:r>
              <w:rPr>
                <w:rFonts w:hint="eastAsia"/>
                <w:sz w:val="24"/>
                <w:u w:val="single"/>
              </w:rPr>
              <w:t>油气回收系统基本原理如下图所示：</w:t>
            </w:r>
          </w:p>
          <w:p>
            <w:pPr>
              <w:adjustRightInd w:val="0"/>
              <w:snapToGrid w:val="0"/>
              <w:spacing w:line="360" w:lineRule="auto"/>
              <w:rPr>
                <w:rFonts w:hint="eastAsia"/>
              </w:rPr>
            </w:pPr>
            <w:r>
              <w:rPr>
                <w:rFonts w:hint="eastAsia"/>
              </w:rPr>
              <w:drawing>
                <wp:inline distT="0" distB="0" distL="114300" distR="114300">
                  <wp:extent cx="5026660" cy="2814955"/>
                  <wp:effectExtent l="0" t="0" r="2540" b="444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3"/>
                          <a:stretch>
                            <a:fillRect/>
                          </a:stretch>
                        </pic:blipFill>
                        <pic:spPr>
                          <a:xfrm>
                            <a:off x="0" y="0"/>
                            <a:ext cx="5026660" cy="2814955"/>
                          </a:xfrm>
                          <a:prstGeom prst="rect">
                            <a:avLst/>
                          </a:prstGeom>
                          <a:noFill/>
                          <a:ln>
                            <a:noFill/>
                          </a:ln>
                        </pic:spPr>
                      </pic:pic>
                    </a:graphicData>
                  </a:graphic>
                </wp:inline>
              </w:drawing>
            </w:r>
          </w:p>
          <w:p>
            <w:pPr>
              <w:adjustRightInd w:val="0"/>
              <w:snapToGrid w:val="0"/>
              <w:jc w:val="center"/>
              <w:rPr>
                <w:b/>
                <w:bCs/>
              </w:rPr>
            </w:pPr>
            <w:r>
              <w:rPr>
                <w:b/>
                <w:bCs/>
              </w:rPr>
              <w:t>图</w:t>
            </w:r>
            <w:r>
              <w:rPr>
                <w:rFonts w:hint="eastAsia"/>
                <w:b/>
                <w:bCs/>
              </w:rPr>
              <w:t>2</w:t>
            </w:r>
            <w:r>
              <w:rPr>
                <w:b/>
                <w:bCs/>
              </w:rPr>
              <w:t>-</w:t>
            </w:r>
            <w:r>
              <w:rPr>
                <w:rFonts w:hint="eastAsia"/>
                <w:b/>
                <w:bCs/>
              </w:rPr>
              <w:t>5</w:t>
            </w:r>
            <w:r>
              <w:rPr>
                <w:b/>
                <w:bCs/>
              </w:rPr>
              <w:t xml:space="preserve">   建设项目</w:t>
            </w:r>
            <w:r>
              <w:rPr>
                <w:rFonts w:hint="eastAsia"/>
                <w:b/>
                <w:bCs/>
                <w:lang w:eastAsia="zh-CN"/>
              </w:rPr>
              <w:t>二次</w:t>
            </w:r>
            <w:r>
              <w:rPr>
                <w:b/>
                <w:bCs/>
              </w:rPr>
              <w:t>油气回收系统简图</w:t>
            </w:r>
          </w:p>
          <w:p>
            <w:pPr>
              <w:adjustRightInd w:val="0"/>
              <w:snapToGrid w:val="0"/>
              <w:spacing w:line="360" w:lineRule="auto"/>
              <w:ind w:firstLine="480" w:firstLineChars="200"/>
              <w:rPr>
                <w:rFonts w:hint="eastAsia" w:eastAsia="宋体"/>
                <w:sz w:val="24"/>
                <w:u w:val="single"/>
                <w:lang w:eastAsia="zh-CN"/>
              </w:rPr>
            </w:pPr>
            <w:r>
              <w:rPr>
                <w:rFonts w:hint="eastAsia"/>
                <w:sz w:val="24"/>
                <w:u w:val="single"/>
              </w:rPr>
              <w:t>（3）储油</w:t>
            </w:r>
          </w:p>
          <w:p>
            <w:pPr>
              <w:adjustRightInd w:val="0"/>
              <w:snapToGrid w:val="0"/>
              <w:spacing w:line="360" w:lineRule="auto"/>
              <w:ind w:firstLine="480" w:firstLineChars="200"/>
              <w:rPr>
                <w:rFonts w:hint="eastAsia"/>
                <w:color w:val="0000FF"/>
                <w:sz w:val="24"/>
                <w:u w:val="single"/>
              </w:rPr>
            </w:pPr>
            <w:r>
              <w:rPr>
                <w:rFonts w:hint="eastAsia"/>
                <w:color w:val="0000FF"/>
                <w:sz w:val="24"/>
                <w:u w:val="single"/>
              </w:rPr>
              <w:t>项目将槽罐车送来的油品在相应的储罐内进行储存，设计储存时间为7~10天，从而保证不会出现脱销。</w:t>
            </w:r>
          </w:p>
          <w:p>
            <w:pPr>
              <w:adjustRightInd w:val="0"/>
              <w:snapToGrid w:val="0"/>
              <w:spacing w:line="360" w:lineRule="auto"/>
              <w:ind w:firstLine="480" w:firstLineChars="200"/>
              <w:rPr>
                <w:rFonts w:hint="eastAsia" w:ascii="Times New Roman" w:hAnsi="Times New Roman" w:eastAsia="宋体" w:cs="Times New Roman"/>
                <w:color w:val="0000FF"/>
                <w:sz w:val="24"/>
                <w:u w:val="single"/>
              </w:rPr>
            </w:pPr>
            <w:r>
              <w:rPr>
                <w:rFonts w:hint="eastAsia"/>
                <w:color w:val="0000FF"/>
                <w:sz w:val="24"/>
                <w:u w:val="single"/>
              </w:rPr>
              <w:t>油品在静止储存时，随着环境气温、压力在一天内昼夜周期变化，罐内气相温度、储液蒸发速度、蒸气浓度和蒸气压力也随着变化。为保证内部气压相对</w:t>
            </w:r>
            <w:r>
              <w:rPr>
                <w:rFonts w:hint="eastAsia" w:ascii="Times New Roman" w:hAnsi="Times New Roman" w:eastAsia="宋体" w:cs="Times New Roman"/>
                <w:color w:val="0000FF"/>
                <w:sz w:val="24"/>
                <w:u w:val="single"/>
              </w:rPr>
              <w:t>平衡，储罐会通过呼吸阀吸入少量空气或排出适量油气。</w:t>
            </w:r>
            <w:r>
              <w:rPr>
                <w:rFonts w:hint="eastAsia" w:ascii="Times New Roman" w:hAnsi="Times New Roman" w:eastAsia="宋体" w:cs="Times New Roman"/>
                <w:color w:val="0000FF"/>
                <w:sz w:val="24"/>
                <w:u w:val="single"/>
                <w:lang w:val="en-US" w:eastAsia="zh-CN"/>
              </w:rPr>
              <w:t>本项目采取的三次油气回收设施为冷凝+活性炭吸附工艺，通过冷凝油气，减少成品油的损失，冷凝后再经活性炭吸附处置，最后经4米高排气筒排放。</w:t>
            </w:r>
          </w:p>
          <w:p>
            <w:pPr>
              <w:adjustRightInd w:val="0"/>
              <w:snapToGrid w:val="0"/>
              <w:spacing w:line="360" w:lineRule="auto"/>
              <w:ind w:firstLine="480" w:firstLineChars="200"/>
              <w:rPr>
                <w:rFonts w:hint="eastAsia" w:eastAsia="宋体"/>
                <w:lang w:eastAsia="zh-CN"/>
              </w:rPr>
            </w:pPr>
            <w:r>
              <w:rPr>
                <w:rFonts w:hint="eastAsia" w:ascii="Times New Roman" w:hAnsi="Times New Roman" w:eastAsia="宋体" w:cs="Times New Roman"/>
                <w:color w:val="0000FF"/>
                <w:sz w:val="24"/>
                <w:u w:val="single"/>
              </w:rPr>
              <w:t>在国内</w:t>
            </w:r>
            <w:r>
              <w:rPr>
                <w:rFonts w:hint="eastAsia" w:ascii="Times New Roman" w:hAnsi="Times New Roman" w:eastAsia="宋体" w:cs="Times New Roman"/>
                <w:color w:val="0000FF"/>
                <w:sz w:val="24"/>
                <w:u w:val="single"/>
                <w:lang w:eastAsia="zh-CN"/>
              </w:rPr>
              <w:t>，</w:t>
            </w:r>
            <w:r>
              <w:rPr>
                <w:rFonts w:hint="eastAsia" w:ascii="Times New Roman" w:hAnsi="Times New Roman" w:eastAsia="宋体" w:cs="Times New Roman"/>
                <w:color w:val="0000FF"/>
                <w:sz w:val="24"/>
                <w:u w:val="single"/>
                <w:lang w:val="en-US" w:eastAsia="zh-CN"/>
              </w:rPr>
              <w:t>大多</w:t>
            </w:r>
            <w:r>
              <w:rPr>
                <w:rFonts w:hint="eastAsia" w:ascii="Times New Roman" w:hAnsi="Times New Roman" w:eastAsia="宋体" w:cs="Times New Roman"/>
                <w:color w:val="0000FF"/>
                <w:sz w:val="24"/>
                <w:u w:val="single"/>
              </w:rPr>
              <w:t>推广使用经过涂刷后的油罐</w:t>
            </w:r>
            <w:r>
              <w:rPr>
                <w:rFonts w:hint="eastAsia" w:ascii="Times New Roman" w:hAnsi="Times New Roman" w:eastAsia="宋体" w:cs="Times New Roman"/>
                <w:color w:val="0000FF"/>
                <w:sz w:val="24"/>
                <w:u w:val="single"/>
                <w:lang w:eastAsia="zh-CN"/>
              </w:rPr>
              <w:t>（</w:t>
            </w:r>
            <w:r>
              <w:rPr>
                <w:rFonts w:hint="eastAsia" w:ascii="Times New Roman" w:hAnsi="Times New Roman" w:eastAsia="宋体" w:cs="Times New Roman"/>
                <w:color w:val="0000FF"/>
                <w:sz w:val="24"/>
                <w:u w:val="single"/>
              </w:rPr>
              <w:t>防晒隔热涂料是集反射、辐射、红外线屏蔽与纳米空心微珠隔热合成于一体的新型防晒隔热降温涂料</w:t>
            </w:r>
            <w:r>
              <w:rPr>
                <w:rFonts w:hint="eastAsia" w:ascii="Times New Roman" w:hAnsi="Times New Roman" w:eastAsia="宋体" w:cs="Times New Roman"/>
                <w:color w:val="0000FF"/>
                <w:sz w:val="24"/>
                <w:u w:val="single"/>
                <w:lang w:eastAsia="zh-CN"/>
              </w:rPr>
              <w:t>）</w:t>
            </w:r>
            <w:r>
              <w:rPr>
                <w:rFonts w:hint="eastAsia" w:ascii="Times New Roman" w:hAnsi="Times New Roman" w:eastAsia="宋体" w:cs="Times New Roman"/>
                <w:color w:val="0000FF"/>
                <w:sz w:val="24"/>
                <w:u w:val="single"/>
              </w:rPr>
              <w:t>，</w:t>
            </w:r>
            <w:r>
              <w:rPr>
                <w:rFonts w:hint="eastAsia" w:ascii="Times New Roman" w:hAnsi="Times New Roman" w:eastAsia="宋体" w:cs="Times New Roman"/>
                <w:color w:val="0000FF"/>
                <w:sz w:val="24"/>
                <w:u w:val="single"/>
                <w:lang w:val="en-US" w:eastAsia="zh-CN"/>
              </w:rPr>
              <w:t>使</w:t>
            </w:r>
            <w:r>
              <w:rPr>
                <w:rFonts w:hint="eastAsia" w:ascii="Times New Roman" w:hAnsi="Times New Roman" w:eastAsia="宋体" w:cs="Times New Roman"/>
                <w:color w:val="0000FF"/>
                <w:sz w:val="24"/>
                <w:u w:val="single"/>
              </w:rPr>
              <w:t>表面温度降低，很大</w:t>
            </w:r>
            <w:r>
              <w:rPr>
                <w:rFonts w:hint="eastAsia" w:ascii="Times New Roman" w:hAnsi="Times New Roman" w:eastAsia="宋体" w:cs="Times New Roman"/>
                <w:color w:val="0000FF"/>
                <w:sz w:val="24"/>
                <w:u w:val="single"/>
                <w:lang w:val="en-US" w:eastAsia="zh-CN"/>
              </w:rPr>
              <w:t>程度</w:t>
            </w:r>
            <w:r>
              <w:rPr>
                <w:rFonts w:hint="eastAsia" w:ascii="Times New Roman" w:hAnsi="Times New Roman" w:eastAsia="宋体" w:cs="Times New Roman"/>
                <w:color w:val="0000FF"/>
                <w:sz w:val="24"/>
                <w:u w:val="single"/>
              </w:rPr>
              <w:t>削弱油罐因罐体温度过高造成的频繁小呼吸，从而也减少了因小呼吸带来的油品损失。</w:t>
            </w:r>
            <w:r>
              <w:rPr>
                <w:rFonts w:hint="eastAsia" w:ascii="Times New Roman" w:hAnsi="Times New Roman" w:eastAsia="宋体" w:cs="Times New Roman"/>
                <w:color w:val="0000FF"/>
                <w:sz w:val="24"/>
                <w:u w:val="single"/>
                <w:lang w:val="en-US" w:eastAsia="zh-CN"/>
              </w:rPr>
              <w:t>因此，建议项目采用</w:t>
            </w:r>
            <w:r>
              <w:rPr>
                <w:rFonts w:hint="eastAsia" w:ascii="Times New Roman" w:hAnsi="Times New Roman" w:eastAsia="宋体" w:cs="Times New Roman"/>
                <w:color w:val="0000FF"/>
                <w:sz w:val="24"/>
                <w:u w:val="single"/>
              </w:rPr>
              <w:t>涂刷后的油罐</w:t>
            </w:r>
            <w:r>
              <w:rPr>
                <w:rFonts w:hint="eastAsia" w:ascii="Times New Roman" w:hAnsi="Times New Roman" w:eastAsia="宋体" w:cs="Times New Roman"/>
                <w:color w:val="0000FF"/>
                <w:sz w:val="24"/>
                <w:u w:val="singl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pPr>
              <w:pStyle w:val="23"/>
              <w:adjustRightInd w:val="0"/>
              <w:snapToGrid w:val="0"/>
              <w:spacing w:before="0" w:beforeAutospacing="0" w:after="0" w:afterAutospacing="0"/>
              <w:jc w:val="center"/>
              <w:rPr>
                <w:rFonts w:cs="宋体"/>
                <w:sz w:val="21"/>
                <w:szCs w:val="21"/>
              </w:rPr>
            </w:pPr>
            <w:r>
              <w:rPr>
                <w:rFonts w:hint="eastAsia" w:cs="宋体"/>
                <w:bCs/>
                <w:kern w:val="2"/>
                <w:sz w:val="21"/>
                <w:szCs w:val="21"/>
              </w:rPr>
              <w:t>与项目有关的原有环境污染问题</w:t>
            </w:r>
          </w:p>
        </w:tc>
        <w:tc>
          <w:tcPr>
            <w:tcW w:w="8161" w:type="dxa"/>
            <w:noWrap w:val="0"/>
            <w:vAlign w:val="top"/>
          </w:tcPr>
          <w:p>
            <w:pPr>
              <w:spacing w:line="360" w:lineRule="auto"/>
              <w:rPr>
                <w:rFonts w:hint="eastAsia"/>
                <w:b/>
                <w:bCs/>
                <w:spacing w:val="4"/>
                <w:sz w:val="24"/>
              </w:rPr>
            </w:pPr>
            <w:r>
              <w:rPr>
                <w:rFonts w:hint="eastAsia"/>
                <w:b/>
                <w:bCs/>
                <w:spacing w:val="4"/>
                <w:sz w:val="24"/>
              </w:rPr>
              <w:t>2.12、与本项目有关的原有污染情况及主要环境问题</w:t>
            </w:r>
          </w:p>
          <w:p>
            <w:pPr>
              <w:adjustRightInd w:val="0"/>
              <w:snapToGrid w:val="0"/>
              <w:spacing w:line="360" w:lineRule="auto"/>
              <w:ind w:firstLine="480" w:firstLineChars="200"/>
              <w:rPr>
                <w:rFonts w:hint="eastAsia"/>
                <w:sz w:val="24"/>
              </w:rPr>
            </w:pPr>
            <w:r>
              <w:rPr>
                <w:rFonts w:hint="eastAsia"/>
                <w:sz w:val="24"/>
              </w:rPr>
              <w:t>建设单位于2009年正式运营，已先后取得岳阳市安全生产监督管理局发放的《危险化学品经营许可证》和湖南省商务厅发放的《成品油零售经营批准证书》（湘油零售证书0404040号）。项目现状主要从事0#柴油以及92#、95#、98#</w:t>
            </w:r>
            <w:r>
              <w:rPr>
                <w:sz w:val="24"/>
              </w:rPr>
              <w:t>汽油</w:t>
            </w:r>
            <w:r>
              <w:rPr>
                <w:rFonts w:hint="eastAsia"/>
                <w:sz w:val="24"/>
              </w:rPr>
              <w:t>零售。</w:t>
            </w:r>
          </w:p>
          <w:p>
            <w:pPr>
              <w:adjustRightInd w:val="0"/>
              <w:snapToGrid w:val="0"/>
              <w:spacing w:line="360" w:lineRule="auto"/>
              <w:ind w:firstLine="480" w:firstLineChars="200"/>
              <w:rPr>
                <w:rFonts w:hint="default" w:eastAsia="宋体"/>
                <w:b w:val="0"/>
                <w:bCs w:val="0"/>
                <w:color w:val="0000FF"/>
                <w:sz w:val="24"/>
                <w:lang w:val="en-US" w:eastAsia="zh-CN"/>
              </w:rPr>
            </w:pPr>
            <w:r>
              <w:rPr>
                <w:rFonts w:hint="eastAsia" w:ascii="Times New Roman" w:hAnsi="Times New Roman" w:eastAsia="宋体" w:cs="Times New Roman"/>
                <w:b w:val="0"/>
                <w:bCs w:val="0"/>
                <w:color w:val="0000FF"/>
                <w:sz w:val="24"/>
                <w:szCs w:val="32"/>
                <w:lang w:eastAsia="zh-CN"/>
              </w:rPr>
              <w:t>临湘市恒太加油站2009年办理环评登记，</w:t>
            </w:r>
            <w:r>
              <w:rPr>
                <w:rFonts w:hint="eastAsia" w:ascii="Times New Roman" w:hAnsi="Times New Roman" w:eastAsia="宋体" w:cs="Times New Roman"/>
                <w:b w:val="0"/>
                <w:bCs w:val="0"/>
                <w:color w:val="0000FF"/>
                <w:sz w:val="24"/>
                <w:szCs w:val="32"/>
                <w:lang w:val="en-US" w:eastAsia="zh-CN"/>
              </w:rPr>
              <w:t>2016年项目完成了湖南省入河排污口设置登记表审批并取得了临湘市水利局和岳阳市水利局批复意见，</w:t>
            </w:r>
            <w:r>
              <w:rPr>
                <w:rFonts w:hint="eastAsia" w:ascii="Times New Roman" w:hAnsi="Times New Roman" w:eastAsia="宋体" w:cs="Times New Roman"/>
                <w:b w:val="0"/>
                <w:bCs w:val="0"/>
                <w:color w:val="0000FF"/>
                <w:sz w:val="24"/>
                <w:szCs w:val="32"/>
                <w:lang w:eastAsia="zh-CN"/>
              </w:rPr>
              <w:t>2020年获得排污许可证，排污许可证编号：</w:t>
            </w:r>
            <w:r>
              <w:rPr>
                <w:rFonts w:hint="eastAsia" w:ascii="Times New Roman" w:hAnsi="Times New Roman" w:eastAsia="宋体" w:cs="Times New Roman"/>
                <w:b w:val="0"/>
                <w:bCs w:val="0"/>
                <w:color w:val="0000FF"/>
                <w:sz w:val="24"/>
                <w:szCs w:val="32"/>
                <w:lang w:val="zh-CN" w:eastAsia="zh-CN"/>
              </w:rPr>
              <w:t>91430682563544626R001Q，</w:t>
            </w:r>
            <w:r>
              <w:rPr>
                <w:rFonts w:hint="eastAsia" w:ascii="Times New Roman" w:hAnsi="Times New Roman" w:eastAsia="宋体" w:cs="Times New Roman"/>
                <w:b w:val="0"/>
                <w:bCs w:val="0"/>
                <w:color w:val="0000FF"/>
                <w:sz w:val="24"/>
                <w:szCs w:val="32"/>
                <w:lang w:val="en-US" w:eastAsia="zh-CN"/>
              </w:rPr>
              <w:t>排污许可证要求项目废水每季度进行监测一次，废气每年监测一次。</w:t>
            </w:r>
          </w:p>
          <w:p>
            <w:pPr>
              <w:adjustRightInd w:val="0"/>
              <w:snapToGrid w:val="0"/>
              <w:spacing w:line="360" w:lineRule="auto"/>
              <w:ind w:firstLine="480" w:firstLineChars="200"/>
              <w:rPr>
                <w:sz w:val="24"/>
              </w:rPr>
            </w:pPr>
            <w:r>
              <w:rPr>
                <w:sz w:val="24"/>
              </w:rPr>
              <w:t>我公司环评</w:t>
            </w:r>
            <w:r>
              <w:rPr>
                <w:rFonts w:hint="eastAsia"/>
                <w:sz w:val="24"/>
              </w:rPr>
              <w:t>项目组现场调查发现，项目现状经营运行情况良好，自其建成运营至今，未曾发生过污染纠纷事件或环境安全事件。与本项目有关的原有污染情况及主要环境问题如下：</w:t>
            </w:r>
          </w:p>
          <w:p>
            <w:pPr>
              <w:adjustRightInd w:val="0"/>
              <w:snapToGrid w:val="0"/>
              <w:spacing w:line="360" w:lineRule="auto"/>
              <w:jc w:val="center"/>
              <w:rPr>
                <w:rFonts w:hint="default" w:eastAsia="宋体"/>
                <w:b/>
                <w:bCs/>
                <w:color w:val="0000FF"/>
                <w:szCs w:val="21"/>
                <w:lang w:val="en-US" w:eastAsia="zh-CN"/>
              </w:rPr>
            </w:pPr>
            <w:r>
              <w:rPr>
                <w:rFonts w:hint="eastAsia"/>
                <w:b/>
                <w:bCs/>
                <w:color w:val="0000FF"/>
                <w:szCs w:val="21"/>
              </w:rPr>
              <w:t xml:space="preserve">表2-7 </w:t>
            </w:r>
            <w:r>
              <w:rPr>
                <w:rFonts w:hint="eastAsia"/>
                <w:b/>
                <w:bCs/>
                <w:color w:val="0000FF"/>
                <w:szCs w:val="21"/>
                <w:u w:val="single"/>
              </w:rPr>
              <w:t xml:space="preserve"> 项目</w:t>
            </w:r>
            <w:r>
              <w:rPr>
                <w:rFonts w:hint="eastAsia"/>
                <w:b/>
                <w:bCs/>
                <w:color w:val="0000FF"/>
                <w:szCs w:val="21"/>
                <w:u w:val="single"/>
                <w:lang w:val="en-US" w:eastAsia="zh-CN"/>
              </w:rPr>
              <w:t>废水自行监测内容</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650"/>
              <w:gridCol w:w="935"/>
              <w:gridCol w:w="913"/>
              <w:gridCol w:w="880"/>
              <w:gridCol w:w="880"/>
              <w:gridCol w:w="882"/>
              <w:gridCol w:w="1072"/>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采样点位</w:t>
                  </w:r>
                </w:p>
              </w:tc>
              <w:tc>
                <w:tcPr>
                  <w:tcW w:w="650"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样品状态</w:t>
                  </w:r>
                </w:p>
              </w:tc>
              <w:tc>
                <w:tcPr>
                  <w:tcW w:w="935"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检测项目</w:t>
                  </w:r>
                </w:p>
              </w:tc>
              <w:tc>
                <w:tcPr>
                  <w:tcW w:w="913"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单位</w:t>
                  </w:r>
                </w:p>
              </w:tc>
              <w:tc>
                <w:tcPr>
                  <w:tcW w:w="2642" w:type="dxa"/>
                  <w:gridSpan w:val="3"/>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采样时间、频次及检测结果</w:t>
                  </w:r>
                </w:p>
              </w:tc>
              <w:tc>
                <w:tcPr>
                  <w:tcW w:w="1072" w:type="dxa"/>
                  <w:vMerge w:val="restart"/>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日均值/范围</w:t>
                  </w:r>
                </w:p>
              </w:tc>
              <w:tc>
                <w:tcPr>
                  <w:tcW w:w="1073" w:type="dxa"/>
                  <w:vMerge w:val="restart"/>
                  <w:noWrap w:val="0"/>
                  <w:vAlign w:val="center"/>
                </w:tcPr>
                <w:p>
                  <w:pPr>
                    <w:adjustRightInd w:val="0"/>
                    <w:snapToGrid w:val="0"/>
                    <w:spacing w:line="240" w:lineRule="auto"/>
                    <w:jc w:val="center"/>
                    <w:rPr>
                      <w:rFonts w:hint="default"/>
                      <w:color w:val="0000FF"/>
                      <w:lang w:val="en-US" w:eastAsia="zh-CN"/>
                    </w:rPr>
                  </w:pPr>
                  <w:r>
                    <w:rPr>
                      <w:rFonts w:hint="eastAsia"/>
                      <w:b w:val="0"/>
                      <w:bCs w:val="0"/>
                      <w:color w:val="0000FF"/>
                      <w:sz w:val="21"/>
                      <w:szCs w:val="21"/>
                      <w:vertAlign w:val="baseline"/>
                      <w:lang w:val="en-US"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13"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2642" w:type="dxa"/>
                  <w:gridSpan w:val="3"/>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02.22</w:t>
                  </w:r>
                </w:p>
              </w:tc>
              <w:tc>
                <w:tcPr>
                  <w:tcW w:w="1072"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1073"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13"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第1次</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第2次</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第3次</w:t>
                  </w:r>
                </w:p>
              </w:tc>
              <w:tc>
                <w:tcPr>
                  <w:tcW w:w="1072"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1073"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restart"/>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废水排放口</w:t>
                  </w:r>
                </w:p>
              </w:tc>
              <w:tc>
                <w:tcPr>
                  <w:tcW w:w="650" w:type="dxa"/>
                  <w:vMerge w:val="restart"/>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淡黄、无味</w:t>
                  </w:r>
                </w:p>
              </w:tc>
              <w:tc>
                <w:tcPr>
                  <w:tcW w:w="935" w:type="dxa"/>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pH值</w:t>
                  </w:r>
                </w:p>
              </w:tc>
              <w:tc>
                <w:tcPr>
                  <w:tcW w:w="913" w:type="dxa"/>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无量纲</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6.9</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7.2</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7.2</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6.9-7.2</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化学需氧量</w:t>
                  </w:r>
                </w:p>
              </w:tc>
              <w:tc>
                <w:tcPr>
                  <w:tcW w:w="913" w:type="dxa"/>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78</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65</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83</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75</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五日生化需氧量</w:t>
                  </w:r>
                </w:p>
              </w:tc>
              <w:tc>
                <w:tcPr>
                  <w:tcW w:w="913"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22.6</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19.1</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25.6</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22.4</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氨氮</w:t>
                  </w:r>
                </w:p>
              </w:tc>
              <w:tc>
                <w:tcPr>
                  <w:tcW w:w="913" w:type="dxa"/>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2.09</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1.96</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2.31</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2.12</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悬浮物</w:t>
                  </w:r>
                </w:p>
              </w:tc>
              <w:tc>
                <w:tcPr>
                  <w:tcW w:w="913" w:type="dxa"/>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37</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32</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39</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36</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总磷</w:t>
                  </w:r>
                </w:p>
              </w:tc>
              <w:tc>
                <w:tcPr>
                  <w:tcW w:w="913" w:type="dxa"/>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mg/L</w:t>
                  </w:r>
                </w:p>
              </w:tc>
              <w:tc>
                <w:tcPr>
                  <w:tcW w:w="880" w:type="dxa"/>
                  <w:noWrap w:val="0"/>
                  <w:vAlign w:val="center"/>
                </w:tcPr>
                <w:p>
                  <w:pPr>
                    <w:tabs>
                      <w:tab w:val="left" w:pos="338"/>
                    </w:tabs>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0.35</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0.31</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0.38</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9.35</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总氮</w:t>
                  </w:r>
                </w:p>
              </w:tc>
              <w:tc>
                <w:tcPr>
                  <w:tcW w:w="913" w:type="dxa"/>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3.64</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3.21</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3.81</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3.55</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650"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935"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石油类</w:t>
                  </w:r>
                </w:p>
              </w:tc>
              <w:tc>
                <w:tcPr>
                  <w:tcW w:w="913" w:type="dxa"/>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mg/L</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0.58</w:t>
                  </w:r>
                </w:p>
              </w:tc>
              <w:tc>
                <w:tcPr>
                  <w:tcW w:w="880"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0.51</w:t>
                  </w:r>
                </w:p>
              </w:tc>
              <w:tc>
                <w:tcPr>
                  <w:tcW w:w="88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0.63</w:t>
                  </w:r>
                </w:p>
              </w:tc>
              <w:tc>
                <w:tcPr>
                  <w:tcW w:w="1072"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0.57</w:t>
                  </w:r>
                </w:p>
              </w:tc>
              <w:tc>
                <w:tcPr>
                  <w:tcW w:w="1073" w:type="dxa"/>
                  <w:noWrap w:val="0"/>
                  <w:vAlign w:val="center"/>
                </w:tcPr>
                <w:p>
                  <w:pPr>
                    <w:adjustRightInd w:val="0"/>
                    <w:snapToGrid w:val="0"/>
                    <w:spacing w:line="240" w:lineRule="auto"/>
                    <w:jc w:val="center"/>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5" w:type="dxa"/>
                  <w:gridSpan w:val="9"/>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参考《污水综合排放标准》（GB8978-1996）表4中的三级标准</w:t>
                  </w:r>
                </w:p>
              </w:tc>
            </w:tr>
          </w:tbl>
          <w:p>
            <w:pPr>
              <w:adjustRightInd w:val="0"/>
              <w:snapToGrid w:val="0"/>
              <w:spacing w:line="360" w:lineRule="auto"/>
              <w:jc w:val="center"/>
              <w:rPr>
                <w:rFonts w:hint="eastAsia"/>
                <w:b/>
                <w:bCs/>
                <w:color w:val="0000FF"/>
                <w:szCs w:val="21"/>
              </w:rPr>
            </w:pPr>
            <w:r>
              <w:rPr>
                <w:rFonts w:hint="eastAsia"/>
                <w:b/>
                <w:bCs/>
                <w:color w:val="0000FF"/>
                <w:szCs w:val="21"/>
              </w:rPr>
              <w:t>表2-</w:t>
            </w:r>
            <w:r>
              <w:rPr>
                <w:rFonts w:hint="eastAsia"/>
                <w:b/>
                <w:bCs/>
                <w:color w:val="0000FF"/>
                <w:szCs w:val="21"/>
                <w:lang w:val="en-US" w:eastAsia="zh-CN"/>
              </w:rPr>
              <w:t>8</w:t>
            </w:r>
            <w:r>
              <w:rPr>
                <w:rFonts w:hint="eastAsia"/>
                <w:b/>
                <w:bCs/>
                <w:color w:val="0000FF"/>
                <w:szCs w:val="21"/>
              </w:rPr>
              <w:t xml:space="preserve"> </w:t>
            </w:r>
            <w:r>
              <w:rPr>
                <w:rFonts w:hint="eastAsia"/>
                <w:b/>
                <w:bCs/>
                <w:color w:val="0000FF"/>
                <w:szCs w:val="21"/>
                <w:u w:val="single"/>
              </w:rPr>
              <w:t xml:space="preserve"> 项目</w:t>
            </w:r>
            <w:r>
              <w:rPr>
                <w:rFonts w:hint="eastAsia"/>
                <w:b/>
                <w:bCs/>
                <w:color w:val="0000FF"/>
                <w:szCs w:val="21"/>
                <w:u w:val="single"/>
                <w:lang w:val="en-US" w:eastAsia="zh-CN"/>
              </w:rPr>
              <w:t>废气自行监测内容</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1322"/>
              <w:gridCol w:w="1322"/>
              <w:gridCol w:w="1322"/>
              <w:gridCol w:w="1323"/>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采样点位</w:t>
                  </w:r>
                </w:p>
              </w:tc>
              <w:tc>
                <w:tcPr>
                  <w:tcW w:w="3972" w:type="dxa"/>
                  <w:gridSpan w:val="3"/>
                  <w:noWrap w:val="0"/>
                  <w:vAlign w:val="center"/>
                </w:tcPr>
                <w:p>
                  <w:pPr>
                    <w:adjustRightInd w:val="0"/>
                    <w:snapToGrid w:val="0"/>
                    <w:spacing w:line="240" w:lineRule="auto"/>
                    <w:jc w:val="center"/>
                    <w:rPr>
                      <w:rFonts w:hint="eastAsia"/>
                      <w:b w:val="0"/>
                      <w:bCs w:val="0"/>
                      <w:color w:val="0000FF"/>
                      <w:sz w:val="21"/>
                      <w:szCs w:val="21"/>
                      <w:vertAlign w:val="baseline"/>
                    </w:rPr>
                  </w:pPr>
                  <w:r>
                    <w:rPr>
                      <w:rFonts w:hint="eastAsia"/>
                      <w:b w:val="0"/>
                      <w:bCs w:val="0"/>
                      <w:color w:val="0000FF"/>
                      <w:sz w:val="21"/>
                      <w:szCs w:val="21"/>
                      <w:vertAlign w:val="baseline"/>
                      <w:lang w:val="en-US" w:eastAsia="zh-CN"/>
                    </w:rPr>
                    <w:t>采样时间、频次及检测结果</w:t>
                  </w:r>
                </w:p>
              </w:tc>
              <w:tc>
                <w:tcPr>
                  <w:tcW w:w="1324"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最大值</w:t>
                  </w:r>
                </w:p>
              </w:tc>
              <w:tc>
                <w:tcPr>
                  <w:tcW w:w="1325" w:type="dxa"/>
                  <w:vMerge w:val="restart"/>
                  <w:noWrap w:val="0"/>
                  <w:vAlign w:val="center"/>
                </w:tcPr>
                <w:p>
                  <w:pPr>
                    <w:adjustRightInd w:val="0"/>
                    <w:snapToGrid w:val="0"/>
                    <w:spacing w:line="240" w:lineRule="auto"/>
                    <w:jc w:val="center"/>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3972" w:type="dxa"/>
                  <w:gridSpan w:val="3"/>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02.22</w:t>
                  </w:r>
                </w:p>
              </w:tc>
              <w:tc>
                <w:tcPr>
                  <w:tcW w:w="1324"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132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第1次</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第2次</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第3次</w:t>
                  </w:r>
                </w:p>
              </w:tc>
              <w:tc>
                <w:tcPr>
                  <w:tcW w:w="1324"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c>
                <w:tcPr>
                  <w:tcW w:w="132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厂界上风向东北面4m处G1</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0.45</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0.47</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0.47</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0.47</w:t>
                  </w:r>
                </w:p>
              </w:tc>
              <w:tc>
                <w:tcPr>
                  <w:tcW w:w="1325" w:type="dxa"/>
                  <w:vMerge w:val="restart"/>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厂界下风向西南面5m处</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1.01</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1.03</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1.20</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1.20</w:t>
                  </w:r>
                </w:p>
              </w:tc>
              <w:tc>
                <w:tcPr>
                  <w:tcW w:w="132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厂界下风向南面3.5m处</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1.58</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1.80</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1.04</w:t>
                  </w:r>
                </w:p>
              </w:tc>
              <w:tc>
                <w:tcPr>
                  <w:tcW w:w="1324" w:type="dxa"/>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1.80</w:t>
                  </w:r>
                </w:p>
              </w:tc>
              <w:tc>
                <w:tcPr>
                  <w:tcW w:w="1325" w:type="dxa"/>
                  <w:vMerge w:val="continue"/>
                  <w:noWrap w:val="0"/>
                  <w:vAlign w:val="center"/>
                </w:tcPr>
                <w:p>
                  <w:pPr>
                    <w:adjustRightInd w:val="0"/>
                    <w:snapToGrid w:val="0"/>
                    <w:spacing w:line="240" w:lineRule="auto"/>
                    <w:jc w:val="center"/>
                    <w:rPr>
                      <w:rFonts w:hint="eastAsia"/>
                      <w:b w:val="0"/>
                      <w:bCs w:val="0"/>
                      <w:color w:val="0000FF"/>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45" w:type="dxa"/>
                  <w:gridSpan w:val="6"/>
                  <w:noWrap w:val="0"/>
                  <w:vAlign w:val="center"/>
                </w:tcPr>
                <w:p>
                  <w:pPr>
                    <w:adjustRightInd w:val="0"/>
                    <w:snapToGrid w:val="0"/>
                    <w:spacing w:line="240" w:lineRule="auto"/>
                    <w:jc w:val="center"/>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参考《加油站大气污染物排放标准》（GB20952-2020）表3中标准限值要求</w:t>
                  </w:r>
                </w:p>
              </w:tc>
            </w:tr>
          </w:tbl>
          <w:p>
            <w:pPr>
              <w:tabs>
                <w:tab w:val="left" w:pos="2138"/>
              </w:tabs>
              <w:adjustRightInd w:val="0"/>
              <w:snapToGrid w:val="0"/>
              <w:spacing w:line="360" w:lineRule="auto"/>
              <w:jc w:val="both"/>
              <w:rPr>
                <w:rFonts w:hint="eastAsia"/>
                <w:b/>
                <w:bCs/>
                <w:szCs w:val="21"/>
              </w:rPr>
            </w:pPr>
            <w:r>
              <w:rPr>
                <w:rFonts w:hint="eastAsia"/>
                <w:b w:val="0"/>
                <w:bCs w:val="0"/>
                <w:color w:val="0000FF"/>
                <w:sz w:val="24"/>
                <w:szCs w:val="24"/>
                <w:lang w:val="en-US" w:eastAsia="zh-CN"/>
              </w:rPr>
              <w:t xml:space="preserve">    项目自行监测废水污染物均符合《污水综合排放标准》（GB8978-1996）表4中的三级标准限值，废气污染物符合《加油站大气污染物排放标准》（GB20952-2020）表3中的标准限值要求。</w:t>
            </w:r>
          </w:p>
          <w:p>
            <w:pPr>
              <w:adjustRightInd w:val="0"/>
              <w:snapToGrid w:val="0"/>
              <w:spacing w:line="360" w:lineRule="auto"/>
              <w:jc w:val="center"/>
              <w:rPr>
                <w:rFonts w:hint="default" w:eastAsia="宋体"/>
                <w:b/>
                <w:bCs/>
                <w:szCs w:val="21"/>
                <w:u w:val="single"/>
                <w:lang w:val="en-US" w:eastAsia="zh-CN"/>
              </w:rPr>
            </w:pPr>
            <w:r>
              <w:rPr>
                <w:rFonts w:hint="eastAsia"/>
                <w:b/>
                <w:bCs/>
                <w:szCs w:val="21"/>
              </w:rPr>
              <w:t>表2-</w:t>
            </w:r>
            <w:r>
              <w:rPr>
                <w:rFonts w:hint="eastAsia"/>
                <w:b/>
                <w:bCs/>
                <w:szCs w:val="21"/>
                <w:lang w:val="en-US" w:eastAsia="zh-CN"/>
              </w:rPr>
              <w:t>9</w:t>
            </w:r>
            <w:r>
              <w:rPr>
                <w:rFonts w:hint="eastAsia"/>
                <w:b/>
                <w:bCs/>
                <w:szCs w:val="21"/>
              </w:rPr>
              <w:t xml:space="preserve"> </w:t>
            </w:r>
            <w:r>
              <w:rPr>
                <w:rFonts w:hint="eastAsia"/>
                <w:b/>
                <w:bCs/>
                <w:szCs w:val="21"/>
                <w:u w:val="single"/>
              </w:rPr>
              <w:t xml:space="preserve"> 项目主要环境问题及整改要求一览表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740"/>
              <w:gridCol w:w="829"/>
              <w:gridCol w:w="2085"/>
              <w:gridCol w:w="1221"/>
              <w:gridCol w:w="24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9" w:type="dxa"/>
                  <w:gridSpan w:val="3"/>
                  <w:noWrap w:val="0"/>
                  <w:vAlign w:val="center"/>
                </w:tcPr>
                <w:p>
                  <w:pPr>
                    <w:adjustRightInd w:val="0"/>
                    <w:snapToGrid w:val="0"/>
                    <w:jc w:val="center"/>
                    <w:rPr>
                      <w:rFonts w:hint="eastAsia"/>
                      <w:szCs w:val="21"/>
                      <w:u w:val="single"/>
                    </w:rPr>
                  </w:pPr>
                  <w:r>
                    <w:rPr>
                      <w:rFonts w:hint="eastAsia"/>
                      <w:szCs w:val="21"/>
                      <w:u w:val="single"/>
                    </w:rPr>
                    <w:t>主要污染源</w:t>
                  </w:r>
                </w:p>
              </w:tc>
              <w:tc>
                <w:tcPr>
                  <w:tcW w:w="2085" w:type="dxa"/>
                  <w:noWrap w:val="0"/>
                  <w:vAlign w:val="center"/>
                </w:tcPr>
                <w:p>
                  <w:pPr>
                    <w:adjustRightInd w:val="0"/>
                    <w:snapToGrid w:val="0"/>
                    <w:jc w:val="center"/>
                    <w:rPr>
                      <w:rFonts w:hint="eastAsia"/>
                      <w:szCs w:val="21"/>
                      <w:u w:val="single"/>
                    </w:rPr>
                  </w:pPr>
                  <w:r>
                    <w:rPr>
                      <w:rFonts w:hint="eastAsia"/>
                      <w:szCs w:val="21"/>
                      <w:u w:val="single"/>
                    </w:rPr>
                    <w:t>现有环保治理措施</w:t>
                  </w:r>
                </w:p>
              </w:tc>
              <w:tc>
                <w:tcPr>
                  <w:tcW w:w="1221" w:type="dxa"/>
                  <w:noWrap w:val="0"/>
                  <w:vAlign w:val="center"/>
                </w:tcPr>
                <w:p>
                  <w:pPr>
                    <w:adjustRightInd w:val="0"/>
                    <w:snapToGrid w:val="0"/>
                    <w:jc w:val="center"/>
                    <w:rPr>
                      <w:rFonts w:hint="eastAsia"/>
                      <w:szCs w:val="21"/>
                      <w:u w:val="single"/>
                    </w:rPr>
                  </w:pPr>
                  <w:r>
                    <w:rPr>
                      <w:rFonts w:hint="eastAsia"/>
                      <w:szCs w:val="21"/>
                      <w:u w:val="single"/>
                    </w:rPr>
                    <w:t>是否符合环保要求</w:t>
                  </w:r>
                </w:p>
              </w:tc>
              <w:tc>
                <w:tcPr>
                  <w:tcW w:w="2422" w:type="dxa"/>
                  <w:noWrap w:val="0"/>
                  <w:vAlign w:val="center"/>
                </w:tcPr>
                <w:p>
                  <w:pPr>
                    <w:adjustRightInd w:val="0"/>
                    <w:snapToGrid w:val="0"/>
                    <w:jc w:val="center"/>
                    <w:rPr>
                      <w:rFonts w:hint="eastAsia"/>
                      <w:szCs w:val="21"/>
                      <w:u w:val="single"/>
                    </w:rPr>
                  </w:pPr>
                  <w:r>
                    <w:rPr>
                      <w:rFonts w:hint="eastAsia"/>
                      <w:szCs w:val="21"/>
                      <w:u w:val="single"/>
                    </w:rPr>
                    <w:t>整改建议措施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restart"/>
                  <w:noWrap w:val="0"/>
                  <w:vAlign w:val="center"/>
                </w:tcPr>
                <w:p>
                  <w:pPr>
                    <w:adjustRightInd w:val="0"/>
                    <w:snapToGrid w:val="0"/>
                    <w:jc w:val="center"/>
                    <w:rPr>
                      <w:rFonts w:hint="eastAsia"/>
                      <w:szCs w:val="21"/>
                      <w:u w:val="single"/>
                    </w:rPr>
                  </w:pPr>
                  <w:r>
                    <w:rPr>
                      <w:rFonts w:hint="eastAsia"/>
                      <w:szCs w:val="21"/>
                      <w:u w:val="single"/>
                    </w:rPr>
                    <w:t>大</w:t>
                  </w:r>
                </w:p>
                <w:p>
                  <w:pPr>
                    <w:adjustRightInd w:val="0"/>
                    <w:snapToGrid w:val="0"/>
                    <w:jc w:val="center"/>
                    <w:rPr>
                      <w:rFonts w:hint="eastAsia"/>
                      <w:szCs w:val="21"/>
                      <w:u w:val="single"/>
                    </w:rPr>
                  </w:pPr>
                  <w:r>
                    <w:rPr>
                      <w:rFonts w:hint="eastAsia"/>
                      <w:szCs w:val="21"/>
                      <w:u w:val="single"/>
                    </w:rPr>
                    <w:t>气</w:t>
                  </w:r>
                </w:p>
                <w:p>
                  <w:pPr>
                    <w:adjustRightInd w:val="0"/>
                    <w:snapToGrid w:val="0"/>
                    <w:jc w:val="center"/>
                    <w:rPr>
                      <w:rFonts w:hint="eastAsia"/>
                      <w:szCs w:val="21"/>
                      <w:u w:val="single"/>
                    </w:rPr>
                  </w:pPr>
                  <w:r>
                    <w:rPr>
                      <w:rFonts w:hint="eastAsia"/>
                      <w:szCs w:val="21"/>
                      <w:u w:val="single"/>
                    </w:rPr>
                    <w:t>污</w:t>
                  </w:r>
                </w:p>
                <w:p>
                  <w:pPr>
                    <w:adjustRightInd w:val="0"/>
                    <w:snapToGrid w:val="0"/>
                    <w:jc w:val="center"/>
                    <w:rPr>
                      <w:rFonts w:hint="eastAsia"/>
                      <w:szCs w:val="21"/>
                      <w:u w:val="single"/>
                    </w:rPr>
                  </w:pPr>
                  <w:r>
                    <w:rPr>
                      <w:rFonts w:hint="eastAsia"/>
                      <w:szCs w:val="21"/>
                      <w:u w:val="single"/>
                    </w:rPr>
                    <w:t>染</w:t>
                  </w:r>
                </w:p>
                <w:p>
                  <w:pPr>
                    <w:adjustRightInd w:val="0"/>
                    <w:snapToGrid w:val="0"/>
                    <w:jc w:val="center"/>
                    <w:rPr>
                      <w:rFonts w:hint="eastAsia"/>
                      <w:szCs w:val="21"/>
                      <w:u w:val="single"/>
                    </w:rPr>
                  </w:pPr>
                  <w:r>
                    <w:rPr>
                      <w:rFonts w:hint="eastAsia"/>
                      <w:szCs w:val="21"/>
                      <w:u w:val="single"/>
                    </w:rPr>
                    <w:t>物</w:t>
                  </w: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生产系统损失的油气污染物</w:t>
                  </w:r>
                </w:p>
              </w:tc>
              <w:tc>
                <w:tcPr>
                  <w:tcW w:w="2085" w:type="dxa"/>
                  <w:noWrap w:val="0"/>
                  <w:vAlign w:val="center"/>
                </w:tcPr>
                <w:p>
                  <w:pPr>
                    <w:adjustRightInd w:val="0"/>
                    <w:snapToGrid w:val="0"/>
                    <w:jc w:val="center"/>
                    <w:rPr>
                      <w:rFonts w:hint="eastAsia"/>
                      <w:szCs w:val="21"/>
                      <w:u w:val="single"/>
                    </w:rPr>
                  </w:pPr>
                  <w:r>
                    <w:rPr>
                      <w:rFonts w:hint="eastAsia"/>
                      <w:szCs w:val="21"/>
                      <w:u w:val="single"/>
                    </w:rPr>
                    <w:t>卸油系统：一次油气回收装置</w:t>
                  </w:r>
                </w:p>
                <w:p>
                  <w:pPr>
                    <w:adjustRightInd w:val="0"/>
                    <w:snapToGrid w:val="0"/>
                    <w:jc w:val="center"/>
                    <w:rPr>
                      <w:szCs w:val="21"/>
                      <w:u w:val="single"/>
                    </w:rPr>
                  </w:pPr>
                  <w:r>
                    <w:rPr>
                      <w:rFonts w:hint="eastAsia"/>
                      <w:szCs w:val="21"/>
                      <w:u w:val="single"/>
                    </w:rPr>
                    <w:t>加油系统：</w:t>
                  </w:r>
                  <w:r>
                    <w:rPr>
                      <w:rFonts w:hint="eastAsia"/>
                      <w:szCs w:val="21"/>
                      <w:u w:val="single"/>
                      <w:lang w:eastAsia="zh-CN"/>
                    </w:rPr>
                    <w:t>二次</w:t>
                  </w:r>
                  <w:r>
                    <w:rPr>
                      <w:rFonts w:hint="eastAsia"/>
                      <w:szCs w:val="21"/>
                      <w:u w:val="single"/>
                    </w:rPr>
                    <w:t>油气回收装置</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建议加强管理，做好定期维护、检修工作。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tcBorders/>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szCs w:val="21"/>
                      <w:u w:val="single"/>
                    </w:rPr>
                    <w:t>机动车辆尾</w:t>
                  </w:r>
                </w:p>
              </w:tc>
              <w:tc>
                <w:tcPr>
                  <w:tcW w:w="2085" w:type="dxa"/>
                  <w:noWrap w:val="0"/>
                  <w:vAlign w:val="center"/>
                </w:tcPr>
                <w:p>
                  <w:pPr>
                    <w:adjustRightInd w:val="0"/>
                    <w:snapToGrid w:val="0"/>
                    <w:jc w:val="center"/>
                    <w:rPr>
                      <w:szCs w:val="21"/>
                      <w:u w:val="single"/>
                    </w:rPr>
                  </w:pPr>
                  <w:r>
                    <w:rPr>
                      <w:rFonts w:hint="eastAsia"/>
                      <w:szCs w:val="21"/>
                      <w:u w:val="single"/>
                    </w:rPr>
                    <w:t>无组织排放</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建议加强管理及内部绿化。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tcBorders/>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备用柴油发电机尾气</w:t>
                  </w:r>
                </w:p>
              </w:tc>
              <w:tc>
                <w:tcPr>
                  <w:tcW w:w="2085" w:type="dxa"/>
                  <w:noWrap w:val="0"/>
                  <w:vAlign w:val="center"/>
                </w:tcPr>
                <w:p>
                  <w:pPr>
                    <w:adjustRightInd w:val="0"/>
                    <w:snapToGrid w:val="0"/>
                    <w:jc w:val="center"/>
                    <w:rPr>
                      <w:rFonts w:hint="eastAsia"/>
                      <w:szCs w:val="21"/>
                      <w:u w:val="single"/>
                    </w:rPr>
                  </w:pPr>
                  <w:r>
                    <w:rPr>
                      <w:rFonts w:hint="eastAsia"/>
                      <w:szCs w:val="21"/>
                      <w:u w:val="single"/>
                    </w:rPr>
                    <w:t>无组织排放</w:t>
                  </w:r>
                </w:p>
              </w:tc>
              <w:tc>
                <w:tcPr>
                  <w:tcW w:w="1221" w:type="dxa"/>
                  <w:noWrap w:val="0"/>
                  <w:vAlign w:val="center"/>
                </w:tcPr>
                <w:p>
                  <w:pPr>
                    <w:adjustRightInd w:val="0"/>
                    <w:snapToGrid w:val="0"/>
                    <w:jc w:val="center"/>
                    <w:rPr>
                      <w:rFonts w:hint="eastAsia"/>
                      <w:szCs w:val="21"/>
                      <w:u w:val="single"/>
                    </w:rPr>
                  </w:pPr>
                  <w:r>
                    <w:rPr>
                      <w:rFonts w:hint="eastAsia"/>
                      <w:szCs w:val="21"/>
                      <w:u w:val="single"/>
                      <w:lang w:val="en-US" w:eastAsia="zh-CN"/>
                    </w:rPr>
                    <w:t>不</w:t>
                  </w: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建议设置收集系统将其尾气引至屋顶排放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tcBorders/>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default" w:eastAsia="宋体"/>
                      <w:color w:val="0000FF"/>
                      <w:szCs w:val="21"/>
                      <w:u w:val="single"/>
                      <w:lang w:val="en-US" w:eastAsia="zh-CN"/>
                    </w:rPr>
                  </w:pPr>
                  <w:r>
                    <w:rPr>
                      <w:rFonts w:hint="eastAsia"/>
                      <w:color w:val="0000FF"/>
                      <w:szCs w:val="21"/>
                      <w:u w:val="single"/>
                      <w:lang w:val="en-US" w:eastAsia="zh-CN"/>
                    </w:rPr>
                    <w:t>油气回收装置</w:t>
                  </w:r>
                </w:p>
              </w:tc>
              <w:tc>
                <w:tcPr>
                  <w:tcW w:w="2085" w:type="dxa"/>
                  <w:noWrap w:val="0"/>
                  <w:vAlign w:val="center"/>
                </w:tcPr>
                <w:p>
                  <w:pPr>
                    <w:adjustRightInd w:val="0"/>
                    <w:snapToGrid w:val="0"/>
                    <w:jc w:val="center"/>
                    <w:rPr>
                      <w:rFonts w:hint="default" w:eastAsia="宋体"/>
                      <w:color w:val="0000FF"/>
                      <w:szCs w:val="21"/>
                      <w:u w:val="single"/>
                      <w:lang w:val="en-US" w:eastAsia="zh-CN"/>
                    </w:rPr>
                  </w:pPr>
                  <w:r>
                    <w:rPr>
                      <w:rFonts w:hint="eastAsia"/>
                      <w:color w:val="0000FF"/>
                      <w:szCs w:val="21"/>
                      <w:u w:val="single"/>
                      <w:lang w:val="en-US" w:eastAsia="zh-CN"/>
                    </w:rPr>
                    <w:t>二次油气回收装置，油罐储存产生的废气无组织排放</w:t>
                  </w:r>
                </w:p>
              </w:tc>
              <w:tc>
                <w:tcPr>
                  <w:tcW w:w="1221" w:type="dxa"/>
                  <w:noWrap w:val="0"/>
                  <w:vAlign w:val="center"/>
                </w:tcPr>
                <w:p>
                  <w:pPr>
                    <w:adjustRightInd w:val="0"/>
                    <w:snapToGrid w:val="0"/>
                    <w:jc w:val="center"/>
                    <w:rPr>
                      <w:rFonts w:hint="default"/>
                      <w:color w:val="0000FF"/>
                      <w:szCs w:val="21"/>
                      <w:u w:val="single"/>
                      <w:lang w:val="en-US" w:eastAsia="zh-CN"/>
                    </w:rPr>
                  </w:pPr>
                  <w:r>
                    <w:rPr>
                      <w:rFonts w:hint="eastAsia"/>
                      <w:color w:val="0000FF"/>
                      <w:szCs w:val="21"/>
                      <w:u w:val="single"/>
                      <w:lang w:val="en-US" w:eastAsia="zh-CN"/>
                    </w:rPr>
                    <w:t>不符合</w:t>
                  </w:r>
                </w:p>
              </w:tc>
              <w:tc>
                <w:tcPr>
                  <w:tcW w:w="2422" w:type="dxa"/>
                  <w:noWrap w:val="0"/>
                  <w:vAlign w:val="center"/>
                </w:tcPr>
                <w:p>
                  <w:pPr>
                    <w:adjustRightInd w:val="0"/>
                    <w:snapToGrid w:val="0"/>
                    <w:jc w:val="center"/>
                    <w:rPr>
                      <w:rFonts w:hint="default" w:eastAsia="宋体"/>
                      <w:color w:val="0000FF"/>
                      <w:szCs w:val="21"/>
                      <w:u w:val="single"/>
                      <w:lang w:val="en-US" w:eastAsia="zh-CN"/>
                    </w:rPr>
                  </w:pPr>
                  <w:r>
                    <w:rPr>
                      <w:rFonts w:hint="eastAsia"/>
                      <w:color w:val="0000FF"/>
                      <w:szCs w:val="21"/>
                      <w:u w:val="single"/>
                      <w:lang w:val="en-US" w:eastAsia="zh-CN"/>
                    </w:rPr>
                    <w:t>增加三次油气回收装置，将油罐呼吸孔产生的废气经冷凝加+活性炭吸附处理后经4m高排气筒排放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restart"/>
                  <w:noWrap w:val="0"/>
                  <w:vAlign w:val="center"/>
                </w:tcPr>
                <w:p>
                  <w:pPr>
                    <w:adjustRightInd w:val="0"/>
                    <w:snapToGrid w:val="0"/>
                    <w:jc w:val="center"/>
                    <w:rPr>
                      <w:rFonts w:hint="eastAsia"/>
                      <w:szCs w:val="21"/>
                      <w:u w:val="single"/>
                    </w:rPr>
                  </w:pPr>
                  <w:r>
                    <w:rPr>
                      <w:rFonts w:hint="eastAsia"/>
                      <w:szCs w:val="21"/>
                      <w:u w:val="single"/>
                    </w:rPr>
                    <w:t>水</w:t>
                  </w:r>
                </w:p>
                <w:p>
                  <w:pPr>
                    <w:adjustRightInd w:val="0"/>
                    <w:snapToGrid w:val="0"/>
                    <w:jc w:val="center"/>
                    <w:rPr>
                      <w:rFonts w:hint="eastAsia"/>
                      <w:szCs w:val="21"/>
                      <w:u w:val="single"/>
                    </w:rPr>
                  </w:pPr>
                  <w:r>
                    <w:rPr>
                      <w:rFonts w:hint="eastAsia"/>
                      <w:szCs w:val="21"/>
                      <w:u w:val="single"/>
                    </w:rPr>
                    <w:t>污</w:t>
                  </w:r>
                </w:p>
                <w:p>
                  <w:pPr>
                    <w:adjustRightInd w:val="0"/>
                    <w:snapToGrid w:val="0"/>
                    <w:jc w:val="center"/>
                    <w:rPr>
                      <w:rFonts w:hint="eastAsia"/>
                      <w:szCs w:val="21"/>
                      <w:u w:val="single"/>
                    </w:rPr>
                  </w:pPr>
                  <w:r>
                    <w:rPr>
                      <w:rFonts w:hint="eastAsia"/>
                      <w:szCs w:val="21"/>
                      <w:u w:val="single"/>
                    </w:rPr>
                    <w:t>染</w:t>
                  </w:r>
                </w:p>
                <w:p>
                  <w:pPr>
                    <w:adjustRightInd w:val="0"/>
                    <w:snapToGrid w:val="0"/>
                    <w:jc w:val="center"/>
                    <w:rPr>
                      <w:rFonts w:hint="eastAsia"/>
                      <w:szCs w:val="21"/>
                      <w:u w:val="single"/>
                    </w:rPr>
                  </w:pPr>
                  <w:r>
                    <w:rPr>
                      <w:rFonts w:hint="eastAsia"/>
                      <w:szCs w:val="21"/>
                      <w:u w:val="single"/>
                    </w:rPr>
                    <w:t>物</w:t>
                  </w:r>
                </w:p>
              </w:tc>
              <w:tc>
                <w:tcPr>
                  <w:tcW w:w="1569" w:type="dxa"/>
                  <w:gridSpan w:val="2"/>
                  <w:noWrap w:val="0"/>
                  <w:vAlign w:val="center"/>
                </w:tcPr>
                <w:p>
                  <w:pPr>
                    <w:adjustRightInd w:val="0"/>
                    <w:snapToGrid w:val="0"/>
                    <w:jc w:val="center"/>
                    <w:rPr>
                      <w:szCs w:val="21"/>
                      <w:u w:val="single"/>
                    </w:rPr>
                  </w:pPr>
                  <w:r>
                    <w:rPr>
                      <w:rFonts w:hint="eastAsia"/>
                      <w:szCs w:val="21"/>
                      <w:u w:val="single"/>
                    </w:rPr>
                    <w:t>员工生活污水</w:t>
                  </w:r>
                </w:p>
              </w:tc>
              <w:tc>
                <w:tcPr>
                  <w:tcW w:w="2085" w:type="dxa"/>
                  <w:vMerge w:val="restart"/>
                  <w:noWrap w:val="0"/>
                  <w:vAlign w:val="center"/>
                </w:tcPr>
                <w:p>
                  <w:pPr>
                    <w:adjustRightInd w:val="0"/>
                    <w:snapToGrid w:val="0"/>
                    <w:jc w:val="center"/>
                    <w:rPr>
                      <w:szCs w:val="21"/>
                      <w:u w:val="single"/>
                    </w:rPr>
                  </w:pPr>
                  <w:r>
                    <w:rPr>
                      <w:rFonts w:hint="eastAsia"/>
                      <w:szCs w:val="21"/>
                      <w:u w:val="single"/>
                    </w:rPr>
                    <w:t>内部导流系统→三级化粪池→周边水体</w:t>
                  </w:r>
                </w:p>
              </w:tc>
              <w:tc>
                <w:tcPr>
                  <w:tcW w:w="1221" w:type="dxa"/>
                  <w:vMerge w:val="restart"/>
                  <w:noWrap w:val="0"/>
                  <w:vAlign w:val="center"/>
                </w:tcPr>
                <w:p>
                  <w:pPr>
                    <w:adjustRightInd w:val="0"/>
                    <w:snapToGrid w:val="0"/>
                    <w:jc w:val="center"/>
                    <w:rPr>
                      <w:rFonts w:hint="eastAsia"/>
                      <w:szCs w:val="21"/>
                      <w:u w:val="single"/>
                    </w:rPr>
                  </w:pPr>
                  <w:r>
                    <w:rPr>
                      <w:rFonts w:hint="eastAsia"/>
                      <w:szCs w:val="21"/>
                      <w:u w:val="single"/>
                    </w:rPr>
                    <w:t>不符合</w:t>
                  </w:r>
                </w:p>
              </w:tc>
              <w:tc>
                <w:tcPr>
                  <w:tcW w:w="2422" w:type="dxa"/>
                  <w:vMerge w:val="restart"/>
                  <w:noWrap w:val="0"/>
                  <w:vAlign w:val="center"/>
                </w:tcPr>
                <w:p>
                  <w:pPr>
                    <w:adjustRightInd w:val="0"/>
                    <w:snapToGrid w:val="0"/>
                    <w:jc w:val="center"/>
                    <w:rPr>
                      <w:szCs w:val="21"/>
                      <w:u w:val="single"/>
                    </w:rPr>
                  </w:pPr>
                  <w:r>
                    <w:rPr>
                      <w:rFonts w:hint="eastAsia"/>
                      <w:szCs w:val="21"/>
                      <w:u w:val="single"/>
                    </w:rPr>
                    <w:t>生活污水经化粪池</w:t>
                  </w:r>
                  <w:r>
                    <w:rPr>
                      <w:rFonts w:hint="eastAsia"/>
                      <w:szCs w:val="21"/>
                      <w:u w:val="single"/>
                      <w:lang w:val="en-US" w:eastAsia="zh-CN"/>
                    </w:rPr>
                    <w:t>+调节池</w:t>
                  </w:r>
                  <w:r>
                    <w:rPr>
                      <w:rFonts w:hint="eastAsia"/>
                      <w:szCs w:val="21"/>
                      <w:u w:val="single"/>
                    </w:rPr>
                    <w:t>处理后用作周边绿植施肥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公共卫生间污水</w:t>
                  </w:r>
                </w:p>
              </w:tc>
              <w:tc>
                <w:tcPr>
                  <w:tcW w:w="2085" w:type="dxa"/>
                  <w:vMerge w:val="continue"/>
                  <w:noWrap w:val="0"/>
                  <w:vAlign w:val="center"/>
                </w:tcPr>
                <w:p>
                  <w:pPr>
                    <w:adjustRightInd w:val="0"/>
                    <w:snapToGrid w:val="0"/>
                    <w:jc w:val="center"/>
                    <w:rPr>
                      <w:rFonts w:hint="eastAsia"/>
                      <w:szCs w:val="21"/>
                      <w:u w:val="single"/>
                    </w:rPr>
                  </w:pPr>
                </w:p>
              </w:tc>
              <w:tc>
                <w:tcPr>
                  <w:tcW w:w="1221" w:type="dxa"/>
                  <w:vMerge w:val="continue"/>
                  <w:noWrap w:val="0"/>
                  <w:vAlign w:val="center"/>
                </w:tcPr>
                <w:p>
                  <w:pPr>
                    <w:adjustRightInd w:val="0"/>
                    <w:snapToGrid w:val="0"/>
                    <w:jc w:val="center"/>
                    <w:rPr>
                      <w:rFonts w:hint="eastAsia"/>
                      <w:szCs w:val="21"/>
                      <w:u w:val="single"/>
                    </w:rPr>
                  </w:pPr>
                </w:p>
              </w:tc>
              <w:tc>
                <w:tcPr>
                  <w:tcW w:w="2422" w:type="dxa"/>
                  <w:vMerge w:val="continue"/>
                  <w:noWrap w:val="0"/>
                  <w:vAlign w:val="center"/>
                </w:tcPr>
                <w:p>
                  <w:pPr>
                    <w:adjustRightInd w:val="0"/>
                    <w:snapToGrid w:val="0"/>
                    <w:jc w:val="center"/>
                    <w:rPr>
                      <w:rFonts w:hint="eastAsia"/>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罩棚区地面保洁废水</w:t>
                  </w:r>
                </w:p>
              </w:tc>
              <w:tc>
                <w:tcPr>
                  <w:tcW w:w="2085" w:type="dxa"/>
                  <w:vMerge w:val="restart"/>
                  <w:noWrap w:val="0"/>
                  <w:vAlign w:val="center"/>
                </w:tcPr>
                <w:p>
                  <w:pPr>
                    <w:adjustRightInd w:val="0"/>
                    <w:snapToGrid w:val="0"/>
                    <w:jc w:val="center"/>
                    <w:rPr>
                      <w:rFonts w:hint="eastAsia"/>
                      <w:szCs w:val="21"/>
                      <w:u w:val="single"/>
                    </w:rPr>
                  </w:pPr>
                  <w:r>
                    <w:rPr>
                      <w:rFonts w:hint="eastAsia"/>
                      <w:szCs w:val="21"/>
                      <w:u w:val="single"/>
                    </w:rPr>
                    <w:t>回型收集沟→</w:t>
                  </w:r>
                  <w:r>
                    <w:rPr>
                      <w:rFonts w:hint="eastAsia"/>
                      <w:bCs/>
                      <w:szCs w:val="21"/>
                      <w:u w:val="single"/>
                    </w:rPr>
                    <w:t>隔油沉淀池</w:t>
                  </w:r>
                  <w:r>
                    <w:rPr>
                      <w:rFonts w:hint="eastAsia"/>
                      <w:szCs w:val="21"/>
                      <w:u w:val="single"/>
                    </w:rPr>
                    <w:t>→周边水体</w:t>
                  </w:r>
                </w:p>
              </w:tc>
              <w:tc>
                <w:tcPr>
                  <w:tcW w:w="1221" w:type="dxa"/>
                  <w:vMerge w:val="restart"/>
                  <w:noWrap w:val="0"/>
                  <w:vAlign w:val="center"/>
                </w:tcPr>
                <w:p>
                  <w:pPr>
                    <w:adjustRightInd w:val="0"/>
                    <w:snapToGrid w:val="0"/>
                    <w:jc w:val="center"/>
                    <w:rPr>
                      <w:rFonts w:hint="eastAsia"/>
                      <w:szCs w:val="21"/>
                      <w:u w:val="single"/>
                    </w:rPr>
                  </w:pPr>
                  <w:r>
                    <w:rPr>
                      <w:rFonts w:hint="eastAsia"/>
                      <w:szCs w:val="21"/>
                      <w:u w:val="single"/>
                    </w:rPr>
                    <w:t>不符合</w:t>
                  </w:r>
                </w:p>
              </w:tc>
              <w:tc>
                <w:tcPr>
                  <w:tcW w:w="2422" w:type="dxa"/>
                  <w:vMerge w:val="restart"/>
                  <w:noWrap w:val="0"/>
                  <w:vAlign w:val="center"/>
                </w:tcPr>
                <w:p>
                  <w:pPr>
                    <w:adjustRightInd w:val="0"/>
                    <w:snapToGrid w:val="0"/>
                    <w:jc w:val="center"/>
                    <w:rPr>
                      <w:szCs w:val="21"/>
                      <w:u w:val="single"/>
                    </w:rPr>
                  </w:pPr>
                  <w:r>
                    <w:rPr>
                      <w:rFonts w:hint="eastAsia"/>
                      <w:szCs w:val="21"/>
                      <w:u w:val="single"/>
                    </w:rPr>
                    <w:t>罩棚区地面清洁废水和初期雨水应经隔油沉淀池处理后用作洒水降尘或浇灌绿植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740" w:type="dxa"/>
                  <w:vMerge w:val="restart"/>
                  <w:noWrap w:val="0"/>
                  <w:vAlign w:val="center"/>
                </w:tcPr>
                <w:p>
                  <w:pPr>
                    <w:adjustRightInd w:val="0"/>
                    <w:snapToGrid w:val="0"/>
                    <w:jc w:val="center"/>
                    <w:rPr>
                      <w:rFonts w:hint="eastAsia"/>
                      <w:szCs w:val="21"/>
                      <w:u w:val="single"/>
                    </w:rPr>
                  </w:pPr>
                  <w:r>
                    <w:rPr>
                      <w:rFonts w:hint="eastAsia"/>
                      <w:szCs w:val="21"/>
                      <w:u w:val="single"/>
                    </w:rPr>
                    <w:t>雨天冲刷废水</w:t>
                  </w:r>
                </w:p>
              </w:tc>
              <w:tc>
                <w:tcPr>
                  <w:tcW w:w="829" w:type="dxa"/>
                  <w:noWrap w:val="0"/>
                  <w:vAlign w:val="center"/>
                </w:tcPr>
                <w:p>
                  <w:pPr>
                    <w:adjustRightInd w:val="0"/>
                    <w:snapToGrid w:val="0"/>
                    <w:jc w:val="center"/>
                    <w:rPr>
                      <w:szCs w:val="21"/>
                      <w:u w:val="single"/>
                    </w:rPr>
                  </w:pPr>
                  <w:r>
                    <w:rPr>
                      <w:rFonts w:hint="eastAsia"/>
                      <w:szCs w:val="21"/>
                      <w:u w:val="single"/>
                    </w:rPr>
                    <w:t>前15分钟</w:t>
                  </w:r>
                </w:p>
              </w:tc>
              <w:tc>
                <w:tcPr>
                  <w:tcW w:w="2085" w:type="dxa"/>
                  <w:vMerge w:val="continue"/>
                  <w:noWrap w:val="0"/>
                  <w:vAlign w:val="center"/>
                </w:tcPr>
                <w:p>
                  <w:pPr>
                    <w:adjustRightInd w:val="0"/>
                    <w:snapToGrid w:val="0"/>
                    <w:jc w:val="center"/>
                    <w:rPr>
                      <w:rFonts w:hint="eastAsia"/>
                      <w:szCs w:val="21"/>
                      <w:u w:val="single"/>
                    </w:rPr>
                  </w:pPr>
                </w:p>
              </w:tc>
              <w:tc>
                <w:tcPr>
                  <w:tcW w:w="1221" w:type="dxa"/>
                  <w:vMerge w:val="continue"/>
                  <w:noWrap w:val="0"/>
                  <w:vAlign w:val="center"/>
                </w:tcPr>
                <w:p>
                  <w:pPr>
                    <w:adjustRightInd w:val="0"/>
                    <w:snapToGrid w:val="0"/>
                    <w:jc w:val="center"/>
                    <w:rPr>
                      <w:rFonts w:hint="eastAsia"/>
                      <w:szCs w:val="21"/>
                      <w:u w:val="single"/>
                    </w:rPr>
                  </w:pPr>
                </w:p>
              </w:tc>
              <w:tc>
                <w:tcPr>
                  <w:tcW w:w="2422" w:type="dxa"/>
                  <w:vMerge w:val="continue"/>
                  <w:noWrap w:val="0"/>
                  <w:vAlign w:val="center"/>
                </w:tcPr>
                <w:p>
                  <w:pPr>
                    <w:adjustRightInd w:val="0"/>
                    <w:snapToGrid w:val="0"/>
                    <w:jc w:val="center"/>
                    <w:rPr>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u w:val="single"/>
                    </w:rPr>
                  </w:pPr>
                </w:p>
              </w:tc>
              <w:tc>
                <w:tcPr>
                  <w:tcW w:w="740" w:type="dxa"/>
                  <w:vMerge w:val="continue"/>
                  <w:noWrap w:val="0"/>
                  <w:vAlign w:val="center"/>
                </w:tcPr>
                <w:p>
                  <w:pPr>
                    <w:adjustRightInd w:val="0"/>
                    <w:snapToGrid w:val="0"/>
                    <w:jc w:val="center"/>
                    <w:rPr>
                      <w:u w:val="single"/>
                    </w:rPr>
                  </w:pPr>
                </w:p>
              </w:tc>
              <w:tc>
                <w:tcPr>
                  <w:tcW w:w="829" w:type="dxa"/>
                  <w:noWrap w:val="0"/>
                  <w:vAlign w:val="center"/>
                </w:tcPr>
                <w:p>
                  <w:pPr>
                    <w:adjustRightInd w:val="0"/>
                    <w:snapToGrid w:val="0"/>
                    <w:jc w:val="center"/>
                    <w:rPr>
                      <w:szCs w:val="21"/>
                      <w:u w:val="single"/>
                    </w:rPr>
                  </w:pPr>
                  <w:r>
                    <w:rPr>
                      <w:rFonts w:hint="eastAsia"/>
                      <w:szCs w:val="21"/>
                      <w:u w:val="single"/>
                    </w:rPr>
                    <w:t>前15分钟以后</w:t>
                  </w:r>
                </w:p>
              </w:tc>
              <w:tc>
                <w:tcPr>
                  <w:tcW w:w="2085" w:type="dxa"/>
                  <w:noWrap w:val="0"/>
                  <w:vAlign w:val="center"/>
                </w:tcPr>
                <w:p>
                  <w:pPr>
                    <w:adjustRightInd w:val="0"/>
                    <w:snapToGrid w:val="0"/>
                    <w:jc w:val="center"/>
                    <w:rPr>
                      <w:szCs w:val="21"/>
                      <w:u w:val="single"/>
                    </w:rPr>
                  </w:pPr>
                  <w:r>
                    <w:rPr>
                      <w:rFonts w:hint="eastAsia"/>
                      <w:szCs w:val="21"/>
                      <w:u w:val="single"/>
                    </w:rPr>
                    <w:t>内部导流系统→周边水体</w:t>
                  </w:r>
                </w:p>
              </w:tc>
              <w:tc>
                <w:tcPr>
                  <w:tcW w:w="1221" w:type="dxa"/>
                  <w:noWrap w:val="0"/>
                  <w:vAlign w:val="center"/>
                </w:tcPr>
                <w:p>
                  <w:pPr>
                    <w:adjustRightInd w:val="0"/>
                    <w:snapToGrid w:val="0"/>
                    <w:jc w:val="center"/>
                    <w:rPr>
                      <w:szCs w:val="21"/>
                      <w:u w:val="single"/>
                    </w:rPr>
                  </w:pPr>
                  <w:r>
                    <w:rPr>
                      <w:rFonts w:hint="eastAsia"/>
                      <w:szCs w:val="21"/>
                      <w:u w:val="single"/>
                    </w:rPr>
                    <w:t>不符合</w:t>
                  </w:r>
                </w:p>
              </w:tc>
              <w:tc>
                <w:tcPr>
                  <w:tcW w:w="2422" w:type="dxa"/>
                  <w:vMerge w:val="continue"/>
                  <w:noWrap w:val="0"/>
                  <w:vAlign w:val="center"/>
                </w:tcPr>
                <w:p>
                  <w:pPr>
                    <w:adjustRightInd w:val="0"/>
                    <w:snapToGrid w:val="0"/>
                    <w:jc w:val="center"/>
                    <w:rPr>
                      <w:rFonts w:hint="eastAsia"/>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restart"/>
                  <w:noWrap w:val="0"/>
                  <w:vAlign w:val="center"/>
                </w:tcPr>
                <w:p>
                  <w:pPr>
                    <w:adjustRightInd w:val="0"/>
                    <w:snapToGrid w:val="0"/>
                    <w:jc w:val="center"/>
                    <w:rPr>
                      <w:rFonts w:hint="eastAsia"/>
                      <w:szCs w:val="21"/>
                      <w:u w:val="single"/>
                    </w:rPr>
                  </w:pPr>
                  <w:r>
                    <w:rPr>
                      <w:rFonts w:hint="eastAsia"/>
                      <w:szCs w:val="21"/>
                      <w:u w:val="single"/>
                    </w:rPr>
                    <w:t>固</w:t>
                  </w:r>
                </w:p>
                <w:p>
                  <w:pPr>
                    <w:adjustRightInd w:val="0"/>
                    <w:snapToGrid w:val="0"/>
                    <w:jc w:val="center"/>
                    <w:rPr>
                      <w:rFonts w:hint="eastAsia"/>
                      <w:szCs w:val="21"/>
                      <w:u w:val="single"/>
                    </w:rPr>
                  </w:pPr>
                  <w:r>
                    <w:rPr>
                      <w:rFonts w:hint="eastAsia"/>
                      <w:szCs w:val="21"/>
                      <w:u w:val="single"/>
                    </w:rPr>
                    <w:t>体</w:t>
                  </w:r>
                </w:p>
                <w:p>
                  <w:pPr>
                    <w:adjustRightInd w:val="0"/>
                    <w:snapToGrid w:val="0"/>
                    <w:jc w:val="center"/>
                    <w:rPr>
                      <w:rFonts w:hint="eastAsia"/>
                      <w:szCs w:val="21"/>
                      <w:u w:val="single"/>
                    </w:rPr>
                  </w:pPr>
                  <w:r>
                    <w:rPr>
                      <w:rFonts w:hint="eastAsia"/>
                      <w:szCs w:val="21"/>
                      <w:u w:val="single"/>
                    </w:rPr>
                    <w:t>废</w:t>
                  </w:r>
                </w:p>
                <w:p>
                  <w:pPr>
                    <w:adjustRightInd w:val="0"/>
                    <w:snapToGrid w:val="0"/>
                    <w:jc w:val="center"/>
                    <w:rPr>
                      <w:rFonts w:hint="eastAsia"/>
                      <w:szCs w:val="21"/>
                      <w:u w:val="single"/>
                    </w:rPr>
                  </w:pPr>
                  <w:r>
                    <w:rPr>
                      <w:rFonts w:hint="eastAsia"/>
                      <w:szCs w:val="21"/>
                      <w:u w:val="single"/>
                    </w:rPr>
                    <w:t>物</w:t>
                  </w:r>
                </w:p>
              </w:tc>
              <w:tc>
                <w:tcPr>
                  <w:tcW w:w="1569" w:type="dxa"/>
                  <w:gridSpan w:val="2"/>
                  <w:noWrap w:val="0"/>
                  <w:vAlign w:val="center"/>
                </w:tcPr>
                <w:p>
                  <w:pPr>
                    <w:adjustRightInd w:val="0"/>
                    <w:snapToGrid w:val="0"/>
                    <w:jc w:val="center"/>
                    <w:rPr>
                      <w:szCs w:val="21"/>
                      <w:u w:val="single"/>
                    </w:rPr>
                  </w:pPr>
                  <w:r>
                    <w:rPr>
                      <w:rFonts w:hint="eastAsia"/>
                      <w:szCs w:val="21"/>
                      <w:u w:val="single"/>
                    </w:rPr>
                    <w:t>员工生活垃圾</w:t>
                  </w:r>
                </w:p>
              </w:tc>
              <w:tc>
                <w:tcPr>
                  <w:tcW w:w="2085" w:type="dxa"/>
                  <w:noWrap w:val="0"/>
                  <w:vAlign w:val="center"/>
                </w:tcPr>
                <w:p>
                  <w:pPr>
                    <w:adjustRightInd w:val="0"/>
                    <w:snapToGrid w:val="0"/>
                    <w:jc w:val="center"/>
                    <w:rPr>
                      <w:szCs w:val="21"/>
                      <w:u w:val="single"/>
                    </w:rPr>
                  </w:pPr>
                  <w:r>
                    <w:rPr>
                      <w:rFonts w:hint="eastAsia"/>
                      <w:szCs w:val="21"/>
                      <w:u w:val="single"/>
                    </w:rPr>
                    <w:t>设置生活垃圾收集桶将其收集暂存，由当地环卫部门统一清理运走。</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建议加强管理，做好生活垃圾收集处的卫生工作。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含油淤泥废渣</w:t>
                  </w:r>
                </w:p>
              </w:tc>
              <w:tc>
                <w:tcPr>
                  <w:tcW w:w="2085" w:type="dxa"/>
                  <w:noWrap w:val="0"/>
                  <w:vAlign w:val="center"/>
                </w:tcPr>
                <w:p>
                  <w:pPr>
                    <w:adjustRightInd w:val="0"/>
                    <w:snapToGrid w:val="0"/>
                    <w:jc w:val="center"/>
                    <w:rPr>
                      <w:szCs w:val="21"/>
                      <w:u w:val="single"/>
                    </w:rPr>
                  </w:pPr>
                  <w:r>
                    <w:rPr>
                      <w:rFonts w:hint="eastAsia"/>
                      <w:szCs w:val="21"/>
                      <w:u w:val="single"/>
                    </w:rPr>
                    <w:t>定期清掏，收集暂存于危险废物暂存间，委托有资质单位定期转移。</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建议加强管理，做好防渗防漏工作。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废</w:t>
                  </w:r>
                  <w:r>
                    <w:rPr>
                      <w:szCs w:val="21"/>
                      <w:u w:val="single"/>
                    </w:rPr>
                    <w:t>含油抹布手套</w:t>
                  </w:r>
                </w:p>
              </w:tc>
              <w:tc>
                <w:tcPr>
                  <w:tcW w:w="2085" w:type="dxa"/>
                  <w:noWrap w:val="0"/>
                  <w:vAlign w:val="center"/>
                </w:tcPr>
                <w:p>
                  <w:pPr>
                    <w:adjustRightInd w:val="0"/>
                    <w:snapToGrid w:val="0"/>
                    <w:jc w:val="center"/>
                    <w:rPr>
                      <w:szCs w:val="21"/>
                      <w:u w:val="single"/>
                    </w:rPr>
                  </w:pPr>
                  <w:r>
                    <w:rPr>
                      <w:rFonts w:hint="eastAsia"/>
                      <w:szCs w:val="21"/>
                      <w:u w:val="single"/>
                    </w:rPr>
                    <w:t>收集暂存于危险废物暂存间，委托有资质单位定期转移。</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建议加强管理，做好危险废物分类暂存工作。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eastAsia"/>
                      <w:szCs w:val="21"/>
                      <w:u w:val="single"/>
                    </w:rPr>
                  </w:pPr>
                  <w:r>
                    <w:rPr>
                      <w:rFonts w:hint="eastAsia"/>
                      <w:szCs w:val="21"/>
                      <w:u w:val="single"/>
                    </w:rPr>
                    <w:t>储罐清洗过程中产生的废油渣</w:t>
                  </w:r>
                </w:p>
              </w:tc>
              <w:tc>
                <w:tcPr>
                  <w:tcW w:w="2085" w:type="dxa"/>
                  <w:noWrap w:val="0"/>
                  <w:vAlign w:val="center"/>
                </w:tcPr>
                <w:p>
                  <w:pPr>
                    <w:adjustRightInd w:val="0"/>
                    <w:snapToGrid w:val="0"/>
                    <w:jc w:val="center"/>
                    <w:rPr>
                      <w:szCs w:val="21"/>
                      <w:u w:val="single"/>
                    </w:rPr>
                  </w:pPr>
                  <w:r>
                    <w:rPr>
                      <w:rFonts w:hint="eastAsia"/>
                      <w:szCs w:val="21"/>
                      <w:u w:val="single"/>
                    </w:rPr>
                    <w:t>委托湖南米拓环境技术有限公司进行清洗，产生的废油渣则委托有资质单位转移。</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建议加强管理，做好全过程防滴漏工作。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szCs w:val="21"/>
                      <w:u w:val="single"/>
                    </w:rPr>
                  </w:pPr>
                  <w:r>
                    <w:rPr>
                      <w:rFonts w:hint="eastAsia"/>
                      <w:szCs w:val="21"/>
                      <w:u w:val="single"/>
                    </w:rPr>
                    <w:t>/</w:t>
                  </w:r>
                </w:p>
              </w:tc>
              <w:tc>
                <w:tcPr>
                  <w:tcW w:w="2085" w:type="dxa"/>
                  <w:noWrap w:val="0"/>
                  <w:vAlign w:val="center"/>
                </w:tcPr>
                <w:p>
                  <w:pPr>
                    <w:adjustRightInd w:val="0"/>
                    <w:snapToGrid w:val="0"/>
                    <w:jc w:val="center"/>
                    <w:rPr>
                      <w:szCs w:val="21"/>
                      <w:u w:val="single"/>
                    </w:rPr>
                  </w:pPr>
                  <w:r>
                    <w:rPr>
                      <w:rFonts w:hint="eastAsia"/>
                      <w:szCs w:val="21"/>
                      <w:u w:val="single"/>
                    </w:rPr>
                    <w:t>危险废物暂存间标识标牌未更新</w:t>
                  </w:r>
                </w:p>
              </w:tc>
              <w:tc>
                <w:tcPr>
                  <w:tcW w:w="1221" w:type="dxa"/>
                  <w:noWrap w:val="0"/>
                  <w:vAlign w:val="center"/>
                </w:tcPr>
                <w:p>
                  <w:pPr>
                    <w:adjustRightInd w:val="0"/>
                    <w:snapToGrid w:val="0"/>
                    <w:jc w:val="center"/>
                    <w:rPr>
                      <w:szCs w:val="21"/>
                      <w:u w:val="single"/>
                    </w:rPr>
                  </w:pPr>
                  <w:r>
                    <w:rPr>
                      <w:rFonts w:hint="eastAsia"/>
                      <w:szCs w:val="21"/>
                      <w:u w:val="single"/>
                    </w:rPr>
                    <w:t>不符合</w:t>
                  </w:r>
                </w:p>
              </w:tc>
              <w:tc>
                <w:tcPr>
                  <w:tcW w:w="2422" w:type="dxa"/>
                  <w:noWrap w:val="0"/>
                  <w:vAlign w:val="center"/>
                </w:tcPr>
                <w:p>
                  <w:pPr>
                    <w:adjustRightInd w:val="0"/>
                    <w:snapToGrid w:val="0"/>
                    <w:jc w:val="center"/>
                    <w:rPr>
                      <w:szCs w:val="21"/>
                      <w:u w:val="single"/>
                    </w:rPr>
                  </w:pPr>
                  <w:r>
                    <w:rPr>
                      <w:rFonts w:hint="eastAsia"/>
                      <w:szCs w:val="21"/>
                      <w:u w:val="single"/>
                    </w:rPr>
                    <w:t>完善标识标牌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Merge w:val="continue"/>
                  <w:noWrap w:val="0"/>
                  <w:vAlign w:val="center"/>
                </w:tcPr>
                <w:p>
                  <w:pPr>
                    <w:adjustRightInd w:val="0"/>
                    <w:snapToGrid w:val="0"/>
                    <w:jc w:val="center"/>
                    <w:rPr>
                      <w:rFonts w:hint="eastAsia"/>
                      <w:szCs w:val="21"/>
                      <w:u w:val="single"/>
                    </w:rPr>
                  </w:pPr>
                </w:p>
              </w:tc>
              <w:tc>
                <w:tcPr>
                  <w:tcW w:w="1569" w:type="dxa"/>
                  <w:gridSpan w:val="2"/>
                  <w:noWrap w:val="0"/>
                  <w:vAlign w:val="center"/>
                </w:tcPr>
                <w:p>
                  <w:pPr>
                    <w:adjustRightInd w:val="0"/>
                    <w:snapToGrid w:val="0"/>
                    <w:jc w:val="center"/>
                    <w:rPr>
                      <w:rFonts w:hint="default" w:ascii="Times New Roman" w:hAnsi="Times New Roman" w:eastAsia="宋体" w:cs="Times New Roman"/>
                      <w:color w:val="0000FF"/>
                      <w:szCs w:val="21"/>
                      <w:u w:val="single"/>
                      <w:lang w:val="en-US" w:eastAsia="zh-CN"/>
                    </w:rPr>
                  </w:pPr>
                  <w:r>
                    <w:rPr>
                      <w:rFonts w:hint="eastAsia" w:ascii="Times New Roman" w:hAnsi="Times New Roman" w:eastAsia="宋体" w:cs="Times New Roman"/>
                      <w:color w:val="0000FF"/>
                      <w:szCs w:val="21"/>
                      <w:u w:val="single"/>
                      <w:lang w:val="en-US" w:eastAsia="zh-CN"/>
                    </w:rPr>
                    <w:t>危险废物处置协议</w:t>
                  </w:r>
                </w:p>
              </w:tc>
              <w:tc>
                <w:tcPr>
                  <w:tcW w:w="2085" w:type="dxa"/>
                  <w:noWrap w:val="0"/>
                  <w:vAlign w:val="center"/>
                </w:tcPr>
                <w:p>
                  <w:pPr>
                    <w:adjustRightInd w:val="0"/>
                    <w:snapToGrid w:val="0"/>
                    <w:jc w:val="center"/>
                    <w:rPr>
                      <w:rFonts w:hint="eastAsia" w:ascii="Times New Roman" w:hAnsi="Times New Roman" w:eastAsia="宋体" w:cs="Times New Roman"/>
                      <w:color w:val="0000FF"/>
                      <w:szCs w:val="21"/>
                      <w:u w:val="single"/>
                    </w:rPr>
                  </w:pPr>
                  <w:r>
                    <w:rPr>
                      <w:rFonts w:hint="eastAsia" w:ascii="Times New Roman" w:hAnsi="Times New Roman" w:eastAsia="宋体" w:cs="Times New Roman"/>
                      <w:color w:val="0000FF"/>
                      <w:szCs w:val="21"/>
                      <w:u w:val="single"/>
                      <w:lang w:val="en-US" w:eastAsia="zh-CN"/>
                    </w:rPr>
                    <w:t>危废处置协议中仅有废机油</w:t>
                  </w:r>
                </w:p>
              </w:tc>
              <w:tc>
                <w:tcPr>
                  <w:tcW w:w="1221" w:type="dxa"/>
                  <w:noWrap w:val="0"/>
                  <w:vAlign w:val="center"/>
                </w:tcPr>
                <w:p>
                  <w:pPr>
                    <w:adjustRightInd w:val="0"/>
                    <w:snapToGrid w:val="0"/>
                    <w:jc w:val="center"/>
                    <w:rPr>
                      <w:rFonts w:hint="eastAsia" w:eastAsia="宋体"/>
                      <w:color w:val="0000FF"/>
                      <w:szCs w:val="21"/>
                      <w:u w:val="single"/>
                      <w:lang w:val="en-US" w:eastAsia="zh-CN"/>
                    </w:rPr>
                  </w:pPr>
                  <w:r>
                    <w:rPr>
                      <w:rFonts w:hint="eastAsia"/>
                      <w:color w:val="0000FF"/>
                      <w:szCs w:val="21"/>
                      <w:u w:val="single"/>
                      <w:lang w:val="en-US" w:eastAsia="zh-CN"/>
                    </w:rPr>
                    <w:t>不符合</w:t>
                  </w:r>
                </w:p>
              </w:tc>
              <w:tc>
                <w:tcPr>
                  <w:tcW w:w="2422" w:type="dxa"/>
                  <w:noWrap w:val="0"/>
                  <w:vAlign w:val="center"/>
                </w:tcPr>
                <w:p>
                  <w:pPr>
                    <w:bidi w:val="0"/>
                    <w:jc w:val="center"/>
                    <w:rPr>
                      <w:rFonts w:hint="default"/>
                      <w:kern w:val="2"/>
                      <w:sz w:val="21"/>
                      <w:szCs w:val="24"/>
                      <w:u w:val="single"/>
                      <w:lang w:val="en-US" w:eastAsia="zh-CN" w:bidi="ar-SA"/>
                    </w:rPr>
                  </w:pPr>
                  <w:r>
                    <w:rPr>
                      <w:rFonts w:hint="eastAsia"/>
                      <w:color w:val="0000FF"/>
                      <w:kern w:val="2"/>
                      <w:sz w:val="21"/>
                      <w:szCs w:val="24"/>
                      <w:u w:val="single"/>
                      <w:lang w:val="en-US" w:eastAsia="zh-CN" w:bidi="ar-SA"/>
                    </w:rPr>
                    <w:t>危险废物协议中补充其余危险废物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noWrap w:val="0"/>
                  <w:vAlign w:val="center"/>
                </w:tcPr>
                <w:p>
                  <w:pPr>
                    <w:adjustRightInd w:val="0"/>
                    <w:snapToGrid w:val="0"/>
                    <w:jc w:val="center"/>
                    <w:rPr>
                      <w:rFonts w:hint="eastAsia"/>
                      <w:szCs w:val="21"/>
                      <w:u w:val="single"/>
                    </w:rPr>
                  </w:pPr>
                  <w:r>
                    <w:rPr>
                      <w:rFonts w:hint="eastAsia"/>
                      <w:szCs w:val="21"/>
                      <w:u w:val="single"/>
                    </w:rPr>
                    <w:t>噪声</w:t>
                  </w:r>
                </w:p>
              </w:tc>
              <w:tc>
                <w:tcPr>
                  <w:tcW w:w="1569" w:type="dxa"/>
                  <w:gridSpan w:val="2"/>
                  <w:noWrap w:val="0"/>
                  <w:vAlign w:val="center"/>
                </w:tcPr>
                <w:p>
                  <w:pPr>
                    <w:adjustRightInd w:val="0"/>
                    <w:snapToGrid w:val="0"/>
                    <w:jc w:val="center"/>
                    <w:rPr>
                      <w:rFonts w:hint="eastAsia"/>
                      <w:szCs w:val="21"/>
                      <w:u w:val="single"/>
                    </w:rPr>
                  </w:pPr>
                  <w:r>
                    <w:rPr>
                      <w:snapToGrid w:val="0"/>
                      <w:kern w:val="0"/>
                      <w:szCs w:val="21"/>
                      <w:u w:val="single"/>
                    </w:rPr>
                    <w:t>主要</w:t>
                  </w:r>
                  <w:r>
                    <w:rPr>
                      <w:rFonts w:hint="eastAsia"/>
                      <w:snapToGrid w:val="0"/>
                      <w:kern w:val="0"/>
                      <w:szCs w:val="21"/>
                      <w:u w:val="single"/>
                    </w:rPr>
                    <w:t>为</w:t>
                  </w:r>
                  <w:r>
                    <w:rPr>
                      <w:snapToGrid w:val="0"/>
                      <w:kern w:val="0"/>
                      <w:szCs w:val="21"/>
                      <w:u w:val="single"/>
                    </w:rPr>
                    <w:t>潜油泵、加油机、</w:t>
                  </w:r>
                  <w:r>
                    <w:rPr>
                      <w:rFonts w:hint="eastAsia"/>
                      <w:snapToGrid w:val="0"/>
                      <w:kern w:val="0"/>
                      <w:szCs w:val="21"/>
                      <w:u w:val="single"/>
                    </w:rPr>
                    <w:t>备用柴油发电机以及</w:t>
                  </w:r>
                  <w:r>
                    <w:rPr>
                      <w:snapToGrid w:val="0"/>
                      <w:kern w:val="0"/>
                      <w:szCs w:val="21"/>
                      <w:u w:val="single"/>
                    </w:rPr>
                    <w:t>机动</w:t>
                  </w:r>
                  <w:r>
                    <w:rPr>
                      <w:rFonts w:hint="eastAsia"/>
                      <w:snapToGrid w:val="0"/>
                      <w:kern w:val="0"/>
                      <w:szCs w:val="21"/>
                      <w:u w:val="single"/>
                    </w:rPr>
                    <w:t>车辆</w:t>
                  </w:r>
                  <w:r>
                    <w:rPr>
                      <w:snapToGrid w:val="0"/>
                      <w:kern w:val="0"/>
                      <w:szCs w:val="21"/>
                      <w:u w:val="single"/>
                    </w:rPr>
                    <w:t>等机械设备运行时排放的噪声</w:t>
                  </w:r>
                </w:p>
              </w:tc>
              <w:tc>
                <w:tcPr>
                  <w:tcW w:w="2085" w:type="dxa"/>
                  <w:noWrap w:val="0"/>
                  <w:vAlign w:val="center"/>
                </w:tcPr>
                <w:p>
                  <w:pPr>
                    <w:adjustRightInd w:val="0"/>
                    <w:snapToGrid w:val="0"/>
                    <w:jc w:val="center"/>
                    <w:rPr>
                      <w:szCs w:val="21"/>
                      <w:u w:val="single"/>
                    </w:rPr>
                  </w:pPr>
                  <w:r>
                    <w:rPr>
                      <w:rFonts w:hint="eastAsia"/>
                      <w:szCs w:val="21"/>
                      <w:u w:val="single"/>
                    </w:rPr>
                    <w:t>通过</w:t>
                  </w:r>
                  <w:r>
                    <w:rPr>
                      <w:kern w:val="21"/>
                      <w:szCs w:val="21"/>
                      <w:u w:val="single"/>
                    </w:rPr>
                    <w:t>合理布局</w:t>
                  </w:r>
                  <w:r>
                    <w:rPr>
                      <w:rFonts w:hint="eastAsia"/>
                      <w:kern w:val="21"/>
                      <w:szCs w:val="21"/>
                      <w:u w:val="single"/>
                    </w:rPr>
                    <w:t>、加强管理等措施，项目厂界噪声可达标排放</w:t>
                  </w:r>
                </w:p>
              </w:tc>
              <w:tc>
                <w:tcPr>
                  <w:tcW w:w="1221" w:type="dxa"/>
                  <w:noWrap w:val="0"/>
                  <w:vAlign w:val="center"/>
                </w:tcPr>
                <w:p>
                  <w:pPr>
                    <w:adjustRightInd w:val="0"/>
                    <w:snapToGrid w:val="0"/>
                    <w:jc w:val="center"/>
                    <w:rPr>
                      <w:rFonts w:hint="eastAsia"/>
                      <w:szCs w:val="21"/>
                      <w:u w:val="single"/>
                    </w:rPr>
                  </w:pPr>
                  <w:r>
                    <w:rPr>
                      <w:rFonts w:hint="eastAsia"/>
                      <w:szCs w:val="21"/>
                      <w:u w:val="single"/>
                    </w:rPr>
                    <w:t>符合</w:t>
                  </w:r>
                </w:p>
              </w:tc>
              <w:tc>
                <w:tcPr>
                  <w:tcW w:w="2422" w:type="dxa"/>
                  <w:noWrap w:val="0"/>
                  <w:vAlign w:val="center"/>
                </w:tcPr>
                <w:p>
                  <w:pPr>
                    <w:adjustRightInd w:val="0"/>
                    <w:snapToGrid w:val="0"/>
                    <w:jc w:val="center"/>
                    <w:rPr>
                      <w:szCs w:val="21"/>
                      <w:u w:val="single"/>
                    </w:rPr>
                  </w:pPr>
                  <w:r>
                    <w:rPr>
                      <w:rFonts w:hint="eastAsia"/>
                      <w:szCs w:val="21"/>
                      <w:u w:val="single"/>
                    </w:rPr>
                    <w:t>建议进一步加强管理。</w:t>
                  </w:r>
                </w:p>
              </w:tc>
            </w:tr>
          </w:tbl>
          <w:p>
            <w:pPr>
              <w:adjustRightInd w:val="0"/>
              <w:snapToGrid w:val="0"/>
              <w:spacing w:line="360" w:lineRule="auto"/>
              <w:ind w:firstLine="480" w:firstLineChars="200"/>
              <w:rPr>
                <w:sz w:val="24"/>
              </w:rPr>
            </w:pPr>
            <w:r>
              <w:rPr>
                <w:rFonts w:hint="eastAsia"/>
                <w:sz w:val="24"/>
              </w:rPr>
              <w:t>为进一步了解项目现有工程的污染物产排放情况，</w:t>
            </w:r>
            <w:r>
              <w:rPr>
                <w:rFonts w:hint="eastAsia"/>
                <w:kern w:val="0"/>
                <w:sz w:val="24"/>
              </w:rPr>
              <w:t>建设单位</w:t>
            </w:r>
            <w:r>
              <w:rPr>
                <w:kern w:val="0"/>
                <w:sz w:val="24"/>
              </w:rPr>
              <w:t>委托湖南</w:t>
            </w:r>
            <w:r>
              <w:rPr>
                <w:rFonts w:hint="eastAsia"/>
                <w:kern w:val="0"/>
                <w:sz w:val="24"/>
              </w:rPr>
              <w:t>宏润</w:t>
            </w:r>
            <w:r>
              <w:rPr>
                <w:kern w:val="0"/>
                <w:sz w:val="24"/>
              </w:rPr>
              <w:t>检测有限公司于20</w:t>
            </w:r>
            <w:r>
              <w:rPr>
                <w:rFonts w:hint="eastAsia"/>
                <w:kern w:val="0"/>
                <w:sz w:val="24"/>
              </w:rPr>
              <w:t>23年2月22日</w:t>
            </w:r>
            <w:r>
              <w:rPr>
                <w:rFonts w:hint="eastAsia"/>
                <w:sz w:val="24"/>
              </w:rPr>
              <w:t>对项目现状污染源进行了布点监测</w:t>
            </w:r>
            <w:r>
              <w:rPr>
                <w:kern w:val="0"/>
                <w:sz w:val="24"/>
              </w:rPr>
              <w:t>，数据统计如下：</w:t>
            </w:r>
          </w:p>
          <w:p>
            <w:pPr>
              <w:adjustRightInd w:val="0"/>
              <w:snapToGrid w:val="0"/>
              <w:spacing w:line="360" w:lineRule="auto"/>
              <w:jc w:val="center"/>
              <w:rPr>
                <w:rFonts w:hint="eastAsia"/>
                <w:b/>
                <w:bCs/>
                <w:szCs w:val="21"/>
              </w:rPr>
            </w:pPr>
            <w:r>
              <w:rPr>
                <w:rFonts w:hint="eastAsia"/>
                <w:b/>
                <w:bCs/>
                <w:szCs w:val="21"/>
              </w:rPr>
              <w:t>表2-</w:t>
            </w:r>
            <w:r>
              <w:rPr>
                <w:rFonts w:hint="eastAsia"/>
                <w:b/>
                <w:bCs/>
                <w:szCs w:val="21"/>
                <w:lang w:val="en-US" w:eastAsia="zh-CN"/>
              </w:rPr>
              <w:t>10</w:t>
            </w:r>
            <w:r>
              <w:rPr>
                <w:rFonts w:hint="eastAsia"/>
                <w:b/>
                <w:bCs/>
                <w:szCs w:val="21"/>
              </w:rPr>
              <w:t xml:space="preserve">  项目现状污染物监测点位基本信息一览表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3"/>
              <w:gridCol w:w="1639"/>
              <w:gridCol w:w="1639"/>
              <w:gridCol w:w="1293"/>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vMerge w:val="restart"/>
                  <w:noWrap w:val="0"/>
                  <w:vAlign w:val="center"/>
                </w:tcPr>
                <w:p>
                  <w:pPr>
                    <w:adjustRightInd w:val="0"/>
                    <w:snapToGrid w:val="0"/>
                    <w:jc w:val="center"/>
                    <w:rPr>
                      <w:kern w:val="21"/>
                      <w:szCs w:val="21"/>
                    </w:rPr>
                  </w:pPr>
                  <w:r>
                    <w:rPr>
                      <w:rFonts w:hint="eastAsia"/>
                      <w:kern w:val="21"/>
                      <w:szCs w:val="21"/>
                    </w:rPr>
                    <w:t>监测点名称</w:t>
                  </w:r>
                </w:p>
              </w:tc>
              <w:tc>
                <w:tcPr>
                  <w:tcW w:w="1350" w:type="dxa"/>
                  <w:vMerge w:val="restart"/>
                  <w:noWrap w:val="0"/>
                  <w:vAlign w:val="center"/>
                </w:tcPr>
                <w:p>
                  <w:pPr>
                    <w:adjustRightInd w:val="0"/>
                    <w:snapToGrid w:val="0"/>
                    <w:jc w:val="center"/>
                    <w:rPr>
                      <w:kern w:val="21"/>
                      <w:szCs w:val="21"/>
                    </w:rPr>
                  </w:pPr>
                  <w:r>
                    <w:rPr>
                      <w:rFonts w:hint="eastAsia"/>
                      <w:kern w:val="21"/>
                      <w:szCs w:val="21"/>
                    </w:rPr>
                    <w:t>监测因子</w:t>
                  </w:r>
                </w:p>
              </w:tc>
              <w:tc>
                <w:tcPr>
                  <w:tcW w:w="1350" w:type="dxa"/>
                  <w:vMerge w:val="restart"/>
                  <w:noWrap w:val="0"/>
                  <w:vAlign w:val="center"/>
                </w:tcPr>
                <w:p>
                  <w:pPr>
                    <w:adjustRightInd w:val="0"/>
                    <w:snapToGrid w:val="0"/>
                    <w:jc w:val="center"/>
                    <w:rPr>
                      <w:kern w:val="21"/>
                      <w:szCs w:val="21"/>
                    </w:rPr>
                  </w:pPr>
                  <w:r>
                    <w:rPr>
                      <w:rFonts w:hint="eastAsia"/>
                      <w:kern w:val="21"/>
                      <w:szCs w:val="21"/>
                    </w:rPr>
                    <w:t>监测时段</w:t>
                  </w:r>
                </w:p>
              </w:tc>
              <w:tc>
                <w:tcPr>
                  <w:tcW w:w="1065" w:type="dxa"/>
                  <w:vMerge w:val="restart"/>
                  <w:noWrap w:val="0"/>
                  <w:vAlign w:val="center"/>
                </w:tcPr>
                <w:p>
                  <w:pPr>
                    <w:adjustRightInd w:val="0"/>
                    <w:snapToGrid w:val="0"/>
                    <w:jc w:val="center"/>
                    <w:rPr>
                      <w:kern w:val="21"/>
                      <w:szCs w:val="21"/>
                    </w:rPr>
                  </w:pPr>
                  <w:r>
                    <w:rPr>
                      <w:rFonts w:hint="eastAsia"/>
                      <w:kern w:val="21"/>
                      <w:szCs w:val="21"/>
                    </w:rPr>
                    <w:t>相对厂址方位</w:t>
                  </w:r>
                </w:p>
              </w:tc>
              <w:tc>
                <w:tcPr>
                  <w:tcW w:w="1065" w:type="dxa"/>
                  <w:vMerge w:val="restart"/>
                  <w:noWrap w:val="0"/>
                  <w:vAlign w:val="center"/>
                </w:tcPr>
                <w:p>
                  <w:pPr>
                    <w:adjustRightInd w:val="0"/>
                    <w:snapToGrid w:val="0"/>
                    <w:jc w:val="center"/>
                    <w:rPr>
                      <w:kern w:val="21"/>
                      <w:szCs w:val="21"/>
                    </w:rPr>
                  </w:pPr>
                  <w:r>
                    <w:rPr>
                      <w:rFonts w:hint="eastAsia"/>
                      <w:kern w:val="21"/>
                      <w:szCs w:val="21"/>
                    </w:rPr>
                    <w:t>相对厂界距离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vMerge w:val="continue"/>
                  <w:noWrap w:val="0"/>
                  <w:vAlign w:val="center"/>
                </w:tcPr>
                <w:p>
                  <w:pPr>
                    <w:adjustRightInd w:val="0"/>
                    <w:snapToGrid w:val="0"/>
                    <w:jc w:val="center"/>
                    <w:rPr>
                      <w:kern w:val="21"/>
                      <w:szCs w:val="21"/>
                    </w:rPr>
                  </w:pPr>
                </w:p>
              </w:tc>
              <w:tc>
                <w:tcPr>
                  <w:tcW w:w="1350" w:type="dxa"/>
                  <w:vMerge w:val="continue"/>
                  <w:noWrap w:val="0"/>
                  <w:vAlign w:val="center"/>
                </w:tcPr>
                <w:p>
                  <w:pPr>
                    <w:adjustRightInd w:val="0"/>
                    <w:snapToGrid w:val="0"/>
                    <w:jc w:val="center"/>
                    <w:rPr>
                      <w:kern w:val="21"/>
                      <w:szCs w:val="21"/>
                    </w:rPr>
                  </w:pPr>
                </w:p>
              </w:tc>
              <w:tc>
                <w:tcPr>
                  <w:tcW w:w="1350" w:type="dxa"/>
                  <w:vMerge w:val="continue"/>
                  <w:noWrap w:val="0"/>
                  <w:vAlign w:val="center"/>
                </w:tcPr>
                <w:p>
                  <w:pPr>
                    <w:adjustRightInd w:val="0"/>
                    <w:snapToGrid w:val="0"/>
                    <w:jc w:val="center"/>
                    <w:rPr>
                      <w:kern w:val="21"/>
                      <w:szCs w:val="21"/>
                    </w:rPr>
                  </w:pPr>
                </w:p>
              </w:tc>
              <w:tc>
                <w:tcPr>
                  <w:tcW w:w="1065" w:type="dxa"/>
                  <w:vMerge w:val="continue"/>
                  <w:noWrap w:val="0"/>
                  <w:vAlign w:val="center"/>
                </w:tcPr>
                <w:p>
                  <w:pPr>
                    <w:adjustRightInd w:val="0"/>
                    <w:snapToGrid w:val="0"/>
                    <w:jc w:val="center"/>
                    <w:rPr>
                      <w:kern w:val="21"/>
                      <w:szCs w:val="21"/>
                    </w:rPr>
                  </w:pPr>
                </w:p>
              </w:tc>
              <w:tc>
                <w:tcPr>
                  <w:tcW w:w="1065" w:type="dxa"/>
                  <w:vMerge w:val="continue"/>
                  <w:noWrap w:val="0"/>
                  <w:vAlign w:val="center"/>
                </w:tcPr>
                <w:p>
                  <w:pPr>
                    <w:adjustRightInd w:val="0"/>
                    <w:snapToGrid w:val="0"/>
                    <w:jc w:val="center"/>
                    <w:rPr>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kern w:val="21"/>
                      <w:szCs w:val="21"/>
                    </w:rPr>
                  </w:pPr>
                  <w:r>
                    <w:rPr>
                      <w:rFonts w:hint="eastAsia"/>
                      <w:kern w:val="21"/>
                      <w:szCs w:val="21"/>
                    </w:rPr>
                    <w:t>G1、G2、G3</w:t>
                  </w:r>
                </w:p>
              </w:tc>
              <w:tc>
                <w:tcPr>
                  <w:tcW w:w="1350" w:type="dxa"/>
                  <w:noWrap w:val="0"/>
                  <w:vAlign w:val="center"/>
                </w:tcPr>
                <w:p>
                  <w:pPr>
                    <w:adjustRightInd w:val="0"/>
                    <w:snapToGrid w:val="0"/>
                    <w:jc w:val="center"/>
                    <w:rPr>
                      <w:kern w:val="21"/>
                      <w:szCs w:val="21"/>
                    </w:rPr>
                  </w:pPr>
                  <w:r>
                    <w:rPr>
                      <w:rFonts w:hint="eastAsia"/>
                      <w:kern w:val="21"/>
                      <w:szCs w:val="21"/>
                    </w:rPr>
                    <w:t>NMHC</w:t>
                  </w:r>
                </w:p>
              </w:tc>
              <w:tc>
                <w:tcPr>
                  <w:tcW w:w="1350" w:type="dxa"/>
                  <w:noWrap w:val="0"/>
                  <w:vAlign w:val="center"/>
                </w:tcPr>
                <w:p>
                  <w:pPr>
                    <w:adjustRightInd w:val="0"/>
                    <w:snapToGrid w:val="0"/>
                    <w:jc w:val="center"/>
                    <w:rPr>
                      <w:kern w:val="21"/>
                      <w:szCs w:val="21"/>
                    </w:rPr>
                  </w:pPr>
                  <w:r>
                    <w:rPr>
                      <w:rFonts w:hint="eastAsia"/>
                      <w:kern w:val="21"/>
                      <w:szCs w:val="21"/>
                    </w:rPr>
                    <w:t>2023.02.22</w:t>
                  </w:r>
                </w:p>
              </w:tc>
              <w:tc>
                <w:tcPr>
                  <w:tcW w:w="1065" w:type="dxa"/>
                  <w:noWrap w:val="0"/>
                  <w:vAlign w:val="center"/>
                </w:tcPr>
                <w:p>
                  <w:pPr>
                    <w:adjustRightInd w:val="0"/>
                    <w:snapToGrid w:val="0"/>
                    <w:jc w:val="center"/>
                    <w:rPr>
                      <w:spacing w:val="-11"/>
                      <w:kern w:val="21"/>
                      <w:szCs w:val="21"/>
                    </w:rPr>
                  </w:pPr>
                  <w:r>
                    <w:rPr>
                      <w:rFonts w:hint="eastAsia"/>
                      <w:spacing w:val="-11"/>
                      <w:kern w:val="21"/>
                      <w:szCs w:val="21"/>
                    </w:rPr>
                    <w:t>ES</w:t>
                  </w:r>
                </w:p>
              </w:tc>
              <w:tc>
                <w:tcPr>
                  <w:tcW w:w="1065" w:type="dxa"/>
                  <w:noWrap w:val="0"/>
                  <w:vAlign w:val="center"/>
                </w:tcPr>
                <w:p>
                  <w:pPr>
                    <w:adjustRightInd w:val="0"/>
                    <w:snapToGrid w:val="0"/>
                    <w:jc w:val="center"/>
                    <w:rPr>
                      <w:spacing w:val="-11"/>
                      <w:kern w:val="21"/>
                      <w:szCs w:val="21"/>
                    </w:rPr>
                  </w:pPr>
                  <w:r>
                    <w:rPr>
                      <w:rFonts w:hint="eastAsia"/>
                      <w:spacing w:val="-11"/>
                      <w:kern w:val="21"/>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rFonts w:hint="eastAsia"/>
                      <w:kern w:val="21"/>
                      <w:szCs w:val="21"/>
                    </w:rPr>
                  </w:pPr>
                  <w:r>
                    <w:rPr>
                      <w:rFonts w:hint="eastAsia"/>
                      <w:kern w:val="21"/>
                      <w:szCs w:val="21"/>
                    </w:rPr>
                    <w:t>W1：项目现状排放口</w:t>
                  </w:r>
                </w:p>
              </w:tc>
              <w:tc>
                <w:tcPr>
                  <w:tcW w:w="1350" w:type="dxa"/>
                  <w:noWrap w:val="0"/>
                  <w:vAlign w:val="center"/>
                </w:tcPr>
                <w:p>
                  <w:pPr>
                    <w:adjustRightInd w:val="0"/>
                    <w:snapToGrid w:val="0"/>
                    <w:jc w:val="center"/>
                    <w:rPr>
                      <w:rFonts w:hint="eastAsia"/>
                      <w:kern w:val="21"/>
                      <w:szCs w:val="21"/>
                    </w:rPr>
                  </w:pPr>
                  <w:r>
                    <w:rPr>
                      <w:rFonts w:hint="eastAsia"/>
                      <w:kern w:val="21"/>
                      <w:szCs w:val="21"/>
                    </w:rPr>
                    <w:t>pH、COD、NH</w:t>
                  </w:r>
                  <w:r>
                    <w:rPr>
                      <w:rFonts w:hint="eastAsia"/>
                      <w:kern w:val="21"/>
                      <w:szCs w:val="21"/>
                      <w:vertAlign w:val="subscript"/>
                    </w:rPr>
                    <w:t>3</w:t>
                  </w:r>
                  <w:r>
                    <w:rPr>
                      <w:rFonts w:hint="eastAsia"/>
                      <w:kern w:val="21"/>
                      <w:szCs w:val="21"/>
                    </w:rPr>
                    <w:t>-N、SS、TP、TN、石油类</w:t>
                  </w:r>
                </w:p>
              </w:tc>
              <w:tc>
                <w:tcPr>
                  <w:tcW w:w="1350" w:type="dxa"/>
                  <w:noWrap w:val="0"/>
                  <w:vAlign w:val="center"/>
                </w:tcPr>
                <w:p>
                  <w:pPr>
                    <w:adjustRightInd w:val="0"/>
                    <w:snapToGrid w:val="0"/>
                    <w:jc w:val="center"/>
                    <w:rPr>
                      <w:rFonts w:hint="eastAsia"/>
                      <w:kern w:val="21"/>
                      <w:szCs w:val="21"/>
                    </w:rPr>
                  </w:pPr>
                  <w:r>
                    <w:rPr>
                      <w:rFonts w:hint="eastAsia"/>
                      <w:kern w:val="21"/>
                      <w:szCs w:val="21"/>
                    </w:rPr>
                    <w:t>2023.02.22</w:t>
                  </w:r>
                </w:p>
              </w:tc>
              <w:tc>
                <w:tcPr>
                  <w:tcW w:w="1065" w:type="dxa"/>
                  <w:noWrap w:val="0"/>
                  <w:vAlign w:val="center"/>
                </w:tcPr>
                <w:p>
                  <w:pPr>
                    <w:adjustRightInd w:val="0"/>
                    <w:snapToGrid w:val="0"/>
                    <w:jc w:val="center"/>
                    <w:rPr>
                      <w:spacing w:val="-11"/>
                      <w:kern w:val="21"/>
                      <w:szCs w:val="21"/>
                    </w:rPr>
                  </w:pPr>
                  <w:r>
                    <w:rPr>
                      <w:rFonts w:hint="eastAsia"/>
                      <w:spacing w:val="-11"/>
                      <w:kern w:val="21"/>
                      <w:szCs w:val="21"/>
                    </w:rPr>
                    <w:t>S</w:t>
                  </w:r>
                </w:p>
              </w:tc>
              <w:tc>
                <w:tcPr>
                  <w:tcW w:w="1065" w:type="dxa"/>
                  <w:noWrap w:val="0"/>
                  <w:vAlign w:val="center"/>
                </w:tcPr>
                <w:p>
                  <w:pPr>
                    <w:adjustRightInd w:val="0"/>
                    <w:snapToGrid w:val="0"/>
                    <w:jc w:val="center"/>
                    <w:rPr>
                      <w:spacing w:val="-11"/>
                      <w:kern w:val="21"/>
                      <w:szCs w:val="21"/>
                    </w:rPr>
                  </w:pPr>
                  <w:r>
                    <w:rPr>
                      <w:rFonts w:hint="eastAsia"/>
                      <w:spacing w:val="-11"/>
                      <w:kern w:val="21"/>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rFonts w:hint="eastAsia"/>
                      <w:kern w:val="21"/>
                      <w:szCs w:val="21"/>
                    </w:rPr>
                  </w:pPr>
                  <w:r>
                    <w:rPr>
                      <w:rFonts w:hint="eastAsia"/>
                      <w:kern w:val="21"/>
                      <w:szCs w:val="21"/>
                    </w:rPr>
                    <w:t>N1：项目东厂界外侧1m处</w:t>
                  </w:r>
                </w:p>
              </w:tc>
              <w:tc>
                <w:tcPr>
                  <w:tcW w:w="1350" w:type="dxa"/>
                  <w:vMerge w:val="restart"/>
                  <w:noWrap w:val="0"/>
                  <w:vAlign w:val="center"/>
                </w:tcPr>
                <w:p>
                  <w:pPr>
                    <w:adjustRightInd w:val="0"/>
                    <w:snapToGrid w:val="0"/>
                    <w:jc w:val="center"/>
                    <w:rPr>
                      <w:rFonts w:hint="eastAsia"/>
                      <w:kern w:val="21"/>
                      <w:szCs w:val="21"/>
                    </w:rPr>
                  </w:pPr>
                  <w:r>
                    <w:rPr>
                      <w:rFonts w:hint="eastAsia"/>
                      <w:kern w:val="21"/>
                      <w:szCs w:val="21"/>
                    </w:rPr>
                    <w:t>Leq(A)</w:t>
                  </w:r>
                </w:p>
              </w:tc>
              <w:tc>
                <w:tcPr>
                  <w:tcW w:w="1350" w:type="dxa"/>
                  <w:vMerge w:val="restart"/>
                  <w:noWrap w:val="0"/>
                  <w:vAlign w:val="center"/>
                </w:tcPr>
                <w:p>
                  <w:pPr>
                    <w:adjustRightInd w:val="0"/>
                    <w:snapToGrid w:val="0"/>
                    <w:jc w:val="center"/>
                    <w:rPr>
                      <w:kern w:val="21"/>
                      <w:szCs w:val="21"/>
                    </w:rPr>
                  </w:pPr>
                  <w:r>
                    <w:rPr>
                      <w:rFonts w:hint="eastAsia"/>
                      <w:kern w:val="21"/>
                      <w:szCs w:val="21"/>
                    </w:rPr>
                    <w:t>2023.02.22，分昼夜两时段</w:t>
                  </w:r>
                </w:p>
              </w:tc>
              <w:tc>
                <w:tcPr>
                  <w:tcW w:w="1065" w:type="dxa"/>
                  <w:noWrap w:val="0"/>
                  <w:vAlign w:val="center"/>
                </w:tcPr>
                <w:p>
                  <w:pPr>
                    <w:adjustRightInd w:val="0"/>
                    <w:snapToGrid w:val="0"/>
                    <w:jc w:val="center"/>
                    <w:rPr>
                      <w:spacing w:val="-11"/>
                      <w:kern w:val="21"/>
                      <w:szCs w:val="21"/>
                    </w:rPr>
                  </w:pPr>
                  <w:r>
                    <w:rPr>
                      <w:rFonts w:hint="eastAsia"/>
                      <w:spacing w:val="-11"/>
                      <w:kern w:val="21"/>
                      <w:szCs w:val="21"/>
                    </w:rPr>
                    <w:t>E</w:t>
                  </w:r>
                </w:p>
              </w:tc>
              <w:tc>
                <w:tcPr>
                  <w:tcW w:w="1065" w:type="dxa"/>
                  <w:noWrap w:val="0"/>
                  <w:vAlign w:val="center"/>
                </w:tcPr>
                <w:p>
                  <w:pPr>
                    <w:adjustRightInd w:val="0"/>
                    <w:snapToGrid w:val="0"/>
                    <w:jc w:val="center"/>
                    <w:rPr>
                      <w:rFonts w:hint="eastAsia"/>
                      <w:spacing w:val="-11"/>
                      <w:kern w:val="21"/>
                      <w:szCs w:val="21"/>
                    </w:rPr>
                  </w:pPr>
                  <w:r>
                    <w:rPr>
                      <w:rFonts w:hint="eastAsia"/>
                      <w:spacing w:val="-11"/>
                      <w:kern w:val="21"/>
                      <w:szCs w:val="21"/>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kern w:val="21"/>
                      <w:szCs w:val="21"/>
                    </w:rPr>
                  </w:pPr>
                  <w:r>
                    <w:rPr>
                      <w:rFonts w:hint="eastAsia"/>
                      <w:kern w:val="21"/>
                      <w:szCs w:val="21"/>
                    </w:rPr>
                    <w:t>N2：项目南厂界外侧1m处</w:t>
                  </w:r>
                </w:p>
              </w:tc>
              <w:tc>
                <w:tcPr>
                  <w:tcW w:w="1350" w:type="dxa"/>
                  <w:vMerge w:val="continue"/>
                  <w:noWrap w:val="0"/>
                  <w:vAlign w:val="center"/>
                </w:tcPr>
                <w:p>
                  <w:pPr>
                    <w:adjustRightInd w:val="0"/>
                    <w:snapToGrid w:val="0"/>
                    <w:jc w:val="center"/>
                    <w:rPr>
                      <w:rFonts w:hint="eastAsia"/>
                      <w:kern w:val="21"/>
                      <w:szCs w:val="21"/>
                    </w:rPr>
                  </w:pPr>
                </w:p>
              </w:tc>
              <w:tc>
                <w:tcPr>
                  <w:tcW w:w="1350" w:type="dxa"/>
                  <w:vMerge w:val="continue"/>
                  <w:noWrap w:val="0"/>
                  <w:vAlign w:val="center"/>
                </w:tcPr>
                <w:p>
                  <w:pPr>
                    <w:adjustRightInd w:val="0"/>
                    <w:snapToGrid w:val="0"/>
                    <w:jc w:val="center"/>
                    <w:rPr>
                      <w:rFonts w:hint="eastAsia"/>
                      <w:kern w:val="21"/>
                      <w:szCs w:val="21"/>
                    </w:rPr>
                  </w:pPr>
                </w:p>
              </w:tc>
              <w:tc>
                <w:tcPr>
                  <w:tcW w:w="1065" w:type="dxa"/>
                  <w:noWrap w:val="0"/>
                  <w:vAlign w:val="center"/>
                </w:tcPr>
                <w:p>
                  <w:pPr>
                    <w:adjustRightInd w:val="0"/>
                    <w:snapToGrid w:val="0"/>
                    <w:jc w:val="center"/>
                    <w:rPr>
                      <w:spacing w:val="-11"/>
                      <w:kern w:val="21"/>
                      <w:szCs w:val="21"/>
                    </w:rPr>
                  </w:pPr>
                  <w:r>
                    <w:rPr>
                      <w:rFonts w:hint="eastAsia"/>
                      <w:spacing w:val="-11"/>
                      <w:kern w:val="21"/>
                      <w:szCs w:val="21"/>
                    </w:rPr>
                    <w:t>S</w:t>
                  </w:r>
                </w:p>
              </w:tc>
              <w:tc>
                <w:tcPr>
                  <w:tcW w:w="1065" w:type="dxa"/>
                  <w:noWrap w:val="0"/>
                  <w:vAlign w:val="center"/>
                </w:tcPr>
                <w:p>
                  <w:pPr>
                    <w:adjustRightInd w:val="0"/>
                    <w:snapToGrid w:val="0"/>
                    <w:jc w:val="center"/>
                    <w:rPr>
                      <w:rFonts w:hint="eastAsia"/>
                      <w:spacing w:val="-11"/>
                      <w:kern w:val="21"/>
                      <w:szCs w:val="21"/>
                    </w:rPr>
                  </w:pPr>
                  <w:r>
                    <w:rPr>
                      <w:rFonts w:hint="eastAsia"/>
                      <w:spacing w:val="-11"/>
                      <w:kern w:val="21"/>
                      <w:szCs w:val="21"/>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kern w:val="21"/>
                      <w:szCs w:val="21"/>
                    </w:rPr>
                  </w:pPr>
                  <w:r>
                    <w:rPr>
                      <w:rFonts w:hint="eastAsia"/>
                      <w:kern w:val="21"/>
                      <w:szCs w:val="21"/>
                    </w:rPr>
                    <w:t>N3：项目西厂界外侧1m处</w:t>
                  </w:r>
                </w:p>
              </w:tc>
              <w:tc>
                <w:tcPr>
                  <w:tcW w:w="1350" w:type="dxa"/>
                  <w:vMerge w:val="continue"/>
                  <w:noWrap w:val="0"/>
                  <w:vAlign w:val="center"/>
                </w:tcPr>
                <w:p>
                  <w:pPr>
                    <w:adjustRightInd w:val="0"/>
                    <w:snapToGrid w:val="0"/>
                    <w:jc w:val="center"/>
                    <w:rPr>
                      <w:rFonts w:hint="eastAsia"/>
                      <w:kern w:val="21"/>
                      <w:szCs w:val="21"/>
                    </w:rPr>
                  </w:pPr>
                </w:p>
              </w:tc>
              <w:tc>
                <w:tcPr>
                  <w:tcW w:w="1350" w:type="dxa"/>
                  <w:vMerge w:val="continue"/>
                  <w:noWrap w:val="0"/>
                  <w:vAlign w:val="center"/>
                </w:tcPr>
                <w:p>
                  <w:pPr>
                    <w:adjustRightInd w:val="0"/>
                    <w:snapToGrid w:val="0"/>
                    <w:jc w:val="center"/>
                    <w:rPr>
                      <w:rFonts w:hint="eastAsia"/>
                      <w:kern w:val="21"/>
                      <w:szCs w:val="21"/>
                    </w:rPr>
                  </w:pPr>
                </w:p>
              </w:tc>
              <w:tc>
                <w:tcPr>
                  <w:tcW w:w="1065" w:type="dxa"/>
                  <w:noWrap w:val="0"/>
                  <w:vAlign w:val="center"/>
                </w:tcPr>
                <w:p>
                  <w:pPr>
                    <w:adjustRightInd w:val="0"/>
                    <w:snapToGrid w:val="0"/>
                    <w:jc w:val="center"/>
                    <w:rPr>
                      <w:spacing w:val="-11"/>
                      <w:kern w:val="21"/>
                      <w:szCs w:val="21"/>
                    </w:rPr>
                  </w:pPr>
                  <w:r>
                    <w:rPr>
                      <w:rFonts w:hint="eastAsia"/>
                      <w:spacing w:val="-11"/>
                      <w:kern w:val="21"/>
                      <w:szCs w:val="21"/>
                    </w:rPr>
                    <w:t>W</w:t>
                  </w:r>
                </w:p>
              </w:tc>
              <w:tc>
                <w:tcPr>
                  <w:tcW w:w="1065" w:type="dxa"/>
                  <w:noWrap w:val="0"/>
                  <w:vAlign w:val="center"/>
                </w:tcPr>
                <w:p>
                  <w:pPr>
                    <w:adjustRightInd w:val="0"/>
                    <w:snapToGrid w:val="0"/>
                    <w:jc w:val="center"/>
                    <w:rPr>
                      <w:rFonts w:hint="eastAsia"/>
                      <w:spacing w:val="-11"/>
                      <w:kern w:val="21"/>
                      <w:szCs w:val="21"/>
                    </w:rPr>
                  </w:pPr>
                  <w:r>
                    <w:rPr>
                      <w:rFonts w:hint="eastAsia"/>
                      <w:spacing w:val="-11"/>
                      <w:kern w:val="21"/>
                      <w:szCs w:val="21"/>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7" w:type="dxa"/>
                  <w:noWrap w:val="0"/>
                  <w:vAlign w:val="center"/>
                </w:tcPr>
                <w:p>
                  <w:pPr>
                    <w:adjustRightInd w:val="0"/>
                    <w:snapToGrid w:val="0"/>
                    <w:jc w:val="center"/>
                    <w:rPr>
                      <w:b/>
                      <w:bCs/>
                      <w:kern w:val="21"/>
                      <w:szCs w:val="21"/>
                    </w:rPr>
                  </w:pPr>
                  <w:r>
                    <w:rPr>
                      <w:rFonts w:hint="eastAsia"/>
                      <w:kern w:val="21"/>
                      <w:szCs w:val="21"/>
                    </w:rPr>
                    <w:t>N4：项目北厂界外侧1m处</w:t>
                  </w:r>
                </w:p>
              </w:tc>
              <w:tc>
                <w:tcPr>
                  <w:tcW w:w="1350" w:type="dxa"/>
                  <w:vMerge w:val="continue"/>
                  <w:noWrap w:val="0"/>
                  <w:vAlign w:val="center"/>
                </w:tcPr>
                <w:p>
                  <w:pPr>
                    <w:adjustRightInd w:val="0"/>
                    <w:snapToGrid w:val="0"/>
                    <w:jc w:val="center"/>
                    <w:rPr>
                      <w:rFonts w:hint="eastAsia"/>
                      <w:kern w:val="21"/>
                      <w:szCs w:val="21"/>
                    </w:rPr>
                  </w:pPr>
                </w:p>
              </w:tc>
              <w:tc>
                <w:tcPr>
                  <w:tcW w:w="1350" w:type="dxa"/>
                  <w:vMerge w:val="continue"/>
                  <w:noWrap w:val="0"/>
                  <w:vAlign w:val="center"/>
                </w:tcPr>
                <w:p>
                  <w:pPr>
                    <w:adjustRightInd w:val="0"/>
                    <w:snapToGrid w:val="0"/>
                    <w:jc w:val="center"/>
                    <w:rPr>
                      <w:rFonts w:hint="eastAsia"/>
                      <w:kern w:val="21"/>
                      <w:szCs w:val="21"/>
                    </w:rPr>
                  </w:pPr>
                </w:p>
              </w:tc>
              <w:tc>
                <w:tcPr>
                  <w:tcW w:w="1065" w:type="dxa"/>
                  <w:noWrap w:val="0"/>
                  <w:vAlign w:val="center"/>
                </w:tcPr>
                <w:p>
                  <w:pPr>
                    <w:adjustRightInd w:val="0"/>
                    <w:snapToGrid w:val="0"/>
                    <w:jc w:val="center"/>
                    <w:rPr>
                      <w:spacing w:val="-11"/>
                      <w:kern w:val="21"/>
                      <w:szCs w:val="21"/>
                    </w:rPr>
                  </w:pPr>
                  <w:r>
                    <w:rPr>
                      <w:rFonts w:hint="eastAsia"/>
                      <w:spacing w:val="-11"/>
                      <w:kern w:val="21"/>
                      <w:szCs w:val="21"/>
                    </w:rPr>
                    <w:t>N</w:t>
                  </w:r>
                </w:p>
              </w:tc>
              <w:tc>
                <w:tcPr>
                  <w:tcW w:w="1065" w:type="dxa"/>
                  <w:noWrap w:val="0"/>
                  <w:vAlign w:val="center"/>
                </w:tcPr>
                <w:p>
                  <w:pPr>
                    <w:adjustRightInd w:val="0"/>
                    <w:snapToGrid w:val="0"/>
                    <w:jc w:val="center"/>
                    <w:rPr>
                      <w:rFonts w:hint="eastAsia"/>
                      <w:spacing w:val="-11"/>
                      <w:kern w:val="21"/>
                      <w:szCs w:val="21"/>
                    </w:rPr>
                  </w:pPr>
                  <w:r>
                    <w:rPr>
                      <w:rFonts w:hint="eastAsia"/>
                      <w:spacing w:val="-11"/>
                      <w:kern w:val="21"/>
                      <w:szCs w:val="21"/>
                    </w:rPr>
                    <w:t>1m</w:t>
                  </w:r>
                </w:p>
              </w:tc>
            </w:tr>
          </w:tbl>
          <w:p>
            <w:pPr>
              <w:adjustRightInd w:val="0"/>
              <w:snapToGrid w:val="0"/>
              <w:spacing w:line="360" w:lineRule="auto"/>
              <w:jc w:val="center"/>
              <w:rPr>
                <w:rFonts w:hint="eastAsia"/>
                <w:b/>
                <w:bCs/>
                <w:szCs w:val="21"/>
              </w:rPr>
            </w:pPr>
            <w:r>
              <w:rPr>
                <w:rFonts w:hint="eastAsia"/>
                <w:b/>
                <w:bCs/>
                <w:szCs w:val="21"/>
              </w:rPr>
              <w:t>表2-</w:t>
            </w:r>
            <w:r>
              <w:rPr>
                <w:rFonts w:hint="eastAsia"/>
                <w:b/>
                <w:bCs/>
                <w:szCs w:val="21"/>
                <w:lang w:val="en-US" w:eastAsia="zh-CN"/>
              </w:rPr>
              <w:t>11</w:t>
            </w:r>
            <w:r>
              <w:rPr>
                <w:rFonts w:hint="eastAsia"/>
                <w:b/>
                <w:bCs/>
                <w:szCs w:val="21"/>
              </w:rPr>
              <w:t xml:space="preserve">  项目现状无组织废气污染物监测结果一览表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991"/>
              <w:gridCol w:w="991"/>
              <w:gridCol w:w="991"/>
              <w:gridCol w:w="1135"/>
              <w:gridCol w:w="1016"/>
              <w:gridCol w:w="823"/>
              <w:gridCol w:w="1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4" w:type="dxa"/>
                  <w:vMerge w:val="restart"/>
                  <w:noWrap w:val="0"/>
                  <w:vAlign w:val="center"/>
                </w:tcPr>
                <w:p>
                  <w:pPr>
                    <w:adjustRightInd w:val="0"/>
                    <w:snapToGrid w:val="0"/>
                    <w:jc w:val="center"/>
                    <w:rPr>
                      <w:kern w:val="21"/>
                      <w:szCs w:val="21"/>
                      <w:u w:val="single"/>
                    </w:rPr>
                  </w:pPr>
                  <w:r>
                    <w:rPr>
                      <w:rFonts w:hint="eastAsia"/>
                      <w:kern w:val="21"/>
                      <w:szCs w:val="21"/>
                      <w:u w:val="single"/>
                    </w:rPr>
                    <w:t>监测点名称</w:t>
                  </w:r>
                </w:p>
              </w:tc>
              <w:tc>
                <w:tcPr>
                  <w:tcW w:w="1104" w:type="dxa"/>
                  <w:vMerge w:val="restart"/>
                  <w:noWrap w:val="0"/>
                  <w:vAlign w:val="center"/>
                </w:tcPr>
                <w:p>
                  <w:pPr>
                    <w:adjustRightInd w:val="0"/>
                    <w:snapToGrid w:val="0"/>
                    <w:jc w:val="center"/>
                    <w:rPr>
                      <w:kern w:val="21"/>
                      <w:szCs w:val="21"/>
                      <w:u w:val="single"/>
                    </w:rPr>
                  </w:pPr>
                  <w:r>
                    <w:rPr>
                      <w:rFonts w:hint="eastAsia"/>
                      <w:kern w:val="21"/>
                      <w:szCs w:val="21"/>
                      <w:u w:val="single"/>
                    </w:rPr>
                    <w:t>污染物</w:t>
                  </w:r>
                </w:p>
              </w:tc>
              <w:tc>
                <w:tcPr>
                  <w:tcW w:w="1104" w:type="dxa"/>
                  <w:vMerge w:val="restart"/>
                  <w:noWrap w:val="0"/>
                  <w:vAlign w:val="center"/>
                </w:tcPr>
                <w:p>
                  <w:pPr>
                    <w:adjustRightInd w:val="0"/>
                    <w:snapToGrid w:val="0"/>
                    <w:jc w:val="center"/>
                    <w:rPr>
                      <w:kern w:val="21"/>
                      <w:szCs w:val="21"/>
                      <w:u w:val="single"/>
                    </w:rPr>
                  </w:pPr>
                  <w:r>
                    <w:rPr>
                      <w:rFonts w:hint="eastAsia"/>
                      <w:kern w:val="21"/>
                      <w:szCs w:val="21"/>
                      <w:u w:val="single"/>
                    </w:rPr>
                    <w:t>平均时间</w:t>
                  </w:r>
                </w:p>
              </w:tc>
              <w:tc>
                <w:tcPr>
                  <w:tcW w:w="1104" w:type="dxa"/>
                  <w:vMerge w:val="restart"/>
                  <w:noWrap w:val="0"/>
                  <w:vAlign w:val="center"/>
                </w:tcPr>
                <w:p>
                  <w:pPr>
                    <w:adjustRightInd w:val="0"/>
                    <w:snapToGrid w:val="0"/>
                    <w:jc w:val="center"/>
                    <w:rPr>
                      <w:kern w:val="21"/>
                      <w:szCs w:val="21"/>
                      <w:u w:val="single"/>
                    </w:rPr>
                  </w:pPr>
                  <w:r>
                    <w:rPr>
                      <w:rFonts w:hint="eastAsia"/>
                      <w:kern w:val="21"/>
                      <w:szCs w:val="21"/>
                      <w:u w:val="single"/>
                    </w:rPr>
                    <w:t>评价标准</w:t>
                  </w:r>
                </w:p>
              </w:tc>
              <w:tc>
                <w:tcPr>
                  <w:tcW w:w="1270" w:type="dxa"/>
                  <w:vMerge w:val="restart"/>
                  <w:noWrap w:val="0"/>
                  <w:vAlign w:val="center"/>
                </w:tcPr>
                <w:p>
                  <w:pPr>
                    <w:adjustRightInd w:val="0"/>
                    <w:snapToGrid w:val="0"/>
                    <w:jc w:val="center"/>
                    <w:rPr>
                      <w:kern w:val="21"/>
                      <w:szCs w:val="21"/>
                      <w:u w:val="single"/>
                    </w:rPr>
                  </w:pPr>
                  <w:r>
                    <w:rPr>
                      <w:rFonts w:hint="eastAsia"/>
                      <w:kern w:val="21"/>
                      <w:szCs w:val="21"/>
                      <w:u w:val="single"/>
                    </w:rPr>
                    <w:t>监测浓度范围</w:t>
                  </w:r>
                </w:p>
              </w:tc>
              <w:tc>
                <w:tcPr>
                  <w:tcW w:w="1133" w:type="dxa"/>
                  <w:vMerge w:val="restart"/>
                  <w:noWrap w:val="0"/>
                  <w:vAlign w:val="center"/>
                </w:tcPr>
                <w:p>
                  <w:pPr>
                    <w:adjustRightInd w:val="0"/>
                    <w:snapToGrid w:val="0"/>
                    <w:jc w:val="center"/>
                    <w:rPr>
                      <w:kern w:val="21"/>
                      <w:szCs w:val="21"/>
                      <w:u w:val="single"/>
                    </w:rPr>
                  </w:pPr>
                  <w:r>
                    <w:rPr>
                      <w:rFonts w:hint="eastAsia"/>
                      <w:kern w:val="21"/>
                      <w:szCs w:val="21"/>
                      <w:u w:val="single"/>
                    </w:rPr>
                    <w:t>最大浓度占标率</w:t>
                  </w:r>
                </w:p>
              </w:tc>
              <w:tc>
                <w:tcPr>
                  <w:tcW w:w="911" w:type="dxa"/>
                  <w:vMerge w:val="restart"/>
                  <w:noWrap w:val="0"/>
                  <w:vAlign w:val="center"/>
                </w:tcPr>
                <w:p>
                  <w:pPr>
                    <w:adjustRightInd w:val="0"/>
                    <w:snapToGrid w:val="0"/>
                    <w:jc w:val="center"/>
                    <w:rPr>
                      <w:kern w:val="21"/>
                      <w:szCs w:val="21"/>
                      <w:u w:val="single"/>
                    </w:rPr>
                  </w:pPr>
                  <w:r>
                    <w:rPr>
                      <w:rFonts w:hint="eastAsia"/>
                      <w:kern w:val="21"/>
                      <w:szCs w:val="21"/>
                      <w:u w:val="single"/>
                    </w:rPr>
                    <w:t>超标率</w:t>
                  </w:r>
                </w:p>
              </w:tc>
              <w:tc>
                <w:tcPr>
                  <w:tcW w:w="1114" w:type="dxa"/>
                  <w:vMerge w:val="restart"/>
                  <w:noWrap w:val="0"/>
                  <w:vAlign w:val="center"/>
                </w:tcPr>
                <w:p>
                  <w:pPr>
                    <w:adjustRightInd w:val="0"/>
                    <w:snapToGrid w:val="0"/>
                    <w:jc w:val="center"/>
                    <w:rPr>
                      <w:kern w:val="21"/>
                      <w:szCs w:val="21"/>
                      <w:u w:val="single"/>
                    </w:rPr>
                  </w:pPr>
                  <w:r>
                    <w:rPr>
                      <w:rFonts w:hint="eastAsia"/>
                      <w:kern w:val="21"/>
                      <w:szCs w:val="21"/>
                      <w:u w:val="singl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4" w:type="dxa"/>
                  <w:vMerge w:val="continue"/>
                  <w:noWrap w:val="0"/>
                  <w:vAlign w:val="center"/>
                </w:tcPr>
                <w:p>
                  <w:pPr>
                    <w:adjustRightInd w:val="0"/>
                    <w:snapToGrid w:val="0"/>
                    <w:jc w:val="center"/>
                    <w:rPr>
                      <w:szCs w:val="21"/>
                      <w:u w:val="single"/>
                    </w:rPr>
                  </w:pPr>
                </w:p>
              </w:tc>
              <w:tc>
                <w:tcPr>
                  <w:tcW w:w="1104" w:type="dxa"/>
                  <w:vMerge w:val="continue"/>
                  <w:noWrap w:val="0"/>
                  <w:vAlign w:val="center"/>
                </w:tcPr>
                <w:p>
                  <w:pPr>
                    <w:adjustRightInd w:val="0"/>
                    <w:snapToGrid w:val="0"/>
                    <w:jc w:val="center"/>
                    <w:rPr>
                      <w:i/>
                      <w:iCs/>
                      <w:kern w:val="21"/>
                      <w:szCs w:val="21"/>
                      <w:u w:val="single"/>
                    </w:rPr>
                  </w:pPr>
                </w:p>
              </w:tc>
              <w:tc>
                <w:tcPr>
                  <w:tcW w:w="1104" w:type="dxa"/>
                  <w:vMerge w:val="continue"/>
                  <w:noWrap w:val="0"/>
                  <w:vAlign w:val="center"/>
                </w:tcPr>
                <w:p>
                  <w:pPr>
                    <w:adjustRightInd w:val="0"/>
                    <w:snapToGrid w:val="0"/>
                    <w:jc w:val="center"/>
                    <w:rPr>
                      <w:i/>
                      <w:iCs/>
                      <w:kern w:val="21"/>
                      <w:szCs w:val="21"/>
                      <w:u w:val="single"/>
                    </w:rPr>
                  </w:pPr>
                </w:p>
              </w:tc>
              <w:tc>
                <w:tcPr>
                  <w:tcW w:w="1104" w:type="dxa"/>
                  <w:vMerge w:val="continue"/>
                  <w:noWrap w:val="0"/>
                  <w:vAlign w:val="center"/>
                </w:tcPr>
                <w:p>
                  <w:pPr>
                    <w:adjustRightInd w:val="0"/>
                    <w:snapToGrid w:val="0"/>
                    <w:jc w:val="center"/>
                    <w:rPr>
                      <w:i/>
                      <w:iCs/>
                      <w:kern w:val="21"/>
                      <w:szCs w:val="21"/>
                      <w:u w:val="single"/>
                    </w:rPr>
                  </w:pPr>
                </w:p>
              </w:tc>
              <w:tc>
                <w:tcPr>
                  <w:tcW w:w="1270" w:type="dxa"/>
                  <w:vMerge w:val="continue"/>
                  <w:noWrap w:val="0"/>
                  <w:vAlign w:val="center"/>
                </w:tcPr>
                <w:p>
                  <w:pPr>
                    <w:adjustRightInd w:val="0"/>
                    <w:snapToGrid w:val="0"/>
                    <w:jc w:val="center"/>
                    <w:rPr>
                      <w:i/>
                      <w:iCs/>
                      <w:kern w:val="21"/>
                      <w:szCs w:val="21"/>
                      <w:u w:val="single"/>
                    </w:rPr>
                  </w:pPr>
                </w:p>
              </w:tc>
              <w:tc>
                <w:tcPr>
                  <w:tcW w:w="1133" w:type="dxa"/>
                  <w:vMerge w:val="continue"/>
                  <w:noWrap w:val="0"/>
                  <w:vAlign w:val="center"/>
                </w:tcPr>
                <w:p>
                  <w:pPr>
                    <w:adjustRightInd w:val="0"/>
                    <w:snapToGrid w:val="0"/>
                    <w:jc w:val="center"/>
                    <w:rPr>
                      <w:i/>
                      <w:iCs/>
                      <w:kern w:val="21"/>
                      <w:szCs w:val="21"/>
                      <w:u w:val="single"/>
                    </w:rPr>
                  </w:pPr>
                </w:p>
              </w:tc>
              <w:tc>
                <w:tcPr>
                  <w:tcW w:w="911" w:type="dxa"/>
                  <w:vMerge w:val="continue"/>
                  <w:noWrap w:val="0"/>
                  <w:vAlign w:val="center"/>
                </w:tcPr>
                <w:p>
                  <w:pPr>
                    <w:adjustRightInd w:val="0"/>
                    <w:snapToGrid w:val="0"/>
                    <w:jc w:val="center"/>
                    <w:rPr>
                      <w:i/>
                      <w:iCs/>
                      <w:kern w:val="21"/>
                      <w:szCs w:val="21"/>
                      <w:u w:val="single"/>
                    </w:rPr>
                  </w:pPr>
                </w:p>
              </w:tc>
              <w:tc>
                <w:tcPr>
                  <w:tcW w:w="1114" w:type="dxa"/>
                  <w:vMerge w:val="continue"/>
                  <w:noWrap w:val="0"/>
                  <w:vAlign w:val="center"/>
                </w:tcPr>
                <w:p>
                  <w:pPr>
                    <w:adjustRightInd w:val="0"/>
                    <w:snapToGrid w:val="0"/>
                    <w:jc w:val="center"/>
                    <w:rPr>
                      <w:i/>
                      <w:iCs/>
                      <w:kern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4" w:type="dxa"/>
                  <w:noWrap w:val="0"/>
                  <w:vAlign w:val="center"/>
                </w:tcPr>
                <w:p>
                  <w:pPr>
                    <w:adjustRightInd w:val="0"/>
                    <w:snapToGrid w:val="0"/>
                    <w:jc w:val="center"/>
                    <w:rPr>
                      <w:kern w:val="21"/>
                      <w:szCs w:val="21"/>
                      <w:u w:val="single"/>
                    </w:rPr>
                  </w:pPr>
                  <w:r>
                    <w:rPr>
                      <w:rFonts w:hint="eastAsia"/>
                      <w:kern w:val="21"/>
                      <w:szCs w:val="21"/>
                      <w:u w:val="single"/>
                    </w:rPr>
                    <w:t>G1</w:t>
                  </w:r>
                </w:p>
              </w:tc>
              <w:tc>
                <w:tcPr>
                  <w:tcW w:w="1104" w:type="dxa"/>
                  <w:noWrap w:val="0"/>
                  <w:vAlign w:val="center"/>
                </w:tcPr>
                <w:p>
                  <w:pPr>
                    <w:adjustRightInd w:val="0"/>
                    <w:snapToGrid w:val="0"/>
                    <w:jc w:val="center"/>
                    <w:rPr>
                      <w:kern w:val="21"/>
                      <w:szCs w:val="21"/>
                      <w:u w:val="single"/>
                    </w:rPr>
                  </w:pPr>
                  <w:r>
                    <w:rPr>
                      <w:rFonts w:hint="eastAsia"/>
                      <w:kern w:val="21"/>
                      <w:szCs w:val="21"/>
                      <w:u w:val="single"/>
                    </w:rPr>
                    <w:t>NMHC</w:t>
                  </w:r>
                </w:p>
              </w:tc>
              <w:tc>
                <w:tcPr>
                  <w:tcW w:w="1104" w:type="dxa"/>
                  <w:noWrap w:val="0"/>
                  <w:vAlign w:val="center"/>
                </w:tcPr>
                <w:p>
                  <w:pPr>
                    <w:adjustRightInd w:val="0"/>
                    <w:snapToGrid w:val="0"/>
                    <w:jc w:val="center"/>
                    <w:rPr>
                      <w:kern w:val="21"/>
                      <w:szCs w:val="21"/>
                      <w:u w:val="single"/>
                    </w:rPr>
                  </w:pPr>
                  <w:r>
                    <w:rPr>
                      <w:rFonts w:hint="eastAsia"/>
                      <w:kern w:val="21"/>
                      <w:szCs w:val="21"/>
                      <w:u w:val="single"/>
                    </w:rPr>
                    <w:t>1h平均浓度值</w:t>
                  </w:r>
                </w:p>
              </w:tc>
              <w:tc>
                <w:tcPr>
                  <w:tcW w:w="1104" w:type="dxa"/>
                  <w:noWrap w:val="0"/>
                  <w:vAlign w:val="center"/>
                </w:tcPr>
                <w:p>
                  <w:pPr>
                    <w:adjustRightInd w:val="0"/>
                    <w:snapToGrid w:val="0"/>
                    <w:jc w:val="center"/>
                    <w:rPr>
                      <w:kern w:val="21"/>
                      <w:szCs w:val="21"/>
                      <w:u w:val="single"/>
                    </w:rPr>
                  </w:pPr>
                  <w:r>
                    <w:rPr>
                      <w:rFonts w:hint="eastAsia"/>
                      <w:kern w:val="21"/>
                      <w:szCs w:val="21"/>
                      <w:u w:val="single"/>
                    </w:rPr>
                    <w:t>4mg/m</w:t>
                  </w:r>
                  <w:r>
                    <w:rPr>
                      <w:rFonts w:hint="eastAsia"/>
                      <w:kern w:val="21"/>
                      <w:szCs w:val="21"/>
                      <w:u w:val="single"/>
                      <w:vertAlign w:val="superscript"/>
                    </w:rPr>
                    <w:t>3</w:t>
                  </w:r>
                </w:p>
              </w:tc>
              <w:tc>
                <w:tcPr>
                  <w:tcW w:w="1270" w:type="dxa"/>
                  <w:noWrap w:val="0"/>
                  <w:vAlign w:val="center"/>
                </w:tcPr>
                <w:p>
                  <w:pPr>
                    <w:adjustRightInd w:val="0"/>
                    <w:snapToGrid w:val="0"/>
                    <w:jc w:val="center"/>
                    <w:rPr>
                      <w:kern w:val="21"/>
                      <w:szCs w:val="21"/>
                      <w:u w:val="single"/>
                    </w:rPr>
                  </w:pPr>
                  <w:r>
                    <w:rPr>
                      <w:kern w:val="21"/>
                      <w:szCs w:val="21"/>
                      <w:u w:val="single"/>
                    </w:rPr>
                    <w:t>0.</w:t>
                  </w:r>
                  <w:r>
                    <w:rPr>
                      <w:rFonts w:hint="eastAsia"/>
                      <w:kern w:val="21"/>
                      <w:szCs w:val="21"/>
                      <w:u w:val="single"/>
                    </w:rPr>
                    <w:t>45</w:t>
                  </w:r>
                  <w:r>
                    <w:rPr>
                      <w:kern w:val="21"/>
                      <w:szCs w:val="21"/>
                      <w:u w:val="single"/>
                    </w:rPr>
                    <w:t>~0.</w:t>
                  </w:r>
                  <w:r>
                    <w:rPr>
                      <w:rFonts w:hint="eastAsia"/>
                      <w:kern w:val="21"/>
                      <w:szCs w:val="21"/>
                      <w:u w:val="single"/>
                    </w:rPr>
                    <w:t>47</w:t>
                  </w:r>
                </w:p>
              </w:tc>
              <w:tc>
                <w:tcPr>
                  <w:tcW w:w="1133" w:type="dxa"/>
                  <w:noWrap w:val="0"/>
                  <w:vAlign w:val="center"/>
                </w:tcPr>
                <w:p>
                  <w:pPr>
                    <w:adjustRightInd w:val="0"/>
                    <w:snapToGrid w:val="0"/>
                    <w:jc w:val="center"/>
                    <w:rPr>
                      <w:kern w:val="21"/>
                      <w:szCs w:val="21"/>
                      <w:u w:val="single"/>
                    </w:rPr>
                  </w:pPr>
                  <w:r>
                    <w:rPr>
                      <w:rFonts w:hint="eastAsia"/>
                      <w:kern w:val="21"/>
                      <w:szCs w:val="21"/>
                      <w:u w:val="single"/>
                    </w:rPr>
                    <w:t>11.75%</w:t>
                  </w:r>
                </w:p>
              </w:tc>
              <w:tc>
                <w:tcPr>
                  <w:tcW w:w="911" w:type="dxa"/>
                  <w:noWrap w:val="0"/>
                  <w:vAlign w:val="center"/>
                </w:tcPr>
                <w:p>
                  <w:pPr>
                    <w:adjustRightInd w:val="0"/>
                    <w:snapToGrid w:val="0"/>
                    <w:jc w:val="center"/>
                    <w:rPr>
                      <w:rFonts w:hint="eastAsia"/>
                      <w:kern w:val="21"/>
                      <w:szCs w:val="21"/>
                      <w:u w:val="single"/>
                    </w:rPr>
                  </w:pPr>
                  <w:r>
                    <w:rPr>
                      <w:rFonts w:hint="eastAsia"/>
                      <w:kern w:val="21"/>
                      <w:szCs w:val="21"/>
                      <w:u w:val="single"/>
                    </w:rPr>
                    <w:t>0</w:t>
                  </w:r>
                </w:p>
              </w:tc>
              <w:tc>
                <w:tcPr>
                  <w:tcW w:w="1114" w:type="dxa"/>
                  <w:noWrap w:val="0"/>
                  <w:vAlign w:val="center"/>
                </w:tcPr>
                <w:p>
                  <w:pPr>
                    <w:adjustRightInd w:val="0"/>
                    <w:snapToGrid w:val="0"/>
                    <w:jc w:val="center"/>
                    <w:rPr>
                      <w:rFonts w:hint="eastAsia"/>
                      <w:kern w:val="21"/>
                      <w:szCs w:val="21"/>
                      <w:u w:val="single"/>
                    </w:rPr>
                  </w:pPr>
                  <w:r>
                    <w:rPr>
                      <w:rFonts w:hint="eastAsia"/>
                      <w:kern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4" w:type="dxa"/>
                  <w:noWrap w:val="0"/>
                  <w:vAlign w:val="center"/>
                </w:tcPr>
                <w:p>
                  <w:pPr>
                    <w:adjustRightInd w:val="0"/>
                    <w:snapToGrid w:val="0"/>
                    <w:jc w:val="center"/>
                    <w:rPr>
                      <w:kern w:val="21"/>
                      <w:szCs w:val="21"/>
                      <w:u w:val="single"/>
                    </w:rPr>
                  </w:pPr>
                  <w:r>
                    <w:rPr>
                      <w:rFonts w:hint="eastAsia"/>
                      <w:kern w:val="21"/>
                      <w:szCs w:val="21"/>
                      <w:u w:val="single"/>
                    </w:rPr>
                    <w:t>G2</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NMHC</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1h平均浓度值</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4mg/m</w:t>
                  </w:r>
                  <w:r>
                    <w:rPr>
                      <w:rFonts w:hint="eastAsia"/>
                      <w:kern w:val="21"/>
                      <w:szCs w:val="21"/>
                      <w:u w:val="single"/>
                      <w:vertAlign w:val="superscript"/>
                    </w:rPr>
                    <w:t>3</w:t>
                  </w:r>
                </w:p>
              </w:tc>
              <w:tc>
                <w:tcPr>
                  <w:tcW w:w="1270" w:type="dxa"/>
                  <w:noWrap w:val="0"/>
                  <w:vAlign w:val="center"/>
                </w:tcPr>
                <w:p>
                  <w:pPr>
                    <w:adjustRightInd w:val="0"/>
                    <w:snapToGrid w:val="0"/>
                    <w:jc w:val="center"/>
                    <w:rPr>
                      <w:kern w:val="21"/>
                      <w:szCs w:val="21"/>
                      <w:u w:val="single"/>
                    </w:rPr>
                  </w:pPr>
                  <w:r>
                    <w:rPr>
                      <w:rFonts w:hint="eastAsia"/>
                      <w:kern w:val="21"/>
                      <w:szCs w:val="21"/>
                      <w:u w:val="single"/>
                    </w:rPr>
                    <w:t>1.01</w:t>
                  </w:r>
                  <w:r>
                    <w:rPr>
                      <w:kern w:val="21"/>
                      <w:szCs w:val="21"/>
                      <w:u w:val="single"/>
                    </w:rPr>
                    <w:t>~</w:t>
                  </w:r>
                  <w:r>
                    <w:rPr>
                      <w:rFonts w:hint="eastAsia"/>
                      <w:kern w:val="21"/>
                      <w:szCs w:val="21"/>
                      <w:u w:val="single"/>
                    </w:rPr>
                    <w:t>1.20</w:t>
                  </w:r>
                </w:p>
              </w:tc>
              <w:tc>
                <w:tcPr>
                  <w:tcW w:w="1133" w:type="dxa"/>
                  <w:noWrap w:val="0"/>
                  <w:vAlign w:val="center"/>
                </w:tcPr>
                <w:p>
                  <w:pPr>
                    <w:adjustRightInd w:val="0"/>
                    <w:snapToGrid w:val="0"/>
                    <w:jc w:val="center"/>
                    <w:rPr>
                      <w:rFonts w:hint="eastAsia"/>
                      <w:kern w:val="21"/>
                      <w:szCs w:val="21"/>
                      <w:u w:val="single"/>
                    </w:rPr>
                  </w:pPr>
                  <w:r>
                    <w:rPr>
                      <w:rFonts w:hint="eastAsia"/>
                      <w:kern w:val="21"/>
                      <w:szCs w:val="21"/>
                      <w:u w:val="single"/>
                    </w:rPr>
                    <w:t>30%</w:t>
                  </w:r>
                </w:p>
              </w:tc>
              <w:tc>
                <w:tcPr>
                  <w:tcW w:w="911" w:type="dxa"/>
                  <w:noWrap w:val="0"/>
                  <w:vAlign w:val="center"/>
                </w:tcPr>
                <w:p>
                  <w:pPr>
                    <w:adjustRightInd w:val="0"/>
                    <w:snapToGrid w:val="0"/>
                    <w:jc w:val="center"/>
                    <w:rPr>
                      <w:rFonts w:hint="eastAsia"/>
                      <w:kern w:val="21"/>
                      <w:szCs w:val="21"/>
                      <w:u w:val="single"/>
                    </w:rPr>
                  </w:pPr>
                  <w:r>
                    <w:rPr>
                      <w:rFonts w:hint="eastAsia"/>
                      <w:kern w:val="21"/>
                      <w:szCs w:val="21"/>
                      <w:u w:val="single"/>
                    </w:rPr>
                    <w:t>0</w:t>
                  </w:r>
                </w:p>
              </w:tc>
              <w:tc>
                <w:tcPr>
                  <w:tcW w:w="1114" w:type="dxa"/>
                  <w:noWrap w:val="0"/>
                  <w:vAlign w:val="center"/>
                </w:tcPr>
                <w:p>
                  <w:pPr>
                    <w:adjustRightInd w:val="0"/>
                    <w:snapToGrid w:val="0"/>
                    <w:jc w:val="center"/>
                    <w:rPr>
                      <w:rFonts w:hint="eastAsia"/>
                      <w:kern w:val="21"/>
                      <w:szCs w:val="21"/>
                      <w:u w:val="single"/>
                    </w:rPr>
                  </w:pPr>
                  <w:r>
                    <w:rPr>
                      <w:rFonts w:hint="eastAsia"/>
                      <w:kern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G3</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NMHC</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1h平均浓度值</w:t>
                  </w:r>
                </w:p>
              </w:tc>
              <w:tc>
                <w:tcPr>
                  <w:tcW w:w="1104" w:type="dxa"/>
                  <w:noWrap w:val="0"/>
                  <w:vAlign w:val="center"/>
                </w:tcPr>
                <w:p>
                  <w:pPr>
                    <w:adjustRightInd w:val="0"/>
                    <w:snapToGrid w:val="0"/>
                    <w:jc w:val="center"/>
                    <w:rPr>
                      <w:rFonts w:hint="eastAsia"/>
                      <w:kern w:val="21"/>
                      <w:szCs w:val="21"/>
                      <w:u w:val="single"/>
                    </w:rPr>
                  </w:pPr>
                  <w:r>
                    <w:rPr>
                      <w:rFonts w:hint="eastAsia"/>
                      <w:kern w:val="21"/>
                      <w:szCs w:val="21"/>
                      <w:u w:val="single"/>
                    </w:rPr>
                    <w:t>4mg/m</w:t>
                  </w:r>
                  <w:r>
                    <w:rPr>
                      <w:rFonts w:hint="eastAsia"/>
                      <w:kern w:val="21"/>
                      <w:szCs w:val="21"/>
                      <w:u w:val="single"/>
                      <w:vertAlign w:val="superscript"/>
                    </w:rPr>
                    <w:t>3</w:t>
                  </w:r>
                </w:p>
              </w:tc>
              <w:tc>
                <w:tcPr>
                  <w:tcW w:w="1270" w:type="dxa"/>
                  <w:noWrap w:val="0"/>
                  <w:vAlign w:val="center"/>
                </w:tcPr>
                <w:p>
                  <w:pPr>
                    <w:adjustRightInd w:val="0"/>
                    <w:snapToGrid w:val="0"/>
                    <w:jc w:val="center"/>
                    <w:rPr>
                      <w:kern w:val="21"/>
                      <w:szCs w:val="21"/>
                      <w:u w:val="single"/>
                    </w:rPr>
                  </w:pPr>
                  <w:r>
                    <w:rPr>
                      <w:rFonts w:hint="eastAsia"/>
                      <w:kern w:val="21"/>
                      <w:szCs w:val="21"/>
                      <w:u w:val="single"/>
                    </w:rPr>
                    <w:t>1.04</w:t>
                  </w:r>
                  <w:r>
                    <w:rPr>
                      <w:kern w:val="21"/>
                      <w:szCs w:val="21"/>
                      <w:u w:val="single"/>
                    </w:rPr>
                    <w:t>~</w:t>
                  </w:r>
                  <w:r>
                    <w:rPr>
                      <w:rFonts w:hint="eastAsia"/>
                      <w:kern w:val="21"/>
                      <w:szCs w:val="21"/>
                      <w:u w:val="single"/>
                    </w:rPr>
                    <w:t>1.80</w:t>
                  </w:r>
                </w:p>
              </w:tc>
              <w:tc>
                <w:tcPr>
                  <w:tcW w:w="1133" w:type="dxa"/>
                  <w:noWrap w:val="0"/>
                  <w:vAlign w:val="center"/>
                </w:tcPr>
                <w:p>
                  <w:pPr>
                    <w:adjustRightInd w:val="0"/>
                    <w:snapToGrid w:val="0"/>
                    <w:jc w:val="center"/>
                    <w:rPr>
                      <w:kern w:val="21"/>
                      <w:szCs w:val="21"/>
                      <w:u w:val="single"/>
                    </w:rPr>
                  </w:pPr>
                  <w:r>
                    <w:rPr>
                      <w:rFonts w:hint="eastAsia"/>
                      <w:kern w:val="21"/>
                      <w:szCs w:val="21"/>
                      <w:u w:val="single"/>
                    </w:rPr>
                    <w:t>45%</w:t>
                  </w:r>
                </w:p>
              </w:tc>
              <w:tc>
                <w:tcPr>
                  <w:tcW w:w="911" w:type="dxa"/>
                  <w:noWrap w:val="0"/>
                  <w:vAlign w:val="center"/>
                </w:tcPr>
                <w:p>
                  <w:pPr>
                    <w:adjustRightInd w:val="0"/>
                    <w:snapToGrid w:val="0"/>
                    <w:jc w:val="center"/>
                    <w:rPr>
                      <w:rFonts w:hint="eastAsia"/>
                      <w:kern w:val="21"/>
                      <w:szCs w:val="21"/>
                      <w:u w:val="single"/>
                    </w:rPr>
                  </w:pPr>
                  <w:r>
                    <w:rPr>
                      <w:rFonts w:hint="eastAsia"/>
                      <w:kern w:val="21"/>
                      <w:szCs w:val="21"/>
                      <w:u w:val="single"/>
                    </w:rPr>
                    <w:t>0</w:t>
                  </w:r>
                </w:p>
              </w:tc>
              <w:tc>
                <w:tcPr>
                  <w:tcW w:w="1114" w:type="dxa"/>
                  <w:noWrap w:val="0"/>
                  <w:vAlign w:val="center"/>
                </w:tcPr>
                <w:p>
                  <w:pPr>
                    <w:adjustRightInd w:val="0"/>
                    <w:snapToGrid w:val="0"/>
                    <w:jc w:val="center"/>
                    <w:rPr>
                      <w:rFonts w:hint="eastAsia"/>
                      <w:kern w:val="21"/>
                      <w:szCs w:val="21"/>
                      <w:u w:val="single"/>
                    </w:rPr>
                  </w:pPr>
                  <w:r>
                    <w:rPr>
                      <w:rFonts w:hint="eastAsia"/>
                      <w:kern w:val="21"/>
                      <w:szCs w:val="21"/>
                      <w:u w:val="single"/>
                    </w:rPr>
                    <w:t>达标</w:t>
                  </w:r>
                </w:p>
              </w:tc>
            </w:tr>
          </w:tbl>
          <w:p>
            <w:pPr>
              <w:adjustRightInd w:val="0"/>
              <w:snapToGrid w:val="0"/>
              <w:spacing w:line="360" w:lineRule="auto"/>
              <w:jc w:val="center"/>
              <w:rPr>
                <w:rFonts w:hint="eastAsia"/>
                <w:b/>
                <w:bCs/>
                <w:szCs w:val="21"/>
              </w:rPr>
            </w:pPr>
            <w:r>
              <w:rPr>
                <w:rFonts w:hint="eastAsia"/>
                <w:b/>
                <w:bCs/>
                <w:szCs w:val="21"/>
              </w:rPr>
              <w:t>表2-1</w:t>
            </w:r>
            <w:r>
              <w:rPr>
                <w:rFonts w:hint="eastAsia"/>
                <w:b/>
                <w:bCs/>
                <w:szCs w:val="21"/>
                <w:lang w:val="en-US" w:eastAsia="zh-CN"/>
              </w:rPr>
              <w:t>2</w:t>
            </w:r>
            <w:r>
              <w:rPr>
                <w:rFonts w:hint="eastAsia"/>
                <w:b/>
                <w:bCs/>
                <w:szCs w:val="21"/>
              </w:rPr>
              <w:t xml:space="preserve">  项目现状排放口污染物监测结果一览表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989"/>
              <w:gridCol w:w="1424"/>
              <w:gridCol w:w="976"/>
              <w:gridCol w:w="1118"/>
              <w:gridCol w:w="834"/>
              <w:gridCol w:w="791"/>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restart"/>
                  <w:noWrap w:val="0"/>
                  <w:vAlign w:val="center"/>
                </w:tcPr>
                <w:p>
                  <w:pPr>
                    <w:adjustRightInd w:val="0"/>
                    <w:snapToGrid w:val="0"/>
                    <w:jc w:val="center"/>
                    <w:rPr>
                      <w:kern w:val="21"/>
                      <w:szCs w:val="21"/>
                    </w:rPr>
                  </w:pPr>
                  <w:r>
                    <w:rPr>
                      <w:rFonts w:hint="eastAsia"/>
                      <w:kern w:val="21"/>
                      <w:szCs w:val="21"/>
                    </w:rPr>
                    <w:t>监测点名称</w:t>
                  </w:r>
                </w:p>
              </w:tc>
              <w:tc>
                <w:tcPr>
                  <w:tcW w:w="989" w:type="dxa"/>
                  <w:vMerge w:val="restart"/>
                  <w:noWrap w:val="0"/>
                  <w:vAlign w:val="center"/>
                </w:tcPr>
                <w:p>
                  <w:pPr>
                    <w:adjustRightInd w:val="0"/>
                    <w:snapToGrid w:val="0"/>
                    <w:jc w:val="center"/>
                    <w:rPr>
                      <w:kern w:val="21"/>
                      <w:szCs w:val="21"/>
                    </w:rPr>
                  </w:pPr>
                  <w:r>
                    <w:rPr>
                      <w:rFonts w:hint="eastAsia"/>
                      <w:kern w:val="21"/>
                      <w:szCs w:val="21"/>
                    </w:rPr>
                    <w:t>污染物</w:t>
                  </w:r>
                </w:p>
              </w:tc>
              <w:tc>
                <w:tcPr>
                  <w:tcW w:w="1424" w:type="dxa"/>
                  <w:vMerge w:val="restart"/>
                  <w:noWrap w:val="0"/>
                  <w:vAlign w:val="center"/>
                </w:tcPr>
                <w:p>
                  <w:pPr>
                    <w:adjustRightInd w:val="0"/>
                    <w:snapToGrid w:val="0"/>
                    <w:jc w:val="center"/>
                    <w:rPr>
                      <w:kern w:val="21"/>
                      <w:szCs w:val="21"/>
                    </w:rPr>
                  </w:pPr>
                  <w:r>
                    <w:rPr>
                      <w:rFonts w:hint="eastAsia"/>
                      <w:kern w:val="21"/>
                      <w:szCs w:val="21"/>
                    </w:rPr>
                    <w:t>监测浓度范围</w:t>
                  </w:r>
                </w:p>
              </w:tc>
              <w:tc>
                <w:tcPr>
                  <w:tcW w:w="976" w:type="dxa"/>
                  <w:vMerge w:val="restart"/>
                  <w:noWrap w:val="0"/>
                  <w:vAlign w:val="center"/>
                </w:tcPr>
                <w:p>
                  <w:pPr>
                    <w:adjustRightInd w:val="0"/>
                    <w:snapToGrid w:val="0"/>
                    <w:jc w:val="center"/>
                    <w:rPr>
                      <w:rFonts w:hint="eastAsia"/>
                      <w:kern w:val="21"/>
                      <w:szCs w:val="21"/>
                    </w:rPr>
                  </w:pPr>
                  <w:r>
                    <w:rPr>
                      <w:rFonts w:hint="eastAsia"/>
                      <w:kern w:val="21"/>
                      <w:szCs w:val="21"/>
                    </w:rPr>
                    <w:t>平均值</w:t>
                  </w:r>
                </w:p>
              </w:tc>
              <w:tc>
                <w:tcPr>
                  <w:tcW w:w="1118" w:type="dxa"/>
                  <w:vMerge w:val="restart"/>
                  <w:noWrap w:val="0"/>
                  <w:vAlign w:val="center"/>
                </w:tcPr>
                <w:p>
                  <w:pPr>
                    <w:adjustRightInd w:val="0"/>
                    <w:snapToGrid w:val="0"/>
                    <w:jc w:val="center"/>
                    <w:rPr>
                      <w:kern w:val="21"/>
                      <w:szCs w:val="21"/>
                    </w:rPr>
                  </w:pPr>
                  <w:r>
                    <w:rPr>
                      <w:rFonts w:hint="eastAsia"/>
                      <w:kern w:val="21"/>
                      <w:szCs w:val="21"/>
                    </w:rPr>
                    <w:t>评价标准</w:t>
                  </w:r>
                </w:p>
              </w:tc>
              <w:tc>
                <w:tcPr>
                  <w:tcW w:w="834" w:type="dxa"/>
                  <w:vMerge w:val="restart"/>
                  <w:noWrap w:val="0"/>
                  <w:vAlign w:val="center"/>
                </w:tcPr>
                <w:p>
                  <w:pPr>
                    <w:adjustRightInd w:val="0"/>
                    <w:snapToGrid w:val="0"/>
                    <w:jc w:val="center"/>
                    <w:rPr>
                      <w:rFonts w:hint="eastAsia"/>
                      <w:kern w:val="21"/>
                      <w:szCs w:val="21"/>
                    </w:rPr>
                  </w:pPr>
                  <w:r>
                    <w:rPr>
                      <w:rFonts w:hint="eastAsia"/>
                      <w:kern w:val="21"/>
                      <w:szCs w:val="21"/>
                    </w:rPr>
                    <w:t>标准指数</w:t>
                  </w:r>
                </w:p>
              </w:tc>
              <w:tc>
                <w:tcPr>
                  <w:tcW w:w="791" w:type="dxa"/>
                  <w:vMerge w:val="restart"/>
                  <w:noWrap w:val="0"/>
                  <w:vAlign w:val="center"/>
                </w:tcPr>
                <w:p>
                  <w:pPr>
                    <w:adjustRightInd w:val="0"/>
                    <w:snapToGrid w:val="0"/>
                    <w:jc w:val="center"/>
                    <w:rPr>
                      <w:kern w:val="21"/>
                      <w:szCs w:val="21"/>
                    </w:rPr>
                  </w:pPr>
                  <w:r>
                    <w:rPr>
                      <w:rFonts w:hint="eastAsia"/>
                      <w:kern w:val="21"/>
                      <w:szCs w:val="21"/>
                    </w:rPr>
                    <w:t>超标率</w:t>
                  </w:r>
                </w:p>
              </w:tc>
              <w:tc>
                <w:tcPr>
                  <w:tcW w:w="977" w:type="dxa"/>
                  <w:vMerge w:val="restart"/>
                  <w:noWrap w:val="0"/>
                  <w:vAlign w:val="center"/>
                </w:tcPr>
                <w:p>
                  <w:pPr>
                    <w:adjustRightInd w:val="0"/>
                    <w:snapToGrid w:val="0"/>
                    <w:jc w:val="center"/>
                    <w:rPr>
                      <w:kern w:val="21"/>
                      <w:szCs w:val="21"/>
                    </w:rPr>
                  </w:pPr>
                  <w:r>
                    <w:rPr>
                      <w:rFonts w:hint="eastAsia"/>
                      <w:kern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szCs w:val="21"/>
                    </w:rPr>
                  </w:pPr>
                </w:p>
              </w:tc>
              <w:tc>
                <w:tcPr>
                  <w:tcW w:w="989" w:type="dxa"/>
                  <w:vMerge w:val="continue"/>
                  <w:noWrap w:val="0"/>
                  <w:vAlign w:val="center"/>
                </w:tcPr>
                <w:p>
                  <w:pPr>
                    <w:adjustRightInd w:val="0"/>
                    <w:snapToGrid w:val="0"/>
                    <w:jc w:val="center"/>
                    <w:rPr>
                      <w:i/>
                      <w:iCs/>
                      <w:kern w:val="21"/>
                      <w:szCs w:val="21"/>
                    </w:rPr>
                  </w:pPr>
                </w:p>
              </w:tc>
              <w:tc>
                <w:tcPr>
                  <w:tcW w:w="1424" w:type="dxa"/>
                  <w:vMerge w:val="continue"/>
                  <w:noWrap w:val="0"/>
                  <w:vAlign w:val="center"/>
                </w:tcPr>
                <w:p>
                  <w:pPr>
                    <w:adjustRightInd w:val="0"/>
                    <w:snapToGrid w:val="0"/>
                    <w:jc w:val="center"/>
                    <w:rPr>
                      <w:i/>
                      <w:iCs/>
                      <w:kern w:val="21"/>
                      <w:szCs w:val="21"/>
                    </w:rPr>
                  </w:pPr>
                </w:p>
              </w:tc>
              <w:tc>
                <w:tcPr>
                  <w:tcW w:w="976" w:type="dxa"/>
                  <w:vMerge w:val="continue"/>
                  <w:noWrap w:val="0"/>
                  <w:vAlign w:val="center"/>
                </w:tcPr>
                <w:p>
                  <w:pPr>
                    <w:adjustRightInd w:val="0"/>
                    <w:snapToGrid w:val="0"/>
                    <w:jc w:val="center"/>
                    <w:rPr>
                      <w:i/>
                      <w:iCs/>
                      <w:kern w:val="21"/>
                      <w:szCs w:val="21"/>
                    </w:rPr>
                  </w:pPr>
                </w:p>
              </w:tc>
              <w:tc>
                <w:tcPr>
                  <w:tcW w:w="1118" w:type="dxa"/>
                  <w:vMerge w:val="continue"/>
                  <w:noWrap w:val="0"/>
                  <w:vAlign w:val="center"/>
                </w:tcPr>
                <w:p>
                  <w:pPr>
                    <w:adjustRightInd w:val="0"/>
                    <w:snapToGrid w:val="0"/>
                    <w:jc w:val="center"/>
                    <w:rPr>
                      <w:i/>
                      <w:iCs/>
                      <w:kern w:val="21"/>
                      <w:szCs w:val="21"/>
                    </w:rPr>
                  </w:pPr>
                </w:p>
              </w:tc>
              <w:tc>
                <w:tcPr>
                  <w:tcW w:w="834" w:type="dxa"/>
                  <w:vMerge w:val="continue"/>
                  <w:noWrap w:val="0"/>
                  <w:vAlign w:val="center"/>
                </w:tcPr>
                <w:p>
                  <w:pPr>
                    <w:adjustRightInd w:val="0"/>
                    <w:snapToGrid w:val="0"/>
                    <w:jc w:val="center"/>
                    <w:rPr>
                      <w:i/>
                      <w:iCs/>
                      <w:kern w:val="21"/>
                      <w:szCs w:val="21"/>
                    </w:rPr>
                  </w:pPr>
                </w:p>
              </w:tc>
              <w:tc>
                <w:tcPr>
                  <w:tcW w:w="791" w:type="dxa"/>
                  <w:vMerge w:val="continue"/>
                  <w:noWrap w:val="0"/>
                  <w:vAlign w:val="center"/>
                </w:tcPr>
                <w:p>
                  <w:pPr>
                    <w:adjustRightInd w:val="0"/>
                    <w:snapToGrid w:val="0"/>
                    <w:jc w:val="center"/>
                    <w:rPr>
                      <w:i/>
                      <w:iCs/>
                      <w:kern w:val="21"/>
                      <w:szCs w:val="21"/>
                    </w:rPr>
                  </w:pPr>
                </w:p>
              </w:tc>
              <w:tc>
                <w:tcPr>
                  <w:tcW w:w="977" w:type="dxa"/>
                  <w:vMerge w:val="continue"/>
                  <w:noWrap w:val="0"/>
                  <w:vAlign w:val="center"/>
                </w:tcPr>
                <w:p>
                  <w:pPr>
                    <w:adjustRightInd w:val="0"/>
                    <w:snapToGrid w:val="0"/>
                    <w:jc w:val="center"/>
                    <w:rPr>
                      <w:i/>
                      <w:iCs/>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restart"/>
                  <w:noWrap w:val="0"/>
                  <w:vAlign w:val="center"/>
                </w:tcPr>
                <w:p>
                  <w:pPr>
                    <w:adjustRightInd w:val="0"/>
                    <w:snapToGrid w:val="0"/>
                    <w:jc w:val="center"/>
                    <w:rPr>
                      <w:kern w:val="21"/>
                      <w:szCs w:val="21"/>
                    </w:rPr>
                  </w:pPr>
                  <w:r>
                    <w:rPr>
                      <w:rFonts w:hint="eastAsia"/>
                      <w:kern w:val="21"/>
                      <w:szCs w:val="21"/>
                    </w:rPr>
                    <w:t>W1</w:t>
                  </w:r>
                </w:p>
              </w:tc>
              <w:tc>
                <w:tcPr>
                  <w:tcW w:w="989" w:type="dxa"/>
                  <w:noWrap w:val="0"/>
                  <w:vAlign w:val="center"/>
                </w:tcPr>
                <w:p>
                  <w:pPr>
                    <w:adjustRightInd w:val="0"/>
                    <w:snapToGrid w:val="0"/>
                    <w:jc w:val="center"/>
                    <w:rPr>
                      <w:kern w:val="21"/>
                      <w:szCs w:val="21"/>
                    </w:rPr>
                  </w:pPr>
                  <w:r>
                    <w:rPr>
                      <w:rFonts w:hint="eastAsia"/>
                      <w:kern w:val="21"/>
                      <w:szCs w:val="21"/>
                    </w:rPr>
                    <w:t>pH</w:t>
                  </w:r>
                </w:p>
              </w:tc>
              <w:tc>
                <w:tcPr>
                  <w:tcW w:w="1424" w:type="dxa"/>
                  <w:noWrap w:val="0"/>
                  <w:vAlign w:val="center"/>
                </w:tcPr>
                <w:p>
                  <w:pPr>
                    <w:adjustRightInd w:val="0"/>
                    <w:snapToGrid w:val="0"/>
                    <w:jc w:val="center"/>
                    <w:rPr>
                      <w:kern w:val="21"/>
                      <w:szCs w:val="21"/>
                    </w:rPr>
                  </w:pPr>
                  <w:r>
                    <w:rPr>
                      <w:rFonts w:hint="eastAsia"/>
                      <w:kern w:val="21"/>
                      <w:szCs w:val="21"/>
                    </w:rPr>
                    <w:t>6.9-7.2</w:t>
                  </w:r>
                </w:p>
              </w:tc>
              <w:tc>
                <w:tcPr>
                  <w:tcW w:w="976" w:type="dxa"/>
                  <w:noWrap w:val="0"/>
                  <w:vAlign w:val="center"/>
                </w:tcPr>
                <w:p>
                  <w:pPr>
                    <w:adjustRightInd w:val="0"/>
                    <w:snapToGrid w:val="0"/>
                    <w:jc w:val="center"/>
                    <w:rPr>
                      <w:kern w:val="21"/>
                      <w:szCs w:val="21"/>
                    </w:rPr>
                  </w:pPr>
                  <w:r>
                    <w:rPr>
                      <w:rFonts w:hint="eastAsia"/>
                      <w:kern w:val="21"/>
                      <w:szCs w:val="21"/>
                    </w:rPr>
                    <w:t>/</w:t>
                  </w:r>
                </w:p>
              </w:tc>
              <w:tc>
                <w:tcPr>
                  <w:tcW w:w="1118" w:type="dxa"/>
                  <w:noWrap w:val="0"/>
                  <w:vAlign w:val="center"/>
                </w:tcPr>
                <w:p>
                  <w:pPr>
                    <w:adjustRightInd w:val="0"/>
                    <w:snapToGrid w:val="0"/>
                    <w:jc w:val="center"/>
                    <w:rPr>
                      <w:kern w:val="21"/>
                      <w:szCs w:val="21"/>
                    </w:rPr>
                  </w:pPr>
                  <w:r>
                    <w:rPr>
                      <w:rFonts w:hint="eastAsia"/>
                      <w:kern w:val="21"/>
                      <w:szCs w:val="21"/>
                    </w:rPr>
                    <w:t>6~9</w:t>
                  </w:r>
                </w:p>
              </w:tc>
              <w:tc>
                <w:tcPr>
                  <w:tcW w:w="834" w:type="dxa"/>
                  <w:noWrap w:val="0"/>
                  <w:vAlign w:val="center"/>
                </w:tcPr>
                <w:p>
                  <w:pPr>
                    <w:adjustRightInd w:val="0"/>
                    <w:snapToGrid w:val="0"/>
                    <w:jc w:val="center"/>
                    <w:rPr>
                      <w:kern w:val="21"/>
                      <w:szCs w:val="21"/>
                    </w:rPr>
                  </w:pPr>
                  <w:r>
                    <w:rPr>
                      <w:rFonts w:hint="eastAsia"/>
                      <w:kern w:val="21"/>
                      <w:szCs w:val="21"/>
                    </w:rPr>
                    <w:t>/</w:t>
                  </w:r>
                </w:p>
              </w:tc>
              <w:tc>
                <w:tcPr>
                  <w:tcW w:w="791" w:type="dxa"/>
                  <w:noWrap w:val="0"/>
                  <w:vAlign w:val="center"/>
                </w:tcPr>
                <w:p>
                  <w:pPr>
                    <w:adjustRightInd w:val="0"/>
                    <w:snapToGrid w:val="0"/>
                    <w:jc w:val="center"/>
                    <w:rPr>
                      <w:rFonts w:hint="eastAsia"/>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COD</w:t>
                  </w:r>
                </w:p>
              </w:tc>
              <w:tc>
                <w:tcPr>
                  <w:tcW w:w="1424" w:type="dxa"/>
                  <w:noWrap w:val="0"/>
                  <w:vAlign w:val="center"/>
                </w:tcPr>
                <w:p>
                  <w:pPr>
                    <w:adjustRightInd w:val="0"/>
                    <w:snapToGrid w:val="0"/>
                    <w:jc w:val="center"/>
                    <w:rPr>
                      <w:kern w:val="21"/>
                      <w:szCs w:val="21"/>
                    </w:rPr>
                  </w:pPr>
                  <w:r>
                    <w:rPr>
                      <w:rFonts w:hint="eastAsia"/>
                      <w:kern w:val="21"/>
                      <w:szCs w:val="21"/>
                    </w:rPr>
                    <w:t>65-83mg/L</w:t>
                  </w:r>
                </w:p>
              </w:tc>
              <w:tc>
                <w:tcPr>
                  <w:tcW w:w="976" w:type="dxa"/>
                  <w:noWrap w:val="0"/>
                  <w:vAlign w:val="center"/>
                </w:tcPr>
                <w:p>
                  <w:pPr>
                    <w:adjustRightInd w:val="0"/>
                    <w:snapToGrid w:val="0"/>
                    <w:jc w:val="center"/>
                    <w:rPr>
                      <w:kern w:val="21"/>
                      <w:szCs w:val="21"/>
                    </w:rPr>
                  </w:pPr>
                  <w:r>
                    <w:rPr>
                      <w:rFonts w:hint="eastAsia"/>
                      <w:kern w:val="21"/>
                      <w:szCs w:val="21"/>
                    </w:rPr>
                    <w:t>75mg/L</w:t>
                  </w:r>
                </w:p>
              </w:tc>
              <w:tc>
                <w:tcPr>
                  <w:tcW w:w="1118" w:type="dxa"/>
                  <w:noWrap w:val="0"/>
                  <w:vAlign w:val="center"/>
                </w:tcPr>
                <w:p>
                  <w:pPr>
                    <w:adjustRightInd w:val="0"/>
                    <w:snapToGrid w:val="0"/>
                    <w:jc w:val="center"/>
                    <w:rPr>
                      <w:kern w:val="21"/>
                      <w:szCs w:val="21"/>
                    </w:rPr>
                  </w:pPr>
                  <w:r>
                    <w:rPr>
                      <w:rFonts w:hint="eastAsia"/>
                      <w:kern w:val="21"/>
                      <w:szCs w:val="21"/>
                    </w:rPr>
                    <w:t>100mg/L</w:t>
                  </w:r>
                </w:p>
              </w:tc>
              <w:tc>
                <w:tcPr>
                  <w:tcW w:w="834" w:type="dxa"/>
                  <w:noWrap w:val="0"/>
                  <w:vAlign w:val="center"/>
                </w:tcPr>
                <w:p>
                  <w:pPr>
                    <w:adjustRightInd w:val="0"/>
                    <w:snapToGrid w:val="0"/>
                    <w:jc w:val="center"/>
                    <w:rPr>
                      <w:kern w:val="21"/>
                      <w:szCs w:val="21"/>
                    </w:rPr>
                  </w:pPr>
                  <w:r>
                    <w:rPr>
                      <w:rFonts w:hint="eastAsia"/>
                      <w:kern w:val="21"/>
                      <w:szCs w:val="21"/>
                    </w:rPr>
                    <w:t>0.75</w:t>
                  </w:r>
                </w:p>
              </w:tc>
              <w:tc>
                <w:tcPr>
                  <w:tcW w:w="791" w:type="dxa"/>
                  <w:noWrap w:val="0"/>
                  <w:vAlign w:val="center"/>
                </w:tcPr>
                <w:p>
                  <w:pPr>
                    <w:adjustRightInd w:val="0"/>
                    <w:snapToGrid w:val="0"/>
                    <w:jc w:val="center"/>
                    <w:rPr>
                      <w:rFonts w:hint="eastAsia"/>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color w:val="0000FF"/>
                      <w:kern w:val="21"/>
                      <w:szCs w:val="21"/>
                    </w:rPr>
                  </w:pPr>
                  <w:r>
                    <w:rPr>
                      <w:rFonts w:hint="eastAsia"/>
                      <w:color w:val="0000FF"/>
                      <w:kern w:val="21"/>
                      <w:szCs w:val="21"/>
                    </w:rPr>
                    <w:t>BOD</w:t>
                  </w:r>
                  <w:r>
                    <w:rPr>
                      <w:rFonts w:hint="eastAsia"/>
                      <w:color w:val="0000FF"/>
                      <w:kern w:val="21"/>
                      <w:szCs w:val="21"/>
                      <w:vertAlign w:val="subscript"/>
                    </w:rPr>
                    <w:t>5</w:t>
                  </w:r>
                </w:p>
              </w:tc>
              <w:tc>
                <w:tcPr>
                  <w:tcW w:w="1424" w:type="dxa"/>
                  <w:noWrap w:val="0"/>
                  <w:vAlign w:val="center"/>
                </w:tcPr>
                <w:p>
                  <w:pPr>
                    <w:adjustRightInd w:val="0"/>
                    <w:snapToGrid w:val="0"/>
                    <w:jc w:val="center"/>
                    <w:rPr>
                      <w:color w:val="0000FF"/>
                      <w:kern w:val="21"/>
                      <w:szCs w:val="21"/>
                    </w:rPr>
                  </w:pPr>
                  <w:r>
                    <w:rPr>
                      <w:rFonts w:hint="eastAsia"/>
                      <w:color w:val="0000FF"/>
                      <w:kern w:val="21"/>
                      <w:szCs w:val="21"/>
                    </w:rPr>
                    <w:t>19.1-25.6mg/L</w:t>
                  </w:r>
                </w:p>
              </w:tc>
              <w:tc>
                <w:tcPr>
                  <w:tcW w:w="976" w:type="dxa"/>
                  <w:noWrap w:val="0"/>
                  <w:vAlign w:val="center"/>
                </w:tcPr>
                <w:p>
                  <w:pPr>
                    <w:adjustRightInd w:val="0"/>
                    <w:snapToGrid w:val="0"/>
                    <w:jc w:val="center"/>
                    <w:rPr>
                      <w:color w:val="0000FF"/>
                      <w:kern w:val="21"/>
                      <w:szCs w:val="21"/>
                    </w:rPr>
                  </w:pPr>
                  <w:r>
                    <w:rPr>
                      <w:rFonts w:hint="eastAsia"/>
                      <w:color w:val="0000FF"/>
                      <w:kern w:val="21"/>
                      <w:szCs w:val="21"/>
                    </w:rPr>
                    <w:t>22.4mg/L</w:t>
                  </w:r>
                </w:p>
              </w:tc>
              <w:tc>
                <w:tcPr>
                  <w:tcW w:w="1118" w:type="dxa"/>
                  <w:noWrap w:val="0"/>
                  <w:vAlign w:val="center"/>
                </w:tcPr>
                <w:p>
                  <w:pPr>
                    <w:adjustRightInd w:val="0"/>
                    <w:snapToGrid w:val="0"/>
                    <w:jc w:val="center"/>
                    <w:rPr>
                      <w:color w:val="0000FF"/>
                      <w:kern w:val="21"/>
                      <w:szCs w:val="21"/>
                    </w:rPr>
                  </w:pPr>
                  <w:r>
                    <w:rPr>
                      <w:rFonts w:hint="eastAsia"/>
                      <w:color w:val="0000FF"/>
                      <w:kern w:val="21"/>
                      <w:szCs w:val="21"/>
                    </w:rPr>
                    <w:t>20mg/L</w:t>
                  </w:r>
                </w:p>
              </w:tc>
              <w:tc>
                <w:tcPr>
                  <w:tcW w:w="834" w:type="dxa"/>
                  <w:noWrap w:val="0"/>
                  <w:vAlign w:val="center"/>
                </w:tcPr>
                <w:p>
                  <w:pPr>
                    <w:adjustRightInd w:val="0"/>
                    <w:snapToGrid w:val="0"/>
                    <w:jc w:val="center"/>
                    <w:rPr>
                      <w:color w:val="0000FF"/>
                      <w:kern w:val="21"/>
                      <w:szCs w:val="21"/>
                    </w:rPr>
                  </w:pPr>
                  <w:r>
                    <w:rPr>
                      <w:rFonts w:hint="eastAsia"/>
                      <w:color w:val="0000FF"/>
                      <w:kern w:val="21"/>
                      <w:szCs w:val="21"/>
                    </w:rPr>
                    <w:t>1.12</w:t>
                  </w:r>
                </w:p>
              </w:tc>
              <w:tc>
                <w:tcPr>
                  <w:tcW w:w="791" w:type="dxa"/>
                  <w:noWrap w:val="0"/>
                  <w:vAlign w:val="center"/>
                </w:tcPr>
                <w:p>
                  <w:pPr>
                    <w:adjustRightInd w:val="0"/>
                    <w:snapToGrid w:val="0"/>
                    <w:jc w:val="center"/>
                    <w:rPr>
                      <w:color w:val="0000FF"/>
                      <w:kern w:val="21"/>
                      <w:szCs w:val="21"/>
                    </w:rPr>
                  </w:pPr>
                  <w:r>
                    <w:rPr>
                      <w:rFonts w:hint="eastAsia"/>
                      <w:color w:val="0000FF"/>
                      <w:kern w:val="21"/>
                      <w:szCs w:val="21"/>
                    </w:rPr>
                    <w:t>12%</w:t>
                  </w:r>
                </w:p>
              </w:tc>
              <w:tc>
                <w:tcPr>
                  <w:tcW w:w="977" w:type="dxa"/>
                  <w:noWrap w:val="0"/>
                  <w:vAlign w:val="center"/>
                </w:tcPr>
                <w:p>
                  <w:pPr>
                    <w:adjustRightInd w:val="0"/>
                    <w:snapToGrid w:val="0"/>
                    <w:jc w:val="center"/>
                    <w:rPr>
                      <w:rFonts w:hint="eastAsia"/>
                      <w:color w:val="0000FF"/>
                      <w:kern w:val="21"/>
                      <w:szCs w:val="21"/>
                    </w:rPr>
                  </w:pPr>
                  <w:r>
                    <w:rPr>
                      <w:rFonts w:hint="eastAsia"/>
                      <w:color w:val="0000FF"/>
                      <w:kern w:val="21"/>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NH</w:t>
                  </w:r>
                  <w:r>
                    <w:rPr>
                      <w:rFonts w:hint="eastAsia"/>
                      <w:kern w:val="21"/>
                      <w:szCs w:val="21"/>
                      <w:vertAlign w:val="subscript"/>
                    </w:rPr>
                    <w:t>3</w:t>
                  </w:r>
                  <w:r>
                    <w:rPr>
                      <w:rFonts w:hint="eastAsia"/>
                      <w:kern w:val="21"/>
                      <w:szCs w:val="21"/>
                    </w:rPr>
                    <w:t>-N</w:t>
                  </w:r>
                </w:p>
              </w:tc>
              <w:tc>
                <w:tcPr>
                  <w:tcW w:w="1424" w:type="dxa"/>
                  <w:noWrap w:val="0"/>
                  <w:vAlign w:val="center"/>
                </w:tcPr>
                <w:p>
                  <w:pPr>
                    <w:adjustRightInd w:val="0"/>
                    <w:snapToGrid w:val="0"/>
                    <w:jc w:val="center"/>
                    <w:rPr>
                      <w:kern w:val="21"/>
                      <w:szCs w:val="21"/>
                    </w:rPr>
                  </w:pPr>
                  <w:r>
                    <w:rPr>
                      <w:rFonts w:hint="eastAsia"/>
                      <w:kern w:val="21"/>
                      <w:szCs w:val="21"/>
                    </w:rPr>
                    <w:t>1.96-2.31mg/L</w:t>
                  </w:r>
                </w:p>
              </w:tc>
              <w:tc>
                <w:tcPr>
                  <w:tcW w:w="976" w:type="dxa"/>
                  <w:noWrap w:val="0"/>
                  <w:vAlign w:val="center"/>
                </w:tcPr>
                <w:p>
                  <w:pPr>
                    <w:adjustRightInd w:val="0"/>
                    <w:snapToGrid w:val="0"/>
                    <w:jc w:val="center"/>
                    <w:rPr>
                      <w:kern w:val="21"/>
                      <w:szCs w:val="21"/>
                    </w:rPr>
                  </w:pPr>
                  <w:r>
                    <w:rPr>
                      <w:rFonts w:hint="eastAsia"/>
                      <w:kern w:val="21"/>
                      <w:szCs w:val="21"/>
                    </w:rPr>
                    <w:t>2.12mg/L</w:t>
                  </w:r>
                </w:p>
              </w:tc>
              <w:tc>
                <w:tcPr>
                  <w:tcW w:w="1118" w:type="dxa"/>
                  <w:noWrap w:val="0"/>
                  <w:vAlign w:val="center"/>
                </w:tcPr>
                <w:p>
                  <w:pPr>
                    <w:adjustRightInd w:val="0"/>
                    <w:snapToGrid w:val="0"/>
                    <w:jc w:val="center"/>
                    <w:rPr>
                      <w:kern w:val="21"/>
                      <w:szCs w:val="21"/>
                    </w:rPr>
                  </w:pPr>
                  <w:r>
                    <w:rPr>
                      <w:rFonts w:hint="eastAsia"/>
                      <w:kern w:val="21"/>
                      <w:szCs w:val="21"/>
                    </w:rPr>
                    <w:t>15mg/L</w:t>
                  </w:r>
                </w:p>
              </w:tc>
              <w:tc>
                <w:tcPr>
                  <w:tcW w:w="834" w:type="dxa"/>
                  <w:noWrap w:val="0"/>
                  <w:vAlign w:val="center"/>
                </w:tcPr>
                <w:p>
                  <w:pPr>
                    <w:adjustRightInd w:val="0"/>
                    <w:snapToGrid w:val="0"/>
                    <w:jc w:val="center"/>
                    <w:rPr>
                      <w:kern w:val="21"/>
                      <w:szCs w:val="21"/>
                    </w:rPr>
                  </w:pPr>
                  <w:r>
                    <w:rPr>
                      <w:rFonts w:hint="eastAsia"/>
                      <w:kern w:val="21"/>
                      <w:szCs w:val="21"/>
                    </w:rPr>
                    <w:t>0.14</w:t>
                  </w:r>
                </w:p>
              </w:tc>
              <w:tc>
                <w:tcPr>
                  <w:tcW w:w="791" w:type="dxa"/>
                  <w:noWrap w:val="0"/>
                  <w:vAlign w:val="center"/>
                </w:tcPr>
                <w:p>
                  <w:pPr>
                    <w:adjustRightInd w:val="0"/>
                    <w:snapToGrid w:val="0"/>
                    <w:jc w:val="center"/>
                    <w:rPr>
                      <w:rFonts w:hint="eastAsia"/>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SS</w:t>
                  </w:r>
                </w:p>
              </w:tc>
              <w:tc>
                <w:tcPr>
                  <w:tcW w:w="1424" w:type="dxa"/>
                  <w:noWrap w:val="0"/>
                  <w:vAlign w:val="center"/>
                </w:tcPr>
                <w:p>
                  <w:pPr>
                    <w:adjustRightInd w:val="0"/>
                    <w:snapToGrid w:val="0"/>
                    <w:jc w:val="center"/>
                    <w:rPr>
                      <w:kern w:val="21"/>
                      <w:szCs w:val="21"/>
                    </w:rPr>
                  </w:pPr>
                  <w:r>
                    <w:rPr>
                      <w:rFonts w:hint="eastAsia"/>
                      <w:kern w:val="21"/>
                      <w:szCs w:val="21"/>
                    </w:rPr>
                    <w:t>32-39mg/L</w:t>
                  </w:r>
                </w:p>
              </w:tc>
              <w:tc>
                <w:tcPr>
                  <w:tcW w:w="976" w:type="dxa"/>
                  <w:noWrap w:val="0"/>
                  <w:vAlign w:val="center"/>
                </w:tcPr>
                <w:p>
                  <w:pPr>
                    <w:adjustRightInd w:val="0"/>
                    <w:snapToGrid w:val="0"/>
                    <w:jc w:val="center"/>
                    <w:rPr>
                      <w:kern w:val="21"/>
                      <w:szCs w:val="21"/>
                    </w:rPr>
                  </w:pPr>
                  <w:r>
                    <w:rPr>
                      <w:rFonts w:hint="eastAsia"/>
                      <w:kern w:val="21"/>
                      <w:szCs w:val="21"/>
                    </w:rPr>
                    <w:t>36mg/L</w:t>
                  </w:r>
                </w:p>
              </w:tc>
              <w:tc>
                <w:tcPr>
                  <w:tcW w:w="1118" w:type="dxa"/>
                  <w:noWrap w:val="0"/>
                  <w:vAlign w:val="center"/>
                </w:tcPr>
                <w:p>
                  <w:pPr>
                    <w:adjustRightInd w:val="0"/>
                    <w:snapToGrid w:val="0"/>
                    <w:jc w:val="center"/>
                    <w:rPr>
                      <w:kern w:val="21"/>
                      <w:szCs w:val="21"/>
                    </w:rPr>
                  </w:pPr>
                  <w:r>
                    <w:rPr>
                      <w:rFonts w:hint="eastAsia"/>
                      <w:kern w:val="21"/>
                      <w:szCs w:val="21"/>
                    </w:rPr>
                    <w:t>70mg/L</w:t>
                  </w:r>
                </w:p>
              </w:tc>
              <w:tc>
                <w:tcPr>
                  <w:tcW w:w="834" w:type="dxa"/>
                  <w:noWrap w:val="0"/>
                  <w:vAlign w:val="center"/>
                </w:tcPr>
                <w:p>
                  <w:pPr>
                    <w:adjustRightInd w:val="0"/>
                    <w:snapToGrid w:val="0"/>
                    <w:jc w:val="center"/>
                    <w:rPr>
                      <w:kern w:val="21"/>
                      <w:szCs w:val="21"/>
                    </w:rPr>
                  </w:pPr>
                  <w:r>
                    <w:rPr>
                      <w:rFonts w:hint="eastAsia"/>
                      <w:kern w:val="21"/>
                      <w:szCs w:val="21"/>
                    </w:rPr>
                    <w:t>0.51</w:t>
                  </w:r>
                </w:p>
              </w:tc>
              <w:tc>
                <w:tcPr>
                  <w:tcW w:w="791" w:type="dxa"/>
                  <w:noWrap w:val="0"/>
                  <w:vAlign w:val="center"/>
                </w:tcPr>
                <w:p>
                  <w:pPr>
                    <w:adjustRightInd w:val="0"/>
                    <w:snapToGrid w:val="0"/>
                    <w:jc w:val="center"/>
                    <w:rPr>
                      <w:rFonts w:hint="eastAsia"/>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TP</w:t>
                  </w:r>
                </w:p>
              </w:tc>
              <w:tc>
                <w:tcPr>
                  <w:tcW w:w="1424" w:type="dxa"/>
                  <w:noWrap w:val="0"/>
                  <w:vAlign w:val="center"/>
                </w:tcPr>
                <w:p>
                  <w:pPr>
                    <w:adjustRightInd w:val="0"/>
                    <w:snapToGrid w:val="0"/>
                    <w:jc w:val="center"/>
                    <w:rPr>
                      <w:kern w:val="21"/>
                      <w:szCs w:val="21"/>
                    </w:rPr>
                  </w:pPr>
                  <w:r>
                    <w:rPr>
                      <w:rFonts w:hint="eastAsia"/>
                      <w:kern w:val="21"/>
                      <w:szCs w:val="21"/>
                    </w:rPr>
                    <w:t>0.31-0.38mg/L</w:t>
                  </w:r>
                </w:p>
              </w:tc>
              <w:tc>
                <w:tcPr>
                  <w:tcW w:w="976" w:type="dxa"/>
                  <w:noWrap w:val="0"/>
                  <w:vAlign w:val="center"/>
                </w:tcPr>
                <w:p>
                  <w:pPr>
                    <w:adjustRightInd w:val="0"/>
                    <w:snapToGrid w:val="0"/>
                    <w:jc w:val="center"/>
                    <w:rPr>
                      <w:kern w:val="21"/>
                      <w:szCs w:val="21"/>
                    </w:rPr>
                  </w:pPr>
                  <w:r>
                    <w:rPr>
                      <w:rFonts w:hint="eastAsia"/>
                      <w:kern w:val="21"/>
                      <w:szCs w:val="21"/>
                    </w:rPr>
                    <w:t>0.35mg/L</w:t>
                  </w:r>
                </w:p>
              </w:tc>
              <w:tc>
                <w:tcPr>
                  <w:tcW w:w="1118" w:type="dxa"/>
                  <w:noWrap w:val="0"/>
                  <w:vAlign w:val="center"/>
                </w:tcPr>
                <w:p>
                  <w:pPr>
                    <w:adjustRightInd w:val="0"/>
                    <w:snapToGrid w:val="0"/>
                    <w:jc w:val="center"/>
                    <w:rPr>
                      <w:rFonts w:hint="eastAsia"/>
                      <w:kern w:val="21"/>
                      <w:szCs w:val="21"/>
                    </w:rPr>
                  </w:pPr>
                  <w:r>
                    <w:rPr>
                      <w:rFonts w:hint="eastAsia"/>
                      <w:kern w:val="21"/>
                      <w:szCs w:val="21"/>
                    </w:rPr>
                    <w:t>/</w:t>
                  </w:r>
                </w:p>
              </w:tc>
              <w:tc>
                <w:tcPr>
                  <w:tcW w:w="834" w:type="dxa"/>
                  <w:noWrap w:val="0"/>
                  <w:vAlign w:val="center"/>
                </w:tcPr>
                <w:p>
                  <w:pPr>
                    <w:adjustRightInd w:val="0"/>
                    <w:snapToGrid w:val="0"/>
                    <w:jc w:val="center"/>
                    <w:rPr>
                      <w:rFonts w:hint="eastAsia"/>
                      <w:kern w:val="21"/>
                      <w:szCs w:val="21"/>
                    </w:rPr>
                  </w:pPr>
                  <w:r>
                    <w:rPr>
                      <w:rFonts w:hint="eastAsia"/>
                      <w:kern w:val="21"/>
                      <w:szCs w:val="21"/>
                    </w:rPr>
                    <w:t>/</w:t>
                  </w:r>
                </w:p>
              </w:tc>
              <w:tc>
                <w:tcPr>
                  <w:tcW w:w="791" w:type="dxa"/>
                  <w:noWrap w:val="0"/>
                  <w:vAlign w:val="center"/>
                </w:tcPr>
                <w:p>
                  <w:pPr>
                    <w:adjustRightInd w:val="0"/>
                    <w:snapToGrid w:val="0"/>
                    <w:jc w:val="center"/>
                    <w:rPr>
                      <w:rFonts w:hint="eastAsia"/>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TN</w:t>
                  </w:r>
                </w:p>
              </w:tc>
              <w:tc>
                <w:tcPr>
                  <w:tcW w:w="1424" w:type="dxa"/>
                  <w:noWrap w:val="0"/>
                  <w:vAlign w:val="center"/>
                </w:tcPr>
                <w:p>
                  <w:pPr>
                    <w:adjustRightInd w:val="0"/>
                    <w:snapToGrid w:val="0"/>
                    <w:jc w:val="center"/>
                    <w:rPr>
                      <w:kern w:val="21"/>
                      <w:szCs w:val="21"/>
                    </w:rPr>
                  </w:pPr>
                  <w:r>
                    <w:rPr>
                      <w:rFonts w:hint="eastAsia"/>
                      <w:kern w:val="21"/>
                      <w:szCs w:val="21"/>
                    </w:rPr>
                    <w:t>3.21-3.81mg/L</w:t>
                  </w:r>
                </w:p>
              </w:tc>
              <w:tc>
                <w:tcPr>
                  <w:tcW w:w="976" w:type="dxa"/>
                  <w:noWrap w:val="0"/>
                  <w:vAlign w:val="center"/>
                </w:tcPr>
                <w:p>
                  <w:pPr>
                    <w:adjustRightInd w:val="0"/>
                    <w:snapToGrid w:val="0"/>
                    <w:jc w:val="center"/>
                    <w:rPr>
                      <w:kern w:val="21"/>
                      <w:szCs w:val="21"/>
                    </w:rPr>
                  </w:pPr>
                  <w:r>
                    <w:rPr>
                      <w:rFonts w:hint="eastAsia"/>
                      <w:kern w:val="21"/>
                      <w:szCs w:val="21"/>
                    </w:rPr>
                    <w:t>3.55mg/L</w:t>
                  </w:r>
                </w:p>
              </w:tc>
              <w:tc>
                <w:tcPr>
                  <w:tcW w:w="1118" w:type="dxa"/>
                  <w:noWrap w:val="0"/>
                  <w:vAlign w:val="center"/>
                </w:tcPr>
                <w:p>
                  <w:pPr>
                    <w:adjustRightInd w:val="0"/>
                    <w:snapToGrid w:val="0"/>
                    <w:jc w:val="center"/>
                    <w:rPr>
                      <w:rFonts w:hint="eastAsia"/>
                      <w:kern w:val="21"/>
                      <w:szCs w:val="21"/>
                    </w:rPr>
                  </w:pPr>
                  <w:r>
                    <w:rPr>
                      <w:rFonts w:hint="eastAsia"/>
                      <w:kern w:val="21"/>
                      <w:szCs w:val="21"/>
                    </w:rPr>
                    <w:t>/</w:t>
                  </w:r>
                </w:p>
              </w:tc>
              <w:tc>
                <w:tcPr>
                  <w:tcW w:w="834" w:type="dxa"/>
                  <w:noWrap w:val="0"/>
                  <w:vAlign w:val="center"/>
                </w:tcPr>
                <w:p>
                  <w:pPr>
                    <w:adjustRightInd w:val="0"/>
                    <w:snapToGrid w:val="0"/>
                    <w:jc w:val="center"/>
                    <w:rPr>
                      <w:kern w:val="21"/>
                      <w:szCs w:val="21"/>
                    </w:rPr>
                  </w:pPr>
                  <w:r>
                    <w:rPr>
                      <w:rFonts w:hint="eastAsia"/>
                      <w:kern w:val="21"/>
                      <w:szCs w:val="21"/>
                    </w:rPr>
                    <w:t>/</w:t>
                  </w:r>
                </w:p>
              </w:tc>
              <w:tc>
                <w:tcPr>
                  <w:tcW w:w="791" w:type="dxa"/>
                  <w:noWrap w:val="0"/>
                  <w:vAlign w:val="center"/>
                </w:tcPr>
                <w:p>
                  <w:pPr>
                    <w:adjustRightInd w:val="0"/>
                    <w:snapToGrid w:val="0"/>
                    <w:jc w:val="center"/>
                    <w:rPr>
                      <w:kern w:val="21"/>
                      <w:szCs w:val="21"/>
                    </w:rPr>
                  </w:pPr>
                  <w:r>
                    <w:rPr>
                      <w:rFonts w:hint="eastAsia"/>
                      <w:kern w:val="21"/>
                      <w:szCs w:val="21"/>
                    </w:rPr>
                    <w:t>0</w:t>
                  </w:r>
                </w:p>
              </w:tc>
              <w:tc>
                <w:tcPr>
                  <w:tcW w:w="977" w:type="dxa"/>
                  <w:noWrap w:val="0"/>
                  <w:vAlign w:val="center"/>
                </w:tcPr>
                <w:p>
                  <w:pPr>
                    <w:adjustRightInd w:val="0"/>
                    <w:snapToGrid w:val="0"/>
                    <w:jc w:val="center"/>
                    <w:rPr>
                      <w:rFonts w:hint="eastAsia"/>
                      <w:kern w:val="21"/>
                      <w:szCs w:val="21"/>
                    </w:rPr>
                  </w:pPr>
                  <w:r>
                    <w:rPr>
                      <w:rFonts w:hint="eastAsia"/>
                      <w:kern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dxa"/>
                  <w:vMerge w:val="continue"/>
                  <w:noWrap w:val="0"/>
                  <w:vAlign w:val="center"/>
                </w:tcPr>
                <w:p>
                  <w:pPr>
                    <w:adjustRightInd w:val="0"/>
                    <w:snapToGrid w:val="0"/>
                    <w:jc w:val="center"/>
                    <w:rPr>
                      <w:rFonts w:hint="eastAsia"/>
                      <w:kern w:val="21"/>
                      <w:szCs w:val="21"/>
                    </w:rPr>
                  </w:pPr>
                </w:p>
              </w:tc>
              <w:tc>
                <w:tcPr>
                  <w:tcW w:w="989" w:type="dxa"/>
                  <w:noWrap w:val="0"/>
                  <w:vAlign w:val="center"/>
                </w:tcPr>
                <w:p>
                  <w:pPr>
                    <w:adjustRightInd w:val="0"/>
                    <w:snapToGrid w:val="0"/>
                    <w:jc w:val="center"/>
                    <w:rPr>
                      <w:kern w:val="21"/>
                      <w:szCs w:val="21"/>
                    </w:rPr>
                  </w:pPr>
                  <w:r>
                    <w:rPr>
                      <w:rFonts w:hint="eastAsia"/>
                      <w:kern w:val="21"/>
                      <w:szCs w:val="21"/>
                    </w:rPr>
                    <w:t>石油类</w:t>
                  </w:r>
                </w:p>
              </w:tc>
              <w:tc>
                <w:tcPr>
                  <w:tcW w:w="1424" w:type="dxa"/>
                  <w:noWrap w:val="0"/>
                  <w:vAlign w:val="center"/>
                </w:tcPr>
                <w:p>
                  <w:pPr>
                    <w:adjustRightInd w:val="0"/>
                    <w:snapToGrid w:val="0"/>
                    <w:jc w:val="center"/>
                    <w:rPr>
                      <w:kern w:val="21"/>
                      <w:szCs w:val="21"/>
                    </w:rPr>
                  </w:pPr>
                  <w:r>
                    <w:rPr>
                      <w:rFonts w:hint="eastAsia"/>
                      <w:kern w:val="21"/>
                      <w:szCs w:val="21"/>
                    </w:rPr>
                    <w:t>0.51-0.63mg/L</w:t>
                  </w:r>
                </w:p>
              </w:tc>
              <w:tc>
                <w:tcPr>
                  <w:tcW w:w="976" w:type="dxa"/>
                  <w:noWrap w:val="0"/>
                  <w:vAlign w:val="center"/>
                </w:tcPr>
                <w:p>
                  <w:pPr>
                    <w:adjustRightInd w:val="0"/>
                    <w:snapToGrid w:val="0"/>
                    <w:jc w:val="center"/>
                    <w:rPr>
                      <w:kern w:val="21"/>
                      <w:szCs w:val="21"/>
                    </w:rPr>
                  </w:pPr>
                  <w:r>
                    <w:rPr>
                      <w:rFonts w:hint="eastAsia"/>
                      <w:kern w:val="21"/>
                      <w:szCs w:val="21"/>
                    </w:rPr>
                    <w:t>0.57mg/L</w:t>
                  </w:r>
                </w:p>
              </w:tc>
              <w:tc>
                <w:tcPr>
                  <w:tcW w:w="1118" w:type="dxa"/>
                  <w:noWrap w:val="0"/>
                  <w:vAlign w:val="center"/>
                </w:tcPr>
                <w:p>
                  <w:pPr>
                    <w:adjustRightInd w:val="0"/>
                    <w:snapToGrid w:val="0"/>
                    <w:jc w:val="center"/>
                    <w:rPr>
                      <w:kern w:val="21"/>
                      <w:szCs w:val="21"/>
                    </w:rPr>
                  </w:pPr>
                  <w:r>
                    <w:rPr>
                      <w:rFonts w:hint="eastAsia"/>
                      <w:kern w:val="21"/>
                      <w:szCs w:val="21"/>
                    </w:rPr>
                    <w:t>5mg/L</w:t>
                  </w:r>
                </w:p>
              </w:tc>
              <w:tc>
                <w:tcPr>
                  <w:tcW w:w="834" w:type="dxa"/>
                  <w:noWrap w:val="0"/>
                  <w:vAlign w:val="center"/>
                </w:tcPr>
                <w:p>
                  <w:pPr>
                    <w:adjustRightInd w:val="0"/>
                    <w:snapToGrid w:val="0"/>
                    <w:jc w:val="center"/>
                    <w:rPr>
                      <w:kern w:val="21"/>
                      <w:szCs w:val="21"/>
                    </w:rPr>
                  </w:pPr>
                  <w:r>
                    <w:rPr>
                      <w:rFonts w:hint="eastAsia"/>
                      <w:kern w:val="21"/>
                      <w:szCs w:val="21"/>
                    </w:rPr>
                    <w:t>0.11</w:t>
                  </w:r>
                </w:p>
              </w:tc>
              <w:tc>
                <w:tcPr>
                  <w:tcW w:w="791" w:type="dxa"/>
                  <w:noWrap w:val="0"/>
                  <w:vAlign w:val="center"/>
                </w:tcPr>
                <w:p>
                  <w:pPr>
                    <w:adjustRightInd w:val="0"/>
                    <w:snapToGrid w:val="0"/>
                    <w:jc w:val="center"/>
                    <w:rPr>
                      <w:kern w:val="21"/>
                      <w:szCs w:val="21"/>
                    </w:rPr>
                  </w:pPr>
                  <w:r>
                    <w:rPr>
                      <w:rFonts w:hint="eastAsia"/>
                      <w:kern w:val="21"/>
                      <w:szCs w:val="21"/>
                    </w:rPr>
                    <w:t>0</w:t>
                  </w:r>
                </w:p>
              </w:tc>
              <w:tc>
                <w:tcPr>
                  <w:tcW w:w="977" w:type="dxa"/>
                  <w:noWrap w:val="0"/>
                  <w:vAlign w:val="center"/>
                </w:tcPr>
                <w:p>
                  <w:pPr>
                    <w:adjustRightInd w:val="0"/>
                    <w:snapToGrid w:val="0"/>
                    <w:jc w:val="center"/>
                    <w:rPr>
                      <w:kern w:val="21"/>
                      <w:szCs w:val="21"/>
                    </w:rPr>
                  </w:pPr>
                  <w:r>
                    <w:rPr>
                      <w:rFonts w:hint="eastAsia"/>
                      <w:kern w:val="21"/>
                      <w:szCs w:val="21"/>
                    </w:rPr>
                    <w:t>达标</w:t>
                  </w:r>
                </w:p>
              </w:tc>
            </w:tr>
          </w:tbl>
          <w:p>
            <w:pPr>
              <w:adjustRightInd w:val="0"/>
              <w:snapToGrid w:val="0"/>
              <w:spacing w:line="360" w:lineRule="auto"/>
              <w:jc w:val="center"/>
              <w:rPr>
                <w:rFonts w:hint="eastAsia"/>
                <w:b/>
                <w:bCs/>
                <w:szCs w:val="21"/>
              </w:rPr>
            </w:pPr>
          </w:p>
          <w:p>
            <w:pPr>
              <w:adjustRightInd w:val="0"/>
              <w:snapToGrid w:val="0"/>
              <w:spacing w:line="360" w:lineRule="auto"/>
              <w:ind w:firstLine="480" w:firstLineChars="200"/>
              <w:rPr>
                <w:rFonts w:hint="eastAsia" w:ascii="Times New Roman" w:hAnsi="Times New Roman" w:eastAsia="宋体" w:cs="Times New Roman"/>
                <w:sz w:val="24"/>
                <w:u w:val="single"/>
                <w:lang w:eastAsia="zh-CN"/>
              </w:rPr>
            </w:pPr>
            <w:r>
              <w:rPr>
                <w:rFonts w:hint="eastAsia" w:ascii="Times New Roman" w:hAnsi="Times New Roman" w:eastAsia="宋体" w:cs="Times New Roman"/>
                <w:sz w:val="24"/>
                <w:u w:val="single"/>
              </w:rPr>
              <w:t>2023年10月30日至31日，项目委托湖南宇昂检测技术有限公司进行了居民敏感点补测</w:t>
            </w:r>
            <w:r>
              <w:rPr>
                <w:rFonts w:hint="eastAsia" w:ascii="Times New Roman" w:hAnsi="Times New Roman" w:eastAsia="宋体" w:cs="Times New Roman"/>
                <w:sz w:val="24"/>
                <w:u w:val="single"/>
                <w:lang w:eastAsia="zh-CN"/>
              </w:rPr>
              <w:t>：</w:t>
            </w:r>
          </w:p>
          <w:p>
            <w:pPr>
              <w:adjustRightInd w:val="0"/>
              <w:snapToGrid w:val="0"/>
              <w:spacing w:line="360" w:lineRule="auto"/>
              <w:jc w:val="center"/>
              <w:rPr>
                <w:rFonts w:hint="eastAsia"/>
                <w:b/>
                <w:bCs/>
                <w:szCs w:val="21"/>
              </w:rPr>
            </w:pPr>
            <w:r>
              <w:rPr>
                <w:rFonts w:hint="eastAsia"/>
                <w:b/>
                <w:bCs/>
                <w:szCs w:val="21"/>
              </w:rPr>
              <w:t>表2-1</w:t>
            </w:r>
            <w:r>
              <w:rPr>
                <w:rFonts w:hint="eastAsia"/>
                <w:b/>
                <w:bCs/>
                <w:szCs w:val="21"/>
                <w:lang w:val="en-US" w:eastAsia="zh-CN"/>
              </w:rPr>
              <w:t>3</w:t>
            </w:r>
            <w:r>
              <w:rPr>
                <w:rFonts w:hint="eastAsia"/>
                <w:b/>
                <w:bCs/>
                <w:szCs w:val="21"/>
              </w:rPr>
              <w:t xml:space="preserve">   项目现状厂界噪声检测结果一览表</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0"/>
              <w:gridCol w:w="2013"/>
              <w:gridCol w:w="837"/>
              <w:gridCol w:w="880"/>
              <w:gridCol w:w="1536"/>
              <w:gridCol w:w="16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020" w:type="dxa"/>
                  <w:noWrap w:val="0"/>
                  <w:vAlign w:val="center"/>
                </w:tcPr>
                <w:p>
                  <w:pPr>
                    <w:adjustRightInd w:val="0"/>
                    <w:snapToGrid w:val="0"/>
                    <w:jc w:val="center"/>
                    <w:rPr>
                      <w:rFonts w:hint="eastAsia"/>
                      <w:kern w:val="21"/>
                      <w:szCs w:val="21"/>
                    </w:rPr>
                  </w:pPr>
                  <w:r>
                    <w:rPr>
                      <w:rFonts w:hint="eastAsia"/>
                      <w:kern w:val="21"/>
                      <w:szCs w:val="21"/>
                    </w:rPr>
                    <w:t>检测</w:t>
                  </w:r>
                </w:p>
                <w:p>
                  <w:pPr>
                    <w:adjustRightInd w:val="0"/>
                    <w:snapToGrid w:val="0"/>
                    <w:jc w:val="center"/>
                    <w:rPr>
                      <w:rFonts w:hint="eastAsia"/>
                      <w:kern w:val="21"/>
                      <w:szCs w:val="21"/>
                    </w:rPr>
                  </w:pPr>
                  <w:r>
                    <w:rPr>
                      <w:rFonts w:hint="eastAsia"/>
                      <w:kern w:val="21"/>
                      <w:szCs w:val="21"/>
                    </w:rPr>
                    <w:t>类型</w:t>
                  </w:r>
                </w:p>
              </w:tc>
              <w:tc>
                <w:tcPr>
                  <w:tcW w:w="2013" w:type="dxa"/>
                  <w:noWrap w:val="0"/>
                  <w:vAlign w:val="center"/>
                </w:tcPr>
                <w:p>
                  <w:pPr>
                    <w:adjustRightInd w:val="0"/>
                    <w:snapToGrid w:val="0"/>
                    <w:jc w:val="center"/>
                    <w:rPr>
                      <w:rFonts w:hint="eastAsia"/>
                      <w:kern w:val="21"/>
                      <w:szCs w:val="21"/>
                    </w:rPr>
                  </w:pPr>
                  <w:r>
                    <w:rPr>
                      <w:rFonts w:hint="eastAsia"/>
                      <w:kern w:val="21"/>
                      <w:szCs w:val="21"/>
                    </w:rPr>
                    <w:t>采样点位</w:t>
                  </w:r>
                </w:p>
              </w:tc>
              <w:tc>
                <w:tcPr>
                  <w:tcW w:w="1717" w:type="dxa"/>
                  <w:gridSpan w:val="2"/>
                  <w:noWrap w:val="0"/>
                  <w:vAlign w:val="center"/>
                </w:tcPr>
                <w:p>
                  <w:pPr>
                    <w:adjustRightInd w:val="0"/>
                    <w:snapToGrid w:val="0"/>
                    <w:jc w:val="center"/>
                    <w:rPr>
                      <w:rFonts w:hint="eastAsia"/>
                      <w:kern w:val="21"/>
                      <w:szCs w:val="21"/>
                    </w:rPr>
                  </w:pPr>
                  <w:r>
                    <w:rPr>
                      <w:rFonts w:hint="eastAsia"/>
                      <w:kern w:val="21"/>
                      <w:szCs w:val="21"/>
                    </w:rPr>
                    <w:t>采样时间</w:t>
                  </w:r>
                </w:p>
              </w:tc>
              <w:tc>
                <w:tcPr>
                  <w:tcW w:w="1536" w:type="dxa"/>
                  <w:noWrap w:val="0"/>
                  <w:vAlign w:val="center"/>
                </w:tcPr>
                <w:p>
                  <w:pPr>
                    <w:adjustRightInd w:val="0"/>
                    <w:snapToGrid w:val="0"/>
                    <w:jc w:val="center"/>
                    <w:rPr>
                      <w:rFonts w:hint="eastAsia"/>
                      <w:kern w:val="21"/>
                      <w:szCs w:val="21"/>
                    </w:rPr>
                  </w:pPr>
                  <w:r>
                    <w:rPr>
                      <w:rFonts w:hint="eastAsia"/>
                      <w:kern w:val="21"/>
                      <w:szCs w:val="21"/>
                    </w:rPr>
                    <w:t>检测值[dB(A)I</w:t>
                  </w:r>
                </w:p>
              </w:tc>
              <w:tc>
                <w:tcPr>
                  <w:tcW w:w="1651" w:type="dxa"/>
                  <w:noWrap w:val="0"/>
                  <w:vAlign w:val="center"/>
                </w:tcPr>
                <w:p>
                  <w:pPr>
                    <w:adjustRightInd w:val="0"/>
                    <w:snapToGrid w:val="0"/>
                    <w:jc w:val="center"/>
                    <w:rPr>
                      <w:rFonts w:hint="eastAsia"/>
                      <w:kern w:val="21"/>
                      <w:szCs w:val="21"/>
                    </w:rPr>
                  </w:pPr>
                  <w:r>
                    <w:rPr>
                      <w:rFonts w:hint="eastAsia"/>
                      <w:kern w:val="21"/>
                      <w:szCs w:val="21"/>
                    </w:rPr>
                    <w:t>参考限值[dB(A)1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厂界噪声</w:t>
                  </w:r>
                </w:p>
              </w:tc>
              <w:tc>
                <w:tcPr>
                  <w:tcW w:w="2013"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厂界东侧外1m▲N1</w:t>
                  </w:r>
                </w:p>
              </w:tc>
              <w:tc>
                <w:tcPr>
                  <w:tcW w:w="837"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02.22</w:t>
                  </w: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rFonts w:hint="eastAsia"/>
                      <w:kern w:val="21"/>
                      <w:szCs w:val="21"/>
                    </w:rPr>
                  </w:pPr>
                  <w:r>
                    <w:rPr>
                      <w:rFonts w:hint="eastAsia"/>
                      <w:kern w:val="21"/>
                      <w:szCs w:val="21"/>
                    </w:rPr>
                    <w:t>54.6</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rFonts w:hint="eastAsia"/>
                      <w:kern w:val="21"/>
                      <w:szCs w:val="21"/>
                    </w:rPr>
                  </w:pPr>
                  <w:r>
                    <w:rPr>
                      <w:rFonts w:hint="eastAsia"/>
                      <w:kern w:val="21"/>
                      <w:szCs w:val="21"/>
                    </w:rPr>
                    <w:t>46.0</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厂界南侧外1m▲N2</w:t>
                  </w: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rFonts w:hint="eastAsia"/>
                      <w:kern w:val="21"/>
                      <w:szCs w:val="21"/>
                    </w:rPr>
                  </w:pPr>
                  <w:r>
                    <w:rPr>
                      <w:rFonts w:hint="eastAsia"/>
                      <w:kern w:val="21"/>
                      <w:szCs w:val="21"/>
                    </w:rPr>
                    <w:t>55.7</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rFonts w:hint="eastAsia"/>
                      <w:kern w:val="21"/>
                      <w:szCs w:val="21"/>
                    </w:rPr>
                  </w:pPr>
                  <w:r>
                    <w:rPr>
                      <w:rFonts w:hint="eastAsia"/>
                      <w:kern w:val="21"/>
                      <w:szCs w:val="21"/>
                    </w:rPr>
                    <w:t>46.0</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厂界西侧外1m▲N3</w:t>
                  </w: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rFonts w:hint="eastAsia"/>
                      <w:kern w:val="21"/>
                      <w:szCs w:val="21"/>
                    </w:rPr>
                  </w:pPr>
                  <w:r>
                    <w:rPr>
                      <w:rFonts w:hint="eastAsia"/>
                      <w:kern w:val="21"/>
                      <w:szCs w:val="21"/>
                    </w:rPr>
                    <w:t>54.5</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rFonts w:hint="eastAsia"/>
                      <w:kern w:val="21"/>
                      <w:szCs w:val="21"/>
                    </w:rPr>
                  </w:pPr>
                  <w:r>
                    <w:rPr>
                      <w:rFonts w:hint="eastAsia"/>
                      <w:kern w:val="21"/>
                      <w:szCs w:val="21"/>
                    </w:rPr>
                    <w:t>44.7</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rPr>
                  </w:pPr>
                </w:p>
              </w:tc>
              <w:tc>
                <w:tcPr>
                  <w:tcW w:w="2013" w:type="dxa"/>
                  <w:vMerge w:val="restart"/>
                  <w:tcBorders>
                    <w:bottom w:val="nil"/>
                  </w:tcBorders>
                  <w:noWrap w:val="0"/>
                  <w:vAlign w:val="center"/>
                </w:tcPr>
                <w:p>
                  <w:pPr>
                    <w:adjustRightInd w:val="0"/>
                    <w:snapToGrid w:val="0"/>
                    <w:jc w:val="center"/>
                    <w:rPr>
                      <w:rFonts w:hint="eastAsia"/>
                      <w:kern w:val="21"/>
                      <w:szCs w:val="21"/>
                    </w:rPr>
                  </w:pPr>
                  <w:r>
                    <w:rPr>
                      <w:rFonts w:hint="eastAsia"/>
                      <w:kern w:val="21"/>
                      <w:szCs w:val="21"/>
                    </w:rPr>
                    <w:t>厂界北侧外1m▲N4</w:t>
                  </w:r>
                </w:p>
              </w:tc>
              <w:tc>
                <w:tcPr>
                  <w:tcW w:w="837" w:type="dxa"/>
                  <w:vMerge w:val="continue"/>
                  <w:tcBorders>
                    <w:top w:val="nil"/>
                    <w:bottom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rFonts w:hint="eastAsia"/>
                      <w:kern w:val="21"/>
                      <w:szCs w:val="21"/>
                    </w:rPr>
                  </w:pPr>
                  <w:r>
                    <w:rPr>
                      <w:rFonts w:hint="eastAsia"/>
                      <w:kern w:val="21"/>
                      <w:szCs w:val="21"/>
                    </w:rPr>
                    <w:t>58.4</w:t>
                  </w:r>
                </w:p>
              </w:tc>
              <w:tc>
                <w:tcPr>
                  <w:tcW w:w="1651" w:type="dxa"/>
                  <w:noWrap w:val="0"/>
                  <w:vAlign w:val="center"/>
                </w:tcPr>
                <w:p>
                  <w:pPr>
                    <w:adjustRightInd w:val="0"/>
                    <w:snapToGrid w:val="0"/>
                    <w:jc w:val="center"/>
                    <w:rPr>
                      <w:rFonts w:hint="eastAsia"/>
                      <w:kern w:val="21"/>
                      <w:szCs w:val="21"/>
                    </w:rPr>
                  </w:pPr>
                  <w:r>
                    <w:rPr>
                      <w:rFonts w:hint="eastAsia"/>
                      <w:kern w:val="21"/>
                      <w:szCs w:val="21"/>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tcBorders>
                  <w:noWrap w:val="0"/>
                  <w:vAlign w:val="center"/>
                </w:tcPr>
                <w:p>
                  <w:pPr>
                    <w:adjustRightInd w:val="0"/>
                    <w:snapToGrid w:val="0"/>
                    <w:jc w:val="center"/>
                    <w:rPr>
                      <w:rFonts w:hint="eastAsia"/>
                      <w:kern w:val="21"/>
                      <w:szCs w:val="21"/>
                    </w:rPr>
                  </w:pPr>
                </w:p>
              </w:tc>
              <w:tc>
                <w:tcPr>
                  <w:tcW w:w="201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tcBorders>
                    <w:top w:val="nil"/>
                  </w:tcBorders>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rFonts w:hint="eastAsia"/>
                      <w:kern w:val="21"/>
                      <w:szCs w:val="21"/>
                    </w:rPr>
                  </w:pPr>
                  <w:r>
                    <w:rPr>
                      <w:rFonts w:hint="eastAsia"/>
                      <w:kern w:val="21"/>
                      <w:szCs w:val="21"/>
                    </w:rPr>
                    <w:t>46.5</w:t>
                  </w:r>
                </w:p>
              </w:tc>
              <w:tc>
                <w:tcPr>
                  <w:tcW w:w="1651" w:type="dxa"/>
                  <w:noWrap w:val="0"/>
                  <w:vAlign w:val="center"/>
                </w:tcPr>
                <w:p>
                  <w:pPr>
                    <w:adjustRightInd w:val="0"/>
                    <w:snapToGrid w:val="0"/>
                    <w:jc w:val="center"/>
                    <w:rPr>
                      <w:rFonts w:hint="eastAsia"/>
                      <w:kern w:val="21"/>
                      <w:szCs w:val="21"/>
                    </w:rPr>
                  </w:pPr>
                  <w:r>
                    <w:rPr>
                      <w:rFonts w:hint="eastAsia"/>
                      <w:kern w:val="21"/>
                      <w:szCs w:val="21"/>
                    </w:rPr>
                    <w:t>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jc w:val="center"/>
              </w:trPr>
              <w:tc>
                <w:tcPr>
                  <w:tcW w:w="7937" w:type="dxa"/>
                  <w:gridSpan w:val="6"/>
                  <w:noWrap w:val="0"/>
                  <w:vAlign w:val="center"/>
                </w:tcPr>
                <w:p>
                  <w:pPr>
                    <w:adjustRightInd w:val="0"/>
                    <w:snapToGrid w:val="0"/>
                    <w:jc w:val="center"/>
                    <w:rPr>
                      <w:rFonts w:hint="eastAsia"/>
                      <w:kern w:val="21"/>
                      <w:szCs w:val="21"/>
                    </w:rPr>
                  </w:pPr>
                  <w:r>
                    <w:rPr>
                      <w:rFonts w:hint="eastAsia"/>
                      <w:kern w:val="21"/>
                      <w:szCs w:val="21"/>
                    </w:rPr>
                    <w:t>备注：N4参考《工业企业厂界环境噪声排放标准》(GB12348-2008)表1中的4类标准；其它参 考《工业企业厂界环境噪声排放标准》(GB 12348-2008)表1中的2类标准。</w:t>
                  </w:r>
                </w:p>
              </w:tc>
            </w:tr>
          </w:tbl>
          <w:p>
            <w:pPr>
              <w:adjustRightInd w:val="0"/>
              <w:snapToGrid w:val="0"/>
              <w:spacing w:line="360" w:lineRule="auto"/>
              <w:jc w:val="center"/>
              <w:rPr>
                <w:rFonts w:hint="eastAsia"/>
                <w:b/>
                <w:bCs/>
                <w:szCs w:val="21"/>
              </w:rPr>
            </w:pPr>
            <w:r>
              <w:rPr>
                <w:rFonts w:hint="eastAsia"/>
                <w:b/>
                <w:bCs/>
                <w:szCs w:val="21"/>
              </w:rPr>
              <w:t>表2-1</w:t>
            </w:r>
            <w:r>
              <w:rPr>
                <w:rFonts w:hint="eastAsia"/>
                <w:b/>
                <w:bCs/>
                <w:szCs w:val="21"/>
                <w:lang w:val="en-US" w:eastAsia="zh-CN"/>
              </w:rPr>
              <w:t>4</w:t>
            </w:r>
            <w:r>
              <w:rPr>
                <w:rFonts w:hint="eastAsia"/>
                <w:b/>
                <w:bCs/>
                <w:szCs w:val="21"/>
              </w:rPr>
              <w:t xml:space="preserve">   项目居民敏感点噪声检测结果一览表</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0"/>
              <w:gridCol w:w="2183"/>
              <w:gridCol w:w="837"/>
              <w:gridCol w:w="880"/>
              <w:gridCol w:w="1536"/>
              <w:gridCol w:w="16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850" w:type="dxa"/>
                  <w:noWrap w:val="0"/>
                  <w:vAlign w:val="center"/>
                </w:tcPr>
                <w:p>
                  <w:pPr>
                    <w:adjustRightInd w:val="0"/>
                    <w:snapToGrid w:val="0"/>
                    <w:jc w:val="center"/>
                    <w:rPr>
                      <w:rFonts w:hint="eastAsia"/>
                      <w:kern w:val="21"/>
                      <w:szCs w:val="21"/>
                    </w:rPr>
                  </w:pPr>
                  <w:r>
                    <w:rPr>
                      <w:rFonts w:hint="eastAsia"/>
                      <w:kern w:val="21"/>
                      <w:szCs w:val="21"/>
                    </w:rPr>
                    <w:t>检测</w:t>
                  </w:r>
                </w:p>
                <w:p>
                  <w:pPr>
                    <w:adjustRightInd w:val="0"/>
                    <w:snapToGrid w:val="0"/>
                    <w:jc w:val="center"/>
                    <w:rPr>
                      <w:rFonts w:hint="eastAsia"/>
                      <w:kern w:val="21"/>
                      <w:szCs w:val="21"/>
                    </w:rPr>
                  </w:pPr>
                  <w:r>
                    <w:rPr>
                      <w:rFonts w:hint="eastAsia"/>
                      <w:kern w:val="21"/>
                      <w:szCs w:val="21"/>
                    </w:rPr>
                    <w:t>类型</w:t>
                  </w:r>
                </w:p>
              </w:tc>
              <w:tc>
                <w:tcPr>
                  <w:tcW w:w="2183" w:type="dxa"/>
                  <w:noWrap w:val="0"/>
                  <w:vAlign w:val="center"/>
                </w:tcPr>
                <w:p>
                  <w:pPr>
                    <w:adjustRightInd w:val="0"/>
                    <w:snapToGrid w:val="0"/>
                    <w:jc w:val="center"/>
                    <w:rPr>
                      <w:rFonts w:hint="eastAsia"/>
                      <w:kern w:val="21"/>
                      <w:szCs w:val="21"/>
                    </w:rPr>
                  </w:pPr>
                  <w:r>
                    <w:rPr>
                      <w:rFonts w:hint="eastAsia"/>
                      <w:kern w:val="21"/>
                      <w:szCs w:val="21"/>
                    </w:rPr>
                    <w:t>采样点位</w:t>
                  </w:r>
                </w:p>
              </w:tc>
              <w:tc>
                <w:tcPr>
                  <w:tcW w:w="1717" w:type="dxa"/>
                  <w:gridSpan w:val="2"/>
                  <w:noWrap w:val="0"/>
                  <w:vAlign w:val="center"/>
                </w:tcPr>
                <w:p>
                  <w:pPr>
                    <w:adjustRightInd w:val="0"/>
                    <w:snapToGrid w:val="0"/>
                    <w:jc w:val="center"/>
                    <w:rPr>
                      <w:rFonts w:hint="eastAsia"/>
                      <w:kern w:val="21"/>
                      <w:szCs w:val="21"/>
                    </w:rPr>
                  </w:pPr>
                  <w:r>
                    <w:rPr>
                      <w:rFonts w:hint="eastAsia"/>
                      <w:kern w:val="21"/>
                      <w:szCs w:val="21"/>
                    </w:rPr>
                    <w:t>采样时间</w:t>
                  </w:r>
                </w:p>
              </w:tc>
              <w:tc>
                <w:tcPr>
                  <w:tcW w:w="1536" w:type="dxa"/>
                  <w:noWrap w:val="0"/>
                  <w:vAlign w:val="center"/>
                </w:tcPr>
                <w:p>
                  <w:pPr>
                    <w:adjustRightInd w:val="0"/>
                    <w:snapToGrid w:val="0"/>
                    <w:jc w:val="center"/>
                    <w:rPr>
                      <w:rFonts w:hint="eastAsia"/>
                      <w:kern w:val="21"/>
                      <w:szCs w:val="21"/>
                    </w:rPr>
                  </w:pPr>
                  <w:r>
                    <w:rPr>
                      <w:rFonts w:hint="eastAsia"/>
                      <w:kern w:val="21"/>
                      <w:szCs w:val="21"/>
                    </w:rPr>
                    <w:t>检测值[dB(A)I</w:t>
                  </w:r>
                </w:p>
              </w:tc>
              <w:tc>
                <w:tcPr>
                  <w:tcW w:w="1651" w:type="dxa"/>
                  <w:noWrap w:val="0"/>
                  <w:vAlign w:val="center"/>
                </w:tcPr>
                <w:p>
                  <w:pPr>
                    <w:adjustRightInd w:val="0"/>
                    <w:snapToGrid w:val="0"/>
                    <w:jc w:val="center"/>
                    <w:rPr>
                      <w:rFonts w:hint="eastAsia"/>
                      <w:kern w:val="21"/>
                      <w:szCs w:val="21"/>
                    </w:rPr>
                  </w:pPr>
                  <w:r>
                    <w:rPr>
                      <w:rFonts w:hint="eastAsia"/>
                      <w:kern w:val="21"/>
                      <w:szCs w:val="21"/>
                    </w:rPr>
                    <w:t>参考限值[dB(A)1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restart"/>
                  <w:noWrap w:val="0"/>
                  <w:vAlign w:val="center"/>
                </w:tcPr>
                <w:p>
                  <w:pPr>
                    <w:adjustRightInd w:val="0"/>
                    <w:snapToGrid w:val="0"/>
                    <w:jc w:val="center"/>
                    <w:rPr>
                      <w:kern w:val="21"/>
                      <w:szCs w:val="21"/>
                    </w:rPr>
                  </w:pPr>
                  <w:r>
                    <w:rPr>
                      <w:rFonts w:hint="eastAsia"/>
                      <w:kern w:val="21"/>
                      <w:szCs w:val="21"/>
                    </w:rPr>
                    <w:t>环境噪声</w:t>
                  </w:r>
                </w:p>
              </w:tc>
              <w:tc>
                <w:tcPr>
                  <w:tcW w:w="2183" w:type="dxa"/>
                  <w:vMerge w:val="restart"/>
                  <w:tcBorders>
                    <w:bottom w:val="nil"/>
                  </w:tcBorders>
                  <w:noWrap w:val="0"/>
                  <w:vAlign w:val="center"/>
                </w:tcPr>
                <w:p>
                  <w:pPr>
                    <w:adjustRightInd w:val="0"/>
                    <w:snapToGrid w:val="0"/>
                    <w:jc w:val="center"/>
                    <w:rPr>
                      <w:kern w:val="21"/>
                      <w:szCs w:val="21"/>
                    </w:rPr>
                  </w:pPr>
                  <w:r>
                    <w:rPr>
                      <w:rFonts w:hint="eastAsia"/>
                      <w:kern w:val="21"/>
                      <w:szCs w:val="21"/>
                    </w:rPr>
                    <w:t>N5厂界东侧外居民点</w:t>
                  </w:r>
                </w:p>
              </w:tc>
              <w:tc>
                <w:tcPr>
                  <w:tcW w:w="837" w:type="dxa"/>
                  <w:vMerge w:val="restart"/>
                  <w:noWrap w:val="0"/>
                  <w:vAlign w:val="center"/>
                </w:tcPr>
                <w:p>
                  <w:pPr>
                    <w:adjustRightInd w:val="0"/>
                    <w:snapToGrid w:val="0"/>
                    <w:jc w:val="center"/>
                    <w:rPr>
                      <w:kern w:val="21"/>
                      <w:szCs w:val="21"/>
                    </w:rPr>
                  </w:pPr>
                  <w:r>
                    <w:rPr>
                      <w:rFonts w:hint="eastAsia"/>
                      <w:kern w:val="21"/>
                      <w:szCs w:val="21"/>
                    </w:rPr>
                    <w:t>10月30日</w:t>
                  </w: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51.8</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38.0</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tcBorders>
                    <w:bottom w:val="nil"/>
                  </w:tcBorders>
                  <w:noWrap w:val="0"/>
                  <w:vAlign w:val="center"/>
                </w:tcPr>
                <w:p>
                  <w:pPr>
                    <w:adjustRightInd w:val="0"/>
                    <w:snapToGrid w:val="0"/>
                    <w:jc w:val="center"/>
                    <w:rPr>
                      <w:kern w:val="21"/>
                      <w:szCs w:val="21"/>
                    </w:rPr>
                  </w:pPr>
                  <w:r>
                    <w:rPr>
                      <w:rFonts w:hint="eastAsia"/>
                      <w:kern w:val="21"/>
                      <w:szCs w:val="21"/>
                    </w:rPr>
                    <w:t>N6厂界东南侧外居民点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52.6</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41.6</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tcBorders>
                    <w:bottom w:val="nil"/>
                  </w:tcBorders>
                  <w:noWrap w:val="0"/>
                  <w:vAlign w:val="center"/>
                </w:tcPr>
                <w:p>
                  <w:pPr>
                    <w:adjustRightInd w:val="0"/>
                    <w:snapToGrid w:val="0"/>
                    <w:jc w:val="center"/>
                    <w:rPr>
                      <w:kern w:val="21"/>
                      <w:szCs w:val="21"/>
                    </w:rPr>
                  </w:pPr>
                  <w:r>
                    <w:rPr>
                      <w:rFonts w:hint="eastAsia"/>
                      <w:kern w:val="21"/>
                      <w:szCs w:val="21"/>
                    </w:rPr>
                    <w:t>N7厂界西南侧外居民点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54.6</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41.2</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tcBorders>
                    <w:bottom w:val="nil"/>
                  </w:tcBorders>
                  <w:noWrap w:val="0"/>
                  <w:vAlign w:val="center"/>
                </w:tcPr>
                <w:p>
                  <w:pPr>
                    <w:adjustRightInd w:val="0"/>
                    <w:snapToGrid w:val="0"/>
                    <w:jc w:val="center"/>
                    <w:rPr>
                      <w:kern w:val="21"/>
                      <w:szCs w:val="21"/>
                    </w:rPr>
                  </w:pPr>
                  <w:r>
                    <w:rPr>
                      <w:rFonts w:hint="eastAsia"/>
                      <w:kern w:val="21"/>
                      <w:szCs w:val="21"/>
                    </w:rPr>
                    <w:t>N8厂界西侧外居民点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54.3</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tcBorders>
                    <w:top w:val="nil"/>
                  </w:tcBorders>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40.2</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tcBorders>
                    <w:top w:val="nil"/>
                  </w:tcBorders>
                  <w:noWrap w:val="0"/>
                  <w:vAlign w:val="center"/>
                </w:tcPr>
                <w:p>
                  <w:pPr>
                    <w:adjustRightInd w:val="0"/>
                    <w:snapToGrid w:val="0"/>
                    <w:jc w:val="center"/>
                    <w:rPr>
                      <w:rFonts w:hint="eastAsia"/>
                      <w:kern w:val="21"/>
                      <w:szCs w:val="21"/>
                    </w:rPr>
                  </w:pPr>
                  <w:r>
                    <w:rPr>
                      <w:rFonts w:hint="eastAsia"/>
                      <w:kern w:val="21"/>
                      <w:szCs w:val="21"/>
                    </w:rPr>
                    <w:t>N9厂界西北侧外居民点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49.8</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39.8</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noWrap w:val="0"/>
                  <w:vAlign w:val="center"/>
                </w:tcPr>
                <w:p>
                  <w:pPr>
                    <w:adjustRightInd w:val="0"/>
                    <w:snapToGrid w:val="0"/>
                    <w:jc w:val="center"/>
                    <w:rPr>
                      <w:rFonts w:hint="eastAsia"/>
                      <w:kern w:val="21"/>
                      <w:szCs w:val="21"/>
                    </w:rPr>
                  </w:pPr>
                  <w:r>
                    <w:rPr>
                      <w:rFonts w:hint="eastAsia"/>
                      <w:kern w:val="21"/>
                      <w:szCs w:val="21"/>
                    </w:rPr>
                    <w:t>N5厂界东侧外居民点</w:t>
                  </w:r>
                </w:p>
              </w:tc>
              <w:tc>
                <w:tcPr>
                  <w:tcW w:w="837" w:type="dxa"/>
                  <w:vMerge w:val="restart"/>
                  <w:noWrap w:val="0"/>
                  <w:vAlign w:val="center"/>
                </w:tcPr>
                <w:p>
                  <w:pPr>
                    <w:adjustRightInd w:val="0"/>
                    <w:snapToGrid w:val="0"/>
                    <w:jc w:val="center"/>
                    <w:rPr>
                      <w:rFonts w:hint="eastAsia"/>
                      <w:kern w:val="21"/>
                      <w:szCs w:val="21"/>
                    </w:rPr>
                  </w:pPr>
                  <w:r>
                    <w:rPr>
                      <w:rFonts w:hint="eastAsia"/>
                      <w:kern w:val="21"/>
                      <w:szCs w:val="21"/>
                    </w:rPr>
                    <w:t>10月31日</w:t>
                  </w: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50.9</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41.3</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noWrap w:val="0"/>
                  <w:vAlign w:val="center"/>
                </w:tcPr>
                <w:p>
                  <w:pPr>
                    <w:adjustRightInd w:val="0"/>
                    <w:snapToGrid w:val="0"/>
                    <w:jc w:val="center"/>
                    <w:rPr>
                      <w:rFonts w:hint="eastAsia"/>
                      <w:kern w:val="21"/>
                      <w:szCs w:val="21"/>
                    </w:rPr>
                  </w:pPr>
                  <w:r>
                    <w:rPr>
                      <w:rFonts w:hint="eastAsia"/>
                      <w:kern w:val="21"/>
                      <w:szCs w:val="21"/>
                    </w:rPr>
                    <w:t>N6厂界东南侧外居民点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53.3</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42.1</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noWrap w:val="0"/>
                  <w:vAlign w:val="center"/>
                </w:tcPr>
                <w:p>
                  <w:pPr>
                    <w:adjustRightInd w:val="0"/>
                    <w:snapToGrid w:val="0"/>
                    <w:jc w:val="center"/>
                    <w:rPr>
                      <w:rFonts w:hint="eastAsia"/>
                      <w:kern w:val="21"/>
                      <w:szCs w:val="21"/>
                    </w:rPr>
                  </w:pPr>
                  <w:r>
                    <w:rPr>
                      <w:rFonts w:hint="eastAsia"/>
                      <w:kern w:val="21"/>
                      <w:szCs w:val="21"/>
                    </w:rPr>
                    <w:t>N7厂界西南侧外居民点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55.0</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42.0</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noWrap w:val="0"/>
                  <w:vAlign w:val="center"/>
                </w:tcPr>
                <w:p>
                  <w:pPr>
                    <w:adjustRightInd w:val="0"/>
                    <w:snapToGrid w:val="0"/>
                    <w:jc w:val="center"/>
                    <w:rPr>
                      <w:rFonts w:hint="eastAsia"/>
                      <w:kern w:val="21"/>
                      <w:szCs w:val="21"/>
                    </w:rPr>
                  </w:pPr>
                  <w:r>
                    <w:rPr>
                      <w:rFonts w:hint="eastAsia"/>
                      <w:kern w:val="21"/>
                      <w:szCs w:val="21"/>
                    </w:rPr>
                    <w:t>N8厂界西侧外居民点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53.6</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42.7</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restart"/>
                  <w:noWrap w:val="0"/>
                  <w:vAlign w:val="center"/>
                </w:tcPr>
                <w:p>
                  <w:pPr>
                    <w:adjustRightInd w:val="0"/>
                    <w:snapToGrid w:val="0"/>
                    <w:jc w:val="center"/>
                    <w:rPr>
                      <w:rFonts w:hint="eastAsia"/>
                      <w:kern w:val="21"/>
                      <w:szCs w:val="21"/>
                    </w:rPr>
                  </w:pPr>
                  <w:r>
                    <w:rPr>
                      <w:rFonts w:hint="eastAsia"/>
                      <w:kern w:val="21"/>
                      <w:szCs w:val="21"/>
                    </w:rPr>
                    <w:t>N9厂界西北侧外居民点</w:t>
                  </w: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昼间</w:t>
                  </w:r>
                </w:p>
              </w:tc>
              <w:tc>
                <w:tcPr>
                  <w:tcW w:w="1536" w:type="dxa"/>
                  <w:noWrap w:val="0"/>
                  <w:vAlign w:val="center"/>
                </w:tcPr>
                <w:p>
                  <w:pPr>
                    <w:adjustRightInd w:val="0"/>
                    <w:snapToGrid w:val="0"/>
                    <w:jc w:val="center"/>
                    <w:rPr>
                      <w:kern w:val="21"/>
                      <w:szCs w:val="21"/>
                    </w:rPr>
                  </w:pPr>
                  <w:r>
                    <w:rPr>
                      <w:rFonts w:hint="eastAsia"/>
                      <w:kern w:val="21"/>
                      <w:szCs w:val="21"/>
                    </w:rPr>
                    <w:t>49.6</w:t>
                  </w:r>
                </w:p>
              </w:tc>
              <w:tc>
                <w:tcPr>
                  <w:tcW w:w="1651" w:type="dxa"/>
                  <w:noWrap w:val="0"/>
                  <w:vAlign w:val="center"/>
                </w:tcPr>
                <w:p>
                  <w:pPr>
                    <w:adjustRightInd w:val="0"/>
                    <w:snapToGrid w:val="0"/>
                    <w:jc w:val="center"/>
                    <w:rPr>
                      <w:rFonts w:hint="eastAsia"/>
                      <w:kern w:val="21"/>
                      <w:szCs w:val="21"/>
                    </w:rPr>
                  </w:pPr>
                  <w:r>
                    <w:rPr>
                      <w:rFonts w:hint="eastAsia"/>
                      <w:kern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rPr>
                  </w:pPr>
                </w:p>
              </w:tc>
              <w:tc>
                <w:tcPr>
                  <w:tcW w:w="2183" w:type="dxa"/>
                  <w:vMerge w:val="continue"/>
                  <w:noWrap w:val="0"/>
                  <w:vAlign w:val="center"/>
                </w:tcPr>
                <w:p>
                  <w:pPr>
                    <w:adjustRightInd w:val="0"/>
                    <w:snapToGrid w:val="0"/>
                    <w:jc w:val="center"/>
                    <w:rPr>
                      <w:rFonts w:hint="eastAsia"/>
                      <w:kern w:val="21"/>
                      <w:szCs w:val="21"/>
                    </w:rPr>
                  </w:pPr>
                </w:p>
              </w:tc>
              <w:tc>
                <w:tcPr>
                  <w:tcW w:w="837" w:type="dxa"/>
                  <w:vMerge w:val="continue"/>
                  <w:noWrap w:val="0"/>
                  <w:vAlign w:val="center"/>
                </w:tcPr>
                <w:p>
                  <w:pPr>
                    <w:adjustRightInd w:val="0"/>
                    <w:snapToGrid w:val="0"/>
                    <w:jc w:val="center"/>
                    <w:rPr>
                      <w:rFonts w:hint="eastAsia"/>
                      <w:kern w:val="21"/>
                      <w:szCs w:val="21"/>
                    </w:rPr>
                  </w:pPr>
                </w:p>
              </w:tc>
              <w:tc>
                <w:tcPr>
                  <w:tcW w:w="880" w:type="dxa"/>
                  <w:noWrap w:val="0"/>
                  <w:vAlign w:val="center"/>
                </w:tcPr>
                <w:p>
                  <w:pPr>
                    <w:adjustRightInd w:val="0"/>
                    <w:snapToGrid w:val="0"/>
                    <w:jc w:val="center"/>
                    <w:rPr>
                      <w:rFonts w:hint="eastAsia"/>
                      <w:kern w:val="21"/>
                      <w:szCs w:val="21"/>
                    </w:rPr>
                  </w:pPr>
                  <w:r>
                    <w:rPr>
                      <w:rFonts w:hint="eastAsia"/>
                      <w:kern w:val="21"/>
                      <w:szCs w:val="21"/>
                    </w:rPr>
                    <w:t>夜间</w:t>
                  </w:r>
                </w:p>
              </w:tc>
              <w:tc>
                <w:tcPr>
                  <w:tcW w:w="1536" w:type="dxa"/>
                  <w:noWrap w:val="0"/>
                  <w:vAlign w:val="center"/>
                </w:tcPr>
                <w:p>
                  <w:pPr>
                    <w:adjustRightInd w:val="0"/>
                    <w:snapToGrid w:val="0"/>
                    <w:jc w:val="center"/>
                    <w:rPr>
                      <w:kern w:val="21"/>
                      <w:szCs w:val="21"/>
                    </w:rPr>
                  </w:pPr>
                  <w:r>
                    <w:rPr>
                      <w:rFonts w:hint="eastAsia"/>
                      <w:kern w:val="21"/>
                      <w:szCs w:val="21"/>
                    </w:rPr>
                    <w:t>39.9</w:t>
                  </w:r>
                </w:p>
              </w:tc>
              <w:tc>
                <w:tcPr>
                  <w:tcW w:w="1651" w:type="dxa"/>
                  <w:noWrap w:val="0"/>
                  <w:vAlign w:val="center"/>
                </w:tcPr>
                <w:p>
                  <w:pPr>
                    <w:adjustRightInd w:val="0"/>
                    <w:snapToGrid w:val="0"/>
                    <w:jc w:val="center"/>
                    <w:rPr>
                      <w:rFonts w:hint="eastAsia"/>
                      <w:kern w:val="21"/>
                      <w:szCs w:val="21"/>
                    </w:rPr>
                  </w:pPr>
                  <w:r>
                    <w:rPr>
                      <w:rFonts w:hint="eastAsia"/>
                      <w:kern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jc w:val="center"/>
              </w:trPr>
              <w:tc>
                <w:tcPr>
                  <w:tcW w:w="7937" w:type="dxa"/>
                  <w:gridSpan w:val="6"/>
                  <w:noWrap w:val="0"/>
                  <w:vAlign w:val="center"/>
                </w:tcPr>
                <w:p>
                  <w:pPr>
                    <w:adjustRightInd w:val="0"/>
                    <w:snapToGrid w:val="0"/>
                    <w:jc w:val="center"/>
                    <w:rPr>
                      <w:rFonts w:hint="eastAsia"/>
                      <w:kern w:val="21"/>
                      <w:szCs w:val="21"/>
                    </w:rPr>
                  </w:pPr>
                  <w:r>
                    <w:rPr>
                      <w:rFonts w:hint="eastAsia"/>
                      <w:kern w:val="21"/>
                      <w:szCs w:val="21"/>
                    </w:rPr>
                    <w:t>备注：参照《声环境质量标准》(GB3096-2008)表1中的2类标准。</w:t>
                  </w:r>
                </w:p>
              </w:tc>
            </w:tr>
          </w:tbl>
          <w:p>
            <w:pPr>
              <w:adjustRightInd w:val="0"/>
              <w:snapToGrid w:val="0"/>
              <w:spacing w:line="360" w:lineRule="auto"/>
              <w:ind w:firstLine="480" w:firstLineChars="200"/>
              <w:rPr>
                <w:sz w:val="24"/>
                <w:u w:val="single"/>
              </w:rPr>
            </w:pPr>
            <w:r>
              <w:rPr>
                <w:rFonts w:hint="eastAsia"/>
                <w:sz w:val="24"/>
                <w:u w:val="single"/>
              </w:rPr>
              <w:t>由上述表格可得，项目现状厂界非甲烷总烃无组织排放浓度满足《加油站大气污染物排放标准》（GB20952-2020）中排放限值；现状排放口中除五日生化需氧量以外的各污染因子均满足《污水综合排放标准》</w:t>
            </w:r>
            <w:r>
              <w:rPr>
                <w:rFonts w:hint="eastAsia"/>
                <w:bCs/>
                <w:sz w:val="24"/>
                <w:u w:val="single"/>
              </w:rPr>
              <w:t>（GB8978-1996）</w:t>
            </w:r>
            <w:r>
              <w:rPr>
                <w:rFonts w:hint="eastAsia"/>
                <w:sz w:val="24"/>
                <w:u w:val="single"/>
              </w:rPr>
              <w:t>表4中的一级标准；厂界现状噪声昼夜两时段东、南、西侧均满足《工业企业厂界环境噪声排放标准》（GB12348-2008）中的2类标准限值要求，北侧满足《工业企业厂界环境噪声排放标准》（GB12348-2008）中的4类标准限值要求，居民敏感点满足《声环境质量标准》（GB3096-2008）中的2类标准。</w:t>
            </w:r>
          </w:p>
          <w:p>
            <w:pPr>
              <w:adjustRightInd w:val="0"/>
              <w:snapToGrid w:val="0"/>
              <w:spacing w:line="360" w:lineRule="auto"/>
              <w:ind w:firstLine="480" w:firstLineChars="200"/>
              <w:rPr>
                <w:rFonts w:hint="eastAsia"/>
                <w:color w:val="0000FF"/>
                <w:sz w:val="24"/>
                <w:u w:val="single"/>
                <w:lang w:val="en-US" w:eastAsia="zh-CN"/>
              </w:rPr>
            </w:pPr>
            <w:r>
              <w:rPr>
                <w:rFonts w:hint="eastAsia"/>
                <w:color w:val="0000FF"/>
                <w:sz w:val="24"/>
                <w:u w:val="single"/>
              </w:rPr>
              <w:t>综上，项目目前采取的各项环保措施基本满足污染物排放要求，但</w:t>
            </w:r>
            <w:r>
              <w:rPr>
                <w:rFonts w:hint="eastAsia"/>
                <w:color w:val="0000FF"/>
                <w:sz w:val="24"/>
                <w:u w:val="single"/>
                <w:lang w:val="en-US" w:eastAsia="zh-CN"/>
              </w:rPr>
              <w:t>现有部分物防措施不到位，需要整改。比如：</w:t>
            </w:r>
          </w:p>
          <w:p>
            <w:pPr>
              <w:numPr>
                <w:ilvl w:val="0"/>
                <w:numId w:val="2"/>
              </w:numPr>
              <w:adjustRightInd w:val="0"/>
              <w:snapToGrid w:val="0"/>
              <w:spacing w:line="360" w:lineRule="auto"/>
              <w:ind w:firstLine="480" w:firstLineChars="200"/>
              <w:rPr>
                <w:rFonts w:hint="eastAsia"/>
                <w:color w:val="0000FF"/>
                <w:sz w:val="24"/>
                <w:u w:val="single"/>
              </w:rPr>
            </w:pPr>
            <w:r>
              <w:rPr>
                <w:rFonts w:hint="eastAsia"/>
                <w:color w:val="0000FF"/>
                <w:sz w:val="24"/>
                <w:u w:val="single"/>
                <w:lang w:val="en-US" w:eastAsia="zh-CN"/>
              </w:rPr>
              <w:t>废水。生活污水及厕所废水经化粪池处理后直排，罩棚清洗废水、初期雨水经隔油沉淀处理后直排。</w:t>
            </w:r>
            <w:r>
              <w:rPr>
                <w:rFonts w:hint="eastAsia"/>
                <w:color w:val="0000FF"/>
                <w:sz w:val="24"/>
                <w:u w:val="single"/>
              </w:rPr>
              <w:t>生活污水应经化粪池</w:t>
            </w:r>
            <w:r>
              <w:rPr>
                <w:rFonts w:hint="eastAsia"/>
                <w:color w:val="0000FF"/>
                <w:sz w:val="24"/>
                <w:u w:val="single"/>
                <w:lang w:val="en-US" w:eastAsia="zh-CN"/>
              </w:rPr>
              <w:t>+调节池</w:t>
            </w:r>
            <w:r>
              <w:rPr>
                <w:rFonts w:hint="eastAsia"/>
                <w:color w:val="0000FF"/>
                <w:sz w:val="24"/>
                <w:u w:val="single"/>
              </w:rPr>
              <w:t>处理后用作</w:t>
            </w:r>
            <w:r>
              <w:rPr>
                <w:rFonts w:hint="eastAsia"/>
                <w:color w:val="0000FF"/>
                <w:sz w:val="24"/>
                <w:u w:val="single"/>
                <w:lang w:val="en-US" w:eastAsia="zh-CN"/>
              </w:rPr>
              <w:t>周边农作物或绿植</w:t>
            </w:r>
            <w:r>
              <w:rPr>
                <w:rFonts w:hint="eastAsia"/>
                <w:color w:val="0000FF"/>
                <w:sz w:val="24"/>
                <w:u w:val="single"/>
              </w:rPr>
              <w:t>施肥、罩棚清洗废水及初期雨水经隔油沉淀池处理后用作洒水降尘及绿植浇灌，禁止将生活污水、罩棚清洗废水及初期雨水直排至外界地表水环境，原有排口应进行封堵。</w:t>
            </w:r>
          </w:p>
          <w:p>
            <w:pPr>
              <w:numPr>
                <w:ilvl w:val="0"/>
                <w:numId w:val="2"/>
              </w:numPr>
              <w:adjustRightInd w:val="0"/>
              <w:snapToGrid w:val="0"/>
              <w:spacing w:line="360" w:lineRule="auto"/>
              <w:ind w:left="0" w:leftChars="0" w:firstLine="480" w:firstLineChars="200"/>
              <w:rPr>
                <w:rFonts w:hint="eastAsia" w:ascii="Times New Roman" w:hAnsi="Times New Roman" w:eastAsia="宋体" w:cs="Times New Roman"/>
                <w:color w:val="0000FF"/>
                <w:sz w:val="24"/>
                <w:u w:val="single"/>
                <w:lang w:val="en-US" w:eastAsia="zh-CN"/>
              </w:rPr>
            </w:pPr>
            <w:r>
              <w:rPr>
                <w:rFonts w:hint="eastAsia"/>
                <w:color w:val="0000FF"/>
                <w:sz w:val="24"/>
                <w:u w:val="single"/>
                <w:lang w:val="en-US" w:eastAsia="zh-CN"/>
              </w:rPr>
              <w:t>废气。本项目现有油气回收措施采用两次油气</w:t>
            </w:r>
            <w:r>
              <w:rPr>
                <w:rFonts w:hint="eastAsia" w:ascii="Times New Roman" w:hAnsi="Times New Roman" w:eastAsia="宋体" w:cs="Times New Roman"/>
                <w:color w:val="0000FF"/>
                <w:sz w:val="24"/>
                <w:u w:val="single"/>
                <w:lang w:val="en-US" w:eastAsia="zh-CN"/>
              </w:rPr>
              <w:t>回收，根据</w:t>
            </w:r>
            <w:r>
              <w:rPr>
                <w:rFonts w:hint="eastAsia" w:ascii="Times New Roman" w:hAnsi="Times New Roman" w:eastAsia="宋体" w:cs="Times New Roman"/>
                <w:color w:val="0000FF"/>
                <w:sz w:val="24"/>
                <w:u w:val="single"/>
              </w:rPr>
              <w:t>《湖南省大气污染防治“守护蓝天”攻坚行动计划（2023—2025年）》</w:t>
            </w:r>
            <w:r>
              <w:rPr>
                <w:rFonts w:hint="eastAsia" w:ascii="Times New Roman" w:hAnsi="Times New Roman" w:eastAsia="宋体" w:cs="Times New Roman"/>
                <w:color w:val="0000FF"/>
                <w:sz w:val="24"/>
                <w:u w:val="single"/>
                <w:lang w:val="en-US" w:eastAsia="zh-CN"/>
              </w:rPr>
              <w:t>要求，加油站油气回收装置应改为三次油气回收。</w:t>
            </w:r>
          </w:p>
          <w:p>
            <w:pPr>
              <w:pStyle w:val="10"/>
              <w:numPr>
                <w:numId w:val="0"/>
              </w:numPr>
              <w:spacing w:line="360" w:lineRule="auto"/>
              <w:ind w:right="113" w:rightChars="0" w:firstLine="480" w:firstLineChars="200"/>
              <w:rPr>
                <w:rFonts w:hint="default"/>
                <w:lang w:val="en-US" w:eastAsia="zh-CN"/>
              </w:rPr>
            </w:pPr>
            <w:r>
              <w:rPr>
                <w:rFonts w:hint="eastAsia" w:ascii="Times New Roman" w:hAnsi="Times New Roman" w:eastAsia="宋体" w:cs="Times New Roman"/>
                <w:color w:val="0000FF"/>
                <w:kern w:val="2"/>
                <w:sz w:val="24"/>
                <w:szCs w:val="24"/>
                <w:u w:val="single"/>
                <w:lang w:val="en-US" w:eastAsia="zh-CN" w:bidi="ar-SA"/>
              </w:rPr>
              <w:t>3、固体废物。本项目部分危险废物未加入危险废物处置协议，应根据排污许可要求，危险废物均加入危险废物处置协议中按要求处置危险废物。</w:t>
            </w:r>
          </w:p>
        </w:tc>
      </w:tr>
    </w:tbl>
    <w:p>
      <w:pPr>
        <w:pStyle w:val="23"/>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line="14" w:lineRule="auto"/>
        <w:jc w:val="center"/>
        <w:rPr>
          <w:rFonts w:hint="eastAsia" w:ascii="黑体" w:hAnsi="黑体" w:eastAsia="黑体"/>
          <w:snapToGrid w:val="0"/>
          <w:sz w:val="30"/>
          <w:szCs w:val="30"/>
        </w:rPr>
      </w:pPr>
    </w:p>
    <w:p>
      <w:pPr>
        <w:pStyle w:val="4"/>
        <w:jc w:val="center"/>
        <w:rPr>
          <w:rFonts w:ascii="黑体" w:hAnsi="黑体"/>
          <w:snapToGrid w:val="0"/>
        </w:rPr>
      </w:pPr>
      <w:bookmarkStart w:id="66" w:name="_Toc26399"/>
      <w:r>
        <w:rPr>
          <w:rFonts w:hint="eastAsia"/>
        </w:rPr>
        <w:t>三、区域环境质量现状、环境保护目标及评价标准</w:t>
      </w:r>
      <w:bookmarkEnd w:id="66"/>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区域</w:t>
            </w:r>
          </w:p>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质量</w:t>
            </w:r>
          </w:p>
          <w:p>
            <w:pPr>
              <w:adjustRightInd w:val="0"/>
              <w:snapToGrid w:val="0"/>
              <w:jc w:val="center"/>
              <w:rPr>
                <w:rFonts w:ascii="宋体" w:hAnsi="宋体" w:cs="宋体"/>
                <w:kern w:val="0"/>
                <w:szCs w:val="21"/>
              </w:rPr>
            </w:pPr>
            <w:r>
              <w:rPr>
                <w:rFonts w:hint="eastAsia" w:ascii="宋体" w:hAnsi="宋体" w:cs="宋体"/>
                <w:kern w:val="0"/>
                <w:szCs w:val="21"/>
              </w:rPr>
              <w:t>现状</w:t>
            </w:r>
          </w:p>
        </w:tc>
        <w:tc>
          <w:tcPr>
            <w:tcW w:w="8128" w:type="dxa"/>
            <w:noWrap w:val="0"/>
            <w:vAlign w:val="center"/>
          </w:tcPr>
          <w:p>
            <w:pPr>
              <w:spacing w:line="360" w:lineRule="auto"/>
              <w:ind w:firstLine="482" w:firstLineChars="200"/>
              <w:rPr>
                <w:b/>
                <w:sz w:val="24"/>
              </w:rPr>
            </w:pPr>
            <w:r>
              <w:rPr>
                <w:rFonts w:hint="eastAsia"/>
                <w:b/>
                <w:sz w:val="24"/>
              </w:rPr>
              <w:t>3.1</w:t>
            </w:r>
            <w:r>
              <w:rPr>
                <w:b/>
                <w:sz w:val="24"/>
              </w:rPr>
              <w:t>环境空气质量现状</w:t>
            </w:r>
          </w:p>
          <w:p>
            <w:pPr>
              <w:spacing w:line="360" w:lineRule="auto"/>
              <w:ind w:firstLine="480" w:firstLineChars="200"/>
              <w:rPr>
                <w:rFonts w:hint="eastAsia"/>
                <w:sz w:val="24"/>
              </w:rPr>
            </w:pPr>
            <w:r>
              <w:rPr>
                <w:rFonts w:hint="eastAsia"/>
                <w:sz w:val="24"/>
              </w:rPr>
              <w:t>（1）项目所在行政区域环境空气质量现状判定</w:t>
            </w:r>
          </w:p>
          <w:p>
            <w:pPr>
              <w:snapToGrid w:val="0"/>
              <w:spacing w:line="360" w:lineRule="auto"/>
              <w:ind w:firstLine="480" w:firstLineChars="200"/>
              <w:rPr>
                <w:rFonts w:hint="eastAsia" w:ascii="宋体" w:hAnsi="宋体"/>
                <w:bCs/>
                <w:sz w:val="24"/>
                <w:u w:val="single"/>
              </w:rPr>
            </w:pPr>
            <w:r>
              <w:rPr>
                <w:rFonts w:hint="eastAsia" w:ascii="宋体" w:hAnsi="宋体"/>
                <w:bCs/>
                <w:sz w:val="24"/>
                <w:u w:val="single"/>
              </w:rPr>
              <w:t>本项目主要污染物为颗粒物、非甲烷总烃。本项目所在区域达标判定数据来源于《岳阳市环境空气质量月报</w:t>
            </w:r>
            <w:r>
              <w:rPr>
                <w:rFonts w:hint="eastAsia" w:ascii="宋体" w:hAnsi="宋体"/>
                <w:bCs/>
                <w:color w:val="FF0000"/>
                <w:sz w:val="24"/>
                <w:u w:val="single"/>
                <w:lang w:eastAsia="zh-CN"/>
              </w:rPr>
              <w:t>》</w:t>
            </w:r>
            <w:r>
              <w:rPr>
                <w:rFonts w:hint="eastAsia" w:ascii="宋体" w:hAnsi="宋体"/>
                <w:bCs/>
                <w:sz w:val="24"/>
                <w:u w:val="single"/>
              </w:rPr>
              <w:t>2022年第12期，根据该报告，临湘市2022年区域环境空气质量数据见下表。</w:t>
            </w:r>
          </w:p>
          <w:p>
            <w:pPr>
              <w:snapToGrid w:val="0"/>
              <w:spacing w:line="360" w:lineRule="auto"/>
              <w:jc w:val="center"/>
              <w:rPr>
                <w:b/>
                <w:szCs w:val="22"/>
              </w:rPr>
            </w:pPr>
            <w:r>
              <w:rPr>
                <w:b/>
                <w:szCs w:val="22"/>
              </w:rPr>
              <w:t>表</w:t>
            </w:r>
            <w:r>
              <w:rPr>
                <w:rFonts w:hint="eastAsia"/>
                <w:b/>
                <w:szCs w:val="22"/>
              </w:rPr>
              <w:t>3-1</w:t>
            </w:r>
            <w:r>
              <w:rPr>
                <w:b/>
                <w:szCs w:val="22"/>
              </w:rPr>
              <w:t xml:space="preserve"> </w:t>
            </w:r>
            <w:r>
              <w:rPr>
                <w:rFonts w:hint="eastAsia"/>
                <w:b/>
                <w:szCs w:val="22"/>
              </w:rPr>
              <w:t>区域空气质量现状评价表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013"/>
              <w:gridCol w:w="1999"/>
              <w:gridCol w:w="1315"/>
              <w:gridCol w:w="1184"/>
              <w:gridCol w:w="1302"/>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rPr>
                      <w:b/>
                    </w:rPr>
                  </w:pPr>
                  <w:bookmarkStart w:id="67" w:name="_Hlk108968893"/>
                  <w:r>
                    <w:rPr>
                      <w:b/>
                    </w:rPr>
                    <w:t>污染物</w:t>
                  </w:r>
                </w:p>
              </w:tc>
              <w:tc>
                <w:tcPr>
                  <w:tcW w:w="1265" w:type="pct"/>
                  <w:shd w:val="clear" w:color="auto" w:fill="FFFFFF"/>
                  <w:noWrap w:val="0"/>
                  <w:vAlign w:val="center"/>
                </w:tcPr>
                <w:p>
                  <w:pPr>
                    <w:jc w:val="center"/>
                    <w:rPr>
                      <w:b/>
                    </w:rPr>
                  </w:pPr>
                  <w:r>
                    <w:rPr>
                      <w:b/>
                    </w:rPr>
                    <w:t>年评价指标</w:t>
                  </w:r>
                </w:p>
              </w:tc>
              <w:tc>
                <w:tcPr>
                  <w:tcW w:w="832" w:type="pct"/>
                  <w:shd w:val="clear" w:color="auto" w:fill="FFFFFF"/>
                  <w:noWrap w:val="0"/>
                  <w:vAlign w:val="center"/>
                </w:tcPr>
                <w:p>
                  <w:pPr>
                    <w:jc w:val="center"/>
                    <w:rPr>
                      <w:b/>
                    </w:rPr>
                  </w:pPr>
                  <w:r>
                    <w:rPr>
                      <w:b/>
                    </w:rPr>
                    <w:t>现状浓度</w:t>
                  </w:r>
                </w:p>
                <w:p>
                  <w:pPr>
                    <w:jc w:val="center"/>
                    <w:rPr>
                      <w:b/>
                    </w:rPr>
                  </w:pPr>
                  <w:r>
                    <w:rPr>
                      <w:b/>
                    </w:rPr>
                    <w:t>（μg/m</w:t>
                  </w:r>
                  <w:r>
                    <w:rPr>
                      <w:b/>
                      <w:vertAlign w:val="superscript"/>
                    </w:rPr>
                    <w:t>3</w:t>
                  </w:r>
                  <w:r>
                    <w:rPr>
                      <w:b/>
                    </w:rPr>
                    <w:t>）</w:t>
                  </w:r>
                </w:p>
              </w:tc>
              <w:tc>
                <w:tcPr>
                  <w:tcW w:w="749" w:type="pct"/>
                  <w:shd w:val="clear" w:color="auto" w:fill="FFFFFF"/>
                  <w:noWrap w:val="0"/>
                  <w:vAlign w:val="center"/>
                </w:tcPr>
                <w:p>
                  <w:pPr>
                    <w:jc w:val="center"/>
                    <w:rPr>
                      <w:b/>
                    </w:rPr>
                  </w:pPr>
                  <w:r>
                    <w:rPr>
                      <w:b/>
                    </w:rPr>
                    <w:t>标准值</w:t>
                  </w:r>
                </w:p>
                <w:p>
                  <w:pPr>
                    <w:jc w:val="center"/>
                    <w:rPr>
                      <w:b/>
                    </w:rPr>
                  </w:pPr>
                  <w:r>
                    <w:rPr>
                      <w:b/>
                    </w:rPr>
                    <w:t>（μg/m</w:t>
                  </w:r>
                  <w:r>
                    <w:rPr>
                      <w:b/>
                      <w:vertAlign w:val="superscript"/>
                    </w:rPr>
                    <w:t>3</w:t>
                  </w:r>
                  <w:r>
                    <w:rPr>
                      <w:b/>
                    </w:rPr>
                    <w:t>）</w:t>
                  </w:r>
                </w:p>
              </w:tc>
              <w:tc>
                <w:tcPr>
                  <w:tcW w:w="824" w:type="pct"/>
                  <w:shd w:val="clear" w:color="auto" w:fill="FFFFFF"/>
                  <w:noWrap w:val="0"/>
                  <w:vAlign w:val="center"/>
                </w:tcPr>
                <w:p>
                  <w:pPr>
                    <w:jc w:val="center"/>
                    <w:rPr>
                      <w:b/>
                    </w:rPr>
                  </w:pPr>
                  <w:r>
                    <w:rPr>
                      <w:b/>
                    </w:rPr>
                    <w:t>占标率</w:t>
                  </w:r>
                </w:p>
                <w:p>
                  <w:pPr>
                    <w:jc w:val="center"/>
                    <w:rPr>
                      <w:b/>
                    </w:rPr>
                  </w:pPr>
                  <w:r>
                    <w:rPr>
                      <w:rFonts w:hint="eastAsia"/>
                      <w:b/>
                    </w:rPr>
                    <w:t>%</w:t>
                  </w:r>
                </w:p>
              </w:tc>
              <w:tc>
                <w:tcPr>
                  <w:tcW w:w="689" w:type="pct"/>
                  <w:shd w:val="clear" w:color="auto" w:fill="FFFFFF"/>
                  <w:noWrap w:val="0"/>
                  <w:vAlign w:val="center"/>
                </w:tcPr>
                <w:p>
                  <w:pPr>
                    <w:jc w:val="center"/>
                    <w:rPr>
                      <w:b/>
                    </w:rPr>
                  </w:pPr>
                  <w:r>
                    <w:rPr>
                      <w:b/>
                    </w:rPr>
                    <w:t>达标情况</w:t>
                  </w:r>
                </w:p>
              </w:tc>
            </w:tr>
            <w:bookmarkEnd w:id="6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bookmarkStart w:id="68" w:name="OLE_LINK206"/>
                  <w:bookmarkStart w:id="69" w:name="OLE_LINK205"/>
                  <w:bookmarkStart w:id="70" w:name="_Hlk108968513"/>
                  <w:r>
                    <w:t>SO</w:t>
                  </w:r>
                  <w:r>
                    <w:rPr>
                      <w:vertAlign w:val="subscript"/>
                    </w:rPr>
                    <w:t>2</w:t>
                  </w:r>
                  <w:bookmarkEnd w:id="68"/>
                  <w:bookmarkEnd w:id="69"/>
                </w:p>
              </w:tc>
              <w:tc>
                <w:tcPr>
                  <w:tcW w:w="1265" w:type="pct"/>
                  <w:shd w:val="clear" w:color="auto" w:fill="FFFFFF"/>
                  <w:noWrap w:val="0"/>
                  <w:vAlign w:val="center"/>
                </w:tcPr>
                <w:p>
                  <w:pPr>
                    <w:jc w:val="center"/>
                  </w:pPr>
                  <w:r>
                    <w:t>年平均质量浓度</w:t>
                  </w:r>
                </w:p>
              </w:tc>
              <w:tc>
                <w:tcPr>
                  <w:tcW w:w="832" w:type="pct"/>
                  <w:shd w:val="clear" w:color="auto" w:fill="FFFFFF"/>
                  <w:noWrap w:val="0"/>
                  <w:vAlign w:val="center"/>
                </w:tcPr>
                <w:p>
                  <w:pPr>
                    <w:jc w:val="center"/>
                  </w:pPr>
                  <w:r>
                    <w:rPr>
                      <w:rFonts w:hint="eastAsia"/>
                    </w:rPr>
                    <w:t>5</w:t>
                  </w:r>
                </w:p>
              </w:tc>
              <w:tc>
                <w:tcPr>
                  <w:tcW w:w="749" w:type="pct"/>
                  <w:shd w:val="clear" w:color="auto" w:fill="FFFFFF"/>
                  <w:noWrap w:val="0"/>
                  <w:vAlign w:val="center"/>
                </w:tcPr>
                <w:p>
                  <w:pPr>
                    <w:jc w:val="center"/>
                  </w:pPr>
                  <w:r>
                    <w:t>60</w:t>
                  </w:r>
                </w:p>
              </w:tc>
              <w:tc>
                <w:tcPr>
                  <w:tcW w:w="824" w:type="pct"/>
                  <w:shd w:val="clear" w:color="auto" w:fill="FFFFFF"/>
                  <w:noWrap w:val="0"/>
                  <w:vAlign w:val="center"/>
                </w:tcPr>
                <w:p>
                  <w:pPr>
                    <w:jc w:val="center"/>
                  </w:pPr>
                  <w:r>
                    <w:rPr>
                      <w:rFonts w:hint="eastAsia"/>
                    </w:rPr>
                    <w:t>15</w:t>
                  </w:r>
                </w:p>
              </w:tc>
              <w:tc>
                <w:tcPr>
                  <w:tcW w:w="689" w:type="pct"/>
                  <w:vMerge w:val="restart"/>
                  <w:shd w:val="clear" w:color="auto" w:fill="FFFFFF"/>
                  <w:noWrap w:val="0"/>
                  <w:vAlign w:val="center"/>
                </w:tcPr>
                <w:p>
                  <w:pPr>
                    <w:jc w:val="cente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bookmarkStart w:id="71" w:name="OLE_LINK210"/>
                  <w:bookmarkStart w:id="72" w:name="OLE_LINK209"/>
                  <w:bookmarkStart w:id="73" w:name="_Hlk108968528"/>
                  <w:r>
                    <w:t>NO</w:t>
                  </w:r>
                  <w:r>
                    <w:rPr>
                      <w:vertAlign w:val="subscript"/>
                    </w:rPr>
                    <w:t>2</w:t>
                  </w:r>
                  <w:bookmarkEnd w:id="71"/>
                  <w:bookmarkEnd w:id="72"/>
                </w:p>
              </w:tc>
              <w:tc>
                <w:tcPr>
                  <w:tcW w:w="1265" w:type="pct"/>
                  <w:shd w:val="clear" w:color="auto" w:fill="FFFFFF"/>
                  <w:noWrap w:val="0"/>
                  <w:vAlign w:val="center"/>
                </w:tcPr>
                <w:p>
                  <w:pPr>
                    <w:jc w:val="center"/>
                  </w:pPr>
                  <w:r>
                    <w:t>年平均质量浓度</w:t>
                  </w:r>
                </w:p>
              </w:tc>
              <w:tc>
                <w:tcPr>
                  <w:tcW w:w="832" w:type="pct"/>
                  <w:shd w:val="clear" w:color="auto" w:fill="FFFFFF"/>
                  <w:noWrap w:val="0"/>
                  <w:vAlign w:val="center"/>
                </w:tcPr>
                <w:p>
                  <w:pPr>
                    <w:jc w:val="center"/>
                  </w:pPr>
                  <w:r>
                    <w:rPr>
                      <w:rFonts w:hint="eastAsia"/>
                    </w:rPr>
                    <w:t>27</w:t>
                  </w:r>
                </w:p>
              </w:tc>
              <w:tc>
                <w:tcPr>
                  <w:tcW w:w="749" w:type="pct"/>
                  <w:shd w:val="clear" w:color="auto" w:fill="FFFFFF"/>
                  <w:noWrap w:val="0"/>
                  <w:vAlign w:val="center"/>
                </w:tcPr>
                <w:p>
                  <w:pPr>
                    <w:jc w:val="center"/>
                  </w:pPr>
                  <w:r>
                    <w:t>40</w:t>
                  </w:r>
                </w:p>
              </w:tc>
              <w:tc>
                <w:tcPr>
                  <w:tcW w:w="824" w:type="pct"/>
                  <w:shd w:val="clear" w:color="auto" w:fill="FFFFFF"/>
                  <w:noWrap w:val="0"/>
                  <w:vAlign w:val="center"/>
                </w:tcPr>
                <w:p>
                  <w:pPr>
                    <w:jc w:val="center"/>
                  </w:pPr>
                  <w:r>
                    <w:rPr>
                      <w:rFonts w:hint="eastAsia"/>
                    </w:rPr>
                    <w:t>60</w:t>
                  </w:r>
                </w:p>
              </w:tc>
              <w:tc>
                <w:tcPr>
                  <w:tcW w:w="689" w:type="pct"/>
                  <w:vMerge w:val="continue"/>
                  <w:shd w:val="clear" w:color="auto" w:fill="FFFFFF"/>
                  <w:noWrap w:val="0"/>
                  <w:vAlign w:val="center"/>
                </w:tcPr>
                <w:p>
                  <w:pPr>
                    <w:jc w:val="center"/>
                  </w:pPr>
                </w:p>
              </w:tc>
            </w:tr>
            <w:bookmarkEnd w:id="7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bookmarkStart w:id="74" w:name="OLE_LINK211"/>
                  <w:bookmarkStart w:id="75" w:name="OLE_LINK212"/>
                  <w:r>
                    <w:t>PM</w:t>
                  </w:r>
                  <w:r>
                    <w:rPr>
                      <w:rFonts w:hint="eastAsia"/>
                      <w:vertAlign w:val="subscript"/>
                    </w:rPr>
                    <w:t>10</w:t>
                  </w:r>
                  <w:bookmarkEnd w:id="74"/>
                  <w:bookmarkEnd w:id="75"/>
                </w:p>
              </w:tc>
              <w:tc>
                <w:tcPr>
                  <w:tcW w:w="1265" w:type="pct"/>
                  <w:shd w:val="clear" w:color="auto" w:fill="FFFFFF"/>
                  <w:noWrap w:val="0"/>
                  <w:vAlign w:val="center"/>
                </w:tcPr>
                <w:p>
                  <w:pPr>
                    <w:jc w:val="center"/>
                  </w:pPr>
                  <w:r>
                    <w:t>年平均质量浓度</w:t>
                  </w:r>
                </w:p>
              </w:tc>
              <w:tc>
                <w:tcPr>
                  <w:tcW w:w="832" w:type="pct"/>
                  <w:shd w:val="clear" w:color="auto" w:fill="FFFFFF"/>
                  <w:noWrap w:val="0"/>
                  <w:vAlign w:val="center"/>
                </w:tcPr>
                <w:p>
                  <w:pPr>
                    <w:jc w:val="center"/>
                  </w:pPr>
                  <w:r>
                    <w:rPr>
                      <w:rFonts w:hint="eastAsia"/>
                    </w:rPr>
                    <w:t>48</w:t>
                  </w:r>
                </w:p>
              </w:tc>
              <w:tc>
                <w:tcPr>
                  <w:tcW w:w="749" w:type="pct"/>
                  <w:shd w:val="clear" w:color="auto" w:fill="FFFFFF"/>
                  <w:noWrap w:val="0"/>
                  <w:vAlign w:val="center"/>
                </w:tcPr>
                <w:p>
                  <w:pPr>
                    <w:jc w:val="center"/>
                  </w:pPr>
                  <w:r>
                    <w:t>70</w:t>
                  </w:r>
                </w:p>
              </w:tc>
              <w:tc>
                <w:tcPr>
                  <w:tcW w:w="824" w:type="pct"/>
                  <w:shd w:val="clear" w:color="auto" w:fill="FFFFFF"/>
                  <w:noWrap w:val="0"/>
                  <w:vAlign w:val="center"/>
                </w:tcPr>
                <w:p>
                  <w:pPr>
                    <w:jc w:val="center"/>
                  </w:pPr>
                  <w:r>
                    <w:rPr>
                      <w:rFonts w:hint="eastAsia"/>
                    </w:rPr>
                    <w:t>74</w:t>
                  </w:r>
                </w:p>
              </w:tc>
              <w:tc>
                <w:tcPr>
                  <w:tcW w:w="689" w:type="pct"/>
                  <w:vMerge w:val="continue"/>
                  <w:shd w:val="clear" w:color="auto" w:fill="FFFFFF"/>
                  <w:noWrap w:val="0"/>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bookmarkStart w:id="76" w:name="OLE_LINK214"/>
                  <w:bookmarkStart w:id="77" w:name="OLE_LINK213"/>
                  <w:r>
                    <w:t>PM</w:t>
                  </w:r>
                  <w:r>
                    <w:rPr>
                      <w:vertAlign w:val="subscript"/>
                    </w:rPr>
                    <w:t>2</w:t>
                  </w:r>
                  <w:r>
                    <w:rPr>
                      <w:rFonts w:hint="eastAsia"/>
                      <w:vertAlign w:val="subscript"/>
                    </w:rPr>
                    <w:t>.</w:t>
                  </w:r>
                  <w:r>
                    <w:rPr>
                      <w:vertAlign w:val="subscript"/>
                    </w:rPr>
                    <w:t>5</w:t>
                  </w:r>
                  <w:bookmarkEnd w:id="76"/>
                  <w:bookmarkEnd w:id="77"/>
                </w:p>
              </w:tc>
              <w:tc>
                <w:tcPr>
                  <w:tcW w:w="1265" w:type="pct"/>
                  <w:shd w:val="clear" w:color="auto" w:fill="FFFFFF"/>
                  <w:noWrap w:val="0"/>
                  <w:vAlign w:val="center"/>
                </w:tcPr>
                <w:p>
                  <w:pPr>
                    <w:jc w:val="center"/>
                  </w:pPr>
                  <w:r>
                    <w:t>年平均质量浓度</w:t>
                  </w:r>
                </w:p>
              </w:tc>
              <w:tc>
                <w:tcPr>
                  <w:tcW w:w="832" w:type="pct"/>
                  <w:shd w:val="clear" w:color="auto" w:fill="FFFFFF"/>
                  <w:noWrap w:val="0"/>
                  <w:vAlign w:val="center"/>
                </w:tcPr>
                <w:p>
                  <w:pPr>
                    <w:jc w:val="center"/>
                  </w:pPr>
                  <w:r>
                    <w:rPr>
                      <w:rFonts w:hint="eastAsia"/>
                    </w:rPr>
                    <w:t>34</w:t>
                  </w:r>
                </w:p>
              </w:tc>
              <w:tc>
                <w:tcPr>
                  <w:tcW w:w="749" w:type="pct"/>
                  <w:shd w:val="clear" w:color="auto" w:fill="FFFFFF"/>
                  <w:noWrap w:val="0"/>
                  <w:vAlign w:val="center"/>
                </w:tcPr>
                <w:p>
                  <w:pPr>
                    <w:jc w:val="center"/>
                  </w:pPr>
                  <w:r>
                    <w:t>35</w:t>
                  </w:r>
                </w:p>
              </w:tc>
              <w:tc>
                <w:tcPr>
                  <w:tcW w:w="824" w:type="pct"/>
                  <w:shd w:val="clear" w:color="auto" w:fill="FFFFFF"/>
                  <w:noWrap w:val="0"/>
                  <w:vAlign w:val="center"/>
                </w:tcPr>
                <w:p>
                  <w:pPr>
                    <w:jc w:val="center"/>
                  </w:pPr>
                  <w:r>
                    <w:rPr>
                      <w:rFonts w:hint="eastAsia"/>
                    </w:rPr>
                    <w:t>100</w:t>
                  </w:r>
                </w:p>
              </w:tc>
              <w:tc>
                <w:tcPr>
                  <w:tcW w:w="689" w:type="pct"/>
                  <w:vMerge w:val="continue"/>
                  <w:shd w:val="clear" w:color="auto" w:fill="FFFFFF"/>
                  <w:noWrap w:val="0"/>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r>
                    <w:t>CO</w:t>
                  </w:r>
                </w:p>
              </w:tc>
              <w:tc>
                <w:tcPr>
                  <w:tcW w:w="1265" w:type="pct"/>
                  <w:shd w:val="clear" w:color="auto" w:fill="FFFFFF"/>
                  <w:noWrap w:val="0"/>
                  <w:vAlign w:val="center"/>
                </w:tcPr>
                <w:p>
                  <w:pPr>
                    <w:jc w:val="center"/>
                  </w:pPr>
                  <w:r>
                    <w:t>第95百分位数日平均 质量浓度</w:t>
                  </w:r>
                </w:p>
              </w:tc>
              <w:tc>
                <w:tcPr>
                  <w:tcW w:w="832" w:type="pct"/>
                  <w:shd w:val="clear" w:color="auto" w:fill="FFFFFF"/>
                  <w:noWrap w:val="0"/>
                  <w:vAlign w:val="center"/>
                </w:tcPr>
                <w:p>
                  <w:pPr>
                    <w:jc w:val="center"/>
                  </w:pPr>
                  <w:r>
                    <w:rPr>
                      <w:rFonts w:hint="eastAsia"/>
                    </w:rPr>
                    <w:t>1000</w:t>
                  </w:r>
                </w:p>
              </w:tc>
              <w:tc>
                <w:tcPr>
                  <w:tcW w:w="749" w:type="pct"/>
                  <w:shd w:val="clear" w:color="auto" w:fill="FFFFFF"/>
                  <w:noWrap w:val="0"/>
                  <w:vAlign w:val="center"/>
                </w:tcPr>
                <w:p>
                  <w:pPr>
                    <w:jc w:val="center"/>
                  </w:pPr>
                  <w:r>
                    <w:t>4000</w:t>
                  </w:r>
                </w:p>
              </w:tc>
              <w:tc>
                <w:tcPr>
                  <w:tcW w:w="824" w:type="pct"/>
                  <w:shd w:val="clear" w:color="auto" w:fill="FFFFFF"/>
                  <w:noWrap w:val="0"/>
                  <w:vAlign w:val="center"/>
                </w:tcPr>
                <w:p>
                  <w:pPr>
                    <w:jc w:val="center"/>
                  </w:pPr>
                  <w:r>
                    <w:rPr>
                      <w:rFonts w:hint="eastAsia"/>
                    </w:rPr>
                    <w:t>27.5</w:t>
                  </w:r>
                </w:p>
              </w:tc>
              <w:tc>
                <w:tcPr>
                  <w:tcW w:w="689" w:type="pct"/>
                  <w:vMerge w:val="continue"/>
                  <w:noWrap w:val="0"/>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jc w:val="center"/>
              </w:trPr>
              <w:tc>
                <w:tcPr>
                  <w:tcW w:w="641" w:type="pct"/>
                  <w:shd w:val="clear" w:color="auto" w:fill="FFFFFF"/>
                  <w:noWrap w:val="0"/>
                  <w:vAlign w:val="center"/>
                </w:tcPr>
                <w:p>
                  <w:pPr>
                    <w:jc w:val="center"/>
                  </w:pPr>
                  <w:bookmarkStart w:id="78" w:name="OLE_LINK238"/>
                  <w:bookmarkStart w:id="79" w:name="OLE_LINK215"/>
                  <w:bookmarkStart w:id="80" w:name="OLE_LINK216"/>
                  <w:r>
                    <w:t>O</w:t>
                  </w:r>
                  <w:r>
                    <w:rPr>
                      <w:rFonts w:hint="eastAsia"/>
                      <w:vertAlign w:val="subscript"/>
                    </w:rPr>
                    <w:t>3</w:t>
                  </w:r>
                  <w:bookmarkEnd w:id="78"/>
                  <w:bookmarkEnd w:id="79"/>
                  <w:bookmarkEnd w:id="80"/>
                </w:p>
              </w:tc>
              <w:tc>
                <w:tcPr>
                  <w:tcW w:w="1265" w:type="pct"/>
                  <w:shd w:val="clear" w:color="auto" w:fill="FFFFFF"/>
                  <w:noWrap w:val="0"/>
                  <w:vAlign w:val="center"/>
                </w:tcPr>
                <w:p>
                  <w:pPr>
                    <w:jc w:val="center"/>
                  </w:pPr>
                  <w:r>
                    <w:t>第90百分位数最大8h 平均质量浓度</w:t>
                  </w:r>
                </w:p>
              </w:tc>
              <w:tc>
                <w:tcPr>
                  <w:tcW w:w="832" w:type="pct"/>
                  <w:shd w:val="clear" w:color="auto" w:fill="FFFFFF"/>
                  <w:noWrap w:val="0"/>
                  <w:vAlign w:val="center"/>
                </w:tcPr>
                <w:p>
                  <w:pPr>
                    <w:jc w:val="center"/>
                  </w:pPr>
                  <w:r>
                    <w:rPr>
                      <w:rFonts w:hint="eastAsia"/>
                    </w:rPr>
                    <w:t>147</w:t>
                  </w:r>
                </w:p>
              </w:tc>
              <w:tc>
                <w:tcPr>
                  <w:tcW w:w="749" w:type="pct"/>
                  <w:shd w:val="clear" w:color="auto" w:fill="FFFFFF"/>
                  <w:noWrap w:val="0"/>
                  <w:vAlign w:val="center"/>
                </w:tcPr>
                <w:p>
                  <w:pPr>
                    <w:jc w:val="center"/>
                  </w:pPr>
                  <w:r>
                    <w:t>160</w:t>
                  </w:r>
                </w:p>
              </w:tc>
              <w:tc>
                <w:tcPr>
                  <w:tcW w:w="824" w:type="pct"/>
                  <w:shd w:val="clear" w:color="auto" w:fill="FFFFFF"/>
                  <w:noWrap w:val="0"/>
                  <w:vAlign w:val="center"/>
                </w:tcPr>
                <w:p>
                  <w:pPr>
                    <w:jc w:val="center"/>
                  </w:pPr>
                  <w:r>
                    <w:rPr>
                      <w:rFonts w:hint="eastAsia"/>
                    </w:rPr>
                    <w:t>96.3</w:t>
                  </w:r>
                </w:p>
              </w:tc>
              <w:tc>
                <w:tcPr>
                  <w:tcW w:w="689" w:type="pct"/>
                  <w:vMerge w:val="continue"/>
                  <w:noWrap w:val="0"/>
                  <w:vAlign w:val="center"/>
                </w:tcPr>
                <w:p>
                  <w:pPr>
                    <w:jc w:val="center"/>
                  </w:pPr>
                </w:p>
              </w:tc>
            </w:tr>
            <w:bookmarkEnd w:id="70"/>
          </w:tbl>
          <w:p>
            <w:pPr>
              <w:adjustRightInd w:val="0"/>
              <w:snapToGrid w:val="0"/>
              <w:spacing w:line="360" w:lineRule="auto"/>
              <w:ind w:firstLine="480" w:firstLineChars="200"/>
              <w:rPr>
                <w:rFonts w:hint="eastAsia" w:ascii="宋体" w:hAnsi="宋体"/>
                <w:bCs/>
                <w:sz w:val="24"/>
                <w:u w:val="single"/>
              </w:rPr>
            </w:pPr>
            <w:r>
              <w:rPr>
                <w:rFonts w:hint="eastAsia" w:ascii="宋体" w:hAnsi="宋体"/>
                <w:bCs/>
                <w:sz w:val="24"/>
                <w:u w:val="single"/>
              </w:rPr>
              <w:t>根据《环境影响评价技术导则大气环境》（HJ2.2-2018）第6.4.1.1条“城市环境空气质量达标情况评价指标为 SO2、NO2、PM10、PM2.5、CO和O3，六项污染物全部达标即为城市环境空气质量达标”。项目所在区域基本污染物 SO2、NO2、PM10、PM2.5、CO和O3均满足《环境空气质量标准》（GB3095-2012）及其修改单</w:t>
            </w:r>
            <w:r>
              <w:rPr>
                <w:rFonts w:hint="eastAsia" w:ascii="宋体" w:hAnsi="宋体"/>
                <w:bCs/>
                <w:sz w:val="24"/>
                <w:u w:val="single"/>
                <w:lang w:eastAsia="zh-CN"/>
              </w:rPr>
              <w:t>二次</w:t>
            </w:r>
            <w:r>
              <w:rPr>
                <w:rFonts w:hint="eastAsia" w:ascii="宋体" w:hAnsi="宋体"/>
                <w:bCs/>
                <w:sz w:val="24"/>
                <w:u w:val="single"/>
              </w:rPr>
              <w:t>标准要求，故本项目所在区域 2022 年为环境空气质量达标区。</w:t>
            </w:r>
          </w:p>
          <w:p>
            <w:pPr>
              <w:adjustRightInd w:val="0"/>
              <w:snapToGrid w:val="0"/>
              <w:spacing w:line="360" w:lineRule="auto"/>
              <w:ind w:firstLine="482" w:firstLineChars="200"/>
              <w:rPr>
                <w:b/>
                <w:bCs/>
                <w:sz w:val="24"/>
              </w:rPr>
            </w:pPr>
            <w:r>
              <w:rPr>
                <w:rFonts w:hint="eastAsia"/>
                <w:b/>
                <w:bCs/>
                <w:sz w:val="24"/>
              </w:rPr>
              <w:t>3.2</w:t>
            </w:r>
            <w:r>
              <w:rPr>
                <w:b/>
                <w:bCs/>
                <w:sz w:val="24"/>
              </w:rPr>
              <w:t>地表水环境。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u w:val="single"/>
              </w:rPr>
            </w:pPr>
            <w:r>
              <w:rPr>
                <w:rFonts w:hint="eastAsia"/>
                <w:sz w:val="24"/>
                <w:u w:val="single"/>
                <w:lang w:val="en-US" w:eastAsia="zh-CN"/>
              </w:rPr>
              <w:t>本项目废水不外排，生活污水及公共厕所废水经三级化粪池+调节池处理后用作周边绿植施肥，初期雨水及地面清洗废水经隔油沉淀池处理后用作洒水降尘</w:t>
            </w:r>
            <w:r>
              <w:rPr>
                <w:sz w:val="24"/>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u w:val="single"/>
              </w:rPr>
            </w:pPr>
            <w:r>
              <w:rPr>
                <w:rFonts w:hint="default" w:ascii="Times New Roman" w:hAnsi="Times New Roman" w:eastAsia="宋体" w:cs="Times New Roman"/>
                <w:color w:val="auto"/>
                <w:sz w:val="24"/>
                <w:szCs w:val="24"/>
                <w:highlight w:val="none"/>
                <w:u w:val="none"/>
                <w:lang w:val="en-US" w:eastAsia="zh-CN"/>
              </w:rPr>
              <w:t>本次评价引用</w:t>
            </w:r>
            <w:r>
              <w:rPr>
                <w:rFonts w:hint="eastAsia" w:ascii="Times New Roman" w:hAnsi="Times New Roman" w:eastAsia="宋体"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岳阳市2022年度生态环境质量公报</w:t>
            </w:r>
            <w:r>
              <w:rPr>
                <w:rFonts w:hint="eastAsia" w:ascii="Times New Roman" w:hAnsi="Times New Roman" w:eastAsia="宋体" w:cs="Times New Roman"/>
                <w:color w:val="auto"/>
                <w:sz w:val="24"/>
                <w:szCs w:val="24"/>
                <w:highlight w:val="none"/>
                <w:u w:val="none"/>
                <w:lang w:val="en-US" w:eastAsia="zh-CN"/>
              </w:rPr>
              <w:t>》中“三、地表水环境--（主要江河水质状况”中：</w:t>
            </w:r>
            <w:r>
              <w:rPr>
                <w:rFonts w:hint="default" w:ascii="Times New Roman" w:hAnsi="Times New Roman" w:eastAsia="宋体" w:cs="Times New Roman"/>
                <w:color w:val="auto"/>
                <w:sz w:val="24"/>
                <w:szCs w:val="24"/>
                <w:highlight w:val="none"/>
                <w:u w:val="none"/>
                <w:lang w:val="en-US" w:eastAsia="zh-CN"/>
              </w:rPr>
              <w:t>其他水体（资江洪道、坦渡河和</w:t>
            </w:r>
            <w:r>
              <w:rPr>
                <w:rFonts w:hint="default" w:ascii="Times New Roman" w:hAnsi="Times New Roman" w:eastAsia="宋体" w:cs="Times New Roman"/>
                <w:b/>
                <w:bCs/>
                <w:color w:val="auto"/>
                <w:sz w:val="24"/>
                <w:szCs w:val="24"/>
                <w:highlight w:val="none"/>
                <w:u w:val="none"/>
                <w:lang w:val="en-US" w:eastAsia="zh-CN"/>
              </w:rPr>
              <w:t>源潭河</w:t>
            </w:r>
            <w:r>
              <w:rPr>
                <w:rFonts w:hint="default" w:ascii="Times New Roman" w:hAnsi="Times New Roman" w:eastAsia="宋体" w:cs="Times New Roman"/>
                <w:color w:val="auto"/>
                <w:sz w:val="24"/>
                <w:szCs w:val="24"/>
                <w:highlight w:val="none"/>
                <w:u w:val="none"/>
                <w:lang w:val="en-US" w:eastAsia="zh-CN"/>
              </w:rPr>
              <w:t>）3个控制断面水质均达到Ⅱ类。</w:t>
            </w:r>
            <w:r>
              <w:rPr>
                <w:rFonts w:hint="eastAsia" w:ascii="Times New Roman" w:hAnsi="Times New Roman" w:eastAsia="宋体" w:cs="Times New Roman"/>
                <w:color w:val="auto"/>
                <w:sz w:val="24"/>
                <w:szCs w:val="24"/>
                <w:highlight w:val="none"/>
                <w:u w:val="none"/>
                <w:lang w:val="en-US" w:eastAsia="zh-CN"/>
              </w:rPr>
              <w:t>根据《</w:t>
            </w:r>
            <w:r>
              <w:rPr>
                <w:rFonts w:hint="default" w:ascii="Times New Roman" w:hAnsi="Times New Roman" w:eastAsia="宋体" w:cs="Times New Roman"/>
                <w:color w:val="auto"/>
                <w:sz w:val="24"/>
                <w:szCs w:val="24"/>
                <w:highlight w:val="none"/>
                <w:u w:val="none"/>
                <w:lang w:val="en-US" w:eastAsia="zh-CN"/>
              </w:rPr>
              <w:t>岳阳市2022年度生态环境质量公报</w:t>
            </w:r>
            <w:r>
              <w:rPr>
                <w:rFonts w:hint="eastAsia" w:ascii="Times New Roman" w:hAnsi="Times New Roman" w:eastAsia="宋体"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源潭河</w:t>
            </w:r>
            <w:r>
              <w:rPr>
                <w:rFonts w:hint="eastAsia" w:ascii="Times New Roman" w:hAnsi="Times New Roman" w:eastAsia="宋体" w:cs="Times New Roman"/>
                <w:color w:val="auto"/>
                <w:sz w:val="24"/>
                <w:szCs w:val="24"/>
                <w:highlight w:val="none"/>
                <w:u w:val="none"/>
                <w:lang w:val="en-US" w:eastAsia="zh-CN"/>
              </w:rPr>
              <w:t>监测断面水质可满足《地表水环境质量标准》（</w:t>
            </w:r>
            <w:r>
              <w:rPr>
                <w:rFonts w:hint="default" w:ascii="Times New Roman" w:hAnsi="Times New Roman" w:eastAsia="宋体" w:cs="Times New Roman"/>
                <w:color w:val="auto"/>
                <w:sz w:val="24"/>
                <w:szCs w:val="24"/>
                <w:highlight w:val="none"/>
                <w:u w:val="none"/>
                <w:lang w:val="en-US" w:eastAsia="zh-CN"/>
              </w:rPr>
              <w:t>GB3838-2002</w:t>
            </w:r>
            <w:r>
              <w:rPr>
                <w:rFonts w:hint="eastAsia" w:ascii="Times New Roman" w:hAnsi="Times New Roman" w:eastAsia="宋体" w:cs="Times New Roman"/>
                <w:color w:val="auto"/>
                <w:sz w:val="24"/>
                <w:szCs w:val="24"/>
                <w:highlight w:val="none"/>
                <w:u w:val="none"/>
                <w:lang w:val="en-US" w:eastAsia="zh-CN"/>
              </w:rPr>
              <w:t>）中的</w:t>
            </w:r>
            <w:r>
              <w:rPr>
                <w:rFonts w:hint="default" w:ascii="Times New Roman" w:hAnsi="Times New Roman" w:eastAsia="宋体" w:cs="Times New Roman"/>
                <w:color w:val="auto"/>
                <w:sz w:val="24"/>
                <w:szCs w:val="24"/>
                <w:highlight w:val="none"/>
                <w:u w:val="none"/>
                <w:lang w:val="en-US" w:eastAsia="zh-CN"/>
              </w:rPr>
              <w:t>Ⅱ</w:t>
            </w:r>
            <w:r>
              <w:rPr>
                <w:rFonts w:hint="eastAsia" w:ascii="Times New Roman" w:hAnsi="Times New Roman" w:eastAsia="宋体" w:cs="Times New Roman"/>
                <w:color w:val="auto"/>
                <w:sz w:val="24"/>
                <w:szCs w:val="24"/>
                <w:highlight w:val="none"/>
                <w:u w:val="none"/>
                <w:lang w:val="en-US" w:eastAsia="zh-CN"/>
              </w:rPr>
              <w:t>类标准。</w:t>
            </w:r>
          </w:p>
          <w:p>
            <w:pPr>
              <w:adjustRightInd w:val="0"/>
              <w:snapToGrid w:val="0"/>
              <w:spacing w:line="360" w:lineRule="auto"/>
              <w:ind w:firstLine="482" w:firstLineChars="200"/>
              <w:rPr>
                <w:b/>
                <w:bCs/>
                <w:color w:val="000000"/>
                <w:sz w:val="24"/>
              </w:rPr>
            </w:pPr>
            <w:r>
              <w:rPr>
                <w:rFonts w:hint="eastAsia"/>
                <w:b/>
                <w:bCs/>
                <w:color w:val="000000"/>
                <w:sz w:val="24"/>
              </w:rPr>
              <w:t>3.3</w:t>
            </w:r>
            <w:r>
              <w:rPr>
                <w:b/>
                <w:bCs/>
                <w:color w:val="000000"/>
                <w:sz w:val="24"/>
              </w:rPr>
              <w:t>声环境</w:t>
            </w:r>
          </w:p>
          <w:p>
            <w:pPr>
              <w:adjustRightInd w:val="0"/>
              <w:snapToGrid w:val="0"/>
              <w:spacing w:line="360" w:lineRule="auto"/>
              <w:ind w:firstLine="480" w:firstLineChars="200"/>
              <w:rPr>
                <w:sz w:val="24"/>
                <w:u w:val="single"/>
              </w:rPr>
            </w:pPr>
            <w:r>
              <w:rPr>
                <w:sz w:val="24"/>
                <w:u w:val="single"/>
              </w:rPr>
              <w:t>项目所在地属于《声环境质量标准》（GB3096-2008）中的2类区域，除</w:t>
            </w:r>
            <w:r>
              <w:rPr>
                <w:rFonts w:hint="eastAsia"/>
                <w:sz w:val="24"/>
                <w:u w:val="single"/>
              </w:rPr>
              <w:t>北（临鸭公路）厂界执行4类标准，其余</w:t>
            </w:r>
            <w:r>
              <w:rPr>
                <w:sz w:val="24"/>
                <w:u w:val="single"/>
              </w:rPr>
              <w:t>厂界均执行2</w:t>
            </w:r>
            <w:r>
              <w:rPr>
                <w:rFonts w:hint="eastAsia"/>
                <w:sz w:val="24"/>
                <w:u w:val="single"/>
              </w:rPr>
              <w:t>类</w:t>
            </w:r>
            <w:r>
              <w:rPr>
                <w:sz w:val="24"/>
                <w:u w:val="single"/>
              </w:rPr>
              <w:t>标准限值。</w:t>
            </w:r>
          </w:p>
          <w:p>
            <w:pPr>
              <w:pStyle w:val="22"/>
              <w:spacing w:line="360" w:lineRule="auto"/>
              <w:ind w:left="0" w:leftChars="0" w:firstLine="480" w:firstLineChars="200"/>
              <w:rPr>
                <w:sz w:val="24"/>
                <w:u w:val="single"/>
              </w:rPr>
            </w:pPr>
            <w:r>
              <w:rPr>
                <w:sz w:val="24"/>
                <w:u w:val="single"/>
              </w:rPr>
              <w:t>为了解项目所在地声环境质量现状，</w:t>
            </w:r>
            <w:r>
              <w:rPr>
                <w:rFonts w:hint="eastAsia"/>
                <w:sz w:val="24"/>
                <w:u w:val="single"/>
              </w:rPr>
              <w:t>建设方</w:t>
            </w:r>
            <w:r>
              <w:rPr>
                <w:sz w:val="24"/>
                <w:u w:val="single"/>
              </w:rPr>
              <w:t>委托</w:t>
            </w:r>
            <w:r>
              <w:rPr>
                <w:rFonts w:hint="eastAsia"/>
                <w:sz w:val="24"/>
                <w:u w:val="single"/>
              </w:rPr>
              <w:t>湖南宏润检测技术</w:t>
            </w:r>
            <w:r>
              <w:rPr>
                <w:sz w:val="24"/>
                <w:u w:val="single"/>
              </w:rPr>
              <w:t>有限公司</w:t>
            </w:r>
            <w:r>
              <w:rPr>
                <w:rFonts w:hint="eastAsia"/>
                <w:sz w:val="24"/>
                <w:u w:val="single"/>
              </w:rPr>
              <w:t>、湖南宇昂检测技术有限公司</w:t>
            </w:r>
            <w:r>
              <w:rPr>
                <w:sz w:val="24"/>
                <w:u w:val="single"/>
              </w:rPr>
              <w:t>对项目所在地声环境进行了现场监测，结果如下</w:t>
            </w:r>
            <w:r>
              <w:rPr>
                <w:rFonts w:hint="eastAsia"/>
                <w:sz w:val="24"/>
                <w:u w:val="single"/>
              </w:rPr>
              <w:t>表</w:t>
            </w:r>
            <w:r>
              <w:rPr>
                <w:sz w:val="24"/>
                <w:u w:val="single"/>
              </w:rPr>
              <w:t>：</w:t>
            </w:r>
          </w:p>
          <w:p>
            <w:pPr>
              <w:pStyle w:val="22"/>
              <w:spacing w:line="360" w:lineRule="auto"/>
              <w:ind w:left="0" w:leftChars="0" w:firstLine="480" w:firstLineChars="200"/>
              <w:rPr>
                <w:sz w:val="24"/>
                <w:u w:val="single"/>
              </w:rPr>
            </w:pPr>
            <w:r>
              <w:rPr>
                <w:sz w:val="24"/>
                <w:u w:val="single"/>
              </w:rPr>
              <w:t>①监测点位：厂界东南西北（N1-N4）</w:t>
            </w:r>
            <w:r>
              <w:rPr>
                <w:rFonts w:hint="eastAsia"/>
                <w:sz w:val="24"/>
                <w:u w:val="single"/>
              </w:rPr>
              <w:t>、居民敏感点N5-N9</w:t>
            </w:r>
          </w:p>
          <w:p>
            <w:pPr>
              <w:pStyle w:val="22"/>
              <w:spacing w:line="360" w:lineRule="auto"/>
              <w:ind w:left="0" w:leftChars="0" w:firstLine="480" w:firstLineChars="200"/>
              <w:rPr>
                <w:sz w:val="24"/>
                <w:u w:val="single"/>
              </w:rPr>
            </w:pPr>
            <w:r>
              <w:rPr>
                <w:sz w:val="24"/>
                <w:u w:val="single"/>
              </w:rPr>
              <w:t>②监测时间：202</w:t>
            </w:r>
            <w:r>
              <w:rPr>
                <w:rFonts w:hint="eastAsia"/>
                <w:sz w:val="24"/>
                <w:u w:val="single"/>
              </w:rPr>
              <w:t>3</w:t>
            </w:r>
            <w:r>
              <w:rPr>
                <w:sz w:val="24"/>
                <w:u w:val="single"/>
              </w:rPr>
              <w:t>年</w:t>
            </w:r>
            <w:r>
              <w:rPr>
                <w:rFonts w:hint="eastAsia"/>
                <w:sz w:val="24"/>
                <w:u w:val="single"/>
              </w:rPr>
              <w:t>2</w:t>
            </w:r>
            <w:r>
              <w:rPr>
                <w:sz w:val="24"/>
                <w:u w:val="single"/>
              </w:rPr>
              <w:t>月</w:t>
            </w:r>
            <w:r>
              <w:rPr>
                <w:rFonts w:hint="eastAsia"/>
                <w:sz w:val="24"/>
                <w:u w:val="single"/>
              </w:rPr>
              <w:t>22</w:t>
            </w:r>
            <w:r>
              <w:rPr>
                <w:sz w:val="24"/>
                <w:u w:val="single"/>
              </w:rPr>
              <w:t>日</w:t>
            </w:r>
            <w:r>
              <w:rPr>
                <w:rFonts w:hint="eastAsia"/>
                <w:sz w:val="24"/>
                <w:u w:val="single"/>
              </w:rPr>
              <w:t>、10月30日-31日</w:t>
            </w:r>
          </w:p>
          <w:p>
            <w:pPr>
              <w:pStyle w:val="22"/>
              <w:spacing w:line="360" w:lineRule="auto"/>
              <w:ind w:left="0" w:leftChars="0" w:firstLine="480" w:firstLineChars="200"/>
              <w:rPr>
                <w:rFonts w:hint="eastAsia"/>
                <w:b/>
                <w:bCs/>
                <w:sz w:val="24"/>
                <w:u w:val="single"/>
              </w:rPr>
            </w:pPr>
            <w:r>
              <w:rPr>
                <w:sz w:val="24"/>
                <w:u w:val="single"/>
              </w:rPr>
              <w:t>③评价标准：厂界</w:t>
            </w:r>
            <w:r>
              <w:rPr>
                <w:rFonts w:hint="eastAsia"/>
                <w:sz w:val="24"/>
                <w:u w:val="single"/>
              </w:rPr>
              <w:t>北</w:t>
            </w:r>
            <w:r>
              <w:rPr>
                <w:sz w:val="24"/>
                <w:u w:val="single"/>
              </w:rPr>
              <w:t>侧执行《声环境质量标准》（GB3096-2008）4a类，其余三侧</w:t>
            </w:r>
            <w:r>
              <w:rPr>
                <w:rFonts w:hint="eastAsia"/>
                <w:sz w:val="24"/>
                <w:u w:val="single"/>
              </w:rPr>
              <w:t>及居民敏感点</w:t>
            </w:r>
            <w:r>
              <w:rPr>
                <w:sz w:val="24"/>
                <w:u w:val="single"/>
              </w:rPr>
              <w:t>执行《声环境质量标准》（GB3096-2008）2类标准</w:t>
            </w:r>
          </w:p>
          <w:p>
            <w:pPr>
              <w:adjustRightInd w:val="0"/>
              <w:snapToGrid w:val="0"/>
              <w:jc w:val="center"/>
              <w:rPr>
                <w:b/>
                <w:bCs/>
                <w:szCs w:val="21"/>
                <w:u w:val="single"/>
              </w:rPr>
            </w:pPr>
            <w:r>
              <w:rPr>
                <w:rFonts w:hint="eastAsia"/>
                <w:b/>
                <w:bCs/>
                <w:szCs w:val="21"/>
                <w:u w:val="single"/>
              </w:rPr>
              <w:t xml:space="preserve">表3-4  </w:t>
            </w:r>
            <w:r>
              <w:rPr>
                <w:rFonts w:hint="eastAsia"/>
                <w:b/>
                <w:bCs/>
                <w:kern w:val="0"/>
                <w:szCs w:val="21"/>
                <w:u w:val="single"/>
              </w:rPr>
              <w:t xml:space="preserve"> </w:t>
            </w:r>
            <w:r>
              <w:rPr>
                <w:b/>
                <w:szCs w:val="21"/>
                <w:u w:val="single"/>
              </w:rPr>
              <w:t>项目声环境监测结果</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0"/>
              <w:gridCol w:w="2013"/>
              <w:gridCol w:w="837"/>
              <w:gridCol w:w="880"/>
              <w:gridCol w:w="1536"/>
              <w:gridCol w:w="16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020" w:type="dxa"/>
                  <w:noWrap w:val="0"/>
                  <w:vAlign w:val="center"/>
                </w:tcPr>
                <w:p>
                  <w:pPr>
                    <w:adjustRightInd w:val="0"/>
                    <w:snapToGrid w:val="0"/>
                    <w:jc w:val="center"/>
                    <w:rPr>
                      <w:rFonts w:hint="eastAsia"/>
                      <w:kern w:val="21"/>
                      <w:szCs w:val="21"/>
                      <w:u w:val="single"/>
                    </w:rPr>
                  </w:pPr>
                  <w:r>
                    <w:rPr>
                      <w:rFonts w:hint="eastAsia"/>
                      <w:kern w:val="21"/>
                      <w:szCs w:val="21"/>
                      <w:u w:val="single"/>
                    </w:rPr>
                    <w:t>检测</w:t>
                  </w:r>
                </w:p>
                <w:p>
                  <w:pPr>
                    <w:adjustRightInd w:val="0"/>
                    <w:snapToGrid w:val="0"/>
                    <w:jc w:val="center"/>
                    <w:rPr>
                      <w:rFonts w:hint="eastAsia"/>
                      <w:kern w:val="21"/>
                      <w:szCs w:val="21"/>
                      <w:u w:val="single"/>
                    </w:rPr>
                  </w:pPr>
                  <w:r>
                    <w:rPr>
                      <w:rFonts w:hint="eastAsia"/>
                      <w:kern w:val="21"/>
                      <w:szCs w:val="21"/>
                      <w:u w:val="single"/>
                    </w:rPr>
                    <w:t>类型</w:t>
                  </w:r>
                </w:p>
              </w:tc>
              <w:tc>
                <w:tcPr>
                  <w:tcW w:w="2013" w:type="dxa"/>
                  <w:noWrap w:val="0"/>
                  <w:vAlign w:val="center"/>
                </w:tcPr>
                <w:p>
                  <w:pPr>
                    <w:adjustRightInd w:val="0"/>
                    <w:snapToGrid w:val="0"/>
                    <w:jc w:val="center"/>
                    <w:rPr>
                      <w:rFonts w:hint="eastAsia"/>
                      <w:kern w:val="21"/>
                      <w:szCs w:val="21"/>
                      <w:u w:val="single"/>
                    </w:rPr>
                  </w:pPr>
                  <w:r>
                    <w:rPr>
                      <w:rFonts w:hint="eastAsia"/>
                      <w:kern w:val="21"/>
                      <w:szCs w:val="21"/>
                      <w:u w:val="single"/>
                    </w:rPr>
                    <w:t>采样点位</w:t>
                  </w:r>
                </w:p>
              </w:tc>
              <w:tc>
                <w:tcPr>
                  <w:tcW w:w="1717" w:type="dxa"/>
                  <w:gridSpan w:val="2"/>
                  <w:noWrap w:val="0"/>
                  <w:vAlign w:val="center"/>
                </w:tcPr>
                <w:p>
                  <w:pPr>
                    <w:adjustRightInd w:val="0"/>
                    <w:snapToGrid w:val="0"/>
                    <w:jc w:val="center"/>
                    <w:rPr>
                      <w:rFonts w:hint="eastAsia"/>
                      <w:kern w:val="21"/>
                      <w:szCs w:val="21"/>
                      <w:u w:val="single"/>
                    </w:rPr>
                  </w:pPr>
                  <w:r>
                    <w:rPr>
                      <w:rFonts w:hint="eastAsia"/>
                      <w:kern w:val="21"/>
                      <w:szCs w:val="21"/>
                      <w:u w:val="single"/>
                    </w:rPr>
                    <w:t>采样时间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检测值[dB(A)I</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参考限值[dB(A)1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厂界噪声</w:t>
                  </w:r>
                </w:p>
              </w:tc>
              <w:tc>
                <w:tcPr>
                  <w:tcW w:w="2013"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厂界东侧外1m▲N1</w:t>
                  </w:r>
                </w:p>
              </w:tc>
              <w:tc>
                <w:tcPr>
                  <w:tcW w:w="837"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02.22</w:t>
                  </w: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54.6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46.0</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厂界南侧外1m▲N2</w:t>
                  </w: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55.7</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46.0</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厂界西侧外1m▲N3</w:t>
                  </w: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54.5</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44.7</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020"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2013" w:type="dxa"/>
                  <w:vMerge w:val="restart"/>
                  <w:tcBorders>
                    <w:bottom w:val="nil"/>
                  </w:tcBorders>
                  <w:noWrap w:val="0"/>
                  <w:vAlign w:val="center"/>
                </w:tcPr>
                <w:p>
                  <w:pPr>
                    <w:adjustRightInd w:val="0"/>
                    <w:snapToGrid w:val="0"/>
                    <w:jc w:val="center"/>
                    <w:rPr>
                      <w:rFonts w:hint="eastAsia"/>
                      <w:kern w:val="21"/>
                      <w:szCs w:val="21"/>
                      <w:u w:val="single"/>
                    </w:rPr>
                  </w:pPr>
                  <w:r>
                    <w:rPr>
                      <w:rFonts w:hint="eastAsia"/>
                      <w:kern w:val="21"/>
                      <w:szCs w:val="21"/>
                      <w:u w:val="single"/>
                    </w:rPr>
                    <w:t>厂界北侧外1m▲N4</w:t>
                  </w:r>
                </w:p>
              </w:tc>
              <w:tc>
                <w:tcPr>
                  <w:tcW w:w="837" w:type="dxa"/>
                  <w:vMerge w:val="continue"/>
                  <w:tcBorders>
                    <w:top w:val="nil"/>
                    <w:bottom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58.4</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020" w:type="dxa"/>
                  <w:vMerge w:val="continue"/>
                  <w:tcBorders>
                    <w:top w:val="nil"/>
                  </w:tcBorders>
                  <w:noWrap w:val="0"/>
                  <w:vAlign w:val="center"/>
                </w:tcPr>
                <w:p>
                  <w:pPr>
                    <w:adjustRightInd w:val="0"/>
                    <w:snapToGrid w:val="0"/>
                    <w:jc w:val="center"/>
                    <w:rPr>
                      <w:rFonts w:hint="eastAsia"/>
                      <w:kern w:val="21"/>
                      <w:szCs w:val="21"/>
                      <w:u w:val="single"/>
                    </w:rPr>
                  </w:pPr>
                </w:p>
              </w:tc>
              <w:tc>
                <w:tcPr>
                  <w:tcW w:w="201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tcBorders>
                    <w:top w:val="nil"/>
                  </w:tcBorders>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46.5</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55</w:t>
                  </w:r>
                </w:p>
              </w:tc>
            </w:tr>
          </w:tbl>
          <w:p>
            <w:pPr>
              <w:adjustRightInd w:val="0"/>
              <w:snapToGrid w:val="0"/>
              <w:spacing w:line="360" w:lineRule="auto"/>
              <w:jc w:val="center"/>
              <w:rPr>
                <w:rFonts w:hint="eastAsia"/>
                <w:b/>
                <w:bCs/>
                <w:szCs w:val="21"/>
                <w:u w:val="single"/>
              </w:rPr>
            </w:pPr>
          </w:p>
          <w:p>
            <w:pPr>
              <w:adjustRightInd w:val="0"/>
              <w:snapToGrid w:val="0"/>
              <w:spacing w:line="360" w:lineRule="auto"/>
              <w:jc w:val="center"/>
              <w:rPr>
                <w:rFonts w:hint="eastAsia"/>
                <w:b/>
                <w:bCs/>
                <w:szCs w:val="21"/>
                <w:u w:val="single"/>
              </w:rPr>
            </w:pPr>
            <w:r>
              <w:rPr>
                <w:rFonts w:hint="eastAsia"/>
                <w:b/>
                <w:bCs/>
                <w:szCs w:val="21"/>
                <w:u w:val="single"/>
              </w:rPr>
              <w:t>表3-5   项目居民敏感点噪声检测结果一览表</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0"/>
              <w:gridCol w:w="2183"/>
              <w:gridCol w:w="837"/>
              <w:gridCol w:w="880"/>
              <w:gridCol w:w="1536"/>
              <w:gridCol w:w="16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850" w:type="dxa"/>
                  <w:noWrap w:val="0"/>
                  <w:vAlign w:val="center"/>
                </w:tcPr>
                <w:p>
                  <w:pPr>
                    <w:adjustRightInd w:val="0"/>
                    <w:snapToGrid w:val="0"/>
                    <w:jc w:val="center"/>
                    <w:rPr>
                      <w:rFonts w:hint="eastAsia"/>
                      <w:kern w:val="21"/>
                      <w:szCs w:val="21"/>
                      <w:u w:val="single"/>
                    </w:rPr>
                  </w:pPr>
                  <w:r>
                    <w:rPr>
                      <w:rFonts w:hint="eastAsia"/>
                      <w:kern w:val="21"/>
                      <w:szCs w:val="21"/>
                      <w:u w:val="single"/>
                    </w:rPr>
                    <w:t>检测</w:t>
                  </w:r>
                </w:p>
                <w:p>
                  <w:pPr>
                    <w:adjustRightInd w:val="0"/>
                    <w:snapToGrid w:val="0"/>
                    <w:jc w:val="center"/>
                    <w:rPr>
                      <w:rFonts w:hint="eastAsia"/>
                      <w:kern w:val="21"/>
                      <w:szCs w:val="21"/>
                      <w:u w:val="single"/>
                    </w:rPr>
                  </w:pPr>
                  <w:r>
                    <w:rPr>
                      <w:rFonts w:hint="eastAsia"/>
                      <w:kern w:val="21"/>
                      <w:szCs w:val="21"/>
                      <w:u w:val="single"/>
                    </w:rPr>
                    <w:t>类型</w:t>
                  </w:r>
                </w:p>
              </w:tc>
              <w:tc>
                <w:tcPr>
                  <w:tcW w:w="2183" w:type="dxa"/>
                  <w:noWrap w:val="0"/>
                  <w:vAlign w:val="center"/>
                </w:tcPr>
                <w:p>
                  <w:pPr>
                    <w:adjustRightInd w:val="0"/>
                    <w:snapToGrid w:val="0"/>
                    <w:jc w:val="center"/>
                    <w:rPr>
                      <w:rFonts w:hint="eastAsia"/>
                      <w:kern w:val="21"/>
                      <w:szCs w:val="21"/>
                      <w:u w:val="single"/>
                    </w:rPr>
                  </w:pPr>
                  <w:r>
                    <w:rPr>
                      <w:rFonts w:hint="eastAsia"/>
                      <w:kern w:val="21"/>
                      <w:szCs w:val="21"/>
                      <w:u w:val="single"/>
                    </w:rPr>
                    <w:t>采样点位</w:t>
                  </w:r>
                </w:p>
              </w:tc>
              <w:tc>
                <w:tcPr>
                  <w:tcW w:w="1717" w:type="dxa"/>
                  <w:gridSpan w:val="2"/>
                  <w:noWrap w:val="0"/>
                  <w:vAlign w:val="center"/>
                </w:tcPr>
                <w:p>
                  <w:pPr>
                    <w:adjustRightInd w:val="0"/>
                    <w:snapToGrid w:val="0"/>
                    <w:jc w:val="center"/>
                    <w:rPr>
                      <w:rFonts w:hint="eastAsia"/>
                      <w:kern w:val="21"/>
                      <w:szCs w:val="21"/>
                      <w:u w:val="single"/>
                    </w:rPr>
                  </w:pPr>
                  <w:r>
                    <w:rPr>
                      <w:rFonts w:hint="eastAsia"/>
                      <w:kern w:val="21"/>
                      <w:szCs w:val="21"/>
                      <w:u w:val="single"/>
                    </w:rPr>
                    <w:t>采样时间</w:t>
                  </w:r>
                </w:p>
              </w:tc>
              <w:tc>
                <w:tcPr>
                  <w:tcW w:w="1536" w:type="dxa"/>
                  <w:noWrap w:val="0"/>
                  <w:vAlign w:val="center"/>
                </w:tcPr>
                <w:p>
                  <w:pPr>
                    <w:adjustRightInd w:val="0"/>
                    <w:snapToGrid w:val="0"/>
                    <w:jc w:val="center"/>
                    <w:rPr>
                      <w:rFonts w:hint="eastAsia"/>
                      <w:kern w:val="21"/>
                      <w:szCs w:val="21"/>
                      <w:u w:val="single"/>
                    </w:rPr>
                  </w:pPr>
                  <w:r>
                    <w:rPr>
                      <w:rFonts w:hint="eastAsia"/>
                      <w:kern w:val="21"/>
                      <w:szCs w:val="21"/>
                      <w:u w:val="single"/>
                    </w:rPr>
                    <w:t>检测值[dB(A)I</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参考限值[dB(A)1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restart"/>
                  <w:noWrap w:val="0"/>
                  <w:vAlign w:val="center"/>
                </w:tcPr>
                <w:p>
                  <w:pPr>
                    <w:adjustRightInd w:val="0"/>
                    <w:snapToGrid w:val="0"/>
                    <w:jc w:val="center"/>
                    <w:rPr>
                      <w:kern w:val="21"/>
                      <w:szCs w:val="21"/>
                      <w:u w:val="single"/>
                    </w:rPr>
                  </w:pPr>
                  <w:r>
                    <w:rPr>
                      <w:rFonts w:hint="eastAsia"/>
                      <w:kern w:val="21"/>
                      <w:szCs w:val="21"/>
                      <w:u w:val="single"/>
                    </w:rPr>
                    <w:t>环境噪声</w:t>
                  </w:r>
                </w:p>
              </w:tc>
              <w:tc>
                <w:tcPr>
                  <w:tcW w:w="2183" w:type="dxa"/>
                  <w:vMerge w:val="restart"/>
                  <w:tcBorders>
                    <w:bottom w:val="nil"/>
                  </w:tcBorders>
                  <w:noWrap w:val="0"/>
                  <w:vAlign w:val="center"/>
                </w:tcPr>
                <w:p>
                  <w:pPr>
                    <w:adjustRightInd w:val="0"/>
                    <w:snapToGrid w:val="0"/>
                    <w:jc w:val="center"/>
                    <w:rPr>
                      <w:kern w:val="21"/>
                      <w:szCs w:val="21"/>
                      <w:u w:val="single"/>
                    </w:rPr>
                  </w:pPr>
                  <w:r>
                    <w:rPr>
                      <w:rFonts w:hint="eastAsia"/>
                      <w:kern w:val="21"/>
                      <w:szCs w:val="21"/>
                      <w:u w:val="single"/>
                    </w:rPr>
                    <w:t>N1厂界东侧外居民点</w:t>
                  </w:r>
                </w:p>
              </w:tc>
              <w:tc>
                <w:tcPr>
                  <w:tcW w:w="837" w:type="dxa"/>
                  <w:vMerge w:val="restart"/>
                  <w:noWrap w:val="0"/>
                  <w:vAlign w:val="center"/>
                </w:tcPr>
                <w:p>
                  <w:pPr>
                    <w:adjustRightInd w:val="0"/>
                    <w:snapToGrid w:val="0"/>
                    <w:jc w:val="center"/>
                    <w:rPr>
                      <w:kern w:val="21"/>
                      <w:szCs w:val="21"/>
                      <w:u w:val="single"/>
                    </w:rPr>
                  </w:pPr>
                  <w:r>
                    <w:rPr>
                      <w:rFonts w:hint="eastAsia"/>
                      <w:kern w:val="21"/>
                      <w:szCs w:val="21"/>
                      <w:u w:val="single"/>
                    </w:rPr>
                    <w:t>10月30日</w:t>
                  </w: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51.8</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38.0</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tcBorders>
                    <w:bottom w:val="nil"/>
                  </w:tcBorders>
                  <w:noWrap w:val="0"/>
                  <w:vAlign w:val="center"/>
                </w:tcPr>
                <w:p>
                  <w:pPr>
                    <w:adjustRightInd w:val="0"/>
                    <w:snapToGrid w:val="0"/>
                    <w:jc w:val="center"/>
                    <w:rPr>
                      <w:kern w:val="21"/>
                      <w:szCs w:val="21"/>
                      <w:u w:val="single"/>
                    </w:rPr>
                  </w:pPr>
                  <w:r>
                    <w:rPr>
                      <w:rFonts w:hint="eastAsia"/>
                      <w:kern w:val="21"/>
                      <w:szCs w:val="21"/>
                      <w:u w:val="single"/>
                    </w:rPr>
                    <w:t>N2厂界东南侧外居民点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52.6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41.6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tcBorders>
                    <w:bottom w:val="nil"/>
                  </w:tcBorders>
                  <w:noWrap w:val="0"/>
                  <w:vAlign w:val="center"/>
                </w:tcPr>
                <w:p>
                  <w:pPr>
                    <w:adjustRightInd w:val="0"/>
                    <w:snapToGrid w:val="0"/>
                    <w:jc w:val="center"/>
                    <w:rPr>
                      <w:kern w:val="21"/>
                      <w:szCs w:val="21"/>
                      <w:u w:val="single"/>
                    </w:rPr>
                  </w:pPr>
                  <w:r>
                    <w:rPr>
                      <w:rFonts w:hint="eastAsia"/>
                      <w:kern w:val="21"/>
                      <w:szCs w:val="21"/>
                      <w:u w:val="single"/>
                    </w:rPr>
                    <w:t>N3厂界西南侧外居民点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54.6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41.2</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tcBorders>
                    <w:bottom w:val="nil"/>
                  </w:tcBorders>
                  <w:noWrap w:val="0"/>
                  <w:vAlign w:val="center"/>
                </w:tcPr>
                <w:p>
                  <w:pPr>
                    <w:adjustRightInd w:val="0"/>
                    <w:snapToGrid w:val="0"/>
                    <w:jc w:val="center"/>
                    <w:rPr>
                      <w:kern w:val="21"/>
                      <w:szCs w:val="21"/>
                      <w:u w:val="single"/>
                    </w:rPr>
                  </w:pPr>
                  <w:r>
                    <w:rPr>
                      <w:rFonts w:hint="eastAsia"/>
                      <w:kern w:val="21"/>
                      <w:szCs w:val="21"/>
                      <w:u w:val="single"/>
                    </w:rPr>
                    <w:t>N4厂界西侧外居民点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54.3</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tcBorders>
                    <w:top w:val="nil"/>
                  </w:tcBorders>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40.2</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tcBorders>
                    <w:top w:val="nil"/>
                  </w:tcBorders>
                  <w:noWrap w:val="0"/>
                  <w:vAlign w:val="center"/>
                </w:tcPr>
                <w:p>
                  <w:pPr>
                    <w:adjustRightInd w:val="0"/>
                    <w:snapToGrid w:val="0"/>
                    <w:jc w:val="center"/>
                    <w:rPr>
                      <w:rFonts w:hint="eastAsia"/>
                      <w:kern w:val="21"/>
                      <w:szCs w:val="21"/>
                      <w:u w:val="single"/>
                    </w:rPr>
                  </w:pPr>
                  <w:r>
                    <w:rPr>
                      <w:rFonts w:hint="eastAsia"/>
                      <w:kern w:val="21"/>
                      <w:szCs w:val="21"/>
                      <w:u w:val="single"/>
                    </w:rPr>
                    <w:t>N5厂界西北侧外居民点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49.8</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39.8</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N1厂界东侧外居民点</w:t>
                  </w:r>
                </w:p>
              </w:tc>
              <w:tc>
                <w:tcPr>
                  <w:tcW w:w="837"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10月31日</w:t>
                  </w: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50.9</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41.3</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N2厂界东南侧外居民点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53.3</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42.1</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N3厂界西南侧外居民点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55.0</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42.0</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N4厂界西侧外居民点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53.6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42.7</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restart"/>
                  <w:noWrap w:val="0"/>
                  <w:vAlign w:val="center"/>
                </w:tcPr>
                <w:p>
                  <w:pPr>
                    <w:adjustRightInd w:val="0"/>
                    <w:snapToGrid w:val="0"/>
                    <w:jc w:val="center"/>
                    <w:rPr>
                      <w:rFonts w:hint="eastAsia"/>
                      <w:kern w:val="21"/>
                      <w:szCs w:val="21"/>
                      <w:u w:val="single"/>
                    </w:rPr>
                  </w:pPr>
                  <w:r>
                    <w:rPr>
                      <w:rFonts w:hint="eastAsia"/>
                      <w:kern w:val="21"/>
                      <w:szCs w:val="21"/>
                      <w:u w:val="single"/>
                    </w:rPr>
                    <w:t>N5厂界西北侧外居民点</w:t>
                  </w: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昼间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49.6</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850" w:type="dxa"/>
                  <w:vMerge w:val="continue"/>
                  <w:noWrap w:val="0"/>
                  <w:vAlign w:val="center"/>
                </w:tcPr>
                <w:p>
                  <w:pPr>
                    <w:adjustRightInd w:val="0"/>
                    <w:snapToGrid w:val="0"/>
                    <w:jc w:val="center"/>
                    <w:rPr>
                      <w:rFonts w:hint="eastAsia"/>
                      <w:kern w:val="21"/>
                      <w:szCs w:val="21"/>
                      <w:u w:val="single"/>
                    </w:rPr>
                  </w:pPr>
                </w:p>
              </w:tc>
              <w:tc>
                <w:tcPr>
                  <w:tcW w:w="2183" w:type="dxa"/>
                  <w:vMerge w:val="continue"/>
                  <w:noWrap w:val="0"/>
                  <w:vAlign w:val="center"/>
                </w:tcPr>
                <w:p>
                  <w:pPr>
                    <w:adjustRightInd w:val="0"/>
                    <w:snapToGrid w:val="0"/>
                    <w:jc w:val="center"/>
                    <w:rPr>
                      <w:rFonts w:hint="eastAsia"/>
                      <w:kern w:val="21"/>
                      <w:szCs w:val="21"/>
                      <w:u w:val="single"/>
                    </w:rPr>
                  </w:pPr>
                </w:p>
              </w:tc>
              <w:tc>
                <w:tcPr>
                  <w:tcW w:w="837" w:type="dxa"/>
                  <w:vMerge w:val="continue"/>
                  <w:noWrap w:val="0"/>
                  <w:vAlign w:val="center"/>
                </w:tcPr>
                <w:p>
                  <w:pPr>
                    <w:adjustRightInd w:val="0"/>
                    <w:snapToGrid w:val="0"/>
                    <w:jc w:val="center"/>
                    <w:rPr>
                      <w:rFonts w:hint="eastAsia"/>
                      <w:kern w:val="21"/>
                      <w:szCs w:val="21"/>
                      <w:u w:val="single"/>
                    </w:rPr>
                  </w:pPr>
                </w:p>
              </w:tc>
              <w:tc>
                <w:tcPr>
                  <w:tcW w:w="880" w:type="dxa"/>
                  <w:noWrap w:val="0"/>
                  <w:vAlign w:val="center"/>
                </w:tcPr>
                <w:p>
                  <w:pPr>
                    <w:adjustRightInd w:val="0"/>
                    <w:snapToGrid w:val="0"/>
                    <w:jc w:val="center"/>
                    <w:rPr>
                      <w:rFonts w:hint="eastAsia"/>
                      <w:kern w:val="21"/>
                      <w:szCs w:val="21"/>
                      <w:u w:val="single"/>
                    </w:rPr>
                  </w:pPr>
                  <w:r>
                    <w:rPr>
                      <w:rFonts w:hint="eastAsia"/>
                      <w:kern w:val="21"/>
                      <w:szCs w:val="21"/>
                      <w:u w:val="single"/>
                    </w:rPr>
                    <w:t>夜间</w:t>
                  </w:r>
                </w:p>
              </w:tc>
              <w:tc>
                <w:tcPr>
                  <w:tcW w:w="1536" w:type="dxa"/>
                  <w:noWrap w:val="0"/>
                  <w:vAlign w:val="center"/>
                </w:tcPr>
                <w:p>
                  <w:pPr>
                    <w:adjustRightInd w:val="0"/>
                    <w:snapToGrid w:val="0"/>
                    <w:jc w:val="center"/>
                    <w:rPr>
                      <w:kern w:val="21"/>
                      <w:szCs w:val="21"/>
                      <w:u w:val="single"/>
                    </w:rPr>
                  </w:pPr>
                  <w:r>
                    <w:rPr>
                      <w:rFonts w:hint="eastAsia"/>
                      <w:kern w:val="21"/>
                      <w:szCs w:val="21"/>
                      <w:u w:val="single"/>
                    </w:rPr>
                    <w:t>39.9</w:t>
                  </w:r>
                </w:p>
              </w:tc>
              <w:tc>
                <w:tcPr>
                  <w:tcW w:w="1651" w:type="dxa"/>
                  <w:noWrap w:val="0"/>
                  <w:vAlign w:val="center"/>
                </w:tcPr>
                <w:p>
                  <w:pPr>
                    <w:adjustRightInd w:val="0"/>
                    <w:snapToGrid w:val="0"/>
                    <w:jc w:val="center"/>
                    <w:rPr>
                      <w:rFonts w:hint="eastAsia"/>
                      <w:kern w:val="21"/>
                      <w:szCs w:val="21"/>
                      <w:u w:val="single"/>
                    </w:rPr>
                  </w:pPr>
                  <w:r>
                    <w:rPr>
                      <w:rFonts w:hint="eastAsia"/>
                      <w:kern w:val="21"/>
                      <w:szCs w:val="21"/>
                      <w:u w:val="single"/>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jc w:val="center"/>
              </w:trPr>
              <w:tc>
                <w:tcPr>
                  <w:tcW w:w="7937" w:type="dxa"/>
                  <w:gridSpan w:val="6"/>
                  <w:noWrap w:val="0"/>
                  <w:vAlign w:val="center"/>
                </w:tcPr>
                <w:p>
                  <w:pPr>
                    <w:adjustRightInd w:val="0"/>
                    <w:snapToGrid w:val="0"/>
                    <w:jc w:val="center"/>
                    <w:rPr>
                      <w:rFonts w:hint="eastAsia"/>
                      <w:kern w:val="21"/>
                      <w:szCs w:val="21"/>
                      <w:u w:val="single"/>
                    </w:rPr>
                  </w:pPr>
                  <w:r>
                    <w:rPr>
                      <w:rFonts w:hint="eastAsia"/>
                      <w:kern w:val="21"/>
                      <w:szCs w:val="21"/>
                      <w:u w:val="single"/>
                    </w:rPr>
                    <w:t>备注：参照《声环境质量标准》(GB3096-2008)表1中的2类标准。</w:t>
                  </w:r>
                </w:p>
              </w:tc>
            </w:tr>
          </w:tbl>
          <w:p>
            <w:pPr>
              <w:pStyle w:val="22"/>
              <w:spacing w:line="360" w:lineRule="auto"/>
              <w:ind w:left="0" w:leftChars="0" w:firstLine="480" w:firstLineChars="200"/>
              <w:rPr>
                <w:sz w:val="24"/>
                <w:u w:val="single"/>
              </w:rPr>
            </w:pPr>
            <w:r>
              <w:rPr>
                <w:sz w:val="24"/>
                <w:u w:val="single"/>
              </w:rPr>
              <w:t>由上表可知，本项目</w:t>
            </w:r>
            <w:r>
              <w:rPr>
                <w:rFonts w:hint="eastAsia"/>
                <w:sz w:val="24"/>
                <w:u w:val="single"/>
              </w:rPr>
              <w:t>厂界北侧符合</w:t>
            </w:r>
            <w:r>
              <w:rPr>
                <w:rFonts w:eastAsia="Times New Roman"/>
                <w:sz w:val="24"/>
                <w:u w:val="single"/>
              </w:rPr>
              <w:t>4a</w:t>
            </w:r>
            <w:r>
              <w:rPr>
                <w:sz w:val="24"/>
                <w:u w:val="single"/>
              </w:rPr>
              <w:t>类标准限值</w:t>
            </w:r>
            <w:r>
              <w:rPr>
                <w:rFonts w:hint="eastAsia"/>
                <w:sz w:val="24"/>
                <w:u w:val="single"/>
              </w:rPr>
              <w:t>，其余三侧及居民敏感点均符合</w:t>
            </w:r>
            <w:r>
              <w:rPr>
                <w:sz w:val="24"/>
                <w:u w:val="single"/>
              </w:rPr>
              <w:t>《声环境质量标准》（</w:t>
            </w:r>
            <w:r>
              <w:rPr>
                <w:rFonts w:eastAsia="Times New Roman"/>
                <w:sz w:val="24"/>
                <w:u w:val="single"/>
              </w:rPr>
              <w:t>GB3096-2008</w:t>
            </w:r>
            <w:r>
              <w:rPr>
                <w:sz w:val="24"/>
                <w:u w:val="single"/>
              </w:rPr>
              <w:t>）</w:t>
            </w:r>
            <w:r>
              <w:rPr>
                <w:rFonts w:eastAsia="Times New Roman"/>
                <w:sz w:val="24"/>
                <w:u w:val="single"/>
              </w:rPr>
              <w:t>2</w:t>
            </w:r>
            <w:r>
              <w:rPr>
                <w:sz w:val="24"/>
                <w:u w:val="single"/>
              </w:rPr>
              <w:t>类标准限值。</w:t>
            </w:r>
          </w:p>
          <w:p>
            <w:pPr>
              <w:adjustRightInd w:val="0"/>
              <w:snapToGrid w:val="0"/>
              <w:spacing w:line="360" w:lineRule="auto"/>
              <w:ind w:firstLine="482" w:firstLineChars="200"/>
              <w:rPr>
                <w:b/>
                <w:bCs/>
                <w:sz w:val="24"/>
              </w:rPr>
            </w:pPr>
            <w:r>
              <w:rPr>
                <w:rFonts w:hint="eastAsia"/>
                <w:b/>
                <w:bCs/>
                <w:sz w:val="24"/>
              </w:rPr>
              <w:t>3.4</w:t>
            </w:r>
            <w:r>
              <w:rPr>
                <w:b/>
                <w:bCs/>
                <w:sz w:val="24"/>
              </w:rPr>
              <w:t>生态环境。</w:t>
            </w:r>
          </w:p>
          <w:p>
            <w:pPr>
              <w:pStyle w:val="22"/>
              <w:spacing w:line="360" w:lineRule="auto"/>
              <w:ind w:left="0" w:leftChars="0" w:firstLine="480" w:firstLineChars="200"/>
              <w:rPr>
                <w:sz w:val="24"/>
              </w:rPr>
            </w:pPr>
            <w:r>
              <w:rPr>
                <w:sz w:val="24"/>
              </w:rPr>
              <w:t>本项目所在区域为</w:t>
            </w:r>
            <w:r>
              <w:rPr>
                <w:rFonts w:hint="eastAsia"/>
                <w:sz w:val="24"/>
              </w:rPr>
              <w:t>临湘市</w:t>
            </w:r>
            <w:r>
              <w:rPr>
                <w:rFonts w:hint="eastAsia"/>
                <w:sz w:val="24"/>
                <w:lang w:val="en-US" w:eastAsia="zh-CN"/>
              </w:rPr>
              <w:t>郊区位置</w:t>
            </w:r>
            <w:r>
              <w:rPr>
                <w:sz w:val="24"/>
              </w:rPr>
              <w:t>，</w:t>
            </w:r>
            <w:r>
              <w:rPr>
                <w:rFonts w:hint="eastAsia"/>
                <w:sz w:val="24"/>
                <w:lang w:val="en-US" w:eastAsia="zh-CN"/>
              </w:rPr>
              <w:t>暂未铺设污水管网</w:t>
            </w:r>
            <w:r>
              <w:rPr>
                <w:sz w:val="24"/>
              </w:rPr>
              <w:t>，区域生态环境为城市生态环境。生态环境质量一般，所在区域土地利用率高，植被覆盖率较低。主要树种为绿化园林绿化，街道和空隙地的观赏树木和花草。区域内野生动物为城市主要常见动物。通过走访调查，项目所在区域内没有珍稀植物和古树木。</w:t>
            </w:r>
          </w:p>
          <w:p>
            <w:pPr>
              <w:pStyle w:val="22"/>
              <w:spacing w:line="360" w:lineRule="auto"/>
              <w:ind w:left="0" w:leftChars="0" w:firstLine="482" w:firstLineChars="200"/>
              <w:rPr>
                <w:rFonts w:hint="eastAsia"/>
                <w:b/>
                <w:bCs/>
                <w:sz w:val="24"/>
              </w:rPr>
            </w:pPr>
            <w:r>
              <w:rPr>
                <w:rFonts w:hint="eastAsia"/>
                <w:b/>
                <w:bCs/>
                <w:sz w:val="24"/>
              </w:rPr>
              <w:t>3.5地下水</w:t>
            </w:r>
          </w:p>
          <w:p>
            <w:pPr>
              <w:pStyle w:val="22"/>
              <w:spacing w:line="360" w:lineRule="auto"/>
              <w:ind w:left="0" w:leftChars="0" w:firstLine="480" w:firstLineChars="200"/>
              <w:rPr>
                <w:rFonts w:hint="eastAsia"/>
                <w:sz w:val="24"/>
              </w:rPr>
            </w:pPr>
            <w:r>
              <w:rPr>
                <w:sz w:val="24"/>
              </w:rPr>
              <w:t>厂界外500m范围内不存在地下水集中式饮用水水源和热水、矿泉水、温泉等特殊地下水资源，因此</w:t>
            </w:r>
            <w:r>
              <w:rPr>
                <w:rFonts w:hint="eastAsia"/>
                <w:sz w:val="24"/>
              </w:rPr>
              <w:t>本项目不对周边地下水环境进行评价。</w:t>
            </w:r>
          </w:p>
          <w:p>
            <w:pPr>
              <w:pStyle w:val="22"/>
              <w:spacing w:line="360" w:lineRule="auto"/>
              <w:ind w:left="0" w:leftChars="0" w:firstLine="482" w:firstLineChars="200"/>
              <w:rPr>
                <w:rFonts w:hint="eastAsia"/>
                <w:b/>
                <w:bCs/>
                <w:sz w:val="24"/>
              </w:rPr>
            </w:pPr>
            <w:r>
              <w:rPr>
                <w:rFonts w:hint="eastAsia"/>
                <w:b/>
                <w:bCs/>
                <w:sz w:val="24"/>
              </w:rPr>
              <w:t>3.6土壤环境</w:t>
            </w:r>
          </w:p>
          <w:p>
            <w:pPr>
              <w:adjustRightInd w:val="0"/>
              <w:snapToGrid w:val="0"/>
              <w:spacing w:line="360" w:lineRule="auto"/>
              <w:ind w:firstLine="480" w:firstLineChars="200"/>
              <w:rPr>
                <w:rFonts w:ascii="宋体" w:hAnsi="宋体" w:cs="宋体"/>
                <w:kern w:val="0"/>
                <w:szCs w:val="21"/>
              </w:rPr>
            </w:pPr>
            <w:r>
              <w:rPr>
                <w:rFonts w:hint="eastAsia"/>
                <w:sz w:val="24"/>
              </w:rPr>
              <w:t>依据《建设项目环境影响报告表编制技术指南(污染影响类)中相关内容，加油站项目为</w:t>
            </w:r>
            <w:r>
              <w:rPr>
                <w:rFonts w:hint="eastAsia" w:ascii="宋体" w:hAnsi="宋体" w:cs="宋体"/>
                <w:sz w:val="24"/>
              </w:rPr>
              <w:t>Ⅲ</w:t>
            </w:r>
            <w:r>
              <w:rPr>
                <w:rFonts w:hint="eastAsia"/>
                <w:sz w:val="24"/>
              </w:rPr>
              <w:t>类项目，本项目占地面积为小型，周围环境</w:t>
            </w:r>
            <w:r>
              <w:rPr>
                <w:rFonts w:hint="eastAsia"/>
                <w:sz w:val="24"/>
                <w:lang w:val="en-US" w:eastAsia="zh-CN"/>
              </w:rPr>
              <w:t>不</w:t>
            </w:r>
            <w:r>
              <w:rPr>
                <w:rFonts w:hint="eastAsia"/>
                <w:sz w:val="24"/>
              </w:rPr>
              <w:t>敏感，可不开展土壤环境评价。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保护</w:t>
            </w:r>
          </w:p>
          <w:p>
            <w:pPr>
              <w:adjustRightInd w:val="0"/>
              <w:snapToGrid w:val="0"/>
              <w:jc w:val="center"/>
              <w:rPr>
                <w:rFonts w:hint="eastAsia" w:ascii="宋体" w:hAnsi="宋体" w:cs="宋体"/>
                <w:kern w:val="0"/>
                <w:szCs w:val="21"/>
              </w:rPr>
            </w:pPr>
            <w:r>
              <w:rPr>
                <w:rFonts w:hint="eastAsia" w:ascii="宋体" w:hAnsi="宋体" w:cs="宋体"/>
                <w:kern w:val="0"/>
                <w:szCs w:val="21"/>
              </w:rPr>
              <w:t>目标</w:t>
            </w:r>
          </w:p>
        </w:tc>
        <w:tc>
          <w:tcPr>
            <w:tcW w:w="8128" w:type="dxa"/>
            <w:noWrap w:val="0"/>
            <w:vAlign w:val="center"/>
          </w:tcPr>
          <w:p>
            <w:pPr>
              <w:spacing w:line="500" w:lineRule="exact"/>
              <w:rPr>
                <w:b/>
                <w:sz w:val="28"/>
                <w:u w:val="single"/>
              </w:rPr>
            </w:pPr>
            <w:r>
              <w:rPr>
                <w:b/>
                <w:sz w:val="28"/>
                <w:u w:val="single"/>
              </w:rPr>
              <w:t>主要环境保护目标（列出保护名单及保护级别）</w:t>
            </w:r>
          </w:p>
          <w:p>
            <w:pPr>
              <w:adjustRightInd w:val="0"/>
              <w:snapToGrid w:val="0"/>
              <w:ind w:firstLine="480" w:firstLineChars="200"/>
              <w:jc w:val="left"/>
              <w:rPr>
                <w:rFonts w:hint="eastAsia"/>
                <w:sz w:val="24"/>
                <w:u w:val="single"/>
              </w:rPr>
            </w:pPr>
            <w:r>
              <w:rPr>
                <w:color w:val="000000"/>
                <w:kern w:val="0"/>
                <w:sz w:val="24"/>
                <w:u w:val="single"/>
              </w:rPr>
              <w:t>根据现场踏勘和环境现状调查，本</w:t>
            </w:r>
            <w:r>
              <w:rPr>
                <w:bCs/>
                <w:kern w:val="1"/>
                <w:sz w:val="24"/>
                <w:u w:val="single"/>
              </w:rPr>
              <w:t>项目周边主要环境保护目标及环境保护执行标准</w:t>
            </w:r>
            <w:r>
              <w:rPr>
                <w:kern w:val="1"/>
                <w:sz w:val="24"/>
                <w:u w:val="single"/>
              </w:rPr>
              <w:t>见表</w:t>
            </w:r>
            <w:r>
              <w:rPr>
                <w:rFonts w:hint="eastAsia"/>
                <w:kern w:val="1"/>
                <w:sz w:val="24"/>
                <w:u w:val="single"/>
              </w:rPr>
              <w:t>3-6</w:t>
            </w:r>
            <w:r>
              <w:rPr>
                <w:sz w:val="24"/>
                <w:u w:val="single"/>
              </w:rPr>
              <w:t>，表</w:t>
            </w:r>
            <w:r>
              <w:rPr>
                <w:rFonts w:hint="eastAsia"/>
                <w:sz w:val="24"/>
                <w:u w:val="single"/>
              </w:rPr>
              <w:t>3-7。</w:t>
            </w:r>
          </w:p>
          <w:p>
            <w:pPr>
              <w:spacing w:line="480" w:lineRule="exact"/>
              <w:jc w:val="center"/>
              <w:rPr>
                <w:b/>
                <w:spacing w:val="4"/>
                <w:szCs w:val="21"/>
                <w:u w:val="single"/>
              </w:rPr>
            </w:pPr>
            <w:r>
              <w:rPr>
                <w:b/>
                <w:spacing w:val="4"/>
                <w:szCs w:val="21"/>
                <w:u w:val="single"/>
              </w:rPr>
              <w:t>表3-</w:t>
            </w:r>
            <w:r>
              <w:rPr>
                <w:rFonts w:hint="eastAsia"/>
                <w:b/>
                <w:spacing w:val="4"/>
                <w:szCs w:val="21"/>
                <w:u w:val="single"/>
              </w:rPr>
              <w:t>6</w:t>
            </w:r>
            <w:r>
              <w:rPr>
                <w:b/>
                <w:spacing w:val="4"/>
                <w:szCs w:val="21"/>
                <w:u w:val="single"/>
              </w:rPr>
              <w:t xml:space="preserve"> </w:t>
            </w:r>
            <w:r>
              <w:rPr>
                <w:rFonts w:hint="eastAsia"/>
                <w:b/>
                <w:spacing w:val="4"/>
                <w:szCs w:val="21"/>
                <w:u w:val="single"/>
              </w:rPr>
              <w:t>项目</w:t>
            </w:r>
            <w:r>
              <w:rPr>
                <w:rFonts w:hint="eastAsia"/>
                <w:b/>
                <w:color w:val="000000"/>
                <w:spacing w:val="4"/>
                <w:szCs w:val="21"/>
                <w:u w:val="single"/>
              </w:rPr>
              <w:t>大气</w:t>
            </w:r>
            <w:r>
              <w:rPr>
                <w:b/>
                <w:color w:val="000000"/>
                <w:spacing w:val="4"/>
                <w:szCs w:val="21"/>
                <w:u w:val="single"/>
              </w:rPr>
              <w:t>保护目标</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106"/>
              <w:gridCol w:w="1108"/>
              <w:gridCol w:w="923"/>
              <w:gridCol w:w="1333"/>
              <w:gridCol w:w="763"/>
              <w:gridCol w:w="762"/>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32" w:type="pct"/>
                  <w:vMerge w:val="restart"/>
                  <w:noWrap w:val="0"/>
                  <w:vAlign w:val="center"/>
                </w:tcPr>
                <w:p>
                  <w:pPr>
                    <w:snapToGrid w:val="0"/>
                    <w:jc w:val="center"/>
                    <w:rPr>
                      <w:rFonts w:hint="eastAsia"/>
                      <w:b/>
                      <w:bCs/>
                      <w:spacing w:val="4"/>
                      <w:szCs w:val="21"/>
                      <w:u w:val="single"/>
                    </w:rPr>
                  </w:pPr>
                  <w:r>
                    <w:rPr>
                      <w:rFonts w:hint="eastAsia"/>
                      <w:b/>
                      <w:bCs/>
                      <w:spacing w:val="4"/>
                      <w:szCs w:val="21"/>
                      <w:u w:val="single"/>
                    </w:rPr>
                    <w:t>名称</w:t>
                  </w:r>
                </w:p>
              </w:tc>
              <w:tc>
                <w:tcPr>
                  <w:tcW w:w="1401" w:type="pct"/>
                  <w:gridSpan w:val="2"/>
                  <w:noWrap w:val="0"/>
                  <w:vAlign w:val="center"/>
                </w:tcPr>
                <w:p>
                  <w:pPr>
                    <w:snapToGrid w:val="0"/>
                    <w:jc w:val="center"/>
                    <w:rPr>
                      <w:b/>
                      <w:bCs/>
                      <w:spacing w:val="4"/>
                      <w:u w:val="single"/>
                    </w:rPr>
                  </w:pPr>
                  <w:r>
                    <w:rPr>
                      <w:rFonts w:hint="eastAsia"/>
                      <w:b/>
                      <w:bCs/>
                      <w:spacing w:val="4"/>
                      <w:szCs w:val="21"/>
                      <w:u w:val="single"/>
                    </w:rPr>
                    <w:t>坐标</w:t>
                  </w:r>
                  <w:bookmarkStart w:id="81" w:name="_Toc299634783"/>
                </w:p>
                <w:bookmarkEnd w:id="81"/>
              </w:tc>
              <w:tc>
                <w:tcPr>
                  <w:tcW w:w="584" w:type="pct"/>
                  <w:vMerge w:val="restart"/>
                  <w:noWrap w:val="0"/>
                  <w:vAlign w:val="center"/>
                </w:tcPr>
                <w:p>
                  <w:pPr>
                    <w:snapToGrid w:val="0"/>
                    <w:jc w:val="center"/>
                    <w:rPr>
                      <w:rFonts w:hint="eastAsia"/>
                      <w:b/>
                      <w:bCs/>
                      <w:spacing w:val="4"/>
                      <w:szCs w:val="21"/>
                      <w:u w:val="single"/>
                    </w:rPr>
                  </w:pPr>
                  <w:r>
                    <w:rPr>
                      <w:rFonts w:hint="eastAsia"/>
                      <w:b/>
                      <w:bCs/>
                      <w:spacing w:val="4"/>
                      <w:u w:val="single"/>
                    </w:rPr>
                    <w:t>保护对象</w:t>
                  </w:r>
                </w:p>
              </w:tc>
              <w:tc>
                <w:tcPr>
                  <w:tcW w:w="843" w:type="pct"/>
                  <w:vMerge w:val="restart"/>
                  <w:noWrap w:val="0"/>
                  <w:vAlign w:val="center"/>
                </w:tcPr>
                <w:p>
                  <w:pPr>
                    <w:snapToGrid w:val="0"/>
                    <w:jc w:val="center"/>
                    <w:rPr>
                      <w:rFonts w:hint="eastAsia"/>
                      <w:b/>
                      <w:bCs/>
                      <w:spacing w:val="4"/>
                      <w:szCs w:val="21"/>
                      <w:u w:val="single"/>
                    </w:rPr>
                  </w:pPr>
                  <w:r>
                    <w:rPr>
                      <w:rFonts w:hint="eastAsia"/>
                      <w:b/>
                      <w:bCs/>
                      <w:spacing w:val="4"/>
                      <w:szCs w:val="21"/>
                      <w:u w:val="single"/>
                    </w:rPr>
                    <w:t>保护内容</w:t>
                  </w:r>
                </w:p>
              </w:tc>
              <w:tc>
                <w:tcPr>
                  <w:tcW w:w="482" w:type="pct"/>
                  <w:vMerge w:val="restart"/>
                  <w:noWrap w:val="0"/>
                  <w:vAlign w:val="center"/>
                </w:tcPr>
                <w:p>
                  <w:pPr>
                    <w:snapToGrid w:val="0"/>
                    <w:jc w:val="center"/>
                    <w:rPr>
                      <w:rFonts w:hint="eastAsia"/>
                      <w:b/>
                      <w:bCs/>
                      <w:spacing w:val="4"/>
                      <w:u w:val="single"/>
                    </w:rPr>
                  </w:pPr>
                  <w:bookmarkStart w:id="82" w:name="_Toc299634785"/>
                  <w:r>
                    <w:rPr>
                      <w:rFonts w:hint="eastAsia"/>
                      <w:b/>
                      <w:bCs/>
                      <w:spacing w:val="4"/>
                      <w:u w:val="single"/>
                    </w:rPr>
                    <w:t>环境功能区</w:t>
                  </w:r>
                </w:p>
                <w:bookmarkEnd w:id="82"/>
              </w:tc>
              <w:tc>
                <w:tcPr>
                  <w:tcW w:w="482" w:type="pct"/>
                  <w:vMerge w:val="restart"/>
                  <w:noWrap w:val="0"/>
                  <w:vAlign w:val="center"/>
                </w:tcPr>
                <w:p>
                  <w:pPr>
                    <w:snapToGrid w:val="0"/>
                    <w:jc w:val="center"/>
                    <w:rPr>
                      <w:rFonts w:hint="eastAsia"/>
                      <w:b/>
                      <w:bCs/>
                      <w:spacing w:val="4"/>
                      <w:u w:val="single"/>
                    </w:rPr>
                  </w:pPr>
                  <w:r>
                    <w:rPr>
                      <w:rFonts w:hint="eastAsia"/>
                      <w:b/>
                      <w:bCs/>
                      <w:spacing w:val="4"/>
                      <w:u w:val="single"/>
                    </w:rPr>
                    <w:t>相对厂址方位</w:t>
                  </w:r>
                </w:p>
              </w:tc>
              <w:tc>
                <w:tcPr>
                  <w:tcW w:w="572" w:type="pct"/>
                  <w:vMerge w:val="restart"/>
                  <w:noWrap w:val="0"/>
                  <w:vAlign w:val="center"/>
                </w:tcPr>
                <w:p>
                  <w:pPr>
                    <w:snapToGrid w:val="0"/>
                    <w:jc w:val="center"/>
                    <w:rPr>
                      <w:b/>
                      <w:bCs/>
                      <w:spacing w:val="4"/>
                      <w:szCs w:val="21"/>
                      <w:u w:val="single"/>
                    </w:rPr>
                  </w:pPr>
                  <w:r>
                    <w:rPr>
                      <w:rFonts w:hint="eastAsia"/>
                      <w:b/>
                      <w:bCs/>
                      <w:spacing w:val="4"/>
                      <w:szCs w:val="21"/>
                      <w:u w:val="single"/>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32" w:type="pct"/>
                  <w:vMerge w:val="continue"/>
                  <w:noWrap w:val="0"/>
                  <w:vAlign w:val="center"/>
                </w:tcPr>
                <w:p>
                  <w:pPr>
                    <w:snapToGrid w:val="0"/>
                    <w:jc w:val="center"/>
                    <w:rPr>
                      <w:u w:val="single"/>
                    </w:rPr>
                  </w:pPr>
                </w:p>
              </w:tc>
              <w:tc>
                <w:tcPr>
                  <w:tcW w:w="700" w:type="pct"/>
                  <w:noWrap w:val="0"/>
                  <w:vAlign w:val="center"/>
                </w:tcPr>
                <w:p>
                  <w:pPr>
                    <w:snapToGrid w:val="0"/>
                    <w:jc w:val="center"/>
                    <w:rPr>
                      <w:rFonts w:hint="eastAsia"/>
                      <w:b/>
                      <w:bCs/>
                      <w:spacing w:val="4"/>
                      <w:u w:val="single"/>
                    </w:rPr>
                  </w:pPr>
                  <w:r>
                    <w:rPr>
                      <w:rFonts w:hint="eastAsia"/>
                      <w:b/>
                      <w:bCs/>
                      <w:spacing w:val="4"/>
                      <w:u w:val="single"/>
                    </w:rPr>
                    <w:t>东经</w:t>
                  </w:r>
                </w:p>
              </w:tc>
              <w:tc>
                <w:tcPr>
                  <w:tcW w:w="701" w:type="pct"/>
                  <w:noWrap w:val="0"/>
                  <w:vAlign w:val="center"/>
                </w:tcPr>
                <w:p>
                  <w:pPr>
                    <w:snapToGrid w:val="0"/>
                    <w:jc w:val="center"/>
                    <w:rPr>
                      <w:rFonts w:hint="eastAsia"/>
                      <w:b/>
                      <w:bCs/>
                      <w:spacing w:val="4"/>
                      <w:u w:val="single"/>
                    </w:rPr>
                  </w:pPr>
                  <w:r>
                    <w:rPr>
                      <w:rFonts w:hint="eastAsia"/>
                      <w:b/>
                      <w:bCs/>
                      <w:spacing w:val="4"/>
                      <w:u w:val="single"/>
                    </w:rPr>
                    <w:t>北纬</w:t>
                  </w:r>
                </w:p>
              </w:tc>
              <w:tc>
                <w:tcPr>
                  <w:tcW w:w="584" w:type="pct"/>
                  <w:vMerge w:val="continue"/>
                  <w:noWrap w:val="0"/>
                  <w:vAlign w:val="center"/>
                </w:tcPr>
                <w:p>
                  <w:pPr>
                    <w:snapToGrid w:val="0"/>
                    <w:jc w:val="center"/>
                    <w:rPr>
                      <w:b/>
                      <w:bCs/>
                      <w:spacing w:val="4"/>
                      <w:u w:val="single"/>
                    </w:rPr>
                  </w:pPr>
                </w:p>
              </w:tc>
              <w:tc>
                <w:tcPr>
                  <w:tcW w:w="843" w:type="pct"/>
                  <w:vMerge w:val="continue"/>
                  <w:noWrap w:val="0"/>
                  <w:vAlign w:val="center"/>
                </w:tcPr>
                <w:p>
                  <w:pPr>
                    <w:snapToGrid w:val="0"/>
                    <w:jc w:val="center"/>
                    <w:rPr>
                      <w:b/>
                      <w:bCs/>
                      <w:spacing w:val="4"/>
                      <w:u w:val="single"/>
                    </w:rPr>
                  </w:pPr>
                </w:p>
              </w:tc>
              <w:tc>
                <w:tcPr>
                  <w:tcW w:w="482" w:type="pct"/>
                  <w:vMerge w:val="continue"/>
                  <w:noWrap w:val="0"/>
                  <w:vAlign w:val="center"/>
                </w:tcPr>
                <w:p>
                  <w:pPr>
                    <w:snapToGrid w:val="0"/>
                    <w:jc w:val="center"/>
                    <w:rPr>
                      <w:b/>
                      <w:bCs/>
                      <w:spacing w:val="4"/>
                      <w:u w:val="single"/>
                    </w:rPr>
                  </w:pPr>
                </w:p>
              </w:tc>
              <w:tc>
                <w:tcPr>
                  <w:tcW w:w="482" w:type="pct"/>
                  <w:vMerge w:val="continue"/>
                  <w:noWrap w:val="0"/>
                  <w:vAlign w:val="center"/>
                </w:tcPr>
                <w:p>
                  <w:pPr>
                    <w:snapToGrid w:val="0"/>
                    <w:jc w:val="center"/>
                    <w:rPr>
                      <w:b/>
                      <w:bCs/>
                      <w:spacing w:val="4"/>
                      <w:u w:val="single"/>
                    </w:rPr>
                  </w:pPr>
                </w:p>
              </w:tc>
              <w:tc>
                <w:tcPr>
                  <w:tcW w:w="572" w:type="pct"/>
                  <w:vMerge w:val="continue"/>
                  <w:noWrap w:val="0"/>
                  <w:vAlign w:val="center"/>
                </w:tcPr>
                <w:p>
                  <w:pPr>
                    <w:snapToGrid w:val="0"/>
                    <w:jc w:val="center"/>
                    <w:rPr>
                      <w:b/>
                      <w:bCs/>
                      <w:spacing w:val="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632" w:type="pct"/>
                  <w:noWrap w:val="0"/>
                  <w:vAlign w:val="center"/>
                </w:tcPr>
                <w:p>
                  <w:pPr>
                    <w:snapToGrid w:val="0"/>
                    <w:jc w:val="center"/>
                    <w:rPr>
                      <w:rFonts w:hint="eastAsia"/>
                      <w:spacing w:val="4"/>
                      <w:szCs w:val="21"/>
                      <w:u w:val="single"/>
                    </w:rPr>
                  </w:pPr>
                  <w:r>
                    <w:rPr>
                      <w:rFonts w:hint="eastAsia"/>
                      <w:spacing w:val="4"/>
                      <w:szCs w:val="21"/>
                      <w:u w:val="single"/>
                    </w:rPr>
                    <w:t>戴家冲</w:t>
                  </w:r>
                </w:p>
              </w:tc>
              <w:tc>
                <w:tcPr>
                  <w:tcW w:w="700" w:type="pct"/>
                  <w:noWrap w:val="0"/>
                  <w:vAlign w:val="center"/>
                </w:tcPr>
                <w:p>
                  <w:pPr>
                    <w:snapToGrid w:val="0"/>
                    <w:jc w:val="center"/>
                    <w:rPr>
                      <w:rFonts w:hint="eastAsia"/>
                      <w:color w:val="000000"/>
                      <w:spacing w:val="4"/>
                      <w:szCs w:val="21"/>
                      <w:u w:val="single"/>
                    </w:rPr>
                  </w:pPr>
                  <w:r>
                    <w:rPr>
                      <w:rFonts w:hint="eastAsia"/>
                      <w:color w:val="000000"/>
                      <w:spacing w:val="4"/>
                      <w:szCs w:val="21"/>
                      <w:u w:val="single"/>
                    </w:rPr>
                    <w:t xml:space="preserve">113.417498° </w:t>
                  </w:r>
                </w:p>
              </w:tc>
              <w:tc>
                <w:tcPr>
                  <w:tcW w:w="701" w:type="pct"/>
                  <w:noWrap w:val="0"/>
                  <w:vAlign w:val="center"/>
                </w:tcPr>
                <w:p>
                  <w:pPr>
                    <w:snapToGrid w:val="0"/>
                    <w:jc w:val="center"/>
                    <w:rPr>
                      <w:color w:val="000000"/>
                      <w:spacing w:val="4"/>
                      <w:szCs w:val="21"/>
                      <w:u w:val="single"/>
                    </w:rPr>
                  </w:pPr>
                  <w:r>
                    <w:rPr>
                      <w:color w:val="000000"/>
                      <w:spacing w:val="4"/>
                      <w:szCs w:val="21"/>
                      <w:u w:val="single"/>
                    </w:rPr>
                    <w:t>29.508443</w:t>
                  </w:r>
                  <w:r>
                    <w:rPr>
                      <w:rFonts w:hint="eastAsia"/>
                      <w:color w:val="000000"/>
                      <w:spacing w:val="4"/>
                      <w:szCs w:val="21"/>
                      <w:u w:val="single"/>
                    </w:rPr>
                    <w:t>°</w:t>
                  </w:r>
                  <w:r>
                    <w:rPr>
                      <w:color w:val="000000"/>
                      <w:spacing w:val="4"/>
                      <w:szCs w:val="21"/>
                      <w:u w:val="single"/>
                    </w:rPr>
                    <w:t xml:space="preserve"> </w:t>
                  </w:r>
                </w:p>
              </w:tc>
              <w:tc>
                <w:tcPr>
                  <w:tcW w:w="584" w:type="pct"/>
                  <w:noWrap w:val="0"/>
                  <w:vAlign w:val="center"/>
                </w:tcPr>
                <w:p>
                  <w:pPr>
                    <w:snapToGrid w:val="0"/>
                    <w:jc w:val="center"/>
                    <w:rPr>
                      <w:color w:val="000000"/>
                      <w:spacing w:val="4"/>
                      <w:szCs w:val="21"/>
                      <w:u w:val="single"/>
                    </w:rPr>
                  </w:pPr>
                  <w:r>
                    <w:rPr>
                      <w:rFonts w:hint="eastAsia"/>
                      <w:color w:val="000000"/>
                      <w:spacing w:val="4"/>
                      <w:szCs w:val="21"/>
                      <w:u w:val="single"/>
                    </w:rPr>
                    <w:t>居住区</w:t>
                  </w:r>
                </w:p>
              </w:tc>
              <w:tc>
                <w:tcPr>
                  <w:tcW w:w="843" w:type="pct"/>
                  <w:noWrap w:val="0"/>
                  <w:vAlign w:val="center"/>
                </w:tcPr>
                <w:p>
                  <w:pPr>
                    <w:snapToGrid w:val="0"/>
                    <w:jc w:val="center"/>
                    <w:rPr>
                      <w:color w:val="000000"/>
                      <w:spacing w:val="4"/>
                      <w:szCs w:val="21"/>
                      <w:u w:val="single"/>
                    </w:rPr>
                  </w:pPr>
                  <w:r>
                    <w:rPr>
                      <w:rFonts w:hint="eastAsia"/>
                      <w:color w:val="000000"/>
                      <w:u w:val="single"/>
                    </w:rPr>
                    <w:t>约100户，400人</w:t>
                  </w:r>
                </w:p>
              </w:tc>
              <w:tc>
                <w:tcPr>
                  <w:tcW w:w="482" w:type="pct"/>
                  <w:vMerge w:val="restart"/>
                  <w:noWrap w:val="0"/>
                  <w:vAlign w:val="center"/>
                </w:tcPr>
                <w:p>
                  <w:pPr>
                    <w:snapToGrid w:val="0"/>
                    <w:jc w:val="center"/>
                    <w:rPr>
                      <w:rFonts w:hint="eastAsia"/>
                      <w:color w:val="000000"/>
                      <w:u w:val="single"/>
                    </w:rPr>
                  </w:pPr>
                  <w:bookmarkStart w:id="83" w:name="_Toc299634802"/>
                  <w:r>
                    <w:rPr>
                      <w:rFonts w:hint="eastAsia"/>
                      <w:color w:val="000000"/>
                      <w:u w:val="single"/>
                    </w:rPr>
                    <w:t>二类区</w:t>
                  </w:r>
                </w:p>
              </w:tc>
              <w:tc>
                <w:tcPr>
                  <w:tcW w:w="482" w:type="pct"/>
                  <w:noWrap w:val="0"/>
                  <w:vAlign w:val="center"/>
                </w:tcPr>
                <w:p>
                  <w:pPr>
                    <w:snapToGrid w:val="0"/>
                    <w:jc w:val="center"/>
                    <w:rPr>
                      <w:color w:val="000000"/>
                      <w:u w:val="single"/>
                    </w:rPr>
                  </w:pPr>
                  <w:r>
                    <w:rPr>
                      <w:rFonts w:hint="eastAsia"/>
                      <w:color w:val="000000"/>
                      <w:u w:val="single"/>
                    </w:rPr>
                    <w:t>南侧</w:t>
                  </w:r>
                </w:p>
                <w:bookmarkEnd w:id="83"/>
              </w:tc>
              <w:tc>
                <w:tcPr>
                  <w:tcW w:w="572" w:type="pct"/>
                  <w:noWrap w:val="0"/>
                  <w:vAlign w:val="center"/>
                </w:tcPr>
                <w:p>
                  <w:pPr>
                    <w:snapToGrid w:val="0"/>
                    <w:jc w:val="center"/>
                    <w:rPr>
                      <w:color w:val="000000"/>
                      <w:szCs w:val="21"/>
                      <w:u w:val="single"/>
                    </w:rPr>
                  </w:pPr>
                  <w:r>
                    <w:rPr>
                      <w:rFonts w:hint="eastAsia"/>
                      <w:color w:val="000000"/>
                      <w:spacing w:val="4"/>
                      <w:szCs w:val="21"/>
                      <w:u w:val="single"/>
                    </w:rPr>
                    <w:t>397-500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632" w:type="pct"/>
                  <w:noWrap w:val="0"/>
                  <w:vAlign w:val="center"/>
                </w:tcPr>
                <w:p>
                  <w:pPr>
                    <w:snapToGrid w:val="0"/>
                    <w:jc w:val="center"/>
                    <w:rPr>
                      <w:spacing w:val="4"/>
                      <w:szCs w:val="21"/>
                      <w:u w:val="single"/>
                    </w:rPr>
                  </w:pPr>
                  <w:r>
                    <w:rPr>
                      <w:rFonts w:hint="eastAsia"/>
                      <w:color w:val="000000"/>
                      <w:szCs w:val="21"/>
                      <w:u w:val="single"/>
                    </w:rPr>
                    <w:t>水井村</w:t>
                  </w:r>
                </w:p>
              </w:tc>
              <w:tc>
                <w:tcPr>
                  <w:tcW w:w="700" w:type="pct"/>
                  <w:noWrap w:val="0"/>
                  <w:vAlign w:val="center"/>
                </w:tcPr>
                <w:p>
                  <w:pPr>
                    <w:snapToGrid w:val="0"/>
                    <w:jc w:val="center"/>
                    <w:rPr>
                      <w:color w:val="000000"/>
                      <w:szCs w:val="21"/>
                      <w:u w:val="single"/>
                    </w:rPr>
                  </w:pPr>
                  <w:r>
                    <w:rPr>
                      <w:rFonts w:hint="eastAsia"/>
                      <w:color w:val="000000"/>
                      <w:szCs w:val="21"/>
                      <w:u w:val="single"/>
                    </w:rPr>
                    <w:t>113.417750°</w:t>
                  </w:r>
                </w:p>
              </w:tc>
              <w:tc>
                <w:tcPr>
                  <w:tcW w:w="701" w:type="pct"/>
                  <w:noWrap w:val="0"/>
                  <w:vAlign w:val="center"/>
                </w:tcPr>
                <w:p>
                  <w:pPr>
                    <w:snapToGrid w:val="0"/>
                    <w:jc w:val="center"/>
                    <w:rPr>
                      <w:color w:val="000000"/>
                      <w:spacing w:val="4"/>
                      <w:szCs w:val="21"/>
                      <w:u w:val="single"/>
                    </w:rPr>
                  </w:pPr>
                  <w:r>
                    <w:rPr>
                      <w:color w:val="000000"/>
                      <w:spacing w:val="4"/>
                      <w:szCs w:val="21"/>
                      <w:u w:val="single"/>
                    </w:rPr>
                    <w:t>29.512885</w:t>
                  </w:r>
                  <w:r>
                    <w:rPr>
                      <w:rFonts w:hint="eastAsia"/>
                      <w:color w:val="000000"/>
                      <w:spacing w:val="4"/>
                      <w:szCs w:val="21"/>
                      <w:u w:val="single"/>
                    </w:rPr>
                    <w:t>°</w:t>
                  </w:r>
                </w:p>
              </w:tc>
              <w:tc>
                <w:tcPr>
                  <w:tcW w:w="584" w:type="pct"/>
                  <w:noWrap w:val="0"/>
                  <w:vAlign w:val="center"/>
                </w:tcPr>
                <w:p>
                  <w:pPr>
                    <w:snapToGrid w:val="0"/>
                    <w:jc w:val="center"/>
                    <w:rPr>
                      <w:color w:val="000000"/>
                      <w:spacing w:val="4"/>
                      <w:szCs w:val="21"/>
                      <w:u w:val="single"/>
                    </w:rPr>
                  </w:pPr>
                  <w:r>
                    <w:rPr>
                      <w:rFonts w:hint="eastAsia"/>
                      <w:color w:val="000000"/>
                      <w:spacing w:val="4"/>
                      <w:szCs w:val="21"/>
                      <w:u w:val="single"/>
                    </w:rPr>
                    <w:t>居住区</w:t>
                  </w:r>
                </w:p>
              </w:tc>
              <w:tc>
                <w:tcPr>
                  <w:tcW w:w="843" w:type="pct"/>
                  <w:noWrap w:val="0"/>
                  <w:vAlign w:val="center"/>
                </w:tcPr>
                <w:p>
                  <w:pPr>
                    <w:widowControl/>
                    <w:jc w:val="center"/>
                    <w:rPr>
                      <w:rFonts w:hint="eastAsia"/>
                      <w:color w:val="000000"/>
                      <w:spacing w:val="4"/>
                      <w:szCs w:val="21"/>
                      <w:u w:val="single"/>
                    </w:rPr>
                  </w:pPr>
                  <w:r>
                    <w:rPr>
                      <w:rFonts w:hint="eastAsia"/>
                      <w:color w:val="000000"/>
                      <w:u w:val="single"/>
                    </w:rPr>
                    <w:t>约80户，300人</w:t>
                  </w:r>
                </w:p>
              </w:tc>
              <w:tc>
                <w:tcPr>
                  <w:tcW w:w="482" w:type="pct"/>
                  <w:vMerge w:val="continue"/>
                  <w:noWrap w:val="0"/>
                  <w:vAlign w:val="center"/>
                </w:tcPr>
                <w:p>
                  <w:pPr>
                    <w:widowControl/>
                    <w:jc w:val="center"/>
                    <w:rPr>
                      <w:color w:val="000000"/>
                      <w:szCs w:val="21"/>
                      <w:u w:val="single"/>
                    </w:rPr>
                  </w:pPr>
                </w:p>
              </w:tc>
              <w:tc>
                <w:tcPr>
                  <w:tcW w:w="482" w:type="pct"/>
                  <w:noWrap w:val="0"/>
                  <w:vAlign w:val="center"/>
                </w:tcPr>
                <w:p>
                  <w:pPr>
                    <w:snapToGrid w:val="0"/>
                    <w:jc w:val="center"/>
                    <w:rPr>
                      <w:rFonts w:hint="eastAsia"/>
                      <w:color w:val="000000"/>
                      <w:u w:val="single"/>
                    </w:rPr>
                  </w:pPr>
                  <w:r>
                    <w:rPr>
                      <w:rFonts w:hint="eastAsia"/>
                      <w:color w:val="000000"/>
                      <w:u w:val="single"/>
                    </w:rPr>
                    <w:t>厂界</w:t>
                  </w:r>
                </w:p>
                <w:p>
                  <w:pPr>
                    <w:snapToGrid w:val="0"/>
                    <w:jc w:val="center"/>
                    <w:rPr>
                      <w:rFonts w:hint="eastAsia" w:eastAsia="宋体"/>
                      <w:color w:val="000000"/>
                      <w:u w:val="single"/>
                      <w:lang w:val="en-US" w:eastAsia="zh-CN"/>
                    </w:rPr>
                  </w:pPr>
                  <w:r>
                    <w:rPr>
                      <w:rFonts w:hint="eastAsia"/>
                      <w:color w:val="000000"/>
                      <w:u w:val="single"/>
                    </w:rPr>
                    <w:t>四</w:t>
                  </w:r>
                  <w:r>
                    <w:rPr>
                      <w:rFonts w:hint="eastAsia"/>
                      <w:color w:val="000000"/>
                      <w:u w:val="single"/>
                      <w:lang w:val="en-US" w:eastAsia="zh-CN"/>
                    </w:rPr>
                    <w:t>侧</w:t>
                  </w:r>
                </w:p>
              </w:tc>
              <w:tc>
                <w:tcPr>
                  <w:tcW w:w="572" w:type="pct"/>
                  <w:noWrap w:val="0"/>
                  <w:vAlign w:val="center"/>
                </w:tcPr>
                <w:p>
                  <w:pPr>
                    <w:snapToGrid w:val="0"/>
                    <w:jc w:val="center"/>
                    <w:rPr>
                      <w:color w:val="000000"/>
                      <w:szCs w:val="21"/>
                      <w:u w:val="single"/>
                    </w:rPr>
                  </w:pPr>
                  <w:r>
                    <w:rPr>
                      <w:rFonts w:hint="eastAsia"/>
                      <w:color w:val="000000"/>
                      <w:spacing w:val="4"/>
                      <w:szCs w:val="21"/>
                      <w:u w:val="single"/>
                    </w:rPr>
                    <w:t>5-320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632" w:type="pct"/>
                  <w:noWrap w:val="0"/>
                  <w:vAlign w:val="center"/>
                </w:tcPr>
                <w:p>
                  <w:pPr>
                    <w:snapToGrid w:val="0"/>
                    <w:jc w:val="center"/>
                    <w:rPr>
                      <w:spacing w:val="4"/>
                      <w:szCs w:val="21"/>
                      <w:u w:val="single"/>
                    </w:rPr>
                  </w:pPr>
                  <w:r>
                    <w:rPr>
                      <w:rFonts w:hint="eastAsia"/>
                      <w:color w:val="000000"/>
                      <w:szCs w:val="21"/>
                      <w:u w:val="single"/>
                    </w:rPr>
                    <w:t>姚家冲</w:t>
                  </w:r>
                </w:p>
              </w:tc>
              <w:tc>
                <w:tcPr>
                  <w:tcW w:w="700" w:type="pct"/>
                  <w:noWrap w:val="0"/>
                  <w:vAlign w:val="center"/>
                </w:tcPr>
                <w:p>
                  <w:pPr>
                    <w:snapToGrid w:val="0"/>
                    <w:jc w:val="center"/>
                    <w:rPr>
                      <w:color w:val="000000"/>
                      <w:szCs w:val="21"/>
                      <w:u w:val="single"/>
                    </w:rPr>
                  </w:pPr>
                  <w:r>
                    <w:rPr>
                      <w:rFonts w:hint="eastAsia"/>
                      <w:color w:val="000000"/>
                      <w:szCs w:val="21"/>
                      <w:u w:val="single"/>
                    </w:rPr>
                    <w:t>113.421387°</w:t>
                  </w:r>
                </w:p>
              </w:tc>
              <w:tc>
                <w:tcPr>
                  <w:tcW w:w="701" w:type="pct"/>
                  <w:noWrap w:val="0"/>
                  <w:vAlign w:val="center"/>
                </w:tcPr>
                <w:p>
                  <w:pPr>
                    <w:snapToGrid w:val="0"/>
                    <w:jc w:val="center"/>
                    <w:rPr>
                      <w:color w:val="000000"/>
                      <w:spacing w:val="4"/>
                      <w:u w:val="single"/>
                    </w:rPr>
                  </w:pPr>
                  <w:r>
                    <w:rPr>
                      <w:color w:val="000000"/>
                      <w:spacing w:val="4"/>
                      <w:u w:val="single"/>
                    </w:rPr>
                    <w:t>29.516204</w:t>
                  </w:r>
                  <w:r>
                    <w:rPr>
                      <w:rFonts w:hint="eastAsia"/>
                      <w:color w:val="000000"/>
                      <w:spacing w:val="4"/>
                      <w:u w:val="single"/>
                    </w:rPr>
                    <w:t>°</w:t>
                  </w:r>
                </w:p>
              </w:tc>
              <w:tc>
                <w:tcPr>
                  <w:tcW w:w="584" w:type="pct"/>
                  <w:noWrap w:val="0"/>
                  <w:vAlign w:val="center"/>
                </w:tcPr>
                <w:p>
                  <w:pPr>
                    <w:snapToGrid w:val="0"/>
                    <w:jc w:val="center"/>
                    <w:rPr>
                      <w:color w:val="000000"/>
                      <w:spacing w:val="4"/>
                      <w:u w:val="single"/>
                    </w:rPr>
                  </w:pPr>
                  <w:r>
                    <w:rPr>
                      <w:rFonts w:hint="eastAsia"/>
                      <w:color w:val="000000"/>
                      <w:spacing w:val="4"/>
                      <w:u w:val="single"/>
                    </w:rPr>
                    <w:t>居住区</w:t>
                  </w:r>
                </w:p>
              </w:tc>
              <w:tc>
                <w:tcPr>
                  <w:tcW w:w="843" w:type="pct"/>
                  <w:noWrap w:val="0"/>
                  <w:vAlign w:val="center"/>
                </w:tcPr>
                <w:p>
                  <w:pPr>
                    <w:widowControl/>
                    <w:jc w:val="center"/>
                    <w:rPr>
                      <w:rFonts w:hint="eastAsia"/>
                      <w:color w:val="000000"/>
                      <w:spacing w:val="4"/>
                      <w:u w:val="single"/>
                    </w:rPr>
                  </w:pPr>
                  <w:r>
                    <w:rPr>
                      <w:rFonts w:hint="eastAsia"/>
                      <w:color w:val="000000"/>
                      <w:u w:val="single"/>
                    </w:rPr>
                    <w:t>约200人</w:t>
                  </w:r>
                </w:p>
              </w:tc>
              <w:tc>
                <w:tcPr>
                  <w:tcW w:w="482" w:type="pct"/>
                  <w:vMerge w:val="continue"/>
                  <w:noWrap w:val="0"/>
                  <w:vAlign w:val="center"/>
                </w:tcPr>
                <w:p>
                  <w:pPr>
                    <w:widowControl/>
                    <w:jc w:val="center"/>
                    <w:rPr>
                      <w:color w:val="000000"/>
                      <w:szCs w:val="21"/>
                      <w:u w:val="single"/>
                    </w:rPr>
                  </w:pPr>
                </w:p>
              </w:tc>
              <w:tc>
                <w:tcPr>
                  <w:tcW w:w="482" w:type="pct"/>
                  <w:noWrap w:val="0"/>
                  <w:vAlign w:val="center"/>
                </w:tcPr>
                <w:p>
                  <w:pPr>
                    <w:snapToGrid w:val="0"/>
                    <w:jc w:val="center"/>
                    <w:rPr>
                      <w:color w:val="000000"/>
                      <w:u w:val="single"/>
                    </w:rPr>
                  </w:pPr>
                  <w:r>
                    <w:rPr>
                      <w:rFonts w:hint="eastAsia"/>
                      <w:color w:val="000000"/>
                      <w:u w:val="single"/>
                    </w:rPr>
                    <w:t>东北侧</w:t>
                  </w:r>
                </w:p>
              </w:tc>
              <w:tc>
                <w:tcPr>
                  <w:tcW w:w="572" w:type="pct"/>
                  <w:noWrap w:val="0"/>
                  <w:vAlign w:val="center"/>
                </w:tcPr>
                <w:p>
                  <w:pPr>
                    <w:snapToGrid w:val="0"/>
                    <w:jc w:val="center"/>
                    <w:rPr>
                      <w:color w:val="000000"/>
                      <w:szCs w:val="21"/>
                      <w:u w:val="single"/>
                    </w:rPr>
                  </w:pPr>
                  <w:r>
                    <w:rPr>
                      <w:rFonts w:hint="eastAsia"/>
                      <w:color w:val="000000"/>
                      <w:spacing w:val="4"/>
                      <w:u w:val="single"/>
                    </w:rPr>
                    <w:t>371-500</w:t>
                  </w:r>
                </w:p>
              </w:tc>
            </w:tr>
          </w:tbl>
          <w:p>
            <w:pPr>
              <w:spacing w:line="480" w:lineRule="exact"/>
              <w:jc w:val="center"/>
              <w:rPr>
                <w:b/>
                <w:spacing w:val="4"/>
                <w:szCs w:val="21"/>
                <w:u w:val="single"/>
              </w:rPr>
            </w:pPr>
            <w:r>
              <w:rPr>
                <w:b/>
                <w:spacing w:val="4"/>
                <w:szCs w:val="21"/>
                <w:u w:val="single"/>
              </w:rPr>
              <w:t>表3-</w:t>
            </w:r>
            <w:r>
              <w:rPr>
                <w:rFonts w:hint="eastAsia"/>
                <w:b/>
                <w:spacing w:val="4"/>
                <w:szCs w:val="21"/>
                <w:u w:val="single"/>
              </w:rPr>
              <w:t>7</w:t>
            </w:r>
            <w:r>
              <w:rPr>
                <w:b/>
                <w:spacing w:val="4"/>
                <w:szCs w:val="21"/>
                <w:u w:val="single"/>
              </w:rPr>
              <w:t xml:space="preserve"> </w:t>
            </w:r>
            <w:r>
              <w:rPr>
                <w:rFonts w:hint="eastAsia"/>
                <w:b/>
                <w:spacing w:val="4"/>
                <w:szCs w:val="21"/>
                <w:u w:val="single"/>
              </w:rPr>
              <w:t>项目噪声</w:t>
            </w:r>
            <w:r>
              <w:rPr>
                <w:b/>
                <w:color w:val="000000"/>
                <w:spacing w:val="4"/>
                <w:szCs w:val="21"/>
                <w:u w:val="single"/>
              </w:rPr>
              <w:t>保护目标</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1207"/>
              <w:gridCol w:w="1210"/>
              <w:gridCol w:w="1006"/>
              <w:gridCol w:w="1112"/>
              <w:gridCol w:w="1064"/>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0" w:type="pct"/>
                  <w:vMerge w:val="restart"/>
                  <w:noWrap w:val="0"/>
                  <w:vAlign w:val="center"/>
                </w:tcPr>
                <w:p>
                  <w:pPr>
                    <w:snapToGrid w:val="0"/>
                    <w:jc w:val="center"/>
                    <w:rPr>
                      <w:rFonts w:hint="eastAsia"/>
                      <w:b/>
                      <w:bCs/>
                      <w:spacing w:val="4"/>
                      <w:szCs w:val="21"/>
                      <w:u w:val="single"/>
                    </w:rPr>
                  </w:pPr>
                  <w:r>
                    <w:rPr>
                      <w:rFonts w:hint="eastAsia"/>
                      <w:b/>
                      <w:bCs/>
                      <w:spacing w:val="4"/>
                      <w:szCs w:val="21"/>
                      <w:u w:val="single"/>
                    </w:rPr>
                    <w:t>名称</w:t>
                  </w:r>
                </w:p>
              </w:tc>
              <w:tc>
                <w:tcPr>
                  <w:tcW w:w="1528" w:type="pct"/>
                  <w:gridSpan w:val="2"/>
                  <w:noWrap w:val="0"/>
                  <w:vAlign w:val="center"/>
                </w:tcPr>
                <w:p>
                  <w:pPr>
                    <w:snapToGrid w:val="0"/>
                    <w:jc w:val="center"/>
                    <w:rPr>
                      <w:b/>
                      <w:bCs/>
                      <w:spacing w:val="4"/>
                      <w:u w:val="single"/>
                    </w:rPr>
                  </w:pPr>
                  <w:r>
                    <w:rPr>
                      <w:rFonts w:hint="eastAsia"/>
                      <w:b/>
                      <w:bCs/>
                      <w:spacing w:val="4"/>
                      <w:szCs w:val="21"/>
                      <w:u w:val="single"/>
                    </w:rPr>
                    <w:t>坐标</w:t>
                  </w:r>
                </w:p>
              </w:tc>
              <w:tc>
                <w:tcPr>
                  <w:tcW w:w="636" w:type="pct"/>
                  <w:vMerge w:val="restart"/>
                  <w:noWrap w:val="0"/>
                  <w:vAlign w:val="center"/>
                </w:tcPr>
                <w:p>
                  <w:pPr>
                    <w:snapToGrid w:val="0"/>
                    <w:jc w:val="center"/>
                    <w:rPr>
                      <w:rFonts w:hint="eastAsia"/>
                      <w:b/>
                      <w:bCs/>
                      <w:spacing w:val="4"/>
                      <w:szCs w:val="21"/>
                      <w:u w:val="single"/>
                    </w:rPr>
                  </w:pPr>
                  <w:r>
                    <w:rPr>
                      <w:rFonts w:hint="eastAsia"/>
                      <w:b/>
                      <w:bCs/>
                      <w:spacing w:val="4"/>
                      <w:u w:val="single"/>
                    </w:rPr>
                    <w:t>保护对象</w:t>
                  </w:r>
                </w:p>
              </w:tc>
              <w:tc>
                <w:tcPr>
                  <w:tcW w:w="703" w:type="pct"/>
                  <w:vMerge w:val="restart"/>
                  <w:noWrap w:val="0"/>
                  <w:vAlign w:val="center"/>
                </w:tcPr>
                <w:p>
                  <w:pPr>
                    <w:snapToGrid w:val="0"/>
                    <w:jc w:val="center"/>
                    <w:rPr>
                      <w:rFonts w:hint="eastAsia"/>
                      <w:b/>
                      <w:bCs/>
                      <w:spacing w:val="4"/>
                      <w:szCs w:val="21"/>
                      <w:u w:val="single"/>
                    </w:rPr>
                  </w:pPr>
                  <w:r>
                    <w:rPr>
                      <w:rFonts w:hint="eastAsia"/>
                      <w:b/>
                      <w:bCs/>
                      <w:spacing w:val="4"/>
                      <w:szCs w:val="21"/>
                      <w:u w:val="single"/>
                    </w:rPr>
                    <w:t>保护内容</w:t>
                  </w:r>
                </w:p>
              </w:tc>
              <w:tc>
                <w:tcPr>
                  <w:tcW w:w="673" w:type="pct"/>
                  <w:vMerge w:val="restart"/>
                  <w:noWrap w:val="0"/>
                  <w:vAlign w:val="center"/>
                </w:tcPr>
                <w:p>
                  <w:pPr>
                    <w:snapToGrid w:val="0"/>
                    <w:jc w:val="center"/>
                    <w:rPr>
                      <w:rFonts w:hint="eastAsia"/>
                      <w:b/>
                      <w:bCs/>
                      <w:spacing w:val="4"/>
                      <w:u w:val="single"/>
                    </w:rPr>
                  </w:pPr>
                  <w:r>
                    <w:rPr>
                      <w:rFonts w:hint="eastAsia"/>
                      <w:b/>
                      <w:bCs/>
                      <w:spacing w:val="4"/>
                      <w:u w:val="single"/>
                    </w:rPr>
                    <w:t>相对厂址方位</w:t>
                  </w:r>
                </w:p>
              </w:tc>
              <w:tc>
                <w:tcPr>
                  <w:tcW w:w="767" w:type="pct"/>
                  <w:vMerge w:val="restart"/>
                  <w:noWrap w:val="0"/>
                  <w:vAlign w:val="center"/>
                </w:tcPr>
                <w:p>
                  <w:pPr>
                    <w:snapToGrid w:val="0"/>
                    <w:jc w:val="center"/>
                    <w:rPr>
                      <w:b/>
                      <w:bCs/>
                      <w:spacing w:val="4"/>
                      <w:szCs w:val="21"/>
                      <w:u w:val="single"/>
                    </w:rPr>
                  </w:pPr>
                  <w:r>
                    <w:rPr>
                      <w:rFonts w:hint="eastAsia"/>
                      <w:b/>
                      <w:bCs/>
                      <w:spacing w:val="4"/>
                      <w:szCs w:val="21"/>
                      <w:u w:val="single"/>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0" w:type="pct"/>
                  <w:vMerge w:val="continue"/>
                  <w:noWrap w:val="0"/>
                  <w:vAlign w:val="center"/>
                </w:tcPr>
                <w:p>
                  <w:pPr>
                    <w:snapToGrid w:val="0"/>
                    <w:jc w:val="center"/>
                    <w:rPr>
                      <w:u w:val="single"/>
                    </w:rPr>
                  </w:pPr>
                </w:p>
              </w:tc>
              <w:tc>
                <w:tcPr>
                  <w:tcW w:w="763" w:type="pct"/>
                  <w:noWrap w:val="0"/>
                  <w:vAlign w:val="center"/>
                </w:tcPr>
                <w:p>
                  <w:pPr>
                    <w:snapToGrid w:val="0"/>
                    <w:jc w:val="center"/>
                    <w:rPr>
                      <w:rFonts w:hint="eastAsia"/>
                      <w:b/>
                      <w:bCs/>
                      <w:spacing w:val="4"/>
                      <w:u w:val="single"/>
                    </w:rPr>
                  </w:pPr>
                  <w:r>
                    <w:rPr>
                      <w:rFonts w:hint="eastAsia"/>
                      <w:b/>
                      <w:bCs/>
                      <w:spacing w:val="4"/>
                      <w:u w:val="single"/>
                    </w:rPr>
                    <w:t>东经</w:t>
                  </w:r>
                </w:p>
              </w:tc>
              <w:tc>
                <w:tcPr>
                  <w:tcW w:w="764" w:type="pct"/>
                  <w:noWrap w:val="0"/>
                  <w:vAlign w:val="center"/>
                </w:tcPr>
                <w:p>
                  <w:pPr>
                    <w:snapToGrid w:val="0"/>
                    <w:jc w:val="center"/>
                    <w:rPr>
                      <w:rFonts w:hint="eastAsia"/>
                      <w:b/>
                      <w:bCs/>
                      <w:spacing w:val="4"/>
                      <w:u w:val="single"/>
                    </w:rPr>
                  </w:pPr>
                  <w:r>
                    <w:rPr>
                      <w:rFonts w:hint="eastAsia"/>
                      <w:b/>
                      <w:bCs/>
                      <w:spacing w:val="4"/>
                      <w:u w:val="single"/>
                    </w:rPr>
                    <w:t>北纬</w:t>
                  </w:r>
                </w:p>
              </w:tc>
              <w:tc>
                <w:tcPr>
                  <w:tcW w:w="636" w:type="pct"/>
                  <w:vMerge w:val="continue"/>
                  <w:noWrap w:val="0"/>
                  <w:vAlign w:val="center"/>
                </w:tcPr>
                <w:p>
                  <w:pPr>
                    <w:snapToGrid w:val="0"/>
                    <w:jc w:val="center"/>
                    <w:rPr>
                      <w:b/>
                      <w:bCs/>
                      <w:spacing w:val="4"/>
                      <w:u w:val="single"/>
                    </w:rPr>
                  </w:pPr>
                </w:p>
              </w:tc>
              <w:tc>
                <w:tcPr>
                  <w:tcW w:w="703" w:type="pct"/>
                  <w:vMerge w:val="continue"/>
                  <w:noWrap w:val="0"/>
                  <w:vAlign w:val="center"/>
                </w:tcPr>
                <w:p>
                  <w:pPr>
                    <w:snapToGrid w:val="0"/>
                    <w:jc w:val="center"/>
                    <w:rPr>
                      <w:b/>
                      <w:bCs/>
                      <w:spacing w:val="4"/>
                      <w:u w:val="single"/>
                    </w:rPr>
                  </w:pPr>
                </w:p>
              </w:tc>
              <w:tc>
                <w:tcPr>
                  <w:tcW w:w="673" w:type="pct"/>
                  <w:vMerge w:val="continue"/>
                  <w:noWrap w:val="0"/>
                  <w:vAlign w:val="center"/>
                </w:tcPr>
                <w:p>
                  <w:pPr>
                    <w:snapToGrid w:val="0"/>
                    <w:jc w:val="center"/>
                    <w:rPr>
                      <w:b/>
                      <w:bCs/>
                      <w:spacing w:val="4"/>
                      <w:u w:val="single"/>
                    </w:rPr>
                  </w:pPr>
                </w:p>
              </w:tc>
              <w:tc>
                <w:tcPr>
                  <w:tcW w:w="767" w:type="pct"/>
                  <w:vMerge w:val="continue"/>
                  <w:noWrap w:val="0"/>
                  <w:vAlign w:val="center"/>
                </w:tcPr>
                <w:p>
                  <w:pPr>
                    <w:snapToGrid w:val="0"/>
                    <w:jc w:val="center"/>
                    <w:rPr>
                      <w:b/>
                      <w:bCs/>
                      <w:spacing w:val="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0" w:type="pct"/>
                  <w:noWrap w:val="0"/>
                  <w:vAlign w:val="center"/>
                </w:tcPr>
                <w:p>
                  <w:pPr>
                    <w:snapToGrid w:val="0"/>
                    <w:jc w:val="center"/>
                    <w:rPr>
                      <w:rFonts w:hint="eastAsia"/>
                      <w:spacing w:val="4"/>
                      <w:szCs w:val="21"/>
                      <w:u w:val="single"/>
                    </w:rPr>
                  </w:pPr>
                  <w:r>
                    <w:rPr>
                      <w:rFonts w:hint="eastAsia"/>
                      <w:color w:val="000000"/>
                      <w:szCs w:val="21"/>
                      <w:u w:val="single"/>
                    </w:rPr>
                    <w:t>水井村</w:t>
                  </w:r>
                </w:p>
              </w:tc>
              <w:tc>
                <w:tcPr>
                  <w:tcW w:w="763" w:type="pct"/>
                  <w:noWrap w:val="0"/>
                  <w:vAlign w:val="center"/>
                </w:tcPr>
                <w:p>
                  <w:pPr>
                    <w:snapToGrid w:val="0"/>
                    <w:jc w:val="center"/>
                    <w:rPr>
                      <w:rFonts w:hint="eastAsia"/>
                      <w:color w:val="000000"/>
                      <w:spacing w:val="4"/>
                      <w:szCs w:val="21"/>
                      <w:u w:val="single"/>
                    </w:rPr>
                  </w:pPr>
                  <w:r>
                    <w:rPr>
                      <w:rFonts w:hint="eastAsia"/>
                      <w:color w:val="000000"/>
                      <w:szCs w:val="21"/>
                      <w:u w:val="single"/>
                    </w:rPr>
                    <w:t>113.417750°</w:t>
                  </w:r>
                </w:p>
              </w:tc>
              <w:tc>
                <w:tcPr>
                  <w:tcW w:w="764" w:type="pct"/>
                  <w:noWrap w:val="0"/>
                  <w:vAlign w:val="center"/>
                </w:tcPr>
                <w:p>
                  <w:pPr>
                    <w:snapToGrid w:val="0"/>
                    <w:jc w:val="center"/>
                    <w:rPr>
                      <w:color w:val="000000"/>
                      <w:spacing w:val="4"/>
                      <w:szCs w:val="21"/>
                      <w:u w:val="single"/>
                    </w:rPr>
                  </w:pPr>
                  <w:r>
                    <w:rPr>
                      <w:color w:val="000000"/>
                      <w:spacing w:val="4"/>
                      <w:szCs w:val="21"/>
                      <w:u w:val="single"/>
                    </w:rPr>
                    <w:t>29.512885</w:t>
                  </w:r>
                  <w:r>
                    <w:rPr>
                      <w:rFonts w:hint="eastAsia"/>
                      <w:color w:val="000000"/>
                      <w:spacing w:val="4"/>
                      <w:szCs w:val="21"/>
                      <w:u w:val="single"/>
                    </w:rPr>
                    <w:t>°</w:t>
                  </w:r>
                </w:p>
              </w:tc>
              <w:tc>
                <w:tcPr>
                  <w:tcW w:w="636" w:type="pct"/>
                  <w:noWrap w:val="0"/>
                  <w:vAlign w:val="center"/>
                </w:tcPr>
                <w:p>
                  <w:pPr>
                    <w:snapToGrid w:val="0"/>
                    <w:jc w:val="center"/>
                    <w:rPr>
                      <w:color w:val="000000"/>
                      <w:spacing w:val="4"/>
                      <w:szCs w:val="21"/>
                      <w:u w:val="single"/>
                    </w:rPr>
                  </w:pPr>
                  <w:r>
                    <w:rPr>
                      <w:rFonts w:hint="eastAsia"/>
                      <w:color w:val="000000"/>
                      <w:spacing w:val="4"/>
                      <w:szCs w:val="21"/>
                      <w:u w:val="single"/>
                    </w:rPr>
                    <w:t>居住区</w:t>
                  </w:r>
                </w:p>
              </w:tc>
              <w:tc>
                <w:tcPr>
                  <w:tcW w:w="703" w:type="pct"/>
                  <w:noWrap w:val="0"/>
                  <w:vAlign w:val="center"/>
                </w:tcPr>
                <w:p>
                  <w:pPr>
                    <w:widowControl/>
                    <w:jc w:val="center"/>
                    <w:rPr>
                      <w:color w:val="000000"/>
                      <w:spacing w:val="4"/>
                      <w:szCs w:val="21"/>
                      <w:u w:val="single"/>
                    </w:rPr>
                  </w:pPr>
                  <w:r>
                    <w:rPr>
                      <w:rFonts w:hint="eastAsia"/>
                      <w:color w:val="000000"/>
                      <w:u w:val="single"/>
                    </w:rPr>
                    <w:t>约20户，60人</w:t>
                  </w:r>
                </w:p>
              </w:tc>
              <w:tc>
                <w:tcPr>
                  <w:tcW w:w="673" w:type="pct"/>
                  <w:noWrap w:val="0"/>
                  <w:vAlign w:val="center"/>
                </w:tcPr>
                <w:p>
                  <w:pPr>
                    <w:snapToGrid w:val="0"/>
                    <w:jc w:val="center"/>
                    <w:rPr>
                      <w:rFonts w:hint="eastAsia"/>
                      <w:color w:val="000000"/>
                      <w:u w:val="single"/>
                    </w:rPr>
                  </w:pPr>
                  <w:r>
                    <w:rPr>
                      <w:rFonts w:hint="eastAsia"/>
                      <w:color w:val="000000"/>
                      <w:u w:val="single"/>
                    </w:rPr>
                    <w:t>厂界</w:t>
                  </w:r>
                </w:p>
                <w:p>
                  <w:pPr>
                    <w:snapToGrid w:val="0"/>
                    <w:jc w:val="center"/>
                    <w:rPr>
                      <w:color w:val="000000"/>
                      <w:u w:val="single"/>
                    </w:rPr>
                  </w:pPr>
                  <w:r>
                    <w:rPr>
                      <w:rFonts w:hint="eastAsia"/>
                      <w:color w:val="000000"/>
                      <w:u w:val="single"/>
                    </w:rPr>
                    <w:t>四测</w:t>
                  </w:r>
                </w:p>
              </w:tc>
              <w:tc>
                <w:tcPr>
                  <w:tcW w:w="767" w:type="pct"/>
                  <w:noWrap w:val="0"/>
                  <w:vAlign w:val="center"/>
                </w:tcPr>
                <w:p>
                  <w:pPr>
                    <w:snapToGrid w:val="0"/>
                    <w:jc w:val="center"/>
                    <w:rPr>
                      <w:color w:val="000000"/>
                      <w:szCs w:val="21"/>
                      <w:u w:val="single"/>
                    </w:rPr>
                  </w:pPr>
                  <w:r>
                    <w:rPr>
                      <w:rFonts w:hint="eastAsia"/>
                      <w:color w:val="000000"/>
                      <w:spacing w:val="4"/>
                      <w:szCs w:val="21"/>
                      <w:u w:val="single"/>
                    </w:rPr>
                    <w:t>5-50</w:t>
                  </w:r>
                </w:p>
              </w:tc>
            </w:tr>
          </w:tbl>
          <w:p>
            <w:pPr>
              <w:spacing w:line="480" w:lineRule="exact"/>
              <w:jc w:val="center"/>
              <w:rPr>
                <w:b/>
                <w:spacing w:val="4"/>
                <w:szCs w:val="21"/>
                <w:u w:val="single"/>
              </w:rPr>
            </w:pPr>
            <w:r>
              <w:rPr>
                <w:b/>
                <w:spacing w:val="4"/>
                <w:szCs w:val="21"/>
                <w:u w:val="single"/>
              </w:rPr>
              <w:t>表3-</w:t>
            </w:r>
            <w:r>
              <w:rPr>
                <w:rFonts w:hint="eastAsia"/>
                <w:b/>
                <w:spacing w:val="4"/>
                <w:szCs w:val="21"/>
                <w:u w:val="single"/>
              </w:rPr>
              <w:t>8</w:t>
            </w:r>
            <w:r>
              <w:rPr>
                <w:b/>
                <w:spacing w:val="4"/>
                <w:szCs w:val="21"/>
                <w:u w:val="single"/>
              </w:rPr>
              <w:t xml:space="preserve"> </w:t>
            </w:r>
            <w:r>
              <w:rPr>
                <w:rFonts w:hint="eastAsia"/>
                <w:b/>
                <w:spacing w:val="4"/>
                <w:szCs w:val="21"/>
                <w:u w:val="single"/>
              </w:rPr>
              <w:t>地表水</w:t>
            </w:r>
            <w:r>
              <w:rPr>
                <w:b/>
                <w:spacing w:val="4"/>
                <w:szCs w:val="21"/>
                <w:u w:val="single"/>
              </w:rPr>
              <w:t>环境保护目标</w:t>
            </w:r>
          </w:p>
          <w:tbl>
            <w:tblPr>
              <w:tblStyle w:val="26"/>
              <w:tblW w:w="49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940"/>
              <w:gridCol w:w="720"/>
              <w:gridCol w:w="1033"/>
              <w:gridCol w:w="1292"/>
              <w:gridCol w:w="2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7" w:type="pct"/>
                  <w:noWrap w:val="0"/>
                  <w:vAlign w:val="center"/>
                </w:tcPr>
                <w:p>
                  <w:pPr>
                    <w:adjustRightInd w:val="0"/>
                    <w:snapToGrid w:val="0"/>
                    <w:jc w:val="center"/>
                    <w:rPr>
                      <w:b/>
                      <w:bCs/>
                      <w:spacing w:val="4"/>
                      <w:szCs w:val="21"/>
                      <w:u w:val="single"/>
                    </w:rPr>
                  </w:pPr>
                  <w:r>
                    <w:rPr>
                      <w:b/>
                      <w:bCs/>
                      <w:spacing w:val="4"/>
                      <w:szCs w:val="21"/>
                      <w:u w:val="single"/>
                    </w:rPr>
                    <w:t>项  目</w:t>
                  </w:r>
                </w:p>
              </w:tc>
              <w:tc>
                <w:tcPr>
                  <w:tcW w:w="1231" w:type="pct"/>
                  <w:noWrap w:val="0"/>
                  <w:vAlign w:val="center"/>
                </w:tcPr>
                <w:p>
                  <w:pPr>
                    <w:adjustRightInd w:val="0"/>
                    <w:snapToGrid w:val="0"/>
                    <w:jc w:val="center"/>
                    <w:rPr>
                      <w:b/>
                      <w:bCs/>
                      <w:spacing w:val="4"/>
                      <w:szCs w:val="21"/>
                      <w:u w:val="single"/>
                    </w:rPr>
                  </w:pPr>
                  <w:r>
                    <w:rPr>
                      <w:b/>
                      <w:bCs/>
                      <w:spacing w:val="4"/>
                      <w:szCs w:val="21"/>
                      <w:u w:val="single"/>
                    </w:rPr>
                    <w:t>目  标</w:t>
                  </w:r>
                </w:p>
              </w:tc>
              <w:tc>
                <w:tcPr>
                  <w:tcW w:w="457" w:type="pct"/>
                  <w:noWrap w:val="0"/>
                  <w:vAlign w:val="center"/>
                </w:tcPr>
                <w:p>
                  <w:pPr>
                    <w:adjustRightInd w:val="0"/>
                    <w:snapToGrid w:val="0"/>
                    <w:jc w:val="center"/>
                    <w:rPr>
                      <w:b/>
                      <w:bCs/>
                      <w:spacing w:val="4"/>
                      <w:szCs w:val="21"/>
                      <w:u w:val="single"/>
                    </w:rPr>
                  </w:pPr>
                  <w:r>
                    <w:rPr>
                      <w:b/>
                      <w:bCs/>
                      <w:spacing w:val="4"/>
                      <w:szCs w:val="21"/>
                      <w:u w:val="single"/>
                    </w:rPr>
                    <w:t>方位</w:t>
                  </w:r>
                </w:p>
              </w:tc>
              <w:tc>
                <w:tcPr>
                  <w:tcW w:w="655" w:type="pct"/>
                  <w:noWrap w:val="0"/>
                  <w:vAlign w:val="center"/>
                </w:tcPr>
                <w:p>
                  <w:pPr>
                    <w:adjustRightInd w:val="0"/>
                    <w:snapToGrid w:val="0"/>
                    <w:jc w:val="center"/>
                    <w:rPr>
                      <w:b/>
                      <w:bCs/>
                      <w:spacing w:val="4"/>
                      <w:szCs w:val="21"/>
                      <w:u w:val="single"/>
                    </w:rPr>
                  </w:pPr>
                  <w:r>
                    <w:rPr>
                      <w:b/>
                      <w:bCs/>
                      <w:spacing w:val="4"/>
                      <w:szCs w:val="21"/>
                      <w:u w:val="single"/>
                    </w:rPr>
                    <w:t>距厂界最近距离(m)</w:t>
                  </w:r>
                </w:p>
              </w:tc>
              <w:tc>
                <w:tcPr>
                  <w:tcW w:w="820" w:type="pct"/>
                  <w:noWrap w:val="0"/>
                  <w:vAlign w:val="center"/>
                </w:tcPr>
                <w:p>
                  <w:pPr>
                    <w:adjustRightInd w:val="0"/>
                    <w:snapToGrid w:val="0"/>
                    <w:jc w:val="center"/>
                    <w:rPr>
                      <w:b/>
                      <w:bCs/>
                      <w:spacing w:val="4"/>
                      <w:szCs w:val="21"/>
                      <w:u w:val="single"/>
                    </w:rPr>
                  </w:pPr>
                  <w:r>
                    <w:rPr>
                      <w:b/>
                      <w:bCs/>
                      <w:spacing w:val="4"/>
                      <w:szCs w:val="21"/>
                      <w:u w:val="single"/>
                    </w:rPr>
                    <w:t>功能性质</w:t>
                  </w:r>
                </w:p>
              </w:tc>
              <w:tc>
                <w:tcPr>
                  <w:tcW w:w="1326" w:type="pct"/>
                  <w:noWrap w:val="0"/>
                  <w:vAlign w:val="center"/>
                </w:tcPr>
                <w:p>
                  <w:pPr>
                    <w:adjustRightInd w:val="0"/>
                    <w:snapToGrid w:val="0"/>
                    <w:jc w:val="center"/>
                    <w:rPr>
                      <w:b/>
                      <w:bCs/>
                      <w:spacing w:val="4"/>
                      <w:szCs w:val="21"/>
                      <w:u w:val="single"/>
                    </w:rPr>
                  </w:pPr>
                  <w:r>
                    <w:rPr>
                      <w:b/>
                      <w:bCs/>
                      <w:spacing w:val="4"/>
                      <w:szCs w:val="21"/>
                      <w:u w:val="single"/>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7" w:type="pct"/>
                  <w:vMerge w:val="restart"/>
                  <w:noWrap w:val="0"/>
                  <w:vAlign w:val="center"/>
                </w:tcPr>
                <w:p>
                  <w:pPr>
                    <w:adjustRightInd w:val="0"/>
                    <w:snapToGrid w:val="0"/>
                    <w:jc w:val="center"/>
                    <w:rPr>
                      <w:spacing w:val="4"/>
                      <w:szCs w:val="21"/>
                      <w:u w:val="single"/>
                    </w:rPr>
                  </w:pPr>
                  <w:bookmarkStart w:id="84" w:name="_Toc299634786"/>
                  <w:r>
                    <w:rPr>
                      <w:spacing w:val="4"/>
                      <w:szCs w:val="21"/>
                      <w:u w:val="single"/>
                    </w:rPr>
                    <w:t>地表水环境</w:t>
                  </w:r>
                  <w:bookmarkEnd w:id="84"/>
                </w:p>
              </w:tc>
              <w:tc>
                <w:tcPr>
                  <w:tcW w:w="1231" w:type="pct"/>
                  <w:noWrap w:val="0"/>
                  <w:vAlign w:val="center"/>
                </w:tcPr>
                <w:p>
                  <w:pPr>
                    <w:adjustRightInd w:val="0"/>
                    <w:snapToGrid w:val="0"/>
                    <w:jc w:val="center"/>
                    <w:rPr>
                      <w:rFonts w:hint="eastAsia"/>
                      <w:color w:val="000000"/>
                      <w:spacing w:val="4"/>
                      <w:szCs w:val="21"/>
                      <w:u w:val="single"/>
                    </w:rPr>
                  </w:pPr>
                  <w:r>
                    <w:rPr>
                      <w:rFonts w:hint="eastAsia"/>
                      <w:color w:val="000000"/>
                      <w:spacing w:val="4"/>
                      <w:szCs w:val="21"/>
                      <w:u w:val="single"/>
                    </w:rPr>
                    <w:t>沅潭河支流郑家港</w:t>
                  </w:r>
                </w:p>
              </w:tc>
              <w:tc>
                <w:tcPr>
                  <w:tcW w:w="457" w:type="pct"/>
                  <w:noWrap w:val="0"/>
                  <w:vAlign w:val="center"/>
                </w:tcPr>
                <w:p>
                  <w:pPr>
                    <w:adjustRightInd w:val="0"/>
                    <w:snapToGrid w:val="0"/>
                    <w:jc w:val="center"/>
                    <w:rPr>
                      <w:color w:val="000000"/>
                      <w:spacing w:val="4"/>
                      <w:szCs w:val="21"/>
                      <w:u w:val="single"/>
                    </w:rPr>
                  </w:pPr>
                  <w:r>
                    <w:rPr>
                      <w:rFonts w:hint="eastAsia"/>
                      <w:color w:val="000000"/>
                      <w:spacing w:val="4"/>
                      <w:szCs w:val="21"/>
                      <w:u w:val="single"/>
                    </w:rPr>
                    <w:t>NW</w:t>
                  </w:r>
                </w:p>
              </w:tc>
              <w:tc>
                <w:tcPr>
                  <w:tcW w:w="655" w:type="pct"/>
                  <w:noWrap w:val="0"/>
                  <w:vAlign w:val="center"/>
                </w:tcPr>
                <w:p>
                  <w:pPr>
                    <w:adjustRightInd w:val="0"/>
                    <w:snapToGrid w:val="0"/>
                    <w:jc w:val="center"/>
                    <w:rPr>
                      <w:color w:val="000000"/>
                      <w:spacing w:val="4"/>
                      <w:szCs w:val="21"/>
                      <w:u w:val="single"/>
                    </w:rPr>
                  </w:pPr>
                  <w:r>
                    <w:rPr>
                      <w:rFonts w:hint="eastAsia"/>
                      <w:color w:val="000000"/>
                      <w:spacing w:val="4"/>
                      <w:szCs w:val="21"/>
                      <w:u w:val="single"/>
                    </w:rPr>
                    <w:t>198</w:t>
                  </w:r>
                </w:p>
              </w:tc>
              <w:tc>
                <w:tcPr>
                  <w:tcW w:w="820" w:type="pct"/>
                  <w:vMerge w:val="restart"/>
                  <w:noWrap w:val="0"/>
                  <w:vAlign w:val="center"/>
                </w:tcPr>
                <w:p>
                  <w:pPr>
                    <w:adjustRightInd w:val="0"/>
                    <w:snapToGrid w:val="0"/>
                    <w:jc w:val="center"/>
                    <w:rPr>
                      <w:rFonts w:hint="eastAsia"/>
                      <w:color w:val="4F81BD" w:themeColor="accent1"/>
                      <w:spacing w:val="4"/>
                      <w:szCs w:val="21"/>
                      <w:u w:val="single"/>
                      <w14:textFill>
                        <w14:solidFill>
                          <w14:schemeClr w14:val="accent1"/>
                        </w14:solidFill>
                      </w14:textFill>
                    </w:rPr>
                  </w:pPr>
                  <w:r>
                    <w:rPr>
                      <w:rFonts w:hint="eastAsia"/>
                      <w:color w:val="4F81BD" w:themeColor="accent1"/>
                      <w:spacing w:val="4"/>
                      <w:szCs w:val="21"/>
                      <w:u w:val="single"/>
                      <w14:textFill>
                        <w14:solidFill>
                          <w14:schemeClr w14:val="accent1"/>
                        </w14:solidFill>
                      </w14:textFill>
                    </w:rPr>
                    <w:t>农业用水</w:t>
                  </w:r>
                </w:p>
              </w:tc>
              <w:tc>
                <w:tcPr>
                  <w:tcW w:w="1326" w:type="pct"/>
                  <w:vMerge w:val="restart"/>
                  <w:noWrap w:val="0"/>
                  <w:vAlign w:val="center"/>
                </w:tcPr>
                <w:p>
                  <w:pPr>
                    <w:adjustRightInd w:val="0"/>
                    <w:snapToGrid w:val="0"/>
                    <w:rPr>
                      <w:color w:val="000000"/>
                      <w:spacing w:val="4"/>
                      <w:szCs w:val="21"/>
                      <w:u w:val="single"/>
                    </w:rPr>
                  </w:pPr>
                  <w:r>
                    <w:rPr>
                      <w:color w:val="000000"/>
                      <w:szCs w:val="21"/>
                      <w:u w:val="single"/>
                    </w:rPr>
                    <w:t>（GB3838-2002）中Ⅲ类标</w:t>
                  </w:r>
                  <w:r>
                    <w:rPr>
                      <w:color w:val="000000"/>
                      <w:spacing w:val="4"/>
                      <w:szCs w:val="21"/>
                      <w:u w:val="single"/>
                    </w:rPr>
                    <w:t>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7" w:type="pct"/>
                  <w:vMerge w:val="continue"/>
                  <w:noWrap w:val="0"/>
                  <w:vAlign w:val="center"/>
                </w:tcPr>
                <w:p>
                  <w:pPr>
                    <w:adjustRightInd w:val="0"/>
                    <w:snapToGrid w:val="0"/>
                    <w:jc w:val="center"/>
                    <w:rPr>
                      <w:spacing w:val="4"/>
                      <w:szCs w:val="21"/>
                      <w:u w:val="single"/>
                    </w:rPr>
                  </w:pPr>
                </w:p>
              </w:tc>
              <w:tc>
                <w:tcPr>
                  <w:tcW w:w="1231" w:type="pct"/>
                  <w:noWrap w:val="0"/>
                  <w:vAlign w:val="center"/>
                </w:tcPr>
                <w:p>
                  <w:pPr>
                    <w:adjustRightInd w:val="0"/>
                    <w:snapToGrid w:val="0"/>
                    <w:jc w:val="center"/>
                    <w:rPr>
                      <w:rFonts w:hint="eastAsia"/>
                      <w:color w:val="000000"/>
                      <w:spacing w:val="4"/>
                      <w:szCs w:val="21"/>
                      <w:u w:val="single"/>
                    </w:rPr>
                  </w:pPr>
                  <w:r>
                    <w:rPr>
                      <w:rFonts w:hint="eastAsia"/>
                      <w:color w:val="000000"/>
                      <w:spacing w:val="4"/>
                      <w:szCs w:val="21"/>
                      <w:u w:val="single"/>
                    </w:rPr>
                    <w:t>沅潭河</w:t>
                  </w:r>
                </w:p>
              </w:tc>
              <w:tc>
                <w:tcPr>
                  <w:tcW w:w="457" w:type="pct"/>
                  <w:noWrap w:val="0"/>
                  <w:vAlign w:val="center"/>
                </w:tcPr>
                <w:p>
                  <w:pPr>
                    <w:adjustRightInd w:val="0"/>
                    <w:snapToGrid w:val="0"/>
                    <w:jc w:val="center"/>
                    <w:rPr>
                      <w:color w:val="000000"/>
                      <w:spacing w:val="4"/>
                      <w:szCs w:val="21"/>
                      <w:u w:val="single"/>
                    </w:rPr>
                  </w:pPr>
                  <w:r>
                    <w:rPr>
                      <w:rFonts w:hint="eastAsia"/>
                      <w:color w:val="000000"/>
                      <w:spacing w:val="4"/>
                      <w:szCs w:val="21"/>
                      <w:u w:val="single"/>
                    </w:rPr>
                    <w:t>SE</w:t>
                  </w:r>
                </w:p>
              </w:tc>
              <w:tc>
                <w:tcPr>
                  <w:tcW w:w="655" w:type="pct"/>
                  <w:noWrap w:val="0"/>
                  <w:vAlign w:val="center"/>
                </w:tcPr>
                <w:p>
                  <w:pPr>
                    <w:adjustRightInd w:val="0"/>
                    <w:snapToGrid w:val="0"/>
                    <w:jc w:val="center"/>
                    <w:rPr>
                      <w:color w:val="000000"/>
                      <w:spacing w:val="4"/>
                      <w:szCs w:val="21"/>
                      <w:u w:val="single"/>
                    </w:rPr>
                  </w:pPr>
                  <w:r>
                    <w:rPr>
                      <w:rFonts w:hint="eastAsia"/>
                      <w:color w:val="000000"/>
                      <w:spacing w:val="4"/>
                      <w:szCs w:val="21"/>
                      <w:u w:val="single"/>
                    </w:rPr>
                    <w:t>3850</w:t>
                  </w:r>
                </w:p>
              </w:tc>
              <w:tc>
                <w:tcPr>
                  <w:tcW w:w="820" w:type="pct"/>
                  <w:vMerge w:val="continue"/>
                  <w:noWrap w:val="0"/>
                  <w:vAlign w:val="center"/>
                </w:tcPr>
                <w:p>
                  <w:pPr>
                    <w:adjustRightInd w:val="0"/>
                    <w:snapToGrid w:val="0"/>
                    <w:jc w:val="center"/>
                    <w:rPr>
                      <w:rFonts w:hint="eastAsia"/>
                      <w:color w:val="000000"/>
                      <w:spacing w:val="4"/>
                      <w:szCs w:val="21"/>
                      <w:u w:val="single"/>
                    </w:rPr>
                  </w:pPr>
                </w:p>
              </w:tc>
              <w:tc>
                <w:tcPr>
                  <w:tcW w:w="1326" w:type="pct"/>
                  <w:vMerge w:val="continue"/>
                  <w:noWrap w:val="0"/>
                  <w:vAlign w:val="center"/>
                </w:tcPr>
                <w:p>
                  <w:pPr>
                    <w:adjustRightInd w:val="0"/>
                    <w:snapToGrid w:val="0"/>
                    <w:rPr>
                      <w:color w:val="000000"/>
                      <w:szCs w:val="21"/>
                      <w:u w:val="single"/>
                    </w:rPr>
                  </w:pPr>
                </w:p>
              </w:tc>
            </w:tr>
          </w:tbl>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b/>
                <w:spacing w:val="4"/>
                <w:szCs w:val="21"/>
                <w:u w:val="single"/>
              </w:rPr>
            </w:pPr>
          </w:p>
          <w:p>
            <w:pPr>
              <w:adjustRightInd w:val="0"/>
              <w:snapToGrid w:val="0"/>
              <w:rPr>
                <w:rFonts w:ascii="宋体" w:hAnsi="宋体" w:cs="宋体"/>
                <w:kern w:val="0"/>
                <w:szCs w:val="21"/>
                <w:u w:val="singl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污染</w:t>
            </w:r>
          </w:p>
          <w:p>
            <w:pPr>
              <w:adjustRightInd w:val="0"/>
              <w:snapToGrid w:val="0"/>
              <w:jc w:val="center"/>
              <w:rPr>
                <w:rFonts w:hint="eastAsia" w:ascii="宋体" w:hAnsi="宋体" w:cs="宋体"/>
                <w:kern w:val="0"/>
                <w:szCs w:val="21"/>
              </w:rPr>
            </w:pPr>
            <w:r>
              <w:rPr>
                <w:rFonts w:hint="eastAsia" w:ascii="宋体" w:hAnsi="宋体" w:cs="宋体"/>
                <w:kern w:val="0"/>
                <w:szCs w:val="21"/>
              </w:rPr>
              <w:t>物排</w:t>
            </w:r>
          </w:p>
          <w:p>
            <w:pPr>
              <w:adjustRightInd w:val="0"/>
              <w:snapToGrid w:val="0"/>
              <w:jc w:val="center"/>
              <w:rPr>
                <w:rFonts w:hint="eastAsia" w:ascii="宋体" w:hAnsi="宋体" w:cs="宋体"/>
                <w:kern w:val="0"/>
                <w:szCs w:val="21"/>
              </w:rPr>
            </w:pPr>
            <w:r>
              <w:rPr>
                <w:rFonts w:hint="eastAsia" w:ascii="宋体" w:hAnsi="宋体" w:cs="宋体"/>
                <w:kern w:val="0"/>
                <w:szCs w:val="21"/>
              </w:rPr>
              <w:t>放控</w:t>
            </w:r>
          </w:p>
          <w:p>
            <w:pPr>
              <w:adjustRightInd w:val="0"/>
              <w:snapToGrid w:val="0"/>
              <w:jc w:val="center"/>
              <w:rPr>
                <w:rFonts w:hint="eastAsia" w:ascii="宋体" w:hAnsi="宋体" w:cs="宋体"/>
                <w:kern w:val="0"/>
                <w:szCs w:val="21"/>
              </w:rPr>
            </w:pPr>
            <w:r>
              <w:rPr>
                <w:rFonts w:hint="eastAsia" w:ascii="宋体" w:hAnsi="宋体" w:cs="宋体"/>
                <w:kern w:val="0"/>
                <w:szCs w:val="21"/>
              </w:rPr>
              <w:t>制标</w:t>
            </w:r>
          </w:p>
          <w:p>
            <w:pPr>
              <w:adjustRightInd w:val="0"/>
              <w:snapToGrid w:val="0"/>
              <w:jc w:val="center"/>
              <w:rPr>
                <w:rFonts w:ascii="宋体" w:hAnsi="宋体" w:cs="宋体"/>
                <w:kern w:val="0"/>
                <w:szCs w:val="21"/>
              </w:rPr>
            </w:pPr>
            <w:r>
              <w:rPr>
                <w:rFonts w:hint="eastAsia" w:ascii="宋体" w:hAnsi="宋体" w:cs="宋体"/>
                <w:kern w:val="0"/>
                <w:szCs w:val="21"/>
              </w:rPr>
              <w:t>准</w:t>
            </w:r>
          </w:p>
        </w:tc>
        <w:tc>
          <w:tcPr>
            <w:tcW w:w="8128" w:type="dxa"/>
            <w:noWrap w:val="0"/>
            <w:vAlign w:val="center"/>
          </w:tcPr>
          <w:p>
            <w:pPr>
              <w:pStyle w:val="59"/>
              <w:ind w:firstLine="0" w:firstLineChars="0"/>
              <w:rPr>
                <w:b/>
                <w:bCs/>
              </w:rPr>
            </w:pPr>
            <w:r>
              <w:rPr>
                <w:rFonts w:hint="eastAsia"/>
                <w:b/>
                <w:bCs/>
              </w:rPr>
              <w:t>3.7、废水</w:t>
            </w:r>
          </w:p>
          <w:p>
            <w:pPr>
              <w:spacing w:line="360" w:lineRule="auto"/>
              <w:ind w:firstLine="480" w:firstLineChars="200"/>
              <w:rPr>
                <w:bCs/>
                <w:sz w:val="24"/>
                <w:u w:val="single"/>
              </w:rPr>
            </w:pPr>
            <w:r>
              <w:rPr>
                <w:rFonts w:hint="eastAsia"/>
                <w:bCs/>
                <w:sz w:val="24"/>
                <w:u w:val="single"/>
              </w:rPr>
              <w:t>项目生活污水经化粪池</w:t>
            </w:r>
            <w:r>
              <w:rPr>
                <w:rFonts w:hint="eastAsia"/>
                <w:bCs/>
                <w:sz w:val="24"/>
                <w:u w:val="single"/>
                <w:lang w:val="en-US" w:eastAsia="zh-CN"/>
              </w:rPr>
              <w:t>+调节池</w:t>
            </w:r>
            <w:r>
              <w:rPr>
                <w:rFonts w:hint="eastAsia"/>
                <w:bCs/>
                <w:sz w:val="24"/>
                <w:u w:val="single"/>
              </w:rPr>
              <w:t>处理后用作后边农作物农肥，加油站清洗废水和初期雨水经隔油沉淀池处理后回用于洒水降尘及绿植灌溉，不外排。</w:t>
            </w:r>
          </w:p>
          <w:p>
            <w:pPr>
              <w:spacing w:line="360" w:lineRule="auto"/>
              <w:rPr>
                <w:rFonts w:hint="default" w:eastAsia="宋体"/>
                <w:b/>
                <w:bCs/>
                <w:color w:val="FF0000"/>
                <w:sz w:val="24"/>
                <w:u w:val="single"/>
                <w:lang w:val="en-US" w:eastAsia="zh-CN"/>
              </w:rPr>
            </w:pPr>
            <w:r>
              <w:rPr>
                <w:rFonts w:hint="eastAsia"/>
                <w:b/>
                <w:bCs/>
                <w:sz w:val="24"/>
                <w:u w:val="single"/>
              </w:rPr>
              <w:t>3.8、废气</w:t>
            </w:r>
          </w:p>
          <w:p>
            <w:pPr>
              <w:adjustRightInd w:val="0"/>
              <w:snapToGrid w:val="0"/>
              <w:spacing w:line="360" w:lineRule="auto"/>
              <w:ind w:firstLine="480" w:firstLineChars="200"/>
              <w:rPr>
                <w:bCs/>
                <w:color w:val="0000FF"/>
                <w:sz w:val="24"/>
                <w:u w:val="single"/>
              </w:rPr>
            </w:pPr>
            <w:r>
              <w:rPr>
                <w:rFonts w:hint="eastAsia"/>
                <w:bCs/>
                <w:color w:val="0000FF"/>
                <w:sz w:val="24"/>
                <w:u w:val="single"/>
              </w:rPr>
              <w:t>加油站生产系统执行</w:t>
            </w:r>
            <w:r>
              <w:rPr>
                <w:bCs/>
                <w:color w:val="0000FF"/>
                <w:sz w:val="24"/>
                <w:u w:val="single"/>
              </w:rPr>
              <w:t>《加油站大气污染物排放标准》（GB20952-20</w:t>
            </w:r>
            <w:r>
              <w:rPr>
                <w:rFonts w:hint="eastAsia"/>
                <w:bCs/>
                <w:color w:val="0000FF"/>
                <w:sz w:val="24"/>
                <w:u w:val="single"/>
              </w:rPr>
              <w:t>20</w:t>
            </w:r>
            <w:r>
              <w:rPr>
                <w:bCs/>
                <w:color w:val="0000FF"/>
                <w:sz w:val="24"/>
                <w:u w:val="single"/>
              </w:rPr>
              <w:t>）</w:t>
            </w:r>
            <w:r>
              <w:rPr>
                <w:rFonts w:hint="eastAsia"/>
                <w:bCs/>
                <w:color w:val="0000FF"/>
                <w:sz w:val="24"/>
                <w:u w:val="single"/>
              </w:rPr>
              <w:t>；，详情如下：</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b/>
                <w:bCs/>
                <w:color w:val="0000FF"/>
                <w:kern w:val="21"/>
                <w:szCs w:val="21"/>
                <w:u w:val="single"/>
              </w:rPr>
            </w:pPr>
            <w:r>
              <w:rPr>
                <w:rFonts w:hint="eastAsia"/>
                <w:b/>
                <w:bCs/>
                <w:color w:val="0000FF"/>
                <w:kern w:val="21"/>
                <w:szCs w:val="21"/>
                <w:u w:val="single"/>
              </w:rPr>
              <w:t>表3-9   加油站大气污染物排放标准  单位：mg/m</w:t>
            </w:r>
            <w:r>
              <w:rPr>
                <w:rFonts w:hint="eastAsia"/>
                <w:b/>
                <w:bCs/>
                <w:color w:val="0000FF"/>
                <w:kern w:val="21"/>
                <w:szCs w:val="21"/>
                <w:u w:val="single"/>
                <w:vertAlign w:val="superscript"/>
              </w:rPr>
              <w:t>3</w:t>
            </w:r>
          </w:p>
          <w:tbl>
            <w:tblPr>
              <w:tblStyle w:val="26"/>
              <w:tblW w:w="79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8"/>
              <w:gridCol w:w="1978"/>
              <w:gridCol w:w="1978"/>
              <w:gridCol w:w="1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noWrap w:val="0"/>
                  <w:vAlign w:val="top"/>
                </w:tcPr>
                <w:p>
                  <w:pPr>
                    <w:adjustRightInd w:val="0"/>
                    <w:snapToGrid w:val="0"/>
                    <w:jc w:val="center"/>
                    <w:rPr>
                      <w:b/>
                      <w:bCs/>
                      <w:color w:val="0000FF"/>
                      <w:kern w:val="21"/>
                      <w:szCs w:val="21"/>
                      <w:u w:val="single"/>
                    </w:rPr>
                  </w:pPr>
                  <w:r>
                    <w:rPr>
                      <w:rFonts w:hint="eastAsia"/>
                      <w:b/>
                      <w:bCs/>
                      <w:color w:val="0000FF"/>
                      <w:kern w:val="21"/>
                      <w:szCs w:val="21"/>
                      <w:u w:val="single"/>
                    </w:rPr>
                    <w:t>污染物项目</w:t>
                  </w:r>
                </w:p>
              </w:tc>
              <w:tc>
                <w:tcPr>
                  <w:tcW w:w="1978" w:type="dxa"/>
                  <w:noWrap w:val="0"/>
                  <w:vAlign w:val="top"/>
                </w:tcPr>
                <w:p>
                  <w:pPr>
                    <w:adjustRightInd w:val="0"/>
                    <w:snapToGrid w:val="0"/>
                    <w:jc w:val="center"/>
                    <w:rPr>
                      <w:rFonts w:hint="eastAsia"/>
                      <w:b/>
                      <w:bCs/>
                      <w:color w:val="0000FF"/>
                      <w:kern w:val="21"/>
                      <w:szCs w:val="21"/>
                      <w:u w:val="single"/>
                    </w:rPr>
                  </w:pPr>
                  <w:r>
                    <w:rPr>
                      <w:rFonts w:hint="eastAsia"/>
                      <w:b/>
                      <w:bCs/>
                      <w:color w:val="0000FF"/>
                      <w:kern w:val="21"/>
                      <w:szCs w:val="21"/>
                      <w:u w:val="single"/>
                    </w:rPr>
                    <w:t>排放限值</w:t>
                  </w:r>
                </w:p>
              </w:tc>
              <w:tc>
                <w:tcPr>
                  <w:tcW w:w="1978" w:type="dxa"/>
                  <w:noWrap w:val="0"/>
                  <w:vAlign w:val="top"/>
                </w:tcPr>
                <w:p>
                  <w:pPr>
                    <w:adjustRightInd w:val="0"/>
                    <w:snapToGrid w:val="0"/>
                    <w:jc w:val="center"/>
                    <w:rPr>
                      <w:b/>
                      <w:bCs/>
                      <w:color w:val="0000FF"/>
                      <w:kern w:val="21"/>
                      <w:szCs w:val="21"/>
                      <w:u w:val="single"/>
                    </w:rPr>
                  </w:pPr>
                  <w:r>
                    <w:rPr>
                      <w:rFonts w:hint="eastAsia"/>
                      <w:b/>
                      <w:bCs/>
                      <w:color w:val="0000FF"/>
                      <w:kern w:val="21"/>
                      <w:szCs w:val="21"/>
                      <w:u w:val="single"/>
                    </w:rPr>
                    <w:t>限值含义</w:t>
                  </w:r>
                </w:p>
              </w:tc>
              <w:tc>
                <w:tcPr>
                  <w:tcW w:w="1978" w:type="dxa"/>
                  <w:noWrap w:val="0"/>
                  <w:vAlign w:val="top"/>
                </w:tcPr>
                <w:p>
                  <w:pPr>
                    <w:adjustRightInd w:val="0"/>
                    <w:snapToGrid w:val="0"/>
                    <w:jc w:val="center"/>
                    <w:rPr>
                      <w:rFonts w:hint="eastAsia"/>
                      <w:b/>
                      <w:bCs/>
                      <w:color w:val="0000FF"/>
                      <w:kern w:val="21"/>
                      <w:szCs w:val="21"/>
                      <w:u w:val="single"/>
                    </w:rPr>
                  </w:pPr>
                  <w:r>
                    <w:rPr>
                      <w:rFonts w:hint="eastAsia"/>
                      <w:b/>
                      <w:bCs/>
                      <w:color w:val="0000FF"/>
                      <w:kern w:val="21"/>
                      <w:szCs w:val="21"/>
                      <w:u w:val="single"/>
                    </w:rPr>
                    <w:t>监控点位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vMerge w:val="restart"/>
                  <w:noWrap w:val="0"/>
                  <w:vAlign w:val="center"/>
                </w:tcPr>
                <w:p>
                  <w:pPr>
                    <w:adjustRightInd w:val="0"/>
                    <w:snapToGrid w:val="0"/>
                    <w:jc w:val="center"/>
                    <w:rPr>
                      <w:color w:val="0000FF"/>
                      <w:kern w:val="21"/>
                      <w:szCs w:val="21"/>
                      <w:u w:val="single"/>
                    </w:rPr>
                  </w:pPr>
                  <w:r>
                    <w:rPr>
                      <w:rFonts w:hint="eastAsia"/>
                      <w:color w:val="0000FF"/>
                      <w:kern w:val="21"/>
                      <w:szCs w:val="21"/>
                      <w:u w:val="single"/>
                    </w:rPr>
                    <w:t>NMHC</w:t>
                  </w:r>
                </w:p>
              </w:tc>
              <w:tc>
                <w:tcPr>
                  <w:tcW w:w="1978" w:type="dxa"/>
                  <w:noWrap w:val="0"/>
                  <w:vAlign w:val="center"/>
                </w:tcPr>
                <w:p>
                  <w:pPr>
                    <w:adjustRightInd w:val="0"/>
                    <w:snapToGrid w:val="0"/>
                    <w:jc w:val="center"/>
                    <w:rPr>
                      <w:color w:val="0000FF"/>
                      <w:kern w:val="21"/>
                      <w:szCs w:val="21"/>
                      <w:u w:val="single"/>
                    </w:rPr>
                  </w:pPr>
                  <w:r>
                    <w:rPr>
                      <w:rFonts w:hint="eastAsia"/>
                      <w:color w:val="0000FF"/>
                      <w:kern w:val="21"/>
                      <w:szCs w:val="21"/>
                      <w:u w:val="single"/>
                    </w:rPr>
                    <w:t>25</w:t>
                  </w:r>
                </w:p>
              </w:tc>
              <w:tc>
                <w:tcPr>
                  <w:tcW w:w="1978" w:type="dxa"/>
                  <w:vMerge w:val="restart"/>
                  <w:noWrap w:val="0"/>
                  <w:vAlign w:val="center"/>
                </w:tcPr>
                <w:p>
                  <w:pPr>
                    <w:adjustRightInd w:val="0"/>
                    <w:snapToGrid w:val="0"/>
                    <w:jc w:val="center"/>
                    <w:rPr>
                      <w:color w:val="0000FF"/>
                      <w:kern w:val="21"/>
                      <w:szCs w:val="21"/>
                      <w:u w:val="single"/>
                    </w:rPr>
                  </w:pPr>
                  <w:r>
                    <w:rPr>
                      <w:rFonts w:hint="eastAsia"/>
                      <w:color w:val="0000FF"/>
                      <w:kern w:val="21"/>
                      <w:szCs w:val="21"/>
                      <w:u w:val="single"/>
                    </w:rPr>
                    <w:t>监控点处1h平均浓度值</w:t>
                  </w:r>
                </w:p>
              </w:tc>
              <w:tc>
                <w:tcPr>
                  <w:tcW w:w="1978" w:type="dxa"/>
                  <w:noWrap w:val="0"/>
                  <w:vAlign w:val="center"/>
                </w:tcPr>
                <w:p>
                  <w:pPr>
                    <w:adjustRightInd w:val="0"/>
                    <w:snapToGrid w:val="0"/>
                    <w:jc w:val="center"/>
                    <w:rPr>
                      <w:color w:val="0000FF"/>
                      <w:kern w:val="21"/>
                      <w:szCs w:val="21"/>
                      <w:u w:val="single"/>
                    </w:rPr>
                  </w:pPr>
                  <w:r>
                    <w:rPr>
                      <w:rFonts w:hint="eastAsia"/>
                      <w:color w:val="0000FF"/>
                      <w:kern w:val="21"/>
                      <w:szCs w:val="21"/>
                      <w:u w:val="single"/>
                    </w:rPr>
                    <w:t>油气呼吸烟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vMerge w:val="continue"/>
                  <w:noWrap w:val="0"/>
                  <w:vAlign w:val="center"/>
                </w:tcPr>
                <w:p>
                  <w:pPr>
                    <w:adjustRightInd w:val="0"/>
                    <w:snapToGrid w:val="0"/>
                    <w:jc w:val="center"/>
                    <w:rPr>
                      <w:rFonts w:hint="eastAsia"/>
                      <w:color w:val="0000FF"/>
                      <w:kern w:val="21"/>
                      <w:szCs w:val="21"/>
                      <w:u w:val="single"/>
                    </w:rPr>
                  </w:pPr>
                </w:p>
              </w:tc>
              <w:tc>
                <w:tcPr>
                  <w:tcW w:w="1978" w:type="dxa"/>
                  <w:noWrap w:val="0"/>
                  <w:vAlign w:val="center"/>
                </w:tcPr>
                <w:p>
                  <w:pPr>
                    <w:adjustRightInd w:val="0"/>
                    <w:snapToGrid w:val="0"/>
                    <w:jc w:val="center"/>
                    <w:rPr>
                      <w:color w:val="0000FF"/>
                      <w:kern w:val="21"/>
                      <w:szCs w:val="21"/>
                      <w:u w:val="single"/>
                    </w:rPr>
                  </w:pPr>
                  <w:r>
                    <w:rPr>
                      <w:rFonts w:hint="eastAsia"/>
                      <w:color w:val="0000FF"/>
                      <w:kern w:val="21"/>
                      <w:szCs w:val="21"/>
                      <w:u w:val="single"/>
                    </w:rPr>
                    <w:t>4.0</w:t>
                  </w:r>
                </w:p>
              </w:tc>
              <w:tc>
                <w:tcPr>
                  <w:tcW w:w="1978" w:type="dxa"/>
                  <w:vMerge w:val="continue"/>
                  <w:noWrap w:val="0"/>
                  <w:vAlign w:val="center"/>
                </w:tcPr>
                <w:p>
                  <w:pPr>
                    <w:adjustRightInd w:val="0"/>
                    <w:snapToGrid w:val="0"/>
                    <w:jc w:val="center"/>
                    <w:rPr>
                      <w:rFonts w:hint="eastAsia"/>
                      <w:color w:val="0000FF"/>
                      <w:kern w:val="21"/>
                      <w:szCs w:val="21"/>
                      <w:u w:val="single"/>
                    </w:rPr>
                  </w:pPr>
                </w:p>
              </w:tc>
              <w:tc>
                <w:tcPr>
                  <w:tcW w:w="1978" w:type="dxa"/>
                  <w:noWrap w:val="0"/>
                  <w:vAlign w:val="center"/>
                </w:tcPr>
                <w:p>
                  <w:pPr>
                    <w:adjustRightInd w:val="0"/>
                    <w:snapToGrid w:val="0"/>
                    <w:jc w:val="center"/>
                    <w:rPr>
                      <w:color w:val="0000FF"/>
                      <w:kern w:val="21"/>
                      <w:szCs w:val="21"/>
                      <w:u w:val="single"/>
                    </w:rPr>
                  </w:pPr>
                  <w:r>
                    <w:rPr>
                      <w:rFonts w:hint="eastAsia"/>
                      <w:color w:val="0000FF"/>
                      <w:kern w:val="21"/>
                      <w:szCs w:val="21"/>
                      <w:u w:val="single"/>
                    </w:rPr>
                    <w:t>加油站企业边界</w:t>
                  </w:r>
                </w:p>
              </w:tc>
            </w:tr>
          </w:tbl>
          <w:p>
            <w:pPr>
              <w:spacing w:line="360" w:lineRule="auto"/>
              <w:ind w:firstLine="480" w:firstLineChars="200"/>
              <w:rPr>
                <w:color w:val="0000FF"/>
                <w:sz w:val="24"/>
                <w:u w:val="single"/>
              </w:rPr>
            </w:pPr>
            <w:r>
              <w:rPr>
                <w:color w:val="0000FF"/>
                <w:sz w:val="24"/>
                <w:u w:val="single"/>
              </w:rPr>
              <w:t>本项目加油汽油油气回收管线液阻比应小于《加油站大气污染物排放标 准》（GB20952-2020）中规定的最大压力，本项目加油汽油油气回收系统密</w:t>
            </w:r>
          </w:p>
          <w:p>
            <w:pPr>
              <w:spacing w:line="360" w:lineRule="auto"/>
              <w:rPr>
                <w:color w:val="0000FF"/>
                <w:sz w:val="24"/>
                <w:u w:val="single"/>
              </w:rPr>
            </w:pPr>
            <w:r>
              <w:rPr>
                <w:color w:val="0000FF"/>
                <w:sz w:val="24"/>
                <w:u w:val="single"/>
              </w:rPr>
              <w:t>闭性应小于《加油站大气污染物排放标准》（GB20952-2020）中规定的最小 剩余压力限值，本项目加油汽油油气回收系统气液比应满足《加油站大气污 染物排放标准》（GB20952-2020）中规定的要求限值，即气液比大于等于1.0、小于等于1.2。</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b/>
                <w:bCs/>
                <w:color w:val="0000FF"/>
                <w:kern w:val="21"/>
                <w:szCs w:val="21"/>
                <w:u w:val="single"/>
              </w:rPr>
            </w:pPr>
            <w:r>
              <w:rPr>
                <w:rFonts w:hint="eastAsia"/>
                <w:b/>
                <w:bCs/>
                <w:color w:val="0000FF"/>
                <w:kern w:val="21"/>
                <w:szCs w:val="21"/>
                <w:u w:val="single"/>
              </w:rPr>
              <w:t>表3-1</w:t>
            </w:r>
            <w:r>
              <w:rPr>
                <w:rFonts w:hint="eastAsia"/>
                <w:b/>
                <w:bCs/>
                <w:color w:val="0000FF"/>
                <w:kern w:val="21"/>
                <w:szCs w:val="21"/>
                <w:u w:val="single"/>
                <w:lang w:val="en-US" w:eastAsia="zh-CN"/>
              </w:rPr>
              <w:t>0</w:t>
            </w:r>
            <w:r>
              <w:rPr>
                <w:rFonts w:hint="eastAsia"/>
                <w:b/>
                <w:bCs/>
                <w:color w:val="0000FF"/>
                <w:kern w:val="21"/>
                <w:szCs w:val="21"/>
                <w:u w:val="single"/>
              </w:rPr>
              <w:t xml:space="preserve">   油气回收管线液阻最大压力限值</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6"/>
              <w:gridCol w:w="3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通入氮气流量/（L/min）</w:t>
                  </w:r>
                </w:p>
              </w:tc>
              <w:tc>
                <w:tcPr>
                  <w:tcW w:w="3956" w:type="dxa"/>
                  <w:noWrap w:val="0"/>
                  <w:vAlign w:val="center"/>
                </w:tcPr>
                <w:p>
                  <w:pPr>
                    <w:jc w:val="center"/>
                    <w:rPr>
                      <w:rFonts w:hint="eastAsia"/>
                      <w:color w:val="0000FF"/>
                      <w:szCs w:val="21"/>
                      <w:u w:val="single"/>
                    </w:rPr>
                  </w:pPr>
                  <w:r>
                    <w:rPr>
                      <w:rFonts w:ascii="宋体" w:hAnsi="宋体" w:cs="宋体"/>
                      <w:color w:val="0000FF"/>
                      <w:szCs w:val="21"/>
                      <w:u w:val="single"/>
                    </w:rPr>
                    <w:t>最大压力/Pa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18</w:t>
                  </w:r>
                </w:p>
              </w:tc>
              <w:tc>
                <w:tcPr>
                  <w:tcW w:w="3956" w:type="dxa"/>
                  <w:noWrap w:val="0"/>
                  <w:vAlign w:val="center"/>
                </w:tcPr>
                <w:p>
                  <w:pPr>
                    <w:jc w:val="center"/>
                    <w:rPr>
                      <w:color w:val="0000FF"/>
                      <w:szCs w:val="21"/>
                      <w:u w:val="single"/>
                    </w:rPr>
                  </w:pPr>
                  <w:r>
                    <w:rPr>
                      <w:rFonts w:hint="eastAsia"/>
                      <w:color w:val="0000FF"/>
                      <w:szCs w:val="21"/>
                      <w:u w:val="singl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28</w:t>
                  </w:r>
                </w:p>
              </w:tc>
              <w:tc>
                <w:tcPr>
                  <w:tcW w:w="3956" w:type="dxa"/>
                  <w:noWrap w:val="0"/>
                  <w:vAlign w:val="center"/>
                </w:tcPr>
                <w:p>
                  <w:pPr>
                    <w:jc w:val="center"/>
                    <w:rPr>
                      <w:color w:val="0000FF"/>
                      <w:szCs w:val="21"/>
                      <w:u w:val="single"/>
                    </w:rPr>
                  </w:pPr>
                  <w:r>
                    <w:rPr>
                      <w:rFonts w:hint="eastAsia"/>
                      <w:color w:val="0000FF"/>
                      <w:szCs w:val="21"/>
                      <w:u w:val="singl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38</w:t>
                  </w:r>
                </w:p>
              </w:tc>
              <w:tc>
                <w:tcPr>
                  <w:tcW w:w="3956" w:type="dxa"/>
                  <w:noWrap w:val="0"/>
                  <w:vAlign w:val="center"/>
                </w:tcPr>
                <w:p>
                  <w:pPr>
                    <w:jc w:val="center"/>
                    <w:rPr>
                      <w:color w:val="0000FF"/>
                      <w:szCs w:val="21"/>
                      <w:u w:val="single"/>
                    </w:rPr>
                  </w:pPr>
                  <w:r>
                    <w:rPr>
                      <w:rFonts w:hint="eastAsia"/>
                      <w:color w:val="0000FF"/>
                      <w:szCs w:val="21"/>
                      <w:u w:val="single"/>
                    </w:rPr>
                    <w:t>155</w:t>
                  </w:r>
                </w:p>
              </w:tc>
            </w:tr>
          </w:tbl>
          <w:p>
            <w:pPr>
              <w:pBdr>
                <w:top w:val="none" w:color="auto" w:sz="0" w:space="1"/>
                <w:left w:val="none" w:color="auto" w:sz="0" w:space="4"/>
                <w:bottom w:val="none" w:color="auto" w:sz="0" w:space="1"/>
                <w:right w:val="none" w:color="auto" w:sz="0" w:space="4"/>
              </w:pBdr>
              <w:adjustRightInd w:val="0"/>
              <w:snapToGrid w:val="0"/>
              <w:spacing w:line="360" w:lineRule="auto"/>
              <w:jc w:val="center"/>
              <w:rPr>
                <w:b/>
                <w:bCs/>
                <w:color w:val="0000FF"/>
                <w:kern w:val="21"/>
                <w:szCs w:val="21"/>
                <w:u w:val="single"/>
              </w:rPr>
            </w:pPr>
            <w:r>
              <w:rPr>
                <w:rFonts w:hint="eastAsia"/>
                <w:b/>
                <w:bCs/>
                <w:color w:val="0000FF"/>
                <w:kern w:val="21"/>
                <w:szCs w:val="21"/>
                <w:u w:val="single"/>
              </w:rPr>
              <w:t>表3-1</w:t>
            </w:r>
            <w:r>
              <w:rPr>
                <w:rFonts w:hint="eastAsia"/>
                <w:b/>
                <w:bCs/>
                <w:color w:val="0000FF"/>
                <w:kern w:val="21"/>
                <w:szCs w:val="21"/>
                <w:u w:val="single"/>
                <w:lang w:val="en-US" w:eastAsia="zh-CN"/>
              </w:rPr>
              <w:t>1</w:t>
            </w:r>
            <w:r>
              <w:rPr>
                <w:rFonts w:hint="eastAsia"/>
                <w:b/>
                <w:bCs/>
                <w:color w:val="0000FF"/>
                <w:kern w:val="21"/>
                <w:szCs w:val="21"/>
                <w:u w:val="single"/>
              </w:rPr>
              <w:t xml:space="preserve">   油气回收系统密闭性检测最小剩余压力限值</w:t>
            </w:r>
          </w:p>
          <w:tbl>
            <w:tblPr>
              <w:tblStyle w:val="26"/>
              <w:tblW w:w="79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6"/>
              <w:gridCol w:w="3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vMerge w:val="restart"/>
                  <w:noWrap w:val="0"/>
                  <w:vAlign w:val="center"/>
                </w:tcPr>
                <w:p>
                  <w:pPr>
                    <w:jc w:val="center"/>
                    <w:rPr>
                      <w:color w:val="0000FF"/>
                      <w:szCs w:val="21"/>
                      <w:u w:val="single"/>
                    </w:rPr>
                  </w:pPr>
                  <w:r>
                    <w:rPr>
                      <w:rFonts w:hint="eastAsia"/>
                      <w:color w:val="0000FF"/>
                      <w:szCs w:val="21"/>
                      <w:u w:val="single"/>
                    </w:rPr>
                    <w:t>储油罐油气空间/L</w:t>
                  </w:r>
                </w:p>
              </w:tc>
              <w:tc>
                <w:tcPr>
                  <w:tcW w:w="3956" w:type="dxa"/>
                  <w:noWrap w:val="0"/>
                  <w:vAlign w:val="center"/>
                </w:tcPr>
                <w:p>
                  <w:pPr>
                    <w:jc w:val="center"/>
                    <w:rPr>
                      <w:color w:val="0000FF"/>
                      <w:szCs w:val="21"/>
                      <w:u w:val="single"/>
                    </w:rPr>
                  </w:pPr>
                  <w:r>
                    <w:rPr>
                      <w:rFonts w:ascii="宋体" w:hAnsi="宋体" w:cs="宋体"/>
                      <w:color w:val="0000FF"/>
                      <w:szCs w:val="21"/>
                      <w:u w:val="single"/>
                    </w:rPr>
                    <w:t>受影响的加油枪数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vMerge w:val="continue"/>
                  <w:noWrap w:val="0"/>
                  <w:vAlign w:val="center"/>
                </w:tcPr>
                <w:p>
                  <w:pPr>
                    <w:jc w:val="center"/>
                    <w:rPr>
                      <w:color w:val="0000FF"/>
                      <w:szCs w:val="21"/>
                      <w:u w:val="single"/>
                    </w:rPr>
                  </w:pPr>
                </w:p>
              </w:tc>
              <w:tc>
                <w:tcPr>
                  <w:tcW w:w="3956" w:type="dxa"/>
                  <w:noWrap w:val="0"/>
                  <w:vAlign w:val="center"/>
                </w:tcPr>
                <w:p>
                  <w:pPr>
                    <w:jc w:val="center"/>
                    <w:rPr>
                      <w:color w:val="0000FF"/>
                      <w:szCs w:val="21"/>
                      <w:u w:val="single"/>
                    </w:rPr>
                  </w:pPr>
                  <w:r>
                    <w:rPr>
                      <w:rFonts w:hint="eastAsia"/>
                      <w:color w:val="0000FF"/>
                      <w:szCs w:val="21"/>
                      <w:u w:val="singl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2460</w:t>
                  </w:r>
                </w:p>
              </w:tc>
              <w:tc>
                <w:tcPr>
                  <w:tcW w:w="3956" w:type="dxa"/>
                  <w:noWrap w:val="0"/>
                  <w:vAlign w:val="center"/>
                </w:tcPr>
                <w:p>
                  <w:pPr>
                    <w:jc w:val="center"/>
                    <w:rPr>
                      <w:color w:val="0000FF"/>
                      <w:szCs w:val="21"/>
                      <w:u w:val="single"/>
                    </w:rPr>
                  </w:pPr>
                  <w:r>
                    <w:rPr>
                      <w:rFonts w:hint="eastAsia"/>
                      <w:color w:val="0000FF"/>
                      <w:szCs w:val="21"/>
                      <w:u w:val="single"/>
                    </w:rPr>
                    <w:t>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2650</w:t>
                  </w:r>
                </w:p>
              </w:tc>
              <w:tc>
                <w:tcPr>
                  <w:tcW w:w="3956" w:type="dxa"/>
                  <w:noWrap w:val="0"/>
                  <w:vAlign w:val="center"/>
                </w:tcPr>
                <w:p>
                  <w:pPr>
                    <w:jc w:val="center"/>
                    <w:rPr>
                      <w:color w:val="0000FF"/>
                      <w:szCs w:val="21"/>
                      <w:u w:val="single"/>
                    </w:rPr>
                  </w:pPr>
                  <w:r>
                    <w:rPr>
                      <w:rFonts w:hint="eastAsia"/>
                      <w:color w:val="0000FF"/>
                      <w:szCs w:val="21"/>
                      <w:u w:val="single"/>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color w:val="0000FF"/>
                      <w:szCs w:val="21"/>
                      <w:u w:val="single"/>
                    </w:rPr>
                  </w:pPr>
                  <w:r>
                    <w:rPr>
                      <w:rFonts w:hint="eastAsia"/>
                      <w:color w:val="0000FF"/>
                      <w:szCs w:val="21"/>
                      <w:u w:val="single"/>
                    </w:rPr>
                    <w:t>2839</w:t>
                  </w:r>
                </w:p>
              </w:tc>
              <w:tc>
                <w:tcPr>
                  <w:tcW w:w="3956" w:type="dxa"/>
                  <w:noWrap w:val="0"/>
                  <w:vAlign w:val="center"/>
                </w:tcPr>
                <w:p>
                  <w:pPr>
                    <w:jc w:val="center"/>
                    <w:rPr>
                      <w:color w:val="0000FF"/>
                      <w:szCs w:val="21"/>
                      <w:u w:val="single"/>
                    </w:rPr>
                  </w:pPr>
                  <w:r>
                    <w:rPr>
                      <w:rFonts w:hint="eastAsia"/>
                      <w:color w:val="0000FF"/>
                      <w:szCs w:val="21"/>
                      <w:u w:val="single"/>
                    </w:rPr>
                    <w:t>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56" w:type="dxa"/>
                  <w:noWrap w:val="0"/>
                  <w:vAlign w:val="center"/>
                </w:tcPr>
                <w:p>
                  <w:pPr>
                    <w:jc w:val="center"/>
                    <w:rPr>
                      <w:rFonts w:hint="eastAsia"/>
                      <w:color w:val="0000FF"/>
                      <w:szCs w:val="21"/>
                      <w:u w:val="single"/>
                    </w:rPr>
                  </w:pPr>
                  <w:r>
                    <w:rPr>
                      <w:rFonts w:hint="eastAsia"/>
                      <w:color w:val="0000FF"/>
                      <w:szCs w:val="21"/>
                      <w:u w:val="single"/>
                    </w:rPr>
                    <w:t>3028</w:t>
                  </w:r>
                </w:p>
              </w:tc>
              <w:tc>
                <w:tcPr>
                  <w:tcW w:w="3956" w:type="dxa"/>
                  <w:noWrap w:val="0"/>
                  <w:vAlign w:val="center"/>
                </w:tcPr>
                <w:p>
                  <w:pPr>
                    <w:jc w:val="center"/>
                    <w:rPr>
                      <w:color w:val="0000FF"/>
                      <w:szCs w:val="21"/>
                      <w:u w:val="single"/>
                    </w:rPr>
                  </w:pPr>
                  <w:r>
                    <w:rPr>
                      <w:rFonts w:hint="eastAsia"/>
                      <w:color w:val="0000FF"/>
                      <w:szCs w:val="21"/>
                      <w:u w:val="single"/>
                    </w:rPr>
                    <w:t>267</w:t>
                  </w:r>
                </w:p>
              </w:tc>
            </w:tr>
          </w:tbl>
          <w:p>
            <w:pPr>
              <w:spacing w:line="360" w:lineRule="auto"/>
              <w:ind w:firstLine="480" w:firstLineChars="200"/>
              <w:rPr>
                <w:rFonts w:hint="eastAsia" w:ascii="Times New Roman" w:hAnsi="Times New Roman" w:eastAsia="宋体" w:cs="Times New Roman"/>
                <w:color w:val="0000FF"/>
                <w:sz w:val="24"/>
                <w:u w:val="single"/>
                <w:lang w:eastAsia="zh-CN"/>
              </w:rPr>
            </w:pPr>
            <w:r>
              <w:rPr>
                <w:rFonts w:hint="eastAsia" w:ascii="Times New Roman" w:hAnsi="Times New Roman" w:eastAsia="宋体" w:cs="Times New Roman"/>
                <w:color w:val="0000FF"/>
                <w:sz w:val="24"/>
                <w:u w:val="single"/>
              </w:rPr>
              <w:t>厂区内无组织挥发性有机物执行《挥发性有机物无组织排放控制标准》（GB37822-2019）附录A中的排放限值要求</w:t>
            </w:r>
            <w:r>
              <w:rPr>
                <w:rFonts w:hint="eastAsia" w:ascii="Times New Roman" w:hAnsi="Times New Roman" w:eastAsia="宋体" w:cs="Times New Roman"/>
                <w:color w:val="0000FF"/>
                <w:sz w:val="24"/>
                <w:u w:val="single"/>
                <w:lang w:eastAsia="zh-CN"/>
              </w:rPr>
              <w:t>。</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rFonts w:hint="eastAsia" w:ascii="Times New Roman" w:hAnsi="Times New Roman" w:eastAsia="宋体" w:cs="Times New Roman"/>
                <w:b/>
                <w:bCs/>
                <w:color w:val="0000FF"/>
                <w:kern w:val="21"/>
                <w:szCs w:val="21"/>
                <w:u w:val="single"/>
              </w:rPr>
            </w:pPr>
            <w:r>
              <w:rPr>
                <w:rFonts w:hint="eastAsia" w:ascii="Times New Roman" w:hAnsi="Times New Roman" w:eastAsia="宋体" w:cs="Times New Roman"/>
                <w:b/>
                <w:bCs/>
                <w:color w:val="0000FF"/>
                <w:kern w:val="21"/>
                <w:szCs w:val="21"/>
                <w:u w:val="single"/>
              </w:rPr>
              <w:t xml:space="preserve">    表</w:t>
            </w:r>
            <w:r>
              <w:rPr>
                <w:rFonts w:hint="eastAsia" w:ascii="Times New Roman" w:hAnsi="Times New Roman" w:eastAsia="宋体" w:cs="Times New Roman"/>
                <w:b/>
                <w:bCs/>
                <w:color w:val="0000FF"/>
                <w:kern w:val="21"/>
                <w:szCs w:val="21"/>
                <w:u w:val="single"/>
                <w:lang w:val="en-US" w:eastAsia="zh-CN"/>
              </w:rPr>
              <w:t>3</w:t>
            </w:r>
            <w:r>
              <w:rPr>
                <w:rFonts w:hint="eastAsia" w:ascii="Times New Roman" w:hAnsi="Times New Roman" w:eastAsia="宋体" w:cs="Times New Roman"/>
                <w:b/>
                <w:bCs/>
                <w:color w:val="0000FF"/>
                <w:kern w:val="21"/>
                <w:szCs w:val="21"/>
                <w:u w:val="single"/>
              </w:rPr>
              <w:t>-</w:t>
            </w:r>
            <w:r>
              <w:rPr>
                <w:rFonts w:hint="eastAsia" w:ascii="Times New Roman" w:hAnsi="Times New Roman" w:eastAsia="宋体" w:cs="Times New Roman"/>
                <w:b/>
                <w:bCs/>
                <w:color w:val="0000FF"/>
                <w:kern w:val="21"/>
                <w:szCs w:val="21"/>
                <w:u w:val="single"/>
                <w:lang w:val="en-US" w:eastAsia="zh-CN"/>
              </w:rPr>
              <w:t>12</w:t>
            </w:r>
            <w:r>
              <w:rPr>
                <w:rFonts w:hint="eastAsia" w:ascii="Times New Roman" w:hAnsi="Times New Roman" w:eastAsia="宋体" w:cs="Times New Roman"/>
                <w:b/>
                <w:bCs/>
                <w:color w:val="0000FF"/>
                <w:kern w:val="21"/>
                <w:szCs w:val="21"/>
                <w:u w:val="single"/>
              </w:rPr>
              <w:t xml:space="preserve">   </w:t>
            </w:r>
            <w:r>
              <w:rPr>
                <w:rFonts w:hint="eastAsia" w:ascii="Times New Roman" w:hAnsi="Times New Roman" w:eastAsia="宋体" w:cs="Times New Roman"/>
                <w:b/>
                <w:bCs/>
                <w:color w:val="0000FF"/>
                <w:kern w:val="21"/>
                <w:szCs w:val="21"/>
                <w:u w:val="single"/>
                <w:lang w:val="en-US" w:eastAsia="zh-CN"/>
              </w:rPr>
              <w:t>厂区内</w:t>
            </w:r>
            <w:r>
              <w:rPr>
                <w:rFonts w:hint="eastAsia" w:ascii="Times New Roman" w:hAnsi="Times New Roman" w:eastAsia="宋体" w:cs="Times New Roman"/>
                <w:b/>
                <w:bCs/>
                <w:color w:val="0000FF"/>
                <w:kern w:val="21"/>
                <w:szCs w:val="21"/>
                <w:u w:val="single"/>
              </w:rPr>
              <w:t>大气污染物排放标准限值一览表</w:t>
            </w:r>
          </w:p>
          <w:tbl>
            <w:tblPr>
              <w:tblStyle w:val="27"/>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1791"/>
              <w:gridCol w:w="1791"/>
              <w:gridCol w:w="179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rPr>
                    <w:t>污染物</w:t>
                  </w:r>
                </w:p>
              </w:tc>
              <w:tc>
                <w:tcPr>
                  <w:tcW w:w="5374"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r>
                    <w:rPr>
                      <w:rFonts w:hint="eastAsia" w:ascii="Times New Roman" w:hAnsi="Times New Roman" w:eastAsia="宋体" w:cs="Times New Roman"/>
                      <w:color w:val="0000FF"/>
                      <w:kern w:val="21"/>
                      <w:sz w:val="21"/>
                      <w:szCs w:val="21"/>
                      <w:highlight w:val="none"/>
                      <w:u w:val="none"/>
                      <w:lang w:val="en-US" w:eastAsia="zh-CN"/>
                    </w:rPr>
                    <w:t>标准要求</w:t>
                  </w:r>
                </w:p>
              </w:tc>
              <w:tc>
                <w:tcPr>
                  <w:tcW w:w="13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b w:val="0"/>
                      <w:bCs/>
                      <w:color w:val="0000FF"/>
                      <w:sz w:val="21"/>
                      <w:szCs w:val="21"/>
                      <w:highlight w:val="none"/>
                      <w:u w:val="none"/>
                      <w:lang w:val="en-US" w:eastAsia="zh-CN"/>
                    </w:rPr>
                    <w:t>厂区内无组织挥发性有机物（NMHC）</w:t>
                  </w: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特别排放限值</w:t>
                  </w: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限值含义</w:t>
                  </w:r>
                </w:p>
              </w:tc>
              <w:tc>
                <w:tcPr>
                  <w:tcW w:w="17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spacing w:val="-6"/>
                      <w:kern w:val="21"/>
                      <w:sz w:val="21"/>
                      <w:szCs w:val="21"/>
                      <w:highlight w:val="none"/>
                      <w:u w:val="none"/>
                      <w:lang w:val="en-US" w:eastAsia="zh-CN"/>
                    </w:rPr>
                  </w:pPr>
                  <w:r>
                    <w:rPr>
                      <w:rFonts w:hint="eastAsia" w:ascii="Times New Roman" w:hAnsi="Times New Roman" w:eastAsia="宋体" w:cs="Times New Roman"/>
                      <w:color w:val="0000FF"/>
                      <w:spacing w:val="-6"/>
                      <w:kern w:val="21"/>
                      <w:sz w:val="21"/>
                      <w:szCs w:val="21"/>
                      <w:highlight w:val="none"/>
                      <w:u w:val="none"/>
                      <w:lang w:val="en-US" w:eastAsia="zh-CN"/>
                    </w:rPr>
                    <w:t>无组织排放监控位置</w:t>
                  </w:r>
                </w:p>
              </w:tc>
              <w:tc>
                <w:tcPr>
                  <w:tcW w:w="133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r>
                    <w:rPr>
                      <w:rFonts w:hint="eastAsia" w:ascii="Times New Roman" w:hAnsi="Times New Roman" w:eastAsia="宋体" w:cs="Times New Roman"/>
                      <w:b w:val="0"/>
                      <w:bCs/>
                      <w:color w:val="0000FF"/>
                      <w:sz w:val="21"/>
                      <w:szCs w:val="21"/>
                      <w:highlight w:val="none"/>
                      <w:u w:val="none"/>
                      <w:lang w:val="en-US" w:eastAsia="zh-CN"/>
                    </w:rPr>
                    <w:t>GB37822-2019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val="0"/>
                      <w:bCs/>
                      <w:color w:val="0000FF"/>
                      <w:sz w:val="21"/>
                      <w:szCs w:val="21"/>
                      <w:highlight w:val="none"/>
                      <w:u w:val="none"/>
                      <w:lang w:val="en-US" w:eastAsia="zh-CN"/>
                    </w:rPr>
                  </w:pP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6mg/m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监控点处1h平均浓度值</w:t>
                  </w:r>
                </w:p>
              </w:tc>
              <w:tc>
                <w:tcPr>
                  <w:tcW w:w="179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spacing w:val="-6"/>
                      <w:kern w:val="21"/>
                      <w:sz w:val="21"/>
                      <w:szCs w:val="21"/>
                      <w:highlight w:val="none"/>
                      <w:u w:val="none"/>
                      <w:lang w:val="en-US" w:eastAsia="zh-CN"/>
                    </w:rPr>
                  </w:pPr>
                  <w:r>
                    <w:rPr>
                      <w:rFonts w:hint="eastAsia" w:ascii="Times New Roman" w:hAnsi="Times New Roman" w:eastAsia="宋体" w:cs="Times New Roman"/>
                      <w:color w:val="0000FF"/>
                      <w:spacing w:val="-6"/>
                      <w:kern w:val="21"/>
                      <w:sz w:val="21"/>
                      <w:szCs w:val="21"/>
                      <w:highlight w:val="none"/>
                      <w:u w:val="none"/>
                      <w:lang w:val="en-US" w:eastAsia="zh-CN"/>
                    </w:rPr>
                    <w:t>在厂房外设置监控点</w:t>
                  </w: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20mg/m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7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监控点处任意一处浓度值</w:t>
                  </w:r>
                </w:p>
              </w:tc>
              <w:tc>
                <w:tcPr>
                  <w:tcW w:w="179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p>
              </w:tc>
            </w:tr>
          </w:tbl>
          <w:p>
            <w:pPr>
              <w:spacing w:line="360" w:lineRule="auto"/>
              <w:ind w:firstLine="480" w:firstLineChars="200"/>
              <w:rPr>
                <w:rFonts w:ascii="宋体" w:hAnsi="宋体" w:cs="宋体"/>
                <w:color w:val="0000FF"/>
                <w:sz w:val="24"/>
                <w:u w:val="single"/>
              </w:rPr>
            </w:pPr>
            <w:r>
              <w:rPr>
                <w:rFonts w:ascii="宋体" w:hAnsi="宋体" w:cs="宋体"/>
                <w:color w:val="0000FF"/>
                <w:sz w:val="24"/>
                <w:u w:val="single"/>
              </w:rPr>
              <w:t>项目备用柴油发电机污染物排放执行</w:t>
            </w:r>
            <w:r>
              <w:rPr>
                <w:rFonts w:ascii="Times New Roman" w:hAnsi="Times New Roman" w:eastAsia="宋体" w:cs="Times New Roman"/>
                <w:b w:val="0"/>
                <w:bCs/>
                <w:color w:val="0000FF"/>
                <w:sz w:val="24"/>
                <w:szCs w:val="24"/>
                <w:highlight w:val="none"/>
                <w:u w:val="none"/>
              </w:rPr>
              <w:t>《大气污染物综合排放标准》（GB16297-1996）</w:t>
            </w:r>
            <w:r>
              <w:rPr>
                <w:rFonts w:hint="eastAsia" w:ascii="Times New Roman" w:hAnsi="Times New Roman" w:eastAsia="宋体" w:cs="Times New Roman"/>
                <w:b w:val="0"/>
                <w:bCs/>
                <w:color w:val="0000FF"/>
                <w:sz w:val="24"/>
                <w:szCs w:val="24"/>
                <w:highlight w:val="none"/>
                <w:u w:val="none"/>
                <w:lang w:eastAsia="zh-CN"/>
              </w:rPr>
              <w:t>表</w:t>
            </w:r>
            <w:r>
              <w:rPr>
                <w:rFonts w:hint="eastAsia" w:ascii="Times New Roman" w:hAnsi="Times New Roman" w:eastAsia="宋体" w:cs="Times New Roman"/>
                <w:b w:val="0"/>
                <w:bCs/>
                <w:color w:val="0000FF"/>
                <w:sz w:val="24"/>
                <w:szCs w:val="24"/>
                <w:highlight w:val="none"/>
                <w:u w:val="none"/>
                <w:lang w:val="en-US" w:eastAsia="zh-CN"/>
              </w:rPr>
              <w:t>2</w:t>
            </w:r>
            <w:r>
              <w:rPr>
                <w:rFonts w:hint="eastAsia" w:ascii="Times New Roman" w:hAnsi="Times New Roman" w:eastAsia="宋体" w:cs="Times New Roman"/>
                <w:b w:val="0"/>
                <w:bCs/>
                <w:color w:val="0000FF"/>
                <w:sz w:val="24"/>
                <w:szCs w:val="24"/>
                <w:highlight w:val="none"/>
                <w:u w:val="none"/>
              </w:rPr>
              <w:t>中的</w:t>
            </w:r>
            <w:r>
              <w:rPr>
                <w:rFonts w:hint="eastAsia" w:cs="Times New Roman"/>
                <w:b w:val="0"/>
                <w:bCs/>
                <w:color w:val="0000FF"/>
                <w:sz w:val="24"/>
                <w:szCs w:val="24"/>
                <w:highlight w:val="none"/>
                <w:u w:val="none"/>
                <w:lang w:eastAsia="zh-CN"/>
              </w:rPr>
              <w:t>二次</w:t>
            </w:r>
            <w:r>
              <w:rPr>
                <w:rFonts w:ascii="Times New Roman" w:hAnsi="Times New Roman" w:eastAsia="宋体" w:cs="Times New Roman"/>
                <w:b w:val="0"/>
                <w:bCs/>
                <w:color w:val="0000FF"/>
                <w:sz w:val="24"/>
                <w:szCs w:val="24"/>
                <w:highlight w:val="none"/>
                <w:u w:val="none"/>
              </w:rPr>
              <w:t>标准</w:t>
            </w:r>
            <w:r>
              <w:rPr>
                <w:rFonts w:ascii="宋体" w:hAnsi="宋体" w:cs="宋体"/>
                <w:color w:val="0000FF"/>
                <w:sz w:val="24"/>
                <w:u w:val="single"/>
              </w:rPr>
              <w:t>。</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rFonts w:hint="eastAsia" w:ascii="Times New Roman" w:hAnsi="Times New Roman" w:eastAsia="宋体" w:cs="Times New Roman"/>
                <w:b/>
                <w:bCs/>
                <w:color w:val="0000FF"/>
                <w:kern w:val="21"/>
                <w:szCs w:val="21"/>
                <w:u w:val="single"/>
              </w:rPr>
            </w:pPr>
            <w:r>
              <w:rPr>
                <w:rFonts w:hint="eastAsia" w:ascii="Times New Roman" w:hAnsi="Times New Roman" w:eastAsia="宋体" w:cs="Times New Roman"/>
                <w:b/>
                <w:bCs/>
                <w:color w:val="0000FF"/>
                <w:kern w:val="21"/>
                <w:szCs w:val="21"/>
                <w:u w:val="single"/>
              </w:rPr>
              <w:t>表</w:t>
            </w:r>
            <w:r>
              <w:rPr>
                <w:rFonts w:hint="eastAsia" w:ascii="Times New Roman" w:hAnsi="Times New Roman" w:eastAsia="宋体" w:cs="Times New Roman"/>
                <w:b/>
                <w:bCs/>
                <w:color w:val="0000FF"/>
                <w:kern w:val="21"/>
                <w:szCs w:val="21"/>
                <w:u w:val="single"/>
                <w:lang w:val="en-US" w:eastAsia="zh-CN"/>
              </w:rPr>
              <w:t>3</w:t>
            </w:r>
            <w:r>
              <w:rPr>
                <w:rFonts w:hint="eastAsia" w:ascii="Times New Roman" w:hAnsi="Times New Roman" w:eastAsia="宋体" w:cs="Times New Roman"/>
                <w:b/>
                <w:bCs/>
                <w:color w:val="0000FF"/>
                <w:kern w:val="21"/>
                <w:szCs w:val="21"/>
                <w:u w:val="single"/>
              </w:rPr>
              <w:t>-</w:t>
            </w:r>
            <w:r>
              <w:rPr>
                <w:rFonts w:hint="eastAsia" w:ascii="Times New Roman" w:hAnsi="Times New Roman" w:eastAsia="宋体" w:cs="Times New Roman"/>
                <w:b/>
                <w:bCs/>
                <w:color w:val="0000FF"/>
                <w:kern w:val="21"/>
                <w:szCs w:val="21"/>
                <w:u w:val="single"/>
                <w:lang w:val="en-US" w:eastAsia="zh-CN"/>
              </w:rPr>
              <w:t>13</w:t>
            </w:r>
            <w:r>
              <w:rPr>
                <w:rFonts w:hint="eastAsia" w:ascii="Times New Roman" w:hAnsi="Times New Roman" w:eastAsia="宋体" w:cs="Times New Roman"/>
                <w:b/>
                <w:bCs/>
                <w:color w:val="0000FF"/>
                <w:kern w:val="21"/>
                <w:szCs w:val="21"/>
                <w:u w:val="single"/>
              </w:rPr>
              <w:t xml:space="preserve">   </w:t>
            </w:r>
            <w:r>
              <w:rPr>
                <w:rFonts w:hint="eastAsia" w:ascii="Times New Roman" w:hAnsi="Times New Roman" w:eastAsia="宋体" w:cs="Times New Roman"/>
                <w:b/>
                <w:bCs/>
                <w:color w:val="0000FF"/>
                <w:kern w:val="21"/>
                <w:szCs w:val="21"/>
                <w:u w:val="single"/>
                <w:lang w:val="en-US" w:eastAsia="zh-CN"/>
              </w:rPr>
              <w:t>柴油发电机</w:t>
            </w:r>
            <w:r>
              <w:rPr>
                <w:rFonts w:hint="eastAsia" w:ascii="Times New Roman" w:hAnsi="Times New Roman" w:eastAsia="宋体" w:cs="Times New Roman"/>
                <w:b/>
                <w:bCs/>
                <w:color w:val="0000FF"/>
                <w:kern w:val="21"/>
                <w:szCs w:val="21"/>
                <w:u w:val="single"/>
              </w:rPr>
              <w:t>大气污染物排放标准限值一览表</w:t>
            </w:r>
          </w:p>
          <w:tbl>
            <w:tblPr>
              <w:tblStyle w:val="27"/>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1344"/>
              <w:gridCol w:w="1343"/>
              <w:gridCol w:w="1345"/>
              <w:gridCol w:w="1342"/>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rPr>
                    <w:t>污染物</w:t>
                  </w:r>
                </w:p>
              </w:tc>
              <w:tc>
                <w:tcPr>
                  <w:tcW w:w="5374"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r>
                    <w:rPr>
                      <w:rFonts w:hint="eastAsia" w:ascii="Times New Roman" w:hAnsi="Times New Roman" w:eastAsia="宋体" w:cs="Times New Roman"/>
                      <w:color w:val="0000FF"/>
                      <w:kern w:val="21"/>
                      <w:sz w:val="21"/>
                      <w:szCs w:val="21"/>
                      <w:highlight w:val="none"/>
                      <w:u w:val="none"/>
                      <w:lang w:val="en-US" w:eastAsia="zh-CN"/>
                    </w:rPr>
                    <w:t>标准要求</w:t>
                  </w:r>
                </w:p>
              </w:tc>
              <w:tc>
                <w:tcPr>
                  <w:tcW w:w="13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其他大气污染物</w:t>
                  </w:r>
                </w:p>
              </w:tc>
              <w:tc>
                <w:tcPr>
                  <w:tcW w:w="13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r>
                    <w:rPr>
                      <w:rFonts w:hint="eastAsia" w:ascii="Times New Roman" w:hAnsi="Times New Roman" w:eastAsia="宋体" w:cs="Times New Roman"/>
                      <w:color w:val="0000FF"/>
                      <w:kern w:val="21"/>
                      <w:sz w:val="21"/>
                      <w:szCs w:val="21"/>
                      <w:highlight w:val="none"/>
                      <w:u w:val="none"/>
                    </w:rPr>
                    <w:t>最高允许排放浓度</w:t>
                  </w: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r>
                    <w:rPr>
                      <w:rFonts w:hint="eastAsia" w:ascii="Times New Roman" w:hAnsi="Times New Roman" w:eastAsia="宋体" w:cs="Times New Roman"/>
                      <w:color w:val="0000FF"/>
                      <w:kern w:val="21"/>
                      <w:sz w:val="21"/>
                      <w:szCs w:val="21"/>
                      <w:highlight w:val="none"/>
                      <w:u w:val="none"/>
                    </w:rPr>
                    <w:t>排气筒高度</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r>
                    <w:rPr>
                      <w:rFonts w:hint="eastAsia" w:ascii="Times New Roman" w:hAnsi="Times New Roman" w:eastAsia="宋体" w:cs="Times New Roman"/>
                      <w:color w:val="0000FF"/>
                      <w:kern w:val="21"/>
                      <w:sz w:val="21"/>
                      <w:szCs w:val="21"/>
                      <w:highlight w:val="none"/>
                      <w:u w:val="none"/>
                    </w:rPr>
                    <w:t>最高允许排放速率</w:t>
                  </w:r>
                </w:p>
              </w:tc>
              <w:tc>
                <w:tcPr>
                  <w:tcW w:w="13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r>
                    <w:rPr>
                      <w:rFonts w:hint="eastAsia" w:ascii="Times New Roman" w:hAnsi="Times New Roman" w:eastAsia="宋体" w:cs="Times New Roman"/>
                      <w:color w:val="0000FF"/>
                      <w:spacing w:val="-6"/>
                      <w:kern w:val="21"/>
                      <w:sz w:val="21"/>
                      <w:szCs w:val="21"/>
                      <w:highlight w:val="none"/>
                      <w:u w:val="none"/>
                    </w:rPr>
                    <w:t>无组织排放监控浓度限值</w:t>
                  </w:r>
                </w:p>
              </w:tc>
              <w:tc>
                <w:tcPr>
                  <w:tcW w:w="133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spacing w:val="-6"/>
                      <w:kern w:val="21"/>
                      <w:sz w:val="21"/>
                      <w:szCs w:val="21"/>
                      <w:highlight w:val="none"/>
                      <w:u w:val="none"/>
                    </w:rPr>
                  </w:pPr>
                  <w:r>
                    <w:rPr>
                      <w:rFonts w:ascii="Times New Roman" w:hAnsi="Times New Roman" w:eastAsia="宋体" w:cs="Times New Roman"/>
                      <w:b w:val="0"/>
                      <w:bCs/>
                      <w:color w:val="0000FF"/>
                      <w:sz w:val="21"/>
                      <w:szCs w:val="21"/>
                      <w:highlight w:val="none"/>
                      <w:u w:val="none"/>
                    </w:rPr>
                    <w:t>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SO</w:t>
                  </w:r>
                  <w:r>
                    <w:rPr>
                      <w:rFonts w:hint="eastAsia" w:ascii="Times New Roman" w:hAnsi="Times New Roman" w:eastAsia="宋体" w:cs="Times New Roman"/>
                      <w:color w:val="0000FF"/>
                      <w:kern w:val="21"/>
                      <w:sz w:val="21"/>
                      <w:szCs w:val="21"/>
                      <w:highlight w:val="none"/>
                      <w:u w:val="none"/>
                      <w:vertAlign w:val="subscript"/>
                      <w:lang w:val="en-US" w:eastAsia="zh-CN"/>
                    </w:rPr>
                    <w:t>2</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550mg/m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15m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2.6kg/h</w:t>
                  </w:r>
                </w:p>
              </w:tc>
              <w:tc>
                <w:tcPr>
                  <w:tcW w:w="134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vertAlign w:val="baseline"/>
                      <w:lang w:val="en-US" w:eastAsia="zh-CN"/>
                    </w:rPr>
                  </w:pPr>
                  <w:r>
                    <w:rPr>
                      <w:rFonts w:hint="eastAsia" w:ascii="Times New Roman" w:hAnsi="Times New Roman" w:eastAsia="宋体" w:cs="Times New Roman"/>
                      <w:color w:val="0000FF"/>
                      <w:kern w:val="21"/>
                      <w:sz w:val="21"/>
                      <w:szCs w:val="21"/>
                      <w:highlight w:val="none"/>
                      <w:u w:val="none"/>
                      <w:vertAlign w:val="baseline"/>
                      <w:lang w:val="en-US" w:eastAsia="zh-CN"/>
                    </w:rPr>
                    <w:t>0.40mg/m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9m*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1.56kg/h</w:t>
                  </w:r>
                </w:p>
              </w:tc>
              <w:tc>
                <w:tcPr>
                  <w:tcW w:w="134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lang w:val="en-US" w:eastAsia="zh-CN"/>
                    </w:rPr>
                  </w:pP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NO</w:t>
                  </w:r>
                  <w:r>
                    <w:rPr>
                      <w:rFonts w:hint="eastAsia" w:ascii="Times New Roman" w:hAnsi="Times New Roman" w:eastAsia="宋体" w:cs="Times New Roman"/>
                      <w:color w:val="0000FF"/>
                      <w:kern w:val="21"/>
                      <w:sz w:val="21"/>
                      <w:szCs w:val="21"/>
                      <w:highlight w:val="none"/>
                      <w:u w:val="none"/>
                      <w:vertAlign w:val="subscript"/>
                      <w:lang w:val="en-US" w:eastAsia="zh-CN"/>
                    </w:rPr>
                    <w:t>X</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240mg/m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15m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0.77kg/h</w:t>
                  </w:r>
                </w:p>
              </w:tc>
              <w:tc>
                <w:tcPr>
                  <w:tcW w:w="134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vertAlign w:val="baseline"/>
                      <w:lang w:val="en-US" w:eastAsia="zh-CN"/>
                    </w:rPr>
                  </w:pPr>
                  <w:r>
                    <w:rPr>
                      <w:rFonts w:hint="eastAsia" w:ascii="Times New Roman" w:hAnsi="Times New Roman" w:eastAsia="宋体" w:cs="Times New Roman"/>
                      <w:color w:val="0000FF"/>
                      <w:kern w:val="21"/>
                      <w:sz w:val="21"/>
                      <w:szCs w:val="21"/>
                      <w:highlight w:val="none"/>
                      <w:u w:val="none"/>
                      <w:vertAlign w:val="baseline"/>
                      <w:lang w:val="en-US" w:eastAsia="zh-CN"/>
                    </w:rPr>
                    <w:t>0.12mg/m</w:t>
                  </w:r>
                  <w:r>
                    <w:rPr>
                      <w:rFonts w:hint="eastAsia" w:ascii="Times New Roman" w:hAnsi="Times New Roman" w:eastAsia="宋体" w:cs="Times New Roman"/>
                      <w:color w:val="0000FF"/>
                      <w:kern w:val="21"/>
                      <w:sz w:val="21"/>
                      <w:szCs w:val="21"/>
                      <w:highlight w:val="none"/>
                      <w:u w:val="none"/>
                      <w:vertAlign w:val="superscript"/>
                      <w:lang w:val="en-US" w:eastAsia="zh-CN"/>
                    </w:rPr>
                    <w:t>3</w:t>
                  </w: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9m*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0.46kg/h</w:t>
                  </w:r>
                </w:p>
              </w:tc>
              <w:tc>
                <w:tcPr>
                  <w:tcW w:w="134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lang w:val="en-US" w:eastAsia="zh-CN"/>
                    </w:rPr>
                  </w:pP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颗粒物</w:t>
                  </w:r>
                </w:p>
              </w:tc>
              <w:tc>
                <w:tcPr>
                  <w:tcW w:w="13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rPr>
                    <w:t>120mg/m</w:t>
                  </w:r>
                  <w:r>
                    <w:rPr>
                      <w:rFonts w:hint="eastAsia" w:ascii="Times New Roman" w:hAnsi="Times New Roman" w:eastAsia="宋体" w:cs="Times New Roman"/>
                      <w:color w:val="0000FF"/>
                      <w:kern w:val="21"/>
                      <w:sz w:val="21"/>
                      <w:szCs w:val="21"/>
                      <w:highlight w:val="none"/>
                      <w:u w:val="none"/>
                      <w:vertAlign w:val="superscript"/>
                    </w:rPr>
                    <w:t>3</w:t>
                  </w: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rPr>
                    <w:t>15m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rPr>
                    <w:t>3.5kg/h</w:t>
                  </w:r>
                </w:p>
              </w:tc>
              <w:tc>
                <w:tcPr>
                  <w:tcW w:w="134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vertAlign w:val="baseline"/>
                    </w:rPr>
                  </w:pPr>
                  <w:r>
                    <w:rPr>
                      <w:rFonts w:hint="eastAsia" w:ascii="Times New Roman" w:hAnsi="Times New Roman" w:eastAsia="宋体" w:cs="Times New Roman"/>
                      <w:color w:val="0000FF"/>
                      <w:kern w:val="21"/>
                      <w:sz w:val="21"/>
                      <w:szCs w:val="21"/>
                      <w:highlight w:val="none"/>
                      <w:u w:val="none"/>
                    </w:rPr>
                    <w:t>1.0mg/m</w:t>
                  </w:r>
                  <w:r>
                    <w:rPr>
                      <w:rFonts w:hint="eastAsia" w:ascii="Times New Roman" w:hAnsi="Times New Roman" w:eastAsia="宋体" w:cs="Times New Roman"/>
                      <w:color w:val="0000FF"/>
                      <w:kern w:val="21"/>
                      <w:sz w:val="21"/>
                      <w:szCs w:val="21"/>
                      <w:highlight w:val="none"/>
                      <w:u w:val="none"/>
                      <w:vertAlign w:val="superscript"/>
                    </w:rPr>
                    <w:t>3</w:t>
                  </w: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cs="Times New Roman"/>
                      <w:color w:val="0000FF"/>
                      <w:sz w:val="21"/>
                      <w:szCs w:val="21"/>
                      <w:highlight w:val="none"/>
                      <w:u w:val="none"/>
                    </w:rPr>
                  </w:pPr>
                </w:p>
              </w:tc>
              <w:tc>
                <w:tcPr>
                  <w:tcW w:w="13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rPr>
                  </w:pPr>
                  <w:r>
                    <w:rPr>
                      <w:rFonts w:hint="eastAsia" w:ascii="Times New Roman" w:hAnsi="Times New Roman" w:eastAsia="宋体" w:cs="Times New Roman"/>
                      <w:color w:val="0000FF"/>
                      <w:kern w:val="21"/>
                      <w:sz w:val="21"/>
                      <w:szCs w:val="21"/>
                      <w:highlight w:val="none"/>
                      <w:u w:val="none"/>
                      <w:lang w:val="en-US" w:eastAsia="zh-CN"/>
                    </w:rPr>
                    <w:t>9m*</w:t>
                  </w:r>
                </w:p>
              </w:tc>
              <w:tc>
                <w:tcPr>
                  <w:tcW w:w="1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0000FF"/>
                      <w:kern w:val="21"/>
                      <w:sz w:val="21"/>
                      <w:szCs w:val="21"/>
                      <w:highlight w:val="none"/>
                      <w:u w:val="none"/>
                      <w:lang w:val="en-US" w:eastAsia="zh-CN"/>
                    </w:rPr>
                  </w:pPr>
                  <w:r>
                    <w:rPr>
                      <w:rFonts w:hint="eastAsia" w:ascii="Times New Roman" w:hAnsi="Times New Roman" w:eastAsia="宋体" w:cs="Times New Roman"/>
                      <w:color w:val="0000FF"/>
                      <w:kern w:val="21"/>
                      <w:sz w:val="21"/>
                      <w:szCs w:val="21"/>
                      <w:highlight w:val="none"/>
                      <w:u w:val="none"/>
                      <w:lang w:val="en-US" w:eastAsia="zh-CN"/>
                    </w:rPr>
                    <w:t>2.1kg/h</w:t>
                  </w:r>
                </w:p>
              </w:tc>
              <w:tc>
                <w:tcPr>
                  <w:tcW w:w="134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p>
              </w:tc>
              <w:tc>
                <w:tcPr>
                  <w:tcW w:w="13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0000FF"/>
                      <w:kern w:val="21"/>
                      <w:sz w:val="21"/>
                      <w:szCs w:val="21"/>
                      <w:highlight w:val="none"/>
                      <w:u w:val="none"/>
                    </w:rPr>
                  </w:pPr>
                </w:p>
              </w:tc>
            </w:tr>
          </w:tbl>
          <w:p>
            <w:pPr>
              <w:adjustRightInd w:val="0"/>
              <w:snapToGrid w:val="0"/>
              <w:spacing w:line="360" w:lineRule="auto"/>
              <w:rPr>
                <w:b/>
                <w:bCs/>
                <w:sz w:val="24"/>
                <w:u w:val="single"/>
              </w:rPr>
            </w:pPr>
            <w:r>
              <w:rPr>
                <w:rFonts w:hint="eastAsia"/>
                <w:b/>
                <w:bCs/>
                <w:sz w:val="24"/>
                <w:u w:val="single"/>
              </w:rPr>
              <w:t>3.9、</w:t>
            </w:r>
            <w:r>
              <w:rPr>
                <w:b/>
                <w:bCs/>
                <w:sz w:val="24"/>
                <w:u w:val="single"/>
              </w:rPr>
              <w:t>噪声</w:t>
            </w:r>
          </w:p>
          <w:p>
            <w:pPr>
              <w:pStyle w:val="25"/>
              <w:spacing w:after="0" w:line="360" w:lineRule="auto"/>
              <w:ind w:firstLine="480" w:firstLineChars="200"/>
              <w:rPr>
                <w:b/>
                <w:bCs/>
                <w:kern w:val="2"/>
                <w:sz w:val="24"/>
                <w:u w:val="single"/>
              </w:rPr>
            </w:pPr>
            <w:r>
              <w:rPr>
                <w:rFonts w:hint="eastAsia"/>
                <w:kern w:val="2"/>
                <w:sz w:val="24"/>
                <w:u w:val="single"/>
              </w:rPr>
              <w:t>施工期执行《建筑施工场界环境噪声排放标准》（GB12523-2011）；营运期厂界噪声执行《工业企业厂界环境噪声排放标准》（GB12348-2008）2类标准、北侧执行4类标准。具体见表3-1</w:t>
            </w:r>
            <w:r>
              <w:rPr>
                <w:rFonts w:hint="eastAsia"/>
                <w:kern w:val="2"/>
                <w:sz w:val="24"/>
                <w:u w:val="single"/>
                <w:lang w:val="en-US" w:eastAsia="zh-CN"/>
              </w:rPr>
              <w:t>4</w:t>
            </w:r>
            <w:r>
              <w:rPr>
                <w:rFonts w:hint="eastAsia"/>
                <w:kern w:val="2"/>
                <w:sz w:val="24"/>
                <w:u w:val="single"/>
              </w:rPr>
              <w:t>，表3-1</w:t>
            </w:r>
            <w:r>
              <w:rPr>
                <w:rFonts w:hint="eastAsia"/>
                <w:kern w:val="2"/>
                <w:sz w:val="24"/>
                <w:u w:val="single"/>
                <w:lang w:val="en-US" w:eastAsia="zh-CN"/>
              </w:rPr>
              <w:t>5</w:t>
            </w:r>
            <w:r>
              <w:rPr>
                <w:rFonts w:hint="eastAsia"/>
                <w:kern w:val="2"/>
                <w:sz w:val="24"/>
                <w:u w:val="single"/>
              </w:rPr>
              <w:t>。</w:t>
            </w:r>
          </w:p>
          <w:p>
            <w:pPr>
              <w:spacing w:line="360" w:lineRule="auto"/>
              <w:jc w:val="center"/>
              <w:rPr>
                <w:b/>
                <w:bCs/>
                <w:szCs w:val="21"/>
                <w:u w:val="single"/>
              </w:rPr>
            </w:pPr>
            <w:r>
              <w:rPr>
                <w:b/>
                <w:bCs/>
                <w:szCs w:val="21"/>
                <w:u w:val="single"/>
              </w:rPr>
              <w:t>表</w:t>
            </w:r>
            <w:r>
              <w:rPr>
                <w:rFonts w:hint="eastAsia"/>
                <w:b/>
                <w:bCs/>
                <w:szCs w:val="21"/>
                <w:u w:val="single"/>
              </w:rPr>
              <w:t>3-1</w:t>
            </w:r>
            <w:r>
              <w:rPr>
                <w:rFonts w:hint="eastAsia"/>
                <w:b/>
                <w:bCs/>
                <w:szCs w:val="21"/>
                <w:u w:val="single"/>
                <w:lang w:val="en-US" w:eastAsia="zh-CN"/>
              </w:rPr>
              <w:t>4</w:t>
            </w:r>
            <w:r>
              <w:rPr>
                <w:b/>
                <w:bCs/>
                <w:szCs w:val="21"/>
                <w:u w:val="single"/>
              </w:rPr>
              <w:t>建筑施工场界环境噪声排放标准</w:t>
            </w:r>
          </w:p>
          <w:tbl>
            <w:tblPr>
              <w:tblStyle w:val="26"/>
              <w:tblW w:w="793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45"/>
              <w:gridCol w:w="2646"/>
              <w:gridCol w:w="26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1666" w:type="pct"/>
                  <w:noWrap w:val="0"/>
                  <w:vAlign w:val="center"/>
                </w:tcPr>
                <w:p>
                  <w:pPr>
                    <w:pStyle w:val="25"/>
                    <w:spacing w:after="0"/>
                    <w:ind w:firstLine="0" w:firstLineChars="0"/>
                    <w:jc w:val="center"/>
                    <w:rPr>
                      <w:b/>
                      <w:bCs/>
                      <w:u w:val="single"/>
                    </w:rPr>
                  </w:pPr>
                  <w:r>
                    <w:rPr>
                      <w:b/>
                      <w:bCs/>
                      <w:u w:val="single"/>
                    </w:rPr>
                    <w:t>昼间</w:t>
                  </w:r>
                </w:p>
              </w:tc>
              <w:tc>
                <w:tcPr>
                  <w:tcW w:w="1666" w:type="pct"/>
                  <w:noWrap w:val="0"/>
                  <w:vAlign w:val="center"/>
                </w:tcPr>
                <w:p>
                  <w:pPr>
                    <w:pStyle w:val="25"/>
                    <w:spacing w:after="0"/>
                    <w:ind w:firstLine="0" w:firstLineChars="0"/>
                    <w:jc w:val="center"/>
                    <w:rPr>
                      <w:b/>
                      <w:bCs/>
                      <w:u w:val="single"/>
                    </w:rPr>
                  </w:pPr>
                  <w:r>
                    <w:rPr>
                      <w:b/>
                      <w:bCs/>
                      <w:u w:val="single"/>
                    </w:rPr>
                    <w:t>夜间</w:t>
                  </w:r>
                </w:p>
              </w:tc>
              <w:tc>
                <w:tcPr>
                  <w:tcW w:w="1666" w:type="pct"/>
                  <w:noWrap w:val="0"/>
                  <w:vAlign w:val="center"/>
                </w:tcPr>
                <w:p>
                  <w:pPr>
                    <w:pStyle w:val="25"/>
                    <w:spacing w:after="0"/>
                    <w:ind w:firstLine="0" w:firstLineChars="0"/>
                    <w:jc w:val="center"/>
                    <w:rPr>
                      <w:b/>
                      <w:bCs/>
                      <w:u w:val="single"/>
                    </w:rPr>
                  </w:pPr>
                  <w:r>
                    <w:rPr>
                      <w:b/>
                      <w:bCs/>
                      <w:u w:val="single"/>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1666" w:type="pct"/>
                  <w:noWrap w:val="0"/>
                  <w:vAlign w:val="center"/>
                </w:tcPr>
                <w:p>
                  <w:pPr>
                    <w:pStyle w:val="25"/>
                    <w:spacing w:after="0"/>
                    <w:ind w:firstLine="0" w:firstLineChars="0"/>
                    <w:jc w:val="center"/>
                    <w:rPr>
                      <w:u w:val="single"/>
                    </w:rPr>
                  </w:pPr>
                  <w:r>
                    <w:rPr>
                      <w:u w:val="single"/>
                    </w:rPr>
                    <w:t>70</w:t>
                  </w:r>
                </w:p>
              </w:tc>
              <w:tc>
                <w:tcPr>
                  <w:tcW w:w="1666" w:type="pct"/>
                  <w:noWrap w:val="0"/>
                  <w:vAlign w:val="center"/>
                </w:tcPr>
                <w:p>
                  <w:pPr>
                    <w:pStyle w:val="25"/>
                    <w:spacing w:after="0"/>
                    <w:ind w:firstLine="0" w:firstLineChars="0"/>
                    <w:jc w:val="center"/>
                    <w:rPr>
                      <w:u w:val="single"/>
                    </w:rPr>
                  </w:pPr>
                  <w:r>
                    <w:rPr>
                      <w:u w:val="single"/>
                    </w:rPr>
                    <w:t>55</w:t>
                  </w:r>
                </w:p>
              </w:tc>
              <w:tc>
                <w:tcPr>
                  <w:tcW w:w="1666" w:type="pct"/>
                  <w:noWrap w:val="0"/>
                  <w:vAlign w:val="center"/>
                </w:tcPr>
                <w:p>
                  <w:pPr>
                    <w:pStyle w:val="25"/>
                    <w:spacing w:after="0"/>
                    <w:ind w:firstLine="0" w:firstLineChars="0"/>
                    <w:jc w:val="center"/>
                    <w:rPr>
                      <w:u w:val="single"/>
                    </w:rPr>
                  </w:pPr>
                  <w:r>
                    <w:rPr>
                      <w:u w:val="single"/>
                    </w:rPr>
                    <w:t>dB（A）</w:t>
                  </w:r>
                </w:p>
              </w:tc>
            </w:tr>
          </w:tbl>
          <w:p>
            <w:pPr>
              <w:spacing w:line="360" w:lineRule="auto"/>
              <w:jc w:val="center"/>
              <w:rPr>
                <w:b/>
                <w:bCs/>
                <w:szCs w:val="21"/>
                <w:u w:val="single"/>
              </w:rPr>
            </w:pPr>
          </w:p>
          <w:p>
            <w:pPr>
              <w:spacing w:line="360" w:lineRule="auto"/>
              <w:jc w:val="center"/>
              <w:rPr>
                <w:b/>
                <w:bCs/>
                <w:szCs w:val="21"/>
                <w:u w:val="single"/>
              </w:rPr>
            </w:pPr>
          </w:p>
          <w:p>
            <w:pPr>
              <w:spacing w:line="360" w:lineRule="auto"/>
              <w:jc w:val="center"/>
              <w:rPr>
                <w:b/>
                <w:bCs/>
                <w:szCs w:val="21"/>
                <w:u w:val="single"/>
              </w:rPr>
            </w:pPr>
          </w:p>
          <w:p>
            <w:pPr>
              <w:spacing w:line="360" w:lineRule="auto"/>
              <w:jc w:val="center"/>
              <w:rPr>
                <w:b/>
                <w:bCs/>
                <w:szCs w:val="21"/>
                <w:u w:val="single"/>
              </w:rPr>
            </w:pPr>
            <w:r>
              <w:rPr>
                <w:b/>
                <w:bCs/>
                <w:szCs w:val="21"/>
                <w:u w:val="single"/>
              </w:rPr>
              <w:t>表</w:t>
            </w:r>
            <w:r>
              <w:rPr>
                <w:rFonts w:hint="eastAsia"/>
                <w:b/>
                <w:bCs/>
                <w:szCs w:val="21"/>
                <w:u w:val="single"/>
              </w:rPr>
              <w:t>3-1</w:t>
            </w:r>
            <w:r>
              <w:rPr>
                <w:rFonts w:hint="eastAsia"/>
                <w:b/>
                <w:bCs/>
                <w:szCs w:val="21"/>
                <w:u w:val="single"/>
                <w:lang w:val="en-US" w:eastAsia="zh-CN"/>
              </w:rPr>
              <w:t>5</w:t>
            </w:r>
            <w:r>
              <w:rPr>
                <w:b/>
                <w:bCs/>
                <w:szCs w:val="21"/>
                <w:u w:val="single"/>
              </w:rPr>
              <w:t>工业企业厂界环境噪声排放标准</w:t>
            </w:r>
          </w:p>
          <w:tbl>
            <w:tblPr>
              <w:tblStyle w:val="26"/>
              <w:tblW w:w="793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45"/>
              <w:gridCol w:w="2646"/>
              <w:gridCol w:w="26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28" w:hRule="atLeast"/>
                <w:jc w:val="center"/>
              </w:trPr>
              <w:tc>
                <w:tcPr>
                  <w:tcW w:w="1666" w:type="pct"/>
                  <w:noWrap w:val="0"/>
                  <w:vAlign w:val="center"/>
                </w:tcPr>
                <w:p>
                  <w:pPr>
                    <w:pStyle w:val="25"/>
                    <w:spacing w:after="0"/>
                    <w:ind w:firstLine="0" w:firstLineChars="0"/>
                    <w:jc w:val="center"/>
                    <w:rPr>
                      <w:b/>
                      <w:bCs/>
                      <w:u w:val="single"/>
                    </w:rPr>
                  </w:pPr>
                  <w:r>
                    <w:rPr>
                      <w:b/>
                      <w:bCs/>
                      <w:u w:val="single"/>
                    </w:rPr>
                    <w:t>类别</w:t>
                  </w:r>
                </w:p>
              </w:tc>
              <w:tc>
                <w:tcPr>
                  <w:tcW w:w="1666" w:type="pct"/>
                  <w:noWrap w:val="0"/>
                  <w:vAlign w:val="center"/>
                </w:tcPr>
                <w:p>
                  <w:pPr>
                    <w:pStyle w:val="25"/>
                    <w:spacing w:after="0"/>
                    <w:ind w:firstLine="0" w:firstLineChars="0"/>
                    <w:jc w:val="center"/>
                    <w:rPr>
                      <w:b/>
                      <w:bCs/>
                      <w:u w:val="single"/>
                    </w:rPr>
                  </w:pPr>
                  <w:r>
                    <w:rPr>
                      <w:b/>
                      <w:bCs/>
                      <w:u w:val="single"/>
                    </w:rPr>
                    <w:t>昼间</w:t>
                  </w:r>
                </w:p>
              </w:tc>
              <w:tc>
                <w:tcPr>
                  <w:tcW w:w="1666" w:type="pct"/>
                  <w:noWrap w:val="0"/>
                  <w:vAlign w:val="center"/>
                </w:tcPr>
                <w:p>
                  <w:pPr>
                    <w:pStyle w:val="25"/>
                    <w:spacing w:after="0"/>
                    <w:ind w:firstLine="0" w:firstLineChars="0"/>
                    <w:jc w:val="center"/>
                    <w:rPr>
                      <w:b/>
                      <w:bCs/>
                      <w:u w:val="single"/>
                    </w:rPr>
                  </w:pPr>
                  <w:r>
                    <w:rPr>
                      <w:b/>
                      <w:bCs/>
                      <w:u w:val="single"/>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9" w:hRule="atLeast"/>
                <w:jc w:val="center"/>
              </w:trPr>
              <w:tc>
                <w:tcPr>
                  <w:tcW w:w="1666" w:type="pct"/>
                  <w:noWrap w:val="0"/>
                  <w:vAlign w:val="center"/>
                </w:tcPr>
                <w:p>
                  <w:pPr>
                    <w:pStyle w:val="25"/>
                    <w:spacing w:after="0"/>
                    <w:ind w:firstLine="0" w:firstLineChars="0"/>
                    <w:jc w:val="center"/>
                    <w:rPr>
                      <w:u w:val="single"/>
                    </w:rPr>
                  </w:pPr>
                  <w:r>
                    <w:rPr>
                      <w:rFonts w:hint="eastAsia"/>
                      <w:u w:val="single"/>
                    </w:rPr>
                    <w:t>2</w:t>
                  </w:r>
                  <w:r>
                    <w:rPr>
                      <w:u w:val="single"/>
                    </w:rPr>
                    <w:t>类</w:t>
                  </w:r>
                </w:p>
              </w:tc>
              <w:tc>
                <w:tcPr>
                  <w:tcW w:w="1666" w:type="pct"/>
                  <w:noWrap w:val="0"/>
                  <w:vAlign w:val="center"/>
                </w:tcPr>
                <w:p>
                  <w:pPr>
                    <w:pStyle w:val="25"/>
                    <w:spacing w:after="0"/>
                    <w:ind w:firstLine="0" w:firstLineChars="0"/>
                    <w:jc w:val="center"/>
                    <w:rPr>
                      <w:u w:val="single"/>
                    </w:rPr>
                  </w:pPr>
                  <w:r>
                    <w:rPr>
                      <w:rFonts w:hint="eastAsia"/>
                      <w:u w:val="single"/>
                    </w:rPr>
                    <w:t>60</w:t>
                  </w:r>
                </w:p>
              </w:tc>
              <w:tc>
                <w:tcPr>
                  <w:tcW w:w="1666" w:type="pct"/>
                  <w:noWrap w:val="0"/>
                  <w:vAlign w:val="center"/>
                </w:tcPr>
                <w:p>
                  <w:pPr>
                    <w:pStyle w:val="25"/>
                    <w:spacing w:after="0"/>
                    <w:ind w:firstLine="0" w:firstLineChars="0"/>
                    <w:jc w:val="center"/>
                    <w:rPr>
                      <w:u w:val="single"/>
                    </w:rPr>
                  </w:pPr>
                  <w:r>
                    <w:rPr>
                      <w:rFonts w:hint="eastAsia"/>
                      <w:u w:val="single"/>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9" w:hRule="atLeast"/>
                <w:jc w:val="center"/>
              </w:trPr>
              <w:tc>
                <w:tcPr>
                  <w:tcW w:w="1666" w:type="pct"/>
                  <w:noWrap w:val="0"/>
                  <w:vAlign w:val="center"/>
                </w:tcPr>
                <w:p>
                  <w:pPr>
                    <w:pStyle w:val="25"/>
                    <w:spacing w:after="0"/>
                    <w:ind w:firstLine="0" w:firstLineChars="0"/>
                    <w:jc w:val="center"/>
                    <w:rPr>
                      <w:u w:val="single"/>
                    </w:rPr>
                  </w:pPr>
                  <w:r>
                    <w:rPr>
                      <w:rFonts w:hint="eastAsia"/>
                      <w:u w:val="single"/>
                    </w:rPr>
                    <w:t>4类</w:t>
                  </w:r>
                </w:p>
              </w:tc>
              <w:tc>
                <w:tcPr>
                  <w:tcW w:w="1666" w:type="pct"/>
                  <w:noWrap w:val="0"/>
                  <w:vAlign w:val="center"/>
                </w:tcPr>
                <w:p>
                  <w:pPr>
                    <w:pStyle w:val="25"/>
                    <w:spacing w:after="0"/>
                    <w:ind w:firstLine="0" w:firstLineChars="0"/>
                    <w:jc w:val="center"/>
                    <w:rPr>
                      <w:u w:val="single"/>
                    </w:rPr>
                  </w:pPr>
                  <w:r>
                    <w:rPr>
                      <w:rFonts w:hint="eastAsia"/>
                      <w:u w:val="single"/>
                    </w:rPr>
                    <w:t>70</w:t>
                  </w:r>
                </w:p>
              </w:tc>
              <w:tc>
                <w:tcPr>
                  <w:tcW w:w="1666" w:type="pct"/>
                  <w:noWrap w:val="0"/>
                  <w:vAlign w:val="center"/>
                </w:tcPr>
                <w:p>
                  <w:pPr>
                    <w:pStyle w:val="25"/>
                    <w:spacing w:after="0"/>
                    <w:ind w:firstLine="0" w:firstLineChars="0"/>
                    <w:jc w:val="center"/>
                    <w:rPr>
                      <w:u w:val="single"/>
                    </w:rPr>
                  </w:pPr>
                  <w:r>
                    <w:rPr>
                      <w:rFonts w:hint="eastAsia"/>
                      <w:u w:val="single"/>
                    </w:rPr>
                    <w:t>55</w:t>
                  </w:r>
                </w:p>
              </w:tc>
            </w:tr>
          </w:tbl>
          <w:p>
            <w:pPr>
              <w:spacing w:line="360" w:lineRule="auto"/>
              <w:rPr>
                <w:b/>
                <w:bCs/>
                <w:sz w:val="24"/>
                <w:u w:val="single"/>
              </w:rPr>
            </w:pPr>
            <w:r>
              <w:rPr>
                <w:rFonts w:hint="eastAsia"/>
                <w:b/>
                <w:bCs/>
                <w:sz w:val="24"/>
                <w:u w:val="single"/>
              </w:rPr>
              <w:t>3.10、</w:t>
            </w:r>
            <w:r>
              <w:rPr>
                <w:b/>
                <w:bCs/>
                <w:sz w:val="24"/>
                <w:u w:val="single"/>
              </w:rPr>
              <w:t>固体废物</w:t>
            </w:r>
          </w:p>
          <w:p>
            <w:pPr>
              <w:adjustRightInd w:val="0"/>
              <w:snapToGrid w:val="0"/>
              <w:spacing w:line="360" w:lineRule="auto"/>
              <w:ind w:firstLine="480" w:firstLineChars="200"/>
              <w:rPr>
                <w:rFonts w:ascii="宋体" w:hAnsi="宋体" w:cs="宋体"/>
                <w:kern w:val="0"/>
                <w:szCs w:val="21"/>
              </w:rPr>
            </w:pPr>
            <w:r>
              <w:rPr>
                <w:sz w:val="24"/>
                <w:u w:val="single"/>
              </w:rPr>
              <w:t>一般工业固体废物执行</w:t>
            </w:r>
            <w:r>
              <w:rPr>
                <w:rFonts w:hint="eastAsia"/>
                <w:sz w:val="24"/>
                <w:u w:val="single"/>
              </w:rPr>
              <w:t>《一般工业固体废物贮存和填埋污染控制标准》（GB 18599-2020）中要求</w:t>
            </w:r>
            <w:r>
              <w:rPr>
                <w:sz w:val="24"/>
                <w:u w:val="single"/>
              </w:rPr>
              <w:t>；危险废物执行</w:t>
            </w:r>
            <w:r>
              <w:rPr>
                <w:rFonts w:hint="eastAsia"/>
                <w:sz w:val="24"/>
                <w:u w:val="single"/>
              </w:rPr>
              <w:t>《危险废物贮存污染控制标准》（GB18597—2023）中要求</w:t>
            </w:r>
            <w:r>
              <w:rPr>
                <w:sz w:val="24"/>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总量</w:t>
            </w:r>
          </w:p>
          <w:p>
            <w:pPr>
              <w:adjustRightInd w:val="0"/>
              <w:snapToGrid w:val="0"/>
              <w:jc w:val="center"/>
              <w:rPr>
                <w:rFonts w:hint="eastAsia" w:ascii="宋体" w:hAnsi="宋体" w:cs="宋体"/>
                <w:kern w:val="0"/>
                <w:szCs w:val="21"/>
              </w:rPr>
            </w:pPr>
            <w:r>
              <w:rPr>
                <w:rFonts w:hint="eastAsia" w:ascii="宋体" w:hAnsi="宋体" w:cs="宋体"/>
                <w:kern w:val="0"/>
                <w:szCs w:val="21"/>
              </w:rPr>
              <w:t>控制</w:t>
            </w:r>
          </w:p>
          <w:p>
            <w:pPr>
              <w:adjustRightInd w:val="0"/>
              <w:snapToGrid w:val="0"/>
              <w:jc w:val="center"/>
              <w:rPr>
                <w:rFonts w:ascii="宋体" w:hAnsi="宋体" w:cs="宋体"/>
                <w:kern w:val="0"/>
                <w:szCs w:val="21"/>
              </w:rPr>
            </w:pPr>
            <w:r>
              <w:rPr>
                <w:rFonts w:hint="eastAsia" w:ascii="宋体" w:hAnsi="宋体" w:cs="宋体"/>
                <w:kern w:val="0"/>
                <w:szCs w:val="21"/>
              </w:rPr>
              <w:t>指标</w:t>
            </w:r>
          </w:p>
        </w:tc>
        <w:tc>
          <w:tcPr>
            <w:tcW w:w="8128" w:type="dxa"/>
            <w:noWrap w:val="0"/>
            <w:vAlign w:val="center"/>
          </w:tcPr>
          <w:p>
            <w:pPr>
              <w:adjustRightInd w:val="0"/>
              <w:snapToGrid w:val="0"/>
              <w:spacing w:line="360" w:lineRule="auto"/>
              <w:ind w:firstLine="480" w:firstLineChars="200"/>
              <w:rPr>
                <w:rFonts w:hint="eastAsia"/>
                <w:bCs/>
                <w:color w:val="000000"/>
                <w:sz w:val="24"/>
              </w:rPr>
            </w:pPr>
            <w:r>
              <w:rPr>
                <w:rFonts w:hint="eastAsia"/>
                <w:bCs/>
                <w:color w:val="000000"/>
                <w:sz w:val="24"/>
              </w:rPr>
              <w:t>建设</w:t>
            </w:r>
            <w:r>
              <w:rPr>
                <w:bCs/>
                <w:color w:val="000000"/>
                <w:sz w:val="24"/>
              </w:rPr>
              <w:t>项目运营期间</w:t>
            </w:r>
            <w:r>
              <w:rPr>
                <w:rFonts w:hint="eastAsia"/>
                <w:bCs/>
                <w:color w:val="000000"/>
                <w:sz w:val="24"/>
              </w:rPr>
              <w:t>涉及总量控制指标的污染源为：</w:t>
            </w:r>
          </w:p>
          <w:p>
            <w:pPr>
              <w:adjustRightInd w:val="0"/>
              <w:snapToGrid w:val="0"/>
              <w:spacing w:line="360" w:lineRule="auto"/>
              <w:ind w:firstLine="480" w:firstLineChars="200"/>
              <w:rPr>
                <w:rFonts w:hint="default" w:eastAsia="宋体"/>
                <w:bCs/>
                <w:color w:val="000000"/>
                <w:sz w:val="24"/>
                <w:u w:val="single"/>
                <w:lang w:val="en-US" w:eastAsia="zh-CN"/>
              </w:rPr>
            </w:pPr>
            <w:r>
              <w:rPr>
                <w:rFonts w:hint="eastAsia"/>
                <w:bCs/>
                <w:color w:val="000000"/>
                <w:sz w:val="24"/>
                <w:u w:val="single"/>
                <w:lang w:val="en-US" w:eastAsia="zh-CN"/>
              </w:rPr>
              <w:t>挥发性有机物（以非甲烷总烃计）排放量为0.79t/a。</w:t>
            </w:r>
          </w:p>
          <w:p>
            <w:pPr>
              <w:adjustRightInd w:val="0"/>
              <w:snapToGrid w:val="0"/>
              <w:spacing w:line="360" w:lineRule="auto"/>
              <w:ind w:firstLine="480" w:firstLineChars="200"/>
              <w:rPr>
                <w:rFonts w:ascii="宋体" w:hAnsi="宋体" w:cs="宋体"/>
                <w:kern w:val="0"/>
                <w:szCs w:val="21"/>
              </w:rPr>
            </w:pPr>
            <w:r>
              <w:rPr>
                <w:rFonts w:hint="eastAsia"/>
                <w:bCs/>
                <w:color w:val="000000"/>
                <w:sz w:val="24"/>
                <w:u w:val="single"/>
              </w:rPr>
              <w:t>本项目为社会公共服务行业，因此本项目无需购买总量控制指标。</w:t>
            </w:r>
          </w:p>
        </w:tc>
      </w:tr>
    </w:tbl>
    <w:p>
      <w:pPr>
        <w:pStyle w:val="23"/>
        <w:jc w:val="center"/>
        <w:outlineLvl w:val="0"/>
        <w:rPr>
          <w:rFonts w:ascii="黑体" w:hAnsi="黑体" w:eastAsia="黑体"/>
          <w:snapToGrid w:val="0"/>
          <w:sz w:val="30"/>
          <w:szCs w:val="30"/>
        </w:rPr>
      </w:pPr>
      <w:r>
        <w:rPr>
          <w:rFonts w:ascii="黑体" w:hAnsi="黑体" w:eastAsia="黑体"/>
          <w:snapToGrid w:val="0"/>
          <w:sz w:val="36"/>
          <w:szCs w:val="36"/>
        </w:rPr>
        <w:br w:type="page"/>
      </w:r>
      <w:bookmarkStart w:id="85" w:name="_Toc23704"/>
      <w:r>
        <w:rPr>
          <w:rStyle w:val="32"/>
          <w:rFonts w:hint="eastAsia"/>
        </w:rPr>
        <w:t>四、主要环境影响和保护措施</w:t>
      </w:r>
      <w:bookmarkEnd w:id="85"/>
    </w:p>
    <w:tbl>
      <w:tblPr>
        <w:tblStyle w:val="26"/>
        <w:tblW w:w="91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4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2" w:hRule="atLeast"/>
          <w:jc w:val="center"/>
        </w:trPr>
        <w:tc>
          <w:tcPr>
            <w:tcW w:w="746" w:type="dxa"/>
            <w:noWrap w:val="0"/>
            <w:tcMar>
              <w:left w:w="28" w:type="dxa"/>
              <w:right w:w="28" w:type="dxa"/>
            </w:tcMar>
            <w:vAlign w:val="center"/>
          </w:tcPr>
          <w:p>
            <w:pPr>
              <w:pStyle w:val="23"/>
              <w:adjustRightInd w:val="0"/>
              <w:snapToGrid w:val="0"/>
              <w:spacing w:before="0" w:beforeAutospacing="0" w:after="0" w:afterAutospacing="0"/>
              <w:jc w:val="center"/>
              <w:rPr>
                <w:rFonts w:hint="default" w:ascii="Times New Roman" w:hAnsi="Times New Roman" w:cs="Times New Roman"/>
                <w:kern w:val="2"/>
                <w:sz w:val="21"/>
                <w:szCs w:val="21"/>
              </w:rPr>
            </w:pPr>
            <w:r>
              <w:rPr>
                <w:rFonts w:hint="default" w:ascii="Times New Roman" w:hAnsi="Times New Roman" w:cs="Times New Roman"/>
                <w:kern w:val="2"/>
                <w:sz w:val="21"/>
                <w:szCs w:val="21"/>
              </w:rPr>
              <w:t>施工</w:t>
            </w:r>
          </w:p>
          <w:p>
            <w:pPr>
              <w:pStyle w:val="23"/>
              <w:adjustRightInd w:val="0"/>
              <w:snapToGrid w:val="0"/>
              <w:spacing w:before="0" w:beforeAutospacing="0" w:after="0" w:afterAutospacing="0"/>
              <w:jc w:val="center"/>
              <w:rPr>
                <w:rFonts w:hint="default" w:ascii="Times New Roman" w:hAnsi="Times New Roman" w:cs="Times New Roman"/>
                <w:kern w:val="2"/>
                <w:sz w:val="21"/>
                <w:szCs w:val="21"/>
              </w:rPr>
            </w:pPr>
            <w:r>
              <w:rPr>
                <w:rFonts w:hint="default" w:ascii="Times New Roman" w:hAnsi="Times New Roman" w:cs="Times New Roman"/>
                <w:kern w:val="2"/>
                <w:sz w:val="21"/>
                <w:szCs w:val="21"/>
              </w:rPr>
              <w:t>期环</w:t>
            </w:r>
          </w:p>
          <w:p>
            <w:pPr>
              <w:pStyle w:val="23"/>
              <w:adjustRightInd w:val="0"/>
              <w:snapToGrid w:val="0"/>
              <w:spacing w:before="0" w:beforeAutospacing="0" w:after="0" w:afterAutospacing="0"/>
              <w:jc w:val="center"/>
              <w:rPr>
                <w:rFonts w:hint="default" w:ascii="Times New Roman" w:hAnsi="Times New Roman" w:cs="Times New Roman"/>
                <w:kern w:val="2"/>
                <w:sz w:val="21"/>
                <w:szCs w:val="21"/>
              </w:rPr>
            </w:pPr>
            <w:r>
              <w:rPr>
                <w:rFonts w:hint="default" w:ascii="Times New Roman" w:hAnsi="Times New Roman" w:cs="Times New Roman"/>
                <w:kern w:val="2"/>
                <w:sz w:val="21"/>
                <w:szCs w:val="21"/>
              </w:rPr>
              <w:t>境保</w:t>
            </w:r>
          </w:p>
          <w:p>
            <w:pPr>
              <w:pStyle w:val="23"/>
              <w:adjustRightInd w:val="0"/>
              <w:snapToGrid w:val="0"/>
              <w:spacing w:before="0" w:beforeAutospacing="0" w:after="0" w:afterAutospacing="0"/>
              <w:jc w:val="center"/>
              <w:rPr>
                <w:rFonts w:hint="default" w:ascii="Times New Roman" w:hAnsi="Times New Roman" w:cs="Times New Roman"/>
                <w:kern w:val="2"/>
                <w:sz w:val="21"/>
                <w:szCs w:val="21"/>
              </w:rPr>
            </w:pPr>
            <w:r>
              <w:rPr>
                <w:rFonts w:hint="default" w:ascii="Times New Roman" w:hAnsi="Times New Roman" w:cs="Times New Roman"/>
                <w:kern w:val="2"/>
                <w:sz w:val="21"/>
                <w:szCs w:val="21"/>
              </w:rPr>
              <w:t>护措</w:t>
            </w:r>
          </w:p>
          <w:p>
            <w:pPr>
              <w:pStyle w:val="23"/>
              <w:adjustRightInd w:val="0"/>
              <w:snapToGrid w:val="0"/>
              <w:spacing w:before="0" w:beforeAutospacing="0" w:after="0" w:afterAutospacing="0"/>
              <w:jc w:val="center"/>
              <w:rPr>
                <w:rFonts w:hint="default" w:ascii="Times New Roman" w:hAnsi="Times New Roman" w:cs="Times New Roman"/>
                <w:bCs/>
                <w:kern w:val="2"/>
                <w:sz w:val="21"/>
                <w:szCs w:val="21"/>
              </w:rPr>
            </w:pPr>
            <w:r>
              <w:rPr>
                <w:rFonts w:hint="default" w:ascii="Times New Roman" w:hAnsi="Times New Roman" w:cs="Times New Roman"/>
                <w:kern w:val="2"/>
                <w:sz w:val="21"/>
                <w:szCs w:val="21"/>
              </w:rPr>
              <w:t>施</w:t>
            </w:r>
          </w:p>
        </w:tc>
        <w:tc>
          <w:tcPr>
            <w:tcW w:w="8441" w:type="dxa"/>
            <w:noWrap w:val="0"/>
            <w:vAlign w:val="center"/>
          </w:tcPr>
          <w:p>
            <w:pPr>
              <w:spacing w:line="360" w:lineRule="auto"/>
              <w:ind w:firstLine="480" w:firstLineChars="200"/>
              <w:jc w:val="left"/>
              <w:rPr>
                <w:rFonts w:hint="default" w:ascii="Times New Roman" w:hAnsi="Times New Roman" w:cs="Times New Roman"/>
                <w:b/>
                <w:bCs/>
                <w:snapToGrid w:val="0"/>
                <w:sz w:val="24"/>
              </w:rPr>
            </w:pPr>
            <w:r>
              <w:rPr>
                <w:rFonts w:hint="default" w:ascii="Times New Roman" w:hAnsi="Times New Roman" w:cs="Times New Roman"/>
                <w:bCs/>
                <w:snapToGrid w:val="0"/>
                <w:sz w:val="24"/>
              </w:rPr>
              <w:t>项目已建成加油站内部</w:t>
            </w:r>
            <w:r>
              <w:rPr>
                <w:rFonts w:hint="default" w:ascii="Times New Roman" w:hAnsi="Times New Roman" w:cs="Times New Roman"/>
                <w:sz w:val="24"/>
              </w:rPr>
              <w:t>进行储罐改造</w:t>
            </w:r>
            <w:r>
              <w:rPr>
                <w:rFonts w:hint="default" w:ascii="Times New Roman" w:hAnsi="Times New Roman" w:cs="Times New Roman"/>
                <w:bCs/>
                <w:snapToGrid w:val="0"/>
                <w:sz w:val="24"/>
              </w:rPr>
              <w:t>，项目主要进行储罐池改造、地面硬化及设备的安装，施工过程中对环境造成的影响主要为施工人员生活污水、装修施工废气、噪声和固体废物。</w:t>
            </w:r>
          </w:p>
          <w:p>
            <w:pPr>
              <w:spacing w:line="360" w:lineRule="auto"/>
              <w:ind w:firstLine="482" w:firstLineChars="200"/>
              <w:rPr>
                <w:rFonts w:hint="default" w:ascii="Times New Roman" w:hAnsi="Times New Roman" w:cs="Times New Roman"/>
                <w:b/>
                <w:bCs/>
                <w:snapToGrid w:val="0"/>
                <w:sz w:val="24"/>
              </w:rPr>
            </w:pPr>
            <w:r>
              <w:rPr>
                <w:rFonts w:hint="default" w:ascii="Times New Roman" w:hAnsi="Times New Roman" w:cs="Times New Roman"/>
                <w:b/>
                <w:bCs/>
                <w:snapToGrid w:val="0"/>
                <w:sz w:val="24"/>
              </w:rPr>
              <w:t>1、施工废水</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本项目在施工期间产生的污水主要是施工机械冲洗废水。项目施工现场不设施工营地，施工人员为附近居民。</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为减轻项目施工期废水对地表水的影响，应采取以下防治措施：</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设置施工废水沉淀设施，在冲洗车辆场地设简易沉淀池，对冲洗废水进行沉淀处理，处理后的废水循环使用。</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施工完成后不得闲置土地，应尽快建设水土保持设施或进行环境绿化。在工地四周设截水沟，防止下雨时裸露的泥土随雨水流入附近水体，造成水体SS增加，泥沙淤积。</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环评认为在严格落实本报告提出的水污染防治措施后，本项目施工期废水排放对周围地表水体影响不大。</w:t>
            </w:r>
          </w:p>
          <w:p>
            <w:pPr>
              <w:spacing w:line="360" w:lineRule="auto"/>
              <w:ind w:firstLine="482" w:firstLineChars="200"/>
              <w:rPr>
                <w:rFonts w:hint="default" w:ascii="Times New Roman" w:hAnsi="Times New Roman" w:cs="Times New Roman"/>
                <w:b/>
                <w:bCs/>
                <w:snapToGrid w:val="0"/>
                <w:sz w:val="24"/>
              </w:rPr>
            </w:pPr>
            <w:r>
              <w:rPr>
                <w:rFonts w:hint="default" w:ascii="Times New Roman" w:hAnsi="Times New Roman" w:cs="Times New Roman"/>
                <w:b/>
                <w:bCs/>
                <w:snapToGrid w:val="0"/>
                <w:sz w:val="24"/>
              </w:rPr>
              <w:t>2、施工废气</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本项目施工过程中基础开挖、渣土和基建材料的运输将产生大量扬尘，从而使局部环境空气受到污染，特别是干燥大风天气更为突出。据有关资料统计，建筑施工扬尘影 响范围为其下风向150m之间，被影响地区的 TSP 浓度平均值约491ug/m3。</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为减少扬尘对环境空气及敏感点的影响，项目建议参照</w:t>
            </w:r>
            <w:r>
              <w:rPr>
                <w:rFonts w:hint="default" w:ascii="Times New Roman" w:hAnsi="Times New Roman" w:eastAsia="宋体" w:cs="Times New Roman"/>
                <w:sz w:val="24"/>
              </w:rPr>
              <w:t>《岳阳市扬尘污染防治条例》</w:t>
            </w:r>
            <w:r>
              <w:rPr>
                <w:rFonts w:hint="default" w:ascii="Times New Roman" w:hAnsi="Times New Roman" w:eastAsia="宋体" w:cs="Times New Roman"/>
                <w:sz w:val="24"/>
                <w:lang w:val="en-US" w:eastAsia="zh-CN"/>
              </w:rPr>
              <w:t>执行，主要内容包括：</w:t>
            </w:r>
            <w:r>
              <w:rPr>
                <w:rFonts w:hint="default" w:ascii="Times New Roman" w:hAnsi="Times New Roman" w:cs="Times New Roman"/>
                <w:sz w:val="24"/>
              </w:rPr>
              <w:t>施工工地现场围挡和外架防护100%全封闭，围挡保持整洁美观，外架安全网无破损；施工现场出入口及车行道路100%硬化；施工现场出入口 100%设置车辆冲洗设施;易起扬尘作业面100%湿法施工；裸露黄土及易起尘物料100%覆盖;渣土实施100%密封运输；建筑垃圾 100%规范管理，必须集中堆放、及时清运，严禁高空抛洒和焚烧；非道路移动工程机械尾气排放100%达标，严禁使用劣质油品，严禁冒烟作业。</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通过上述措施处理后，施工扬尘将得到有效控制，预计厂界浓度可达到《大气污染物综合排放标准》（GB16297-1996）中无组织排放限值（≤1.0mg/m</w:t>
            </w:r>
            <w:r>
              <w:rPr>
                <w:rFonts w:hint="default" w:ascii="Times New Roman" w:hAnsi="Times New Roman" w:cs="Times New Roman"/>
                <w:sz w:val="24"/>
                <w:vertAlign w:val="superscript"/>
              </w:rPr>
              <w:t>3</w:t>
            </w:r>
            <w:r>
              <w:rPr>
                <w:rFonts w:hint="default" w:ascii="Times New Roman" w:hAnsi="Times New Roman" w:cs="Times New Roman"/>
                <w:sz w:val="24"/>
              </w:rPr>
              <w:t>）。施工机械和车辆在作业过程会排放少量尾气，尾气中主要污染物有 CO、NO</w:t>
            </w:r>
            <w:r>
              <w:rPr>
                <w:rFonts w:hint="default" w:ascii="Times New Roman" w:hAnsi="Times New Roman" w:cs="Times New Roman"/>
                <w:sz w:val="24"/>
                <w:vertAlign w:val="subscript"/>
              </w:rPr>
              <w:t>2</w:t>
            </w:r>
            <w:r>
              <w:rPr>
                <w:rFonts w:hint="default" w:ascii="Times New Roman" w:hAnsi="Times New Roman" w:cs="Times New Roman"/>
                <w:sz w:val="24"/>
              </w:rPr>
              <w:t>、THC等。本项目施工规模不大，施工机械和运输车辆排放的尾气较少。项目在采取以上措施后，可有效控制施工对空气环境质量的影响，使其对空气环境的影响较小。</w:t>
            </w:r>
          </w:p>
          <w:p>
            <w:pPr>
              <w:spacing w:line="360" w:lineRule="auto"/>
              <w:ind w:firstLine="482" w:firstLineChars="200"/>
              <w:rPr>
                <w:rFonts w:hint="default" w:ascii="Times New Roman" w:hAnsi="Times New Roman" w:cs="Times New Roman"/>
                <w:b/>
                <w:bCs/>
                <w:snapToGrid w:val="0"/>
                <w:sz w:val="24"/>
              </w:rPr>
            </w:pPr>
            <w:r>
              <w:rPr>
                <w:rFonts w:hint="default" w:ascii="Times New Roman" w:hAnsi="Times New Roman" w:cs="Times New Roman"/>
                <w:b/>
                <w:bCs/>
                <w:snapToGrid w:val="0"/>
                <w:sz w:val="24"/>
              </w:rPr>
              <w:t>3、施工噪声</w:t>
            </w:r>
          </w:p>
          <w:p>
            <w:pPr>
              <w:spacing w:line="360" w:lineRule="auto"/>
              <w:ind w:firstLine="480" w:firstLineChars="200"/>
              <w:rPr>
                <w:rFonts w:hint="default" w:ascii="Times New Roman" w:hAnsi="Times New Roman" w:cs="Times New Roman"/>
                <w:bCs/>
                <w:snapToGrid w:val="0"/>
                <w:sz w:val="24"/>
              </w:rPr>
            </w:pPr>
            <w:r>
              <w:rPr>
                <w:rFonts w:hint="default" w:ascii="Times New Roman" w:hAnsi="Times New Roman" w:cs="Times New Roman"/>
                <w:bCs/>
                <w:snapToGrid w:val="0"/>
                <w:sz w:val="24"/>
              </w:rPr>
              <w:t>项目施工噪声主要来源于挖掘施工过程中挖掘机、运输车等设备噪声和一些零星的敲打声，同类施工噪声调查显示，该噪声在80~90dB（A）之间，瞬间最大噪声可达105dB（A），施工机械噪声往往具有噪声强、阶段性、临时性、突发性和不固定性的的特点，但本项目施工作业时间短，噪声对周边环境的影响有限，在严格控制施工时间，严格落实施工管理要求的前提下对周边环境影响较小</w:t>
            </w:r>
          </w:p>
          <w:p>
            <w:pPr>
              <w:spacing w:line="360" w:lineRule="auto"/>
              <w:ind w:firstLine="482" w:firstLineChars="200"/>
              <w:rPr>
                <w:rFonts w:hint="default" w:ascii="Times New Roman" w:hAnsi="Times New Roman" w:cs="Times New Roman"/>
                <w:b/>
                <w:bCs/>
                <w:snapToGrid w:val="0"/>
                <w:sz w:val="24"/>
              </w:rPr>
            </w:pPr>
            <w:r>
              <w:rPr>
                <w:rFonts w:hint="default" w:ascii="Times New Roman" w:hAnsi="Times New Roman" w:cs="Times New Roman"/>
                <w:b/>
                <w:bCs/>
                <w:snapToGrid w:val="0"/>
                <w:sz w:val="24"/>
              </w:rPr>
              <w:t>4、施工固废</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施工期产生的固体废物主要包括施工人员产生的生活垃圾、建筑垃圾及更换下来的废旧油罐和加油机等设备、油罐中产生的油渣。</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施工期较短，约为10天，施工人员最大按10人计算，施工现场不设施工营地和食堂，每天的垃圾产生量按0.5kg/人·d 计算，产生量为0.05t，生活垃圾均交由环卫部门定期处理。</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本项目施工过程产生的建筑及装修垃圾，按每100m</w:t>
            </w:r>
            <w:r>
              <w:rPr>
                <w:rFonts w:hint="default" w:ascii="Times New Roman" w:hAnsi="Times New Roman" w:cs="Times New Roman"/>
                <w:sz w:val="24"/>
                <w:u w:val="single"/>
                <w:vertAlign w:val="superscript"/>
              </w:rPr>
              <w:t>2</w:t>
            </w:r>
            <w:r>
              <w:rPr>
                <w:rFonts w:hint="default" w:ascii="Times New Roman" w:hAnsi="Times New Roman" w:cs="Times New Roman"/>
                <w:sz w:val="24"/>
                <w:u w:val="single"/>
              </w:rPr>
              <w:t>建筑面积2t计，项目建筑面积651.5m</w:t>
            </w:r>
            <w:r>
              <w:rPr>
                <w:rFonts w:hint="default" w:ascii="Times New Roman" w:hAnsi="Times New Roman" w:cs="Times New Roman"/>
                <w:sz w:val="24"/>
                <w:u w:val="single"/>
                <w:vertAlign w:val="superscript"/>
              </w:rPr>
              <w:t>2</w:t>
            </w:r>
            <w:r>
              <w:rPr>
                <w:rFonts w:hint="default" w:ascii="Times New Roman" w:hAnsi="Times New Roman" w:cs="Times New Roman"/>
                <w:sz w:val="24"/>
                <w:u w:val="single"/>
              </w:rPr>
              <w:t>，则将产生建筑垃圾约13.02t，统一运往城市生活垃圾处理中心处理。项目施工阶段建筑垃圾运送到指点的建筑垃圾处置场，</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更换下来的废旧油罐及加油机等设备应交由有资质的回收单位进行回收，油罐中清理出的油渣应交由有资质的危险废物处置单位进行处置。</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综上所述，施工固体废物可得到妥善处置，对环境影响较小。</w:t>
            </w:r>
          </w:p>
          <w:p>
            <w:pPr>
              <w:adjustRightInd w:val="0"/>
              <w:snapToGrid w:val="0"/>
              <w:spacing w:line="360" w:lineRule="auto"/>
              <w:ind w:firstLine="482" w:firstLineChars="200"/>
              <w:rPr>
                <w:rFonts w:hint="default" w:ascii="Times New Roman" w:hAnsi="Times New Roman" w:cs="Times New Roman"/>
                <w:b/>
                <w:bCs/>
                <w:snapToGrid w:val="0"/>
                <w:sz w:val="24"/>
              </w:rPr>
            </w:pPr>
            <w:r>
              <w:rPr>
                <w:rFonts w:hint="default" w:ascii="Times New Roman" w:hAnsi="Times New Roman" w:cs="Times New Roman"/>
                <w:b/>
                <w:bCs/>
                <w:snapToGrid w:val="0"/>
                <w:sz w:val="24"/>
              </w:rPr>
              <w:t>5、结论</w:t>
            </w:r>
          </w:p>
          <w:p>
            <w:pPr>
              <w:pStyle w:val="10"/>
              <w:spacing w:line="360" w:lineRule="auto"/>
              <w:ind w:firstLine="480" w:firstLineChars="200"/>
              <w:rPr>
                <w:rFonts w:hint="default" w:ascii="Times New Roman" w:hAnsi="Times New Roman" w:cs="Times New Roman"/>
                <w:bCs/>
                <w:spacing w:val="-10"/>
                <w:szCs w:val="21"/>
              </w:rPr>
            </w:pPr>
            <w:r>
              <w:rPr>
                <w:rFonts w:hint="default" w:ascii="Times New Roman" w:hAnsi="Times New Roman" w:cs="Times New Roman"/>
                <w:bCs/>
                <w:snapToGrid w:val="0"/>
                <w:sz w:val="24"/>
              </w:rPr>
              <w:t>施工过程中对环境造成的影响主要为施工人员生活污水、施工废气、噪声和固体废物。</w:t>
            </w:r>
            <w:r>
              <w:rPr>
                <w:rFonts w:hint="default" w:ascii="Times New Roman" w:hAnsi="Times New Roman" w:cs="Times New Roman"/>
                <w:sz w:val="24"/>
                <w:szCs w:val="24"/>
              </w:rPr>
              <w:t>施工期对环境的影响属于局部、短期的影响，施工期的各项污染环境的因素，在严格采取一定的措施的条件下，可避免或减轻其污染，环境影响能控制在可接受的范围内。随着施工期结束，施工噪声的问题也会消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noWrap w:val="0"/>
            <w:tcMar>
              <w:left w:w="28" w:type="dxa"/>
              <w:right w:w="28" w:type="dxa"/>
            </w:tcMar>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运营</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期环</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境影</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响和</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保护</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措施</w:t>
            </w:r>
          </w:p>
        </w:tc>
        <w:tc>
          <w:tcPr>
            <w:tcW w:w="8441" w:type="dxa"/>
            <w:noWrap w:val="0"/>
            <w:vAlign w:val="center"/>
          </w:tcPr>
          <w:p>
            <w:pPr>
              <w:spacing w:line="360" w:lineRule="auto"/>
              <w:rPr>
                <w:rFonts w:hint="default" w:ascii="Times New Roman" w:hAnsi="Times New Roman" w:eastAsia="宋体" w:cs="Times New Roman"/>
                <w:b/>
                <w:bCs/>
                <w:sz w:val="24"/>
              </w:rPr>
            </w:pPr>
            <w:r>
              <w:rPr>
                <w:rFonts w:hint="default" w:ascii="Times New Roman" w:hAnsi="Times New Roman" w:eastAsia="宋体" w:cs="Times New Roman"/>
                <w:b/>
                <w:bCs/>
                <w:sz w:val="24"/>
              </w:rPr>
              <w:t>1、废气</w:t>
            </w:r>
          </w:p>
          <w:p>
            <w:pPr>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rPr>
              <w:t>1</w:t>
            </w:r>
            <w:r>
              <w:rPr>
                <w:rFonts w:hint="default" w:ascii="Times New Roman" w:hAnsi="Times New Roman" w:eastAsia="宋体" w:cs="Times New Roman"/>
                <w:b/>
                <w:bCs/>
                <w:sz w:val="24"/>
                <w:lang w:eastAsia="zh-CN"/>
              </w:rPr>
              <w:t>.</w:t>
            </w:r>
            <w:r>
              <w:rPr>
                <w:rFonts w:hint="default" w:ascii="Times New Roman" w:hAnsi="Times New Roman" w:eastAsia="宋体" w:cs="Times New Roman"/>
                <w:b/>
                <w:bCs/>
                <w:sz w:val="24"/>
                <w:lang w:val="en-US" w:eastAsia="zh-CN"/>
              </w:rPr>
              <w:t>1</w:t>
            </w:r>
            <w:r>
              <w:rPr>
                <w:rFonts w:hint="default" w:ascii="Times New Roman" w:hAnsi="Times New Roman" w:eastAsia="宋体" w:cs="Times New Roman"/>
                <w:b/>
                <w:bCs/>
                <w:sz w:val="24"/>
              </w:rPr>
              <w:t>、废气</w:t>
            </w:r>
            <w:r>
              <w:rPr>
                <w:rFonts w:hint="default" w:ascii="Times New Roman" w:hAnsi="Times New Roman" w:eastAsia="宋体" w:cs="Times New Roman"/>
                <w:b/>
                <w:bCs/>
                <w:sz w:val="24"/>
                <w:lang w:val="en-US" w:eastAsia="zh-CN"/>
              </w:rPr>
              <w:t>源强</w:t>
            </w:r>
          </w:p>
          <w:p>
            <w:pPr>
              <w:adjustRightInd w:val="0"/>
              <w:snapToGrid w:val="0"/>
              <w:spacing w:line="360" w:lineRule="auto"/>
              <w:ind w:firstLine="480" w:firstLineChars="200"/>
              <w:rPr>
                <w:rFonts w:hint="default" w:ascii="Times New Roman" w:hAnsi="Times New Roman" w:cs="Times New Roman"/>
                <w:bCs/>
                <w:sz w:val="24"/>
              </w:rPr>
            </w:pPr>
            <w:r>
              <w:rPr>
                <w:rFonts w:hint="default" w:ascii="Times New Roman" w:hAnsi="Times New Roman" w:cs="Times New Roman"/>
                <w:sz w:val="24"/>
              </w:rPr>
              <w:t>项目运营期主要大气污染源包括：生产系统损失的油气（含卸油、储油、加油全过程）、进出项目的机动车辆尾气和备用柴油发电机产生的尾气：</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（1）油罐大小呼吸、加油机作业等排放的非甲烷总烃</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①储油罐大呼吸损失是指油罐进发油时所呼出的油蒸气而造成的油品蒸发损失。油罐进油时，由于油面逐渐升高，气体空间逐渐减小，罐内压力增大，当压力超过呼吸阀控制压力时，一定浓度的油蒸气开始从呼吸阀呼出，直到油罐停止收油。根据《排放源统计调查产排污核算方法和系数手册》（环境部公告2021年第24号）“工业源挥发性有机物通用源项产排污核算系数手册”及同类工程调查，储油罐大呼吸烃类有机物平均排放量为0.18kg/m</w:t>
            </w:r>
            <w:r>
              <w:rPr>
                <w:rFonts w:hint="default" w:ascii="Times New Roman" w:hAnsi="Times New Roman" w:cs="Times New Roman"/>
                <w:sz w:val="24"/>
                <w:vertAlign w:val="superscript"/>
              </w:rPr>
              <w:t>3</w:t>
            </w:r>
            <w:r>
              <w:rPr>
                <w:rFonts w:hint="default" w:ascii="Times New Roman" w:hAnsi="Times New Roman" w:cs="Times New Roman"/>
                <w:sz w:val="24"/>
              </w:rPr>
              <w:t>·周转量。</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②储油罐小呼吸损失是指油罐在没有收发油作业的情况下，随着外界气温、压力在一天内的升降周期变化，罐内气体空间温度、油品蒸发速度、油气浓度和蒸汽压力也随之变化。这种排出油蒸气和吸入空气的过程造成的油气损失，叫小呼吸损失。根据《排放源统计调查产排污核算方法和系数手册》（环境部公告2021年第24号）“工业源挥发性有机物通用源项产排污核算系数手册”及同类工程调查，储油罐小呼吸造成的烃类有机物平均排放率为0.07kg/m</w:t>
            </w:r>
            <w:r>
              <w:rPr>
                <w:rFonts w:hint="default" w:ascii="Times New Roman" w:hAnsi="Times New Roman" w:cs="Times New Roman"/>
                <w:sz w:val="24"/>
                <w:vertAlign w:val="superscript"/>
              </w:rPr>
              <w:t>3</w:t>
            </w:r>
            <w:r>
              <w:rPr>
                <w:rFonts w:hint="default" w:ascii="Times New Roman" w:hAnsi="Times New Roman" w:cs="Times New Roman"/>
                <w:sz w:val="24"/>
              </w:rPr>
              <w:t>·周转量。</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③油罐车卸油时，由于油罐车与地下油罐的液位不断变化，气体的吸入与呼出会对油品造成的一定挠动蒸发，另外随着油罐车油罐的液面下降，罐壁蒸发面积扩大，外部的高气温也会对其罐壁和空间造成一定的蒸发。根据《工业源挥发性有机物通用产排污核算系数手册》及同类工程调查，油罐车卸油时烃类有机物平均排放率为0.10k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·周转量。</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④加油作业损失主要指为车辆加油时，油品进入汽车油箱，油箱内的烃类气体被油品置换排入大气。车辆加油时造成的烃类气体排放率分别为：置换损失未加控制时是0.11kg/m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·周转量、置换损失控制时0.065kg/m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·周转量。本项目已安装的加油枪都具有一定的自封功能，因此加油机作业时烃类气体排放率取0.065kg/m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·周转量。</w:t>
            </w:r>
          </w:p>
          <w:p>
            <w:pPr>
              <w:adjustRightInd w:val="0"/>
              <w:snapToGrid w:val="0"/>
              <w:spacing w:line="360" w:lineRule="auto"/>
              <w:ind w:firstLine="480" w:firstLineChars="200"/>
              <w:rPr>
                <w:rFonts w:hint="default" w:ascii="Times New Roman" w:hAnsi="Times New Roman" w:cs="Times New Roman"/>
                <w:u w:val="single"/>
              </w:rPr>
            </w:pPr>
            <w:r>
              <w:rPr>
                <w:rFonts w:hint="default" w:ascii="Times New Roman" w:hAnsi="Times New Roman" w:cs="Times New Roman"/>
                <w:sz w:val="24"/>
                <w:u w:val="single"/>
              </w:rPr>
              <w:t>⑤在加油机作业过程中，不可避免地有一些成品油跑、冒、滴、漏现象的发生。跑冒滴漏量与加油站的管理、加油工人的操作水平等诸多因素有关，成品油的跑、冒、滴、漏一般平均损失量为0.036kg/m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·周转量。根据油品销售方案，项目营运后92#、95#、98#汽油年销售量共为2500t/a，则汽油年通过量约为3333m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/a；项目营运后0#柴油年销售量共为2000t/a，则柴油年通过量约为2352m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/a。综上所述，本项目非甲烷总烃产排情况见下表：</w:t>
            </w:r>
          </w:p>
          <w:p>
            <w:pPr>
              <w:spacing w:line="360" w:lineRule="auto"/>
              <w:jc w:val="center"/>
              <w:rPr>
                <w:rFonts w:hint="default" w:ascii="Times New Roman" w:hAnsi="Times New Roman" w:cs="Times New Roman"/>
                <w:b/>
                <w:szCs w:val="21"/>
                <w:u w:val="single"/>
              </w:rPr>
            </w:pPr>
            <w:r>
              <w:rPr>
                <w:rFonts w:hint="default" w:ascii="Times New Roman" w:hAnsi="Times New Roman" w:cs="Times New Roman"/>
                <w:b/>
                <w:szCs w:val="21"/>
                <w:u w:val="single"/>
              </w:rPr>
              <w:t>表4-1   项目运营期加油系统大气污染源强一览表</w:t>
            </w:r>
          </w:p>
          <w:tbl>
            <w:tblPr>
              <w:tblStyle w:val="26"/>
              <w:tblW w:w="79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1"/>
              <w:gridCol w:w="833"/>
              <w:gridCol w:w="1530"/>
              <w:gridCol w:w="1951"/>
              <w:gridCol w:w="857"/>
              <w:gridCol w:w="19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44" w:type="dxa"/>
                  <w:gridSpan w:val="3"/>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项目</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产生系数</w:t>
                  </w:r>
                </w:p>
              </w:tc>
              <w:tc>
                <w:tcPr>
                  <w:tcW w:w="857"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周转量</w:t>
                  </w: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烃产生量（kg/a）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汽油</w:t>
                  </w:r>
                </w:p>
              </w:tc>
              <w:tc>
                <w:tcPr>
                  <w:tcW w:w="833"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储油罐</w:t>
                  </w: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大呼吸损失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0.18kg/m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3333m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/a</w:t>
                  </w: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599.94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81" w:type="dxa"/>
                  <w:vMerge w:val="continue"/>
                  <w:noWrap w:val="0"/>
                  <w:vAlign w:val="center"/>
                </w:tcPr>
                <w:p>
                  <w:pPr>
                    <w:jc w:val="center"/>
                    <w:rPr>
                      <w:rFonts w:hint="default" w:ascii="Times New Roman" w:hAnsi="Times New Roman" w:cs="Times New Roman"/>
                      <w:szCs w:val="21"/>
                      <w:u w:val="single"/>
                    </w:rPr>
                  </w:pPr>
                </w:p>
              </w:tc>
              <w:tc>
                <w:tcPr>
                  <w:tcW w:w="833" w:type="dxa"/>
                  <w:vMerge w:val="continue"/>
                  <w:noWrap w:val="0"/>
                  <w:vAlign w:val="center"/>
                </w:tcPr>
                <w:p>
                  <w:pPr>
                    <w:jc w:val="center"/>
                    <w:rPr>
                      <w:rFonts w:hint="default" w:ascii="Times New Roman" w:hAnsi="Times New Roman" w:cs="Times New Roman"/>
                      <w:szCs w:val="21"/>
                      <w:u w:val="single"/>
                    </w:rPr>
                  </w:pP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小呼吸损失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0.07kg/m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233.31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noWrap w:val="0"/>
                  <w:vAlign w:val="center"/>
                </w:tcPr>
                <w:p>
                  <w:pPr>
                    <w:jc w:val="center"/>
                    <w:rPr>
                      <w:rFonts w:hint="default" w:ascii="Times New Roman" w:hAnsi="Times New Roman" w:cs="Times New Roman"/>
                      <w:szCs w:val="21"/>
                      <w:u w:val="single"/>
                    </w:rPr>
                  </w:pPr>
                </w:p>
              </w:tc>
              <w:tc>
                <w:tcPr>
                  <w:tcW w:w="833"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油罐车</w:t>
                  </w: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卸料损失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0.10kg/m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333.3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noWrap w:val="0"/>
                  <w:vAlign w:val="center"/>
                </w:tcPr>
                <w:p>
                  <w:pPr>
                    <w:jc w:val="center"/>
                    <w:rPr>
                      <w:rFonts w:hint="default" w:ascii="Times New Roman" w:hAnsi="Times New Roman" w:cs="Times New Roman"/>
                      <w:szCs w:val="21"/>
                      <w:u w:val="single"/>
                    </w:rPr>
                  </w:pPr>
                </w:p>
              </w:tc>
              <w:tc>
                <w:tcPr>
                  <w:tcW w:w="833"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加油区</w:t>
                  </w: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加油作业损失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0.065kg/m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216.645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noWrap w:val="0"/>
                  <w:vAlign w:val="center"/>
                </w:tcPr>
                <w:p>
                  <w:pPr>
                    <w:jc w:val="center"/>
                    <w:rPr>
                      <w:rFonts w:hint="default" w:ascii="Times New Roman" w:hAnsi="Times New Roman" w:cs="Times New Roman"/>
                      <w:szCs w:val="21"/>
                      <w:u w:val="single"/>
                    </w:rPr>
                  </w:pPr>
                </w:p>
              </w:tc>
              <w:tc>
                <w:tcPr>
                  <w:tcW w:w="833" w:type="dxa"/>
                  <w:vMerge w:val="continue"/>
                  <w:noWrap w:val="0"/>
                  <w:vAlign w:val="center"/>
                </w:tcPr>
                <w:p>
                  <w:pPr>
                    <w:jc w:val="center"/>
                    <w:rPr>
                      <w:rFonts w:hint="default" w:ascii="Times New Roman" w:hAnsi="Times New Roman" w:cs="Times New Roman"/>
                      <w:szCs w:val="21"/>
                      <w:u w:val="single"/>
                    </w:rPr>
                  </w:pP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作业跑冒漏损失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0.036kg/m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119.988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柴油</w:t>
                  </w:r>
                </w:p>
              </w:tc>
              <w:tc>
                <w:tcPr>
                  <w:tcW w:w="833"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储油罐</w:t>
                  </w: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大呼吸损失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lang w:val="en-US" w:eastAsia="zh-CN"/>
                    </w:rPr>
                    <w:t>0.06</w:t>
                  </w:r>
                  <w:r>
                    <w:rPr>
                      <w:rFonts w:hint="default" w:ascii="Times New Roman" w:hAnsi="Times New Roman" w:cs="Times New Roman"/>
                      <w:szCs w:val="21"/>
                      <w:u w:val="single"/>
                    </w:rPr>
                    <w:t>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2352m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/a</w:t>
                  </w:r>
                </w:p>
              </w:tc>
              <w:tc>
                <w:tcPr>
                  <w:tcW w:w="1985"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141.12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tcBorders/>
                  <w:noWrap w:val="0"/>
                  <w:vAlign w:val="center"/>
                </w:tcPr>
                <w:p>
                  <w:pPr>
                    <w:jc w:val="center"/>
                    <w:rPr>
                      <w:rFonts w:hint="default" w:ascii="Times New Roman" w:hAnsi="Times New Roman" w:cs="Times New Roman"/>
                      <w:szCs w:val="21"/>
                      <w:u w:val="single"/>
                    </w:rPr>
                  </w:pPr>
                </w:p>
              </w:tc>
              <w:tc>
                <w:tcPr>
                  <w:tcW w:w="833" w:type="dxa"/>
                  <w:vMerge w:val="continue"/>
                  <w:noWrap w:val="0"/>
                  <w:vAlign w:val="center"/>
                </w:tcPr>
                <w:p>
                  <w:pPr>
                    <w:jc w:val="center"/>
                    <w:rPr>
                      <w:rFonts w:hint="default" w:ascii="Times New Roman" w:hAnsi="Times New Roman" w:cs="Times New Roman"/>
                      <w:szCs w:val="21"/>
                      <w:u w:val="single"/>
                    </w:rPr>
                  </w:pP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小呼吸损失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0.0</w:t>
                  </w:r>
                  <w:r>
                    <w:rPr>
                      <w:rFonts w:hint="default" w:ascii="Times New Roman" w:hAnsi="Times New Roman" w:cs="Times New Roman"/>
                      <w:szCs w:val="21"/>
                      <w:u w:val="single"/>
                      <w:lang w:val="en-US" w:eastAsia="zh-CN"/>
                    </w:rPr>
                    <w:t>1</w:t>
                  </w:r>
                  <w:r>
                    <w:rPr>
                      <w:rFonts w:hint="default" w:ascii="Times New Roman" w:hAnsi="Times New Roman" w:cs="Times New Roman"/>
                      <w:szCs w:val="21"/>
                      <w:u w:val="single"/>
                    </w:rPr>
                    <w:t>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23.52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tcBorders/>
                  <w:noWrap w:val="0"/>
                  <w:vAlign w:val="center"/>
                </w:tcPr>
                <w:p>
                  <w:pPr>
                    <w:jc w:val="center"/>
                    <w:rPr>
                      <w:rFonts w:hint="default" w:ascii="Times New Roman" w:hAnsi="Times New Roman" w:cs="Times New Roman"/>
                      <w:szCs w:val="21"/>
                      <w:u w:val="single"/>
                    </w:rPr>
                  </w:pPr>
                </w:p>
              </w:tc>
              <w:tc>
                <w:tcPr>
                  <w:tcW w:w="833"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油罐车</w:t>
                  </w:r>
                </w:p>
              </w:tc>
              <w:tc>
                <w:tcPr>
                  <w:tcW w:w="1530"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卸料损失</w:t>
                  </w:r>
                </w:p>
              </w:tc>
              <w:tc>
                <w:tcPr>
                  <w:tcW w:w="1951"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0.10kg/m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lang w:val="en-US" w:eastAsia="zh-CN"/>
                    </w:rPr>
                    <w:t>235.2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tcBorders/>
                  <w:noWrap w:val="0"/>
                  <w:vAlign w:val="center"/>
                </w:tcPr>
                <w:p>
                  <w:pPr>
                    <w:jc w:val="center"/>
                    <w:rPr>
                      <w:rFonts w:hint="default" w:ascii="Times New Roman" w:hAnsi="Times New Roman" w:cs="Times New Roman"/>
                      <w:szCs w:val="21"/>
                      <w:u w:val="single"/>
                    </w:rPr>
                  </w:pPr>
                </w:p>
              </w:tc>
              <w:tc>
                <w:tcPr>
                  <w:tcW w:w="833"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加油区</w:t>
                  </w:r>
                </w:p>
              </w:tc>
              <w:tc>
                <w:tcPr>
                  <w:tcW w:w="1530"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加油作业损失</w:t>
                  </w:r>
                </w:p>
              </w:tc>
              <w:tc>
                <w:tcPr>
                  <w:tcW w:w="1951"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0.065</w:t>
                  </w:r>
                  <w:r>
                    <w:rPr>
                      <w:rFonts w:hint="default" w:ascii="Times New Roman" w:hAnsi="Times New Roman" w:cs="Times New Roman"/>
                      <w:szCs w:val="21"/>
                      <w:u w:val="single"/>
                    </w:rPr>
                    <w:t>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vMerge w:val="continue"/>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152.88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81" w:type="dxa"/>
                  <w:vMerge w:val="continue"/>
                  <w:tcBorders/>
                  <w:noWrap w:val="0"/>
                  <w:vAlign w:val="center"/>
                </w:tcPr>
                <w:p>
                  <w:pPr>
                    <w:jc w:val="center"/>
                    <w:rPr>
                      <w:rFonts w:hint="default" w:ascii="Times New Roman" w:hAnsi="Times New Roman" w:cs="Times New Roman"/>
                      <w:szCs w:val="21"/>
                      <w:u w:val="single"/>
                    </w:rPr>
                  </w:pPr>
                </w:p>
              </w:tc>
              <w:tc>
                <w:tcPr>
                  <w:tcW w:w="833" w:type="dxa"/>
                  <w:vMerge w:val="continue"/>
                  <w:noWrap w:val="0"/>
                  <w:vAlign w:val="center"/>
                </w:tcPr>
                <w:p>
                  <w:pPr>
                    <w:jc w:val="center"/>
                    <w:rPr>
                      <w:rFonts w:hint="default" w:ascii="Times New Roman" w:hAnsi="Times New Roman" w:cs="Times New Roman"/>
                      <w:szCs w:val="21"/>
                      <w:u w:val="single"/>
                    </w:rPr>
                  </w:pPr>
                </w:p>
              </w:tc>
              <w:tc>
                <w:tcPr>
                  <w:tcW w:w="1530" w:type="dxa"/>
                  <w:noWrap w:val="0"/>
                  <w:vAlign w:val="center"/>
                </w:tcPr>
                <w:p>
                  <w:pPr>
                    <w:jc w:val="center"/>
                    <w:rPr>
                      <w:rFonts w:hint="default" w:ascii="Times New Roman" w:hAnsi="Times New Roman" w:cs="Times New Roman"/>
                      <w:kern w:val="2"/>
                      <w:sz w:val="21"/>
                      <w:szCs w:val="21"/>
                      <w:u w:val="single"/>
                      <w:lang w:val="en-US" w:eastAsia="zh-CN" w:bidi="ar-SA"/>
                    </w:rPr>
                  </w:pPr>
                  <w:r>
                    <w:rPr>
                      <w:rFonts w:hint="default" w:ascii="Times New Roman" w:hAnsi="Times New Roman" w:cs="Times New Roman"/>
                      <w:szCs w:val="21"/>
                      <w:u w:val="single"/>
                    </w:rPr>
                    <w:t>作业跑冒漏损失</w:t>
                  </w:r>
                </w:p>
              </w:tc>
              <w:tc>
                <w:tcPr>
                  <w:tcW w:w="1951" w:type="dxa"/>
                  <w:noWrap w:val="0"/>
                  <w:vAlign w:val="center"/>
                </w:tcPr>
                <w:p>
                  <w:pPr>
                    <w:jc w:val="center"/>
                    <w:rPr>
                      <w:rFonts w:hint="default" w:ascii="Times New Roman" w:hAnsi="Times New Roman" w:cs="Times New Roman"/>
                      <w:kern w:val="2"/>
                      <w:sz w:val="21"/>
                      <w:szCs w:val="21"/>
                      <w:u w:val="single"/>
                      <w:lang w:val="en-US" w:eastAsia="zh-CN" w:bidi="ar-SA"/>
                    </w:rPr>
                  </w:pPr>
                  <w:r>
                    <w:rPr>
                      <w:rFonts w:hint="default" w:ascii="Times New Roman" w:hAnsi="Times New Roman" w:cs="Times New Roman"/>
                      <w:szCs w:val="21"/>
                      <w:u w:val="single"/>
                    </w:rPr>
                    <w:t>0.0</w:t>
                  </w:r>
                  <w:r>
                    <w:rPr>
                      <w:rFonts w:hint="default" w:ascii="Times New Roman" w:hAnsi="Times New Roman" w:cs="Times New Roman"/>
                      <w:szCs w:val="21"/>
                      <w:u w:val="single"/>
                      <w:lang w:val="en-US" w:eastAsia="zh-CN"/>
                    </w:rPr>
                    <w:t>36</w:t>
                  </w:r>
                  <w:r>
                    <w:rPr>
                      <w:rFonts w:hint="default" w:ascii="Times New Roman" w:hAnsi="Times New Roman" w:cs="Times New Roman"/>
                      <w:szCs w:val="21"/>
                      <w:u w:val="single"/>
                    </w:rPr>
                    <w:t>kg/m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·周转量</w:t>
                  </w:r>
                </w:p>
              </w:tc>
              <w:tc>
                <w:tcPr>
                  <w:tcW w:w="857" w:type="dxa"/>
                  <w:noWrap w:val="0"/>
                  <w:vAlign w:val="center"/>
                </w:tcPr>
                <w:p>
                  <w:pPr>
                    <w:jc w:val="center"/>
                    <w:rPr>
                      <w:rFonts w:hint="default" w:ascii="Times New Roman" w:hAnsi="Times New Roman" w:cs="Times New Roman"/>
                      <w:szCs w:val="21"/>
                      <w:u w:val="single"/>
                    </w:rPr>
                  </w:pPr>
                </w:p>
              </w:tc>
              <w:tc>
                <w:tcPr>
                  <w:tcW w:w="1985" w:type="dxa"/>
                  <w:noWrap w:val="0"/>
                  <w:vAlign w:val="center"/>
                </w:tcPr>
                <w:p>
                  <w:pPr>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84.672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52" w:type="dxa"/>
                  <w:gridSpan w:val="5"/>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合计</w:t>
                  </w:r>
                </w:p>
              </w:tc>
              <w:tc>
                <w:tcPr>
                  <w:tcW w:w="198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lang w:val="en-US" w:eastAsia="zh-CN"/>
                    </w:rPr>
                    <w:fldChar w:fldCharType="begin"/>
                  </w:r>
                  <w:r>
                    <w:rPr>
                      <w:rFonts w:hint="default" w:ascii="Times New Roman" w:hAnsi="Times New Roman" w:cs="Times New Roman"/>
                      <w:szCs w:val="21"/>
                      <w:u w:val="single"/>
                      <w:lang w:val="en-US" w:eastAsia="zh-CN"/>
                    </w:rPr>
                    <w:instrText xml:space="preserve"> = sum(F2:F11) \* MERGEFORMAT </w:instrText>
                  </w:r>
                  <w:r>
                    <w:rPr>
                      <w:rFonts w:hint="default" w:ascii="Times New Roman" w:hAnsi="Times New Roman" w:cs="Times New Roman"/>
                      <w:szCs w:val="21"/>
                      <w:u w:val="single"/>
                      <w:lang w:val="en-US" w:eastAsia="zh-CN"/>
                    </w:rPr>
                    <w:fldChar w:fldCharType="separate"/>
                  </w:r>
                  <w:r>
                    <w:rPr>
                      <w:rFonts w:hint="default" w:ascii="Times New Roman" w:hAnsi="Times New Roman" w:cs="Times New Roman"/>
                      <w:szCs w:val="21"/>
                      <w:u w:val="single"/>
                      <w:lang w:val="en-US" w:eastAsia="zh-CN"/>
                    </w:rPr>
                    <w:t>2140.575</w:t>
                  </w:r>
                  <w:r>
                    <w:rPr>
                      <w:rFonts w:hint="default" w:ascii="Times New Roman" w:hAnsi="Times New Roman" w:cs="Times New Roman"/>
                      <w:szCs w:val="21"/>
                      <w:u w:val="single"/>
                      <w:lang w:val="en-US" w:eastAsia="zh-CN"/>
                    </w:rPr>
                    <w:fldChar w:fldCharType="end"/>
                  </w:r>
                </w:p>
              </w:tc>
            </w:tr>
          </w:tbl>
          <w:p>
            <w:pPr>
              <w:adjustRightInd w:val="0"/>
              <w:snapToGrid w:val="0"/>
              <w:spacing w:line="360" w:lineRule="auto"/>
              <w:ind w:firstLine="480" w:firstLineChars="200"/>
              <w:rPr>
                <w:rFonts w:hint="default" w:ascii="Times New Roman" w:hAnsi="Times New Roman" w:cs="Times New Roman"/>
                <w:color w:val="0000FF"/>
                <w:sz w:val="24"/>
                <w:u w:val="single"/>
              </w:rPr>
            </w:pPr>
            <w:r>
              <w:rPr>
                <w:rFonts w:hint="default" w:ascii="Times New Roman" w:hAnsi="Times New Roman" w:cs="Times New Roman"/>
                <w:color w:val="0000FF"/>
                <w:sz w:val="24"/>
                <w:u w:val="single"/>
              </w:rPr>
              <w:t>依据项目2009年登记表相关内容，项目改建后柴油销售量不变，汽油销售量增加1700t/a，</w:t>
            </w:r>
            <w:r>
              <w:rPr>
                <w:rFonts w:hint="default" w:ascii="Times New Roman" w:hAnsi="Times New Roman" w:cs="Times New Roman"/>
                <w:color w:val="0000FF"/>
                <w:sz w:val="24"/>
                <w:u w:val="single"/>
                <w:lang w:eastAsia="zh-CN"/>
              </w:rPr>
              <w:t>（</w:t>
            </w:r>
            <w:r>
              <w:rPr>
                <w:rFonts w:hint="default" w:ascii="Times New Roman" w:hAnsi="Times New Roman" w:cs="Times New Roman"/>
                <w:color w:val="0000FF"/>
                <w:sz w:val="24"/>
                <w:u w:val="single"/>
                <w:lang w:val="en-US" w:eastAsia="zh-CN"/>
              </w:rPr>
              <w:t>具体年销售量变化见表2-2</w:t>
            </w:r>
            <w:r>
              <w:rPr>
                <w:rFonts w:hint="default" w:ascii="Times New Roman" w:hAnsi="Times New Roman" w:cs="Times New Roman"/>
                <w:color w:val="0000FF"/>
                <w:sz w:val="24"/>
                <w:u w:val="single"/>
                <w:lang w:eastAsia="zh-CN"/>
              </w:rPr>
              <w:t>）</w:t>
            </w:r>
            <w:r>
              <w:rPr>
                <w:rFonts w:hint="default" w:ascii="Times New Roman" w:hAnsi="Times New Roman" w:cs="Times New Roman"/>
                <w:color w:val="0000FF"/>
                <w:sz w:val="24"/>
                <w:u w:val="single"/>
              </w:rPr>
              <w:t>依据上述产排污系数，项目废气产排污改建前后变化情况如下：柴油的通过量不变，排放的挥发性有机物总量不变</w:t>
            </w:r>
            <w:r>
              <w:rPr>
                <w:rFonts w:hint="default" w:ascii="Times New Roman" w:hAnsi="Times New Roman" w:cs="Times New Roman"/>
                <w:color w:val="0000FF"/>
                <w:sz w:val="24"/>
                <w:highlight w:val="none"/>
                <w:u w:val="single"/>
              </w:rPr>
              <w:t>，汽油的</w:t>
            </w:r>
            <w:r>
              <w:rPr>
                <w:rFonts w:hint="default" w:ascii="Times New Roman" w:hAnsi="Times New Roman" w:cs="Times New Roman"/>
                <w:color w:val="0000FF"/>
                <w:sz w:val="24"/>
                <w:highlight w:val="none"/>
                <w:u w:val="single"/>
                <w:lang w:val="en-US" w:eastAsia="zh-CN"/>
              </w:rPr>
              <w:t>周转量</w:t>
            </w:r>
            <w:r>
              <w:rPr>
                <w:rFonts w:hint="default" w:ascii="Times New Roman" w:hAnsi="Times New Roman" w:cs="Times New Roman"/>
                <w:color w:val="0000FF"/>
                <w:sz w:val="24"/>
                <w:highlight w:val="none"/>
                <w:u w:val="single"/>
              </w:rPr>
              <w:t>量增加了0.7667t/a。</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项目在汽油加油和卸油口各安装一套油气回收系统，其中油罐车在加油站装卸油料过程进行一次油气回收，回收率可达99%；汽车加油时利用加油枪上的特殊装置实现二次油气回收，其回收的效率为85~95%，本项目取90%。</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根据《加油站大气污染物排放标准》（GB20952-2020）要求，采用密闭储罐，并在储罐呼吸阀处拟设置油气排放处置装置（三次油气回收），当油罐压力超过预设的压力值时（+150Pa），设备内部的真空泵自动开始运行，抽取储罐内的油气通过采用吸附、吸收、冷凝、膜分离方法对油气进行处理回收，其回收的效率可达90~99%。本项目拟采用冷凝回收工艺，三次油气回收系统设置在卸油区</w:t>
            </w:r>
            <w:r>
              <w:rPr>
                <w:rFonts w:hint="default" w:ascii="Times New Roman" w:hAnsi="Times New Roman" w:cs="Times New Roman"/>
                <w:sz w:val="24"/>
                <w:szCs w:val="24"/>
                <w:lang w:val="en-US" w:eastAsia="zh-CN"/>
              </w:rPr>
              <w:t>南侧</w:t>
            </w:r>
            <w:r>
              <w:rPr>
                <w:rFonts w:hint="default" w:ascii="Times New Roman" w:hAnsi="Times New Roman" w:cs="Times New Roman"/>
                <w:sz w:val="24"/>
                <w:szCs w:val="24"/>
              </w:rPr>
              <w:t>，本评价三次油气回收效率取95%计。油气处理装置排气口距地平面高度为4m。</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（2）机动车辆尾气</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进出项目的机动车量会产生一定的尾气，主要污染成份有CO、THC和NO</w:t>
            </w:r>
            <w:r>
              <w:rPr>
                <w:rFonts w:hint="default" w:ascii="Times New Roman" w:hAnsi="Times New Roman" w:cs="Times New Roman"/>
                <w:sz w:val="24"/>
                <w:u w:val="single"/>
                <w:vertAlign w:val="subscript"/>
              </w:rPr>
              <w:t>x</w:t>
            </w:r>
            <w:r>
              <w:rPr>
                <w:rFonts w:hint="default" w:ascii="Times New Roman" w:hAnsi="Times New Roman" w:cs="Times New Roman"/>
                <w:sz w:val="24"/>
                <w:u w:val="single"/>
              </w:rPr>
              <w:t>等，均为无组织排放。由于其产生量与进出项目的车辆类型有关，难以定量计算，故本报告仅作定性分析。</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（3）备用柴油发电机尾气</w:t>
            </w:r>
          </w:p>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sz w:val="24"/>
                <w:u w:val="single"/>
              </w:rPr>
              <w:t>为保证服务质量及生产系统安全，项目现状设有一台</w:t>
            </w:r>
            <w:r>
              <w:rPr>
                <w:rFonts w:hint="default" w:ascii="Times New Roman" w:hAnsi="Times New Roman" w:cs="Times New Roman"/>
                <w:bCs/>
                <w:sz w:val="24"/>
                <w:u w:val="single"/>
              </w:rPr>
              <w:t>额定功率50</w:t>
            </w:r>
            <w:r>
              <w:rPr>
                <w:rFonts w:hint="default" w:ascii="Times New Roman" w:hAnsi="Times New Roman" w:cs="Times New Roman"/>
                <w:sz w:val="24"/>
                <w:u w:val="single"/>
              </w:rPr>
              <w:t>kWh</w:t>
            </w:r>
            <w:r>
              <w:rPr>
                <w:rFonts w:hint="default" w:ascii="Times New Roman" w:hAnsi="Times New Roman" w:cs="Times New Roman"/>
                <w:bCs/>
                <w:sz w:val="24"/>
                <w:u w:val="single"/>
              </w:rPr>
              <w:t>的</w:t>
            </w:r>
            <w:r>
              <w:rPr>
                <w:rFonts w:hint="default" w:ascii="Times New Roman" w:hAnsi="Times New Roman" w:cs="Times New Roman"/>
                <w:sz w:val="24"/>
                <w:u w:val="single"/>
              </w:rPr>
              <w:t>备用柴油发电机，以</w:t>
            </w:r>
            <w:r>
              <w:rPr>
                <w:rFonts w:hint="default" w:ascii="Times New Roman" w:hAnsi="Times New Roman" w:cs="Times New Roman"/>
                <w:bCs/>
                <w:sz w:val="24"/>
                <w:u w:val="single"/>
              </w:rPr>
              <w:t>S%≤0.2%的优质轻柴油为燃料。据统计，</w:t>
            </w:r>
            <w:r>
              <w:rPr>
                <w:rFonts w:hint="default" w:ascii="Times New Roman" w:hAnsi="Times New Roman" w:cs="Times New Roman"/>
                <w:sz w:val="24"/>
                <w:u w:val="single"/>
              </w:rPr>
              <w:t>每年使用时间不超过12小时，</w:t>
            </w:r>
            <w:r>
              <w:rPr>
                <w:rFonts w:hint="default" w:ascii="Times New Roman" w:hAnsi="Times New Roman" w:cs="Times New Roman"/>
                <w:bCs/>
                <w:sz w:val="24"/>
                <w:u w:val="single"/>
              </w:rPr>
              <w:t>折合发电量不超过600Wh/a。根据生产经验，柴油消耗率约0.2kg/kWh，折合柴油消耗量约0.12t/a，即142.86L/a（密度按0.84</w:t>
            </w:r>
            <w:r>
              <w:rPr>
                <w:rFonts w:hint="default" w:ascii="Times New Roman" w:hAnsi="Times New Roman" w:cs="Times New Roman"/>
                <w:sz w:val="24"/>
                <w:u w:val="single"/>
              </w:rPr>
              <w:t>g/mL计算</w:t>
            </w:r>
            <w:r>
              <w:rPr>
                <w:rFonts w:hint="default" w:ascii="Times New Roman" w:hAnsi="Times New Roman" w:cs="Times New Roman"/>
                <w:bCs/>
                <w:sz w:val="24"/>
                <w:u w:val="single"/>
              </w:rPr>
              <w:t>）。</w:t>
            </w:r>
          </w:p>
          <w:p>
            <w:pPr>
              <w:adjustRightInd w:val="0"/>
              <w:snapToGrid w:val="0"/>
              <w:spacing w:line="360" w:lineRule="auto"/>
              <w:ind w:firstLine="480" w:firstLineChars="200"/>
              <w:rPr>
                <w:rFonts w:hint="default" w:ascii="Times New Roman" w:hAnsi="Times New Roman" w:cs="Times New Roman"/>
                <w:kern w:val="0"/>
                <w:sz w:val="24"/>
                <w:u w:val="single"/>
                <w:lang w:bidi="ar"/>
              </w:rPr>
            </w:pPr>
            <w:r>
              <w:rPr>
                <w:rFonts w:hint="default" w:ascii="Times New Roman" w:hAnsi="Times New Roman" w:cs="Times New Roman"/>
                <w:sz w:val="24"/>
                <w:u w:val="single"/>
              </w:rPr>
              <w:t>查阅《污染物排放系数及排放量计算方法》（2013年本），</w:t>
            </w:r>
            <w:r>
              <w:rPr>
                <w:rFonts w:hint="default" w:ascii="Times New Roman" w:hAnsi="Times New Roman" w:cs="Times New Roman"/>
                <w:bCs/>
                <w:sz w:val="24"/>
                <w:u w:val="single"/>
              </w:rPr>
              <w:t>柴油发电机组运行时污染物产生系数为：SO</w:t>
            </w:r>
            <w:r>
              <w:rPr>
                <w:rFonts w:hint="default" w:ascii="Times New Roman" w:hAnsi="Times New Roman" w:cs="Times New Roman"/>
                <w:bCs/>
                <w:sz w:val="24"/>
                <w:u w:val="single"/>
                <w:vertAlign w:val="subscript"/>
              </w:rPr>
              <w:t>2</w:t>
            </w:r>
            <w:r>
              <w:rPr>
                <w:rFonts w:hint="default" w:ascii="Times New Roman" w:hAnsi="Times New Roman" w:cs="Times New Roman"/>
                <w:bCs/>
                <w:sz w:val="24"/>
                <w:u w:val="single"/>
              </w:rPr>
              <w:t>≤4g/L，NO</w:t>
            </w:r>
            <w:r>
              <w:rPr>
                <w:rFonts w:hint="default" w:ascii="Times New Roman" w:hAnsi="Times New Roman" w:cs="Times New Roman"/>
                <w:bCs/>
                <w:sz w:val="24"/>
                <w:u w:val="single"/>
                <w:vertAlign w:val="subscript"/>
              </w:rPr>
              <w:t>X</w:t>
            </w:r>
            <w:r>
              <w:rPr>
                <w:rFonts w:hint="default" w:ascii="Times New Roman" w:hAnsi="Times New Roman" w:cs="Times New Roman"/>
                <w:bCs/>
                <w:sz w:val="24"/>
                <w:u w:val="single"/>
              </w:rPr>
              <w:t>≤1.79g/L，THC≤1.489g/L，烟尘≤0.714g/L。计算可得，项目备用柴油发电机尾气污染物产生量为SO</w:t>
            </w:r>
            <w:r>
              <w:rPr>
                <w:rFonts w:hint="default" w:ascii="Times New Roman" w:hAnsi="Times New Roman" w:cs="Times New Roman"/>
                <w:bCs/>
                <w:sz w:val="24"/>
                <w:u w:val="single"/>
                <w:vertAlign w:val="subscript"/>
              </w:rPr>
              <w:t>2</w:t>
            </w:r>
            <w:r>
              <w:rPr>
                <w:rFonts w:hint="default" w:ascii="Times New Roman" w:hAnsi="Times New Roman" w:cs="Times New Roman"/>
                <w:bCs/>
                <w:sz w:val="24"/>
                <w:u w:val="single"/>
              </w:rPr>
              <w:t>≤</w:t>
            </w:r>
            <w:r>
              <w:rPr>
                <w:rFonts w:hint="default" w:ascii="Times New Roman" w:hAnsi="Times New Roman" w:cs="Times New Roman"/>
                <w:kern w:val="0"/>
                <w:sz w:val="24"/>
                <w:u w:val="single"/>
                <w:lang w:bidi="ar"/>
              </w:rPr>
              <w:t>0.571</w:t>
            </w:r>
            <w:r>
              <w:rPr>
                <w:rFonts w:hint="default" w:ascii="Times New Roman" w:hAnsi="Times New Roman" w:cs="Times New Roman"/>
                <w:bCs/>
                <w:sz w:val="24"/>
                <w:u w:val="single"/>
              </w:rPr>
              <w:t>kg/a，NOx≤</w:t>
            </w:r>
            <w:r>
              <w:rPr>
                <w:rFonts w:hint="default" w:ascii="Times New Roman" w:hAnsi="Times New Roman" w:cs="Times New Roman"/>
                <w:kern w:val="0"/>
                <w:sz w:val="24"/>
                <w:u w:val="single"/>
                <w:lang w:bidi="ar"/>
              </w:rPr>
              <w:t>0.256</w:t>
            </w:r>
            <w:r>
              <w:rPr>
                <w:rFonts w:hint="default" w:ascii="Times New Roman" w:hAnsi="Times New Roman" w:cs="Times New Roman"/>
                <w:bCs/>
                <w:sz w:val="24"/>
                <w:u w:val="single"/>
              </w:rPr>
              <w:t>kg/a，THC≤</w:t>
            </w:r>
            <w:r>
              <w:rPr>
                <w:rFonts w:hint="default" w:ascii="Times New Roman" w:hAnsi="Times New Roman" w:cs="Times New Roman"/>
                <w:kern w:val="0"/>
                <w:sz w:val="24"/>
                <w:u w:val="single"/>
                <w:lang w:bidi="ar"/>
              </w:rPr>
              <w:t>0.213</w:t>
            </w:r>
            <w:r>
              <w:rPr>
                <w:rFonts w:hint="default" w:ascii="Times New Roman" w:hAnsi="Times New Roman" w:cs="Times New Roman"/>
                <w:bCs/>
                <w:sz w:val="24"/>
                <w:u w:val="single"/>
              </w:rPr>
              <w:t>kg/a，烟尘≤</w:t>
            </w:r>
            <w:r>
              <w:rPr>
                <w:rFonts w:hint="default" w:ascii="Times New Roman" w:hAnsi="Times New Roman" w:cs="Times New Roman"/>
                <w:kern w:val="0"/>
                <w:sz w:val="24"/>
                <w:u w:val="single"/>
                <w:lang w:bidi="ar"/>
              </w:rPr>
              <w:t>0.102kg/a。参照项目改建之前的经验，本项目位于主城区，柴油发电机房的月均使用次数低于3次，每次使用时长不超过6小时，故项目柴油发电机产生的尾气对环境造成的影响较小。</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 xml:space="preserve">本项目废气污染源强核算结果及相关参数见下表： </w:t>
            </w:r>
          </w:p>
          <w:p>
            <w:pPr>
              <w:widowControl/>
              <w:spacing w:line="360" w:lineRule="auto"/>
              <w:ind w:firstLine="480" w:firstLineChars="200"/>
              <w:jc w:val="left"/>
              <w:textAlignment w:val="baseline"/>
              <w:rPr>
                <w:rFonts w:hint="default" w:ascii="Times New Roman" w:hAnsi="Times New Roman" w:eastAsia="宋体" w:cs="Times New Roman"/>
                <w:color w:val="0000FF"/>
                <w:sz w:val="24"/>
                <w:lang w:eastAsia="zh-CN"/>
              </w:rPr>
            </w:pPr>
            <w:r>
              <w:rPr>
                <w:rFonts w:hint="default" w:ascii="Times New Roman" w:hAnsi="Times New Roman" w:cs="Times New Roman"/>
                <w:color w:val="0000FF"/>
                <w:sz w:val="24"/>
              </w:rPr>
              <w:t>本项目废气产排情况见下表。</w:t>
            </w:r>
          </w:p>
          <w:p>
            <w:pPr>
              <w:spacing w:line="36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b/>
                <w:bCs/>
                <w:color w:val="0000FF"/>
                <w:sz w:val="21"/>
                <w:szCs w:val="21"/>
              </w:rPr>
              <w:t>表4-</w:t>
            </w:r>
            <w:r>
              <w:rPr>
                <w:rFonts w:hint="default" w:ascii="Times New Roman" w:hAnsi="Times New Roman" w:cs="Times New Roman"/>
                <w:b/>
                <w:bCs/>
                <w:color w:val="0000FF"/>
                <w:sz w:val="21"/>
                <w:szCs w:val="21"/>
                <w:lang w:val="en-US" w:eastAsia="zh-CN"/>
              </w:rPr>
              <w:t>3</w:t>
            </w:r>
            <w:r>
              <w:rPr>
                <w:rFonts w:hint="default" w:ascii="Times New Roman" w:hAnsi="Times New Roman" w:cs="Times New Roman"/>
                <w:b/>
                <w:bCs/>
                <w:color w:val="0000FF"/>
                <w:sz w:val="21"/>
                <w:szCs w:val="21"/>
              </w:rPr>
              <w:t xml:space="preserve">    废气污染物信息表</w:t>
            </w:r>
          </w:p>
          <w:tbl>
            <w:tblPr>
              <w:tblStyle w:val="26"/>
              <w:tblW w:w="7936"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794"/>
              <w:gridCol w:w="651"/>
              <w:gridCol w:w="649"/>
              <w:gridCol w:w="625"/>
              <w:gridCol w:w="538"/>
              <w:gridCol w:w="650"/>
              <w:gridCol w:w="576"/>
              <w:gridCol w:w="900"/>
              <w:gridCol w:w="915"/>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序号</w:t>
                  </w:r>
                </w:p>
              </w:tc>
              <w:tc>
                <w:tcPr>
                  <w:tcW w:w="794"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产污环节名称</w:t>
                  </w:r>
                </w:p>
              </w:tc>
              <w:tc>
                <w:tcPr>
                  <w:tcW w:w="651"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污染物种类</w:t>
                  </w:r>
                </w:p>
              </w:tc>
              <w:tc>
                <w:tcPr>
                  <w:tcW w:w="1274" w:type="dxa"/>
                  <w:gridSpan w:val="2"/>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污染物</w:t>
                  </w:r>
                </w:p>
              </w:tc>
              <w:tc>
                <w:tcPr>
                  <w:tcW w:w="53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排放形式</w:t>
                  </w:r>
                </w:p>
              </w:tc>
              <w:tc>
                <w:tcPr>
                  <w:tcW w:w="1226" w:type="dxa"/>
                  <w:gridSpan w:val="2"/>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污染治理设施名称</w:t>
                  </w:r>
                </w:p>
              </w:tc>
              <w:tc>
                <w:tcPr>
                  <w:tcW w:w="900"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污染物排放浓度(mg/m</w:t>
                  </w:r>
                  <w:r>
                    <w:rPr>
                      <w:rFonts w:hint="default" w:ascii="Times New Roman" w:hAnsi="Times New Roman" w:cs="Times New Roman"/>
                      <w:color w:val="0000FF"/>
                      <w:vertAlign w:val="superscript"/>
                    </w:rPr>
                    <w:t>3</w:t>
                  </w:r>
                  <w:r>
                    <w:rPr>
                      <w:rFonts w:hint="default" w:ascii="Times New Roman" w:hAnsi="Times New Roman" w:cs="Times New Roman"/>
                      <w:color w:val="0000FF"/>
                    </w:rPr>
                    <w:t>)</w:t>
                  </w:r>
                </w:p>
              </w:tc>
              <w:tc>
                <w:tcPr>
                  <w:tcW w:w="915"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污染物排放量(t/a)</w:t>
                  </w:r>
                </w:p>
              </w:tc>
              <w:tc>
                <w:tcPr>
                  <w:tcW w:w="117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794"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651"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产生量(t/a)</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浓度(mg/m</w:t>
                  </w:r>
                  <w:r>
                    <w:rPr>
                      <w:rFonts w:hint="default" w:ascii="Times New Roman" w:hAnsi="Times New Roman" w:cs="Times New Roman"/>
                      <w:color w:val="0000FF"/>
                      <w:vertAlign w:val="superscript"/>
                    </w:rPr>
                    <w:t>3</w:t>
                  </w:r>
                  <w:r>
                    <w:rPr>
                      <w:rFonts w:hint="default" w:ascii="Times New Roman" w:hAnsi="Times New Roman" w:cs="Times New Roman"/>
                      <w:color w:val="0000FF"/>
                    </w:rPr>
                    <w:t>)</w:t>
                  </w:r>
                </w:p>
              </w:tc>
              <w:tc>
                <w:tcPr>
                  <w:tcW w:w="538"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650" w:type="dxa"/>
                  <w:tcBorders>
                    <w:tl2br w:val="nil"/>
                    <w:tr2bl w:val="nil"/>
                  </w:tcBorders>
                  <w:noWrap w:val="0"/>
                  <w:vAlign w:val="center"/>
                </w:tcPr>
                <w:p>
                  <w:pPr>
                    <w:widowControl/>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工艺</w:t>
                  </w:r>
                </w:p>
              </w:tc>
              <w:tc>
                <w:tcPr>
                  <w:tcW w:w="576" w:type="dxa"/>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处理效率</w:t>
                  </w:r>
                </w:p>
              </w:tc>
              <w:tc>
                <w:tcPr>
                  <w:tcW w:w="900"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915"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c>
                <w:tcPr>
                  <w:tcW w:w="1178" w:type="dxa"/>
                  <w:vMerge w:val="continue"/>
                  <w:tcBorders>
                    <w:tl2br w:val="nil"/>
                    <w:tr2bl w:val="nil"/>
                  </w:tcBorders>
                  <w:noWrap w:val="0"/>
                  <w:vAlign w:val="center"/>
                </w:tcPr>
                <w:p>
                  <w:pPr>
                    <w:widowControl/>
                    <w:adjustRightInd w:val="0"/>
                    <w:snapToGrid w:val="0"/>
                    <w:spacing w:line="240" w:lineRule="auto"/>
                    <w:jc w:val="center"/>
                    <w:rPr>
                      <w:rFonts w:hint="default" w:ascii="Times New Roman" w:hAnsi="Times New Roman" w:cs="Times New Roman"/>
                      <w:color w:val="0000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r>
                    <w:rPr>
                      <w:rFonts w:hint="default" w:ascii="Times New Roman" w:hAnsi="Times New Roman" w:cs="Times New Roman"/>
                      <w:color w:val="0000FF"/>
                      <w:sz w:val="24"/>
                    </w:rPr>
                    <w:t>1</w:t>
                  </w: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汽油</w:t>
                  </w:r>
                  <w:r>
                    <w:rPr>
                      <w:rFonts w:hint="default" w:ascii="Times New Roman" w:hAnsi="Times New Roman" w:cs="Times New Roman"/>
                      <w:color w:val="0000FF"/>
                    </w:rPr>
                    <w:t>卸油</w:t>
                  </w:r>
                  <w:r>
                    <w:rPr>
                      <w:rFonts w:hint="default" w:ascii="Times New Roman" w:hAnsi="Times New Roman" w:cs="Times New Roman"/>
                      <w:color w:val="0000FF"/>
                      <w:lang w:val="en-US" w:eastAsia="zh-CN"/>
                    </w:rPr>
                    <w:t>大呼吸损失</w:t>
                  </w:r>
                </w:p>
              </w:tc>
              <w:tc>
                <w:tcPr>
                  <w:tcW w:w="651"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非甲烷总烃</w:t>
                  </w: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0.60</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53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vertAlign w:val="baseline"/>
                      <w:lang w:val="en-US" w:eastAsia="zh-CN"/>
                    </w:rPr>
                  </w:pPr>
                  <w:r>
                    <w:rPr>
                      <w:rFonts w:hint="default" w:ascii="Times New Roman" w:hAnsi="Times New Roman" w:cs="Times New Roman"/>
                      <w:color w:val="0000FF"/>
                    </w:rPr>
                    <w:t>无组织</w:t>
                  </w:r>
                  <w:r>
                    <w:rPr>
                      <w:rFonts w:hint="default" w:ascii="Times New Roman" w:hAnsi="Times New Roman" w:cs="Times New Roman"/>
                      <w:color w:val="0000FF"/>
                      <w:lang w:val="en-US" w:eastAsia="zh-CN"/>
                    </w:rPr>
                    <w:t>,面源面积1184m</w:t>
                  </w:r>
                  <w:r>
                    <w:rPr>
                      <w:rFonts w:hint="default" w:ascii="Times New Roman" w:hAnsi="Times New Roman" w:cs="Times New Roman"/>
                      <w:color w:val="0000FF"/>
                      <w:vertAlign w:val="superscript"/>
                      <w:lang w:val="en-US" w:eastAsia="zh-CN"/>
                    </w:rPr>
                    <w:t>2</w:t>
                  </w:r>
                  <w:r>
                    <w:rPr>
                      <w:rFonts w:hint="default" w:ascii="Times New Roman" w:hAnsi="Times New Roman" w:cs="Times New Roman"/>
                      <w:color w:val="0000FF"/>
                      <w:vertAlign w:val="baseline"/>
                      <w:lang w:val="en-US" w:eastAsia="zh-CN"/>
                    </w:rPr>
                    <w:t>,面源高度4m</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lang w:val="en-US" w:eastAsia="zh-CN"/>
                    </w:rPr>
                    <w:t>一次</w:t>
                  </w:r>
                  <w:r>
                    <w:rPr>
                      <w:rFonts w:hint="default" w:ascii="Times New Roman" w:hAnsi="Times New Roman" w:cs="Times New Roman"/>
                      <w:color w:val="0000FF"/>
                    </w:rPr>
                    <w:t>油气回收</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99%</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0.006</w:t>
                  </w:r>
                </w:p>
              </w:tc>
              <w:tc>
                <w:tcPr>
                  <w:tcW w:w="117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cs="Times New Roman"/>
                      <w:color w:val="0000FF"/>
                      <w:lang w:bidi="ar"/>
                    </w:rPr>
                    <w:t>《加油站大气污染物排放标准》（GB20952-2020）</w:t>
                  </w:r>
                  <w:r>
                    <w:rPr>
                      <w:rFonts w:hint="default" w:ascii="Times New Roman" w:hAnsi="Times New Roman" w:cs="Times New Roman"/>
                      <w:color w:val="0000FF"/>
                      <w:lang w:val="en-US" w:eastAsia="zh-CN" w:bidi="ar"/>
                    </w:rPr>
                    <w:t>表3油气浓度无组织排放限值</w:t>
                  </w:r>
                  <w:r>
                    <w:rPr>
                      <w:rFonts w:hint="eastAsia" w:ascii="Times New Roman" w:hAnsi="Times New Roman" w:cs="Times New Roman"/>
                      <w:color w:val="0000FF"/>
                      <w:lang w:val="en-US" w:eastAsia="zh-CN" w:bidi="ar"/>
                    </w:rPr>
                    <w:t>（排气筒高度为4m，可视为无组织排放）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汽油卸油油罐车损失</w:t>
                  </w:r>
                </w:p>
              </w:tc>
              <w:tc>
                <w:tcPr>
                  <w:tcW w:w="65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0.33</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5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0.33</w:t>
                  </w:r>
                </w:p>
              </w:tc>
              <w:tc>
                <w:tcPr>
                  <w:tcW w:w="117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加油</w:t>
                  </w:r>
                  <w:r>
                    <w:rPr>
                      <w:rFonts w:hint="default" w:ascii="Times New Roman" w:hAnsi="Times New Roman" w:cs="Times New Roman"/>
                      <w:color w:val="0000FF"/>
                      <w:lang w:val="en-US" w:eastAsia="zh-CN"/>
                    </w:rPr>
                    <w:t>损失</w:t>
                  </w:r>
                </w:p>
              </w:tc>
              <w:tc>
                <w:tcPr>
                  <w:tcW w:w="65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0.34</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5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二次油气回收</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90%</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0.034</w:t>
                  </w:r>
                </w:p>
              </w:tc>
              <w:tc>
                <w:tcPr>
                  <w:tcW w:w="117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储油</w:t>
                  </w:r>
                  <w:r>
                    <w:rPr>
                      <w:rFonts w:hint="eastAsia" w:ascii="Times New Roman" w:hAnsi="Times New Roman" w:cs="Times New Roman"/>
                      <w:color w:val="0000FF"/>
                      <w:lang w:val="en-US" w:eastAsia="zh-CN"/>
                    </w:rPr>
                    <w:t>小呼吸损失</w:t>
                  </w:r>
                </w:p>
              </w:tc>
              <w:tc>
                <w:tcPr>
                  <w:tcW w:w="65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0.8333</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53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有组织排放</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三次油气回收</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95%</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0.042</w:t>
                  </w:r>
                </w:p>
              </w:tc>
              <w:tc>
                <w:tcPr>
                  <w:tcW w:w="117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r>
                    <w:rPr>
                      <w:rFonts w:hint="default" w:ascii="Times New Roman" w:hAnsi="Times New Roman" w:cs="Times New Roman"/>
                      <w:color w:val="0000FF"/>
                      <w:sz w:val="24"/>
                    </w:rPr>
                    <w:t>2</w:t>
                  </w: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szCs w:val="21"/>
                      <w:u w:val="single"/>
                    </w:rPr>
                    <w:t>柴油大小 呼吸、加 油、卸油、 跑冒漏等</w:t>
                  </w:r>
                </w:p>
              </w:tc>
              <w:tc>
                <w:tcPr>
                  <w:tcW w:w="651"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非甲烷总烃</w:t>
                  </w: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0.637</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53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kern w:val="2"/>
                      <w:sz w:val="21"/>
                      <w:szCs w:val="24"/>
                      <w:vertAlign w:val="baseline"/>
                      <w:lang w:val="en-US" w:eastAsia="zh-CN" w:bidi="ar-SA"/>
                    </w:rPr>
                  </w:pPr>
                  <w:r>
                    <w:rPr>
                      <w:rFonts w:hint="default" w:ascii="Times New Roman" w:hAnsi="Times New Roman" w:cs="Times New Roman"/>
                      <w:color w:val="0000FF"/>
                    </w:rPr>
                    <w:t>无组织</w:t>
                  </w:r>
                  <w:r>
                    <w:rPr>
                      <w:rFonts w:hint="default" w:ascii="Times New Roman" w:hAnsi="Times New Roman" w:cs="Times New Roman"/>
                      <w:color w:val="0000FF"/>
                      <w:lang w:val="en-US" w:eastAsia="zh-CN"/>
                    </w:rPr>
                    <w:t>,面源面积1184m</w:t>
                  </w:r>
                  <w:r>
                    <w:rPr>
                      <w:rFonts w:hint="default" w:ascii="Times New Roman" w:hAnsi="Times New Roman" w:cs="Times New Roman"/>
                      <w:color w:val="0000FF"/>
                      <w:vertAlign w:val="superscript"/>
                      <w:lang w:val="en-US" w:eastAsia="zh-CN"/>
                    </w:rPr>
                    <w:t>2</w:t>
                  </w:r>
                  <w:r>
                    <w:rPr>
                      <w:rFonts w:hint="default" w:ascii="Times New Roman" w:hAnsi="Times New Roman" w:cs="Times New Roman"/>
                      <w:color w:val="0000FF"/>
                      <w:vertAlign w:val="baseline"/>
                      <w:lang w:val="en-US" w:eastAsia="zh-CN"/>
                    </w:rPr>
                    <w:t>,面源高度4m</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17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kern w:val="2"/>
                      <w:sz w:val="21"/>
                      <w:szCs w:val="24"/>
                      <w:lang w:val="en-US" w:eastAsia="zh-CN" w:bidi="ar-SA"/>
                    </w:rPr>
                  </w:pPr>
                  <w:r>
                    <w:rPr>
                      <w:rFonts w:hint="default" w:ascii="Times New Roman" w:hAnsi="Times New Roman" w:cs="Times New Roman"/>
                      <w:color w:val="0000FF"/>
                      <w:lang w:bidi="ar"/>
                    </w:rPr>
                    <w:t>《加油站大气污染物排放标准》（GB20952-2020）</w:t>
                  </w:r>
                  <w:r>
                    <w:rPr>
                      <w:rFonts w:hint="default" w:ascii="Times New Roman" w:hAnsi="Times New Roman" w:cs="Times New Roman"/>
                      <w:color w:val="0000FF"/>
                      <w:lang w:val="en-US" w:eastAsia="zh-CN" w:bidi="ar"/>
                    </w:rPr>
                    <w:t>表3油气浓度无组织排放限值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sz w:val="24"/>
                      <w:lang w:val="en-US" w:eastAsia="zh-CN"/>
                    </w:rPr>
                  </w:pPr>
                  <w:r>
                    <w:rPr>
                      <w:rFonts w:hint="default" w:ascii="Times New Roman" w:hAnsi="Times New Roman" w:cs="Times New Roman"/>
                      <w:color w:val="0000FF"/>
                      <w:sz w:val="24"/>
                      <w:lang w:val="en-US" w:eastAsia="zh-CN"/>
                    </w:rPr>
                    <w:t>3</w:t>
                  </w: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szCs w:val="21"/>
                      <w:u w:val="single"/>
                      <w:lang w:val="en-US" w:eastAsia="zh-CN"/>
                    </w:rPr>
                  </w:pPr>
                  <w:r>
                    <w:rPr>
                      <w:rFonts w:hint="default" w:ascii="Times New Roman" w:hAnsi="Times New Roman" w:cs="Times New Roman"/>
                      <w:color w:val="0000FF"/>
                      <w:szCs w:val="21"/>
                      <w:u w:val="single"/>
                      <w:lang w:val="en-US" w:eastAsia="zh-CN"/>
                    </w:rPr>
                    <w:t>储油</w:t>
                  </w:r>
                </w:p>
              </w:tc>
              <w:tc>
                <w:tcPr>
                  <w:tcW w:w="651"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非甲烷总烃</w:t>
                  </w: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p>
              </w:tc>
              <w:tc>
                <w:tcPr>
                  <w:tcW w:w="53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有组织，排气筒高度4m</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p>
              </w:tc>
              <w:tc>
                <w:tcPr>
                  <w:tcW w:w="117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kern w:val="2"/>
                      <w:sz w:val="21"/>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r>
                    <w:rPr>
                      <w:rFonts w:hint="default" w:ascii="Times New Roman" w:hAnsi="Times New Roman" w:cs="Times New Roman"/>
                      <w:color w:val="0000FF"/>
                      <w:sz w:val="24"/>
                    </w:rPr>
                    <w:t>3</w:t>
                  </w: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snapToGrid w:val="0"/>
                      <w:color w:val="0000FF"/>
                      <w:kern w:val="0"/>
                    </w:rPr>
                    <w:t>汽车尾气</w:t>
                  </w:r>
                </w:p>
              </w:tc>
              <w:tc>
                <w:tcPr>
                  <w:tcW w:w="651"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CO、THC、NO</w:t>
                  </w:r>
                  <w:r>
                    <w:rPr>
                      <w:rFonts w:hint="default" w:ascii="Times New Roman" w:hAnsi="Times New Roman" w:cs="Times New Roman"/>
                      <w:color w:val="0000FF"/>
                      <w:vertAlign w:val="subscript"/>
                    </w:rPr>
                    <w:t>X</w:t>
                  </w:r>
                </w:p>
              </w:tc>
              <w:tc>
                <w:tcPr>
                  <w:tcW w:w="64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少量</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53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无组织</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自由扩散</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90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rPr>
                    <w:t>少量</w:t>
                  </w:r>
                </w:p>
              </w:tc>
              <w:tc>
                <w:tcPr>
                  <w:tcW w:w="117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kern w:val="2"/>
                      <w:sz w:val="21"/>
                      <w:szCs w:val="24"/>
                      <w:lang w:val="en-US" w:eastAsia="zh-CN" w:bidi="ar-SA"/>
                    </w:rPr>
                  </w:pPr>
                  <w:r>
                    <w:rPr>
                      <w:rFonts w:hint="default" w:ascii="Times New Roman" w:hAnsi="Times New Roman" w:cs="Times New Roman"/>
                      <w:color w:val="0000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 w:hRule="atLeast"/>
              </w:trPr>
              <w:tc>
                <w:tcPr>
                  <w:tcW w:w="46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sz w:val="24"/>
                    </w:rPr>
                  </w:pPr>
                  <w:r>
                    <w:rPr>
                      <w:rFonts w:hint="default" w:ascii="Times New Roman" w:hAnsi="Times New Roman" w:cs="Times New Roman"/>
                      <w:color w:val="0000FF"/>
                      <w:sz w:val="24"/>
                    </w:rPr>
                    <w:t>4</w:t>
                  </w:r>
                </w:p>
              </w:tc>
              <w:tc>
                <w:tcPr>
                  <w:tcW w:w="794"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snapToGrid w:val="0"/>
                      <w:color w:val="0000FF"/>
                      <w:kern w:val="0"/>
                    </w:rPr>
                    <w:t>备用发电机</w:t>
                  </w:r>
                </w:p>
              </w:tc>
              <w:tc>
                <w:tcPr>
                  <w:tcW w:w="65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FF"/>
                      <w:lang w:eastAsia="zh-CN"/>
                    </w:rPr>
                  </w:pPr>
                  <w:r>
                    <w:rPr>
                      <w:rFonts w:hint="default" w:ascii="Times New Roman" w:hAnsi="Times New Roman" w:cs="Times New Roman"/>
                      <w:color w:val="0000FF"/>
                      <w:szCs w:val="21"/>
                      <w:u w:val="single"/>
                    </w:rPr>
                    <w:t>SO</w:t>
                  </w:r>
                  <w:r>
                    <w:rPr>
                      <w:rFonts w:hint="default" w:ascii="Times New Roman" w:hAnsi="Times New Roman" w:cs="Times New Roman"/>
                      <w:color w:val="0000FF"/>
                      <w:szCs w:val="21"/>
                      <w:u w:val="single"/>
                      <w:vertAlign w:val="subscript"/>
                    </w:rPr>
                    <w:t>2</w:t>
                  </w:r>
                  <w:r>
                    <w:rPr>
                      <w:rFonts w:hint="default" w:ascii="Times New Roman" w:hAnsi="Times New Roman" w:cs="Times New Roman"/>
                      <w:color w:val="0000FF"/>
                      <w:szCs w:val="21"/>
                      <w:u w:val="single"/>
                    </w:rPr>
                    <w:t>、烟尘、NOx</w:t>
                  </w:r>
                </w:p>
              </w:tc>
              <w:tc>
                <w:tcPr>
                  <w:tcW w:w="64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FF"/>
                      <w:lang w:eastAsia="zh-CN"/>
                    </w:rPr>
                  </w:pPr>
                  <w:r>
                    <w:rPr>
                      <w:rFonts w:hint="default" w:ascii="Times New Roman" w:hAnsi="Times New Roman" w:cs="Times New Roman"/>
                      <w:color w:val="0000FF"/>
                      <w:kern w:val="0"/>
                      <w:szCs w:val="21"/>
                      <w:u w:val="single"/>
                      <w:lang w:eastAsia="zh-CN" w:bidi="ar"/>
                    </w:rPr>
                    <w:t>少量</w:t>
                  </w:r>
                </w:p>
              </w:tc>
              <w:tc>
                <w:tcPr>
                  <w:tcW w:w="62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53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有</w:t>
                  </w:r>
                  <w:r>
                    <w:rPr>
                      <w:rFonts w:hint="default" w:ascii="Times New Roman" w:hAnsi="Times New Roman" w:cs="Times New Roman"/>
                      <w:color w:val="0000FF"/>
                    </w:rPr>
                    <w:t>组织</w:t>
                  </w:r>
                </w:p>
              </w:tc>
              <w:tc>
                <w:tcPr>
                  <w:tcW w:w="650"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通过管道高出楼顶排放</w:t>
                  </w:r>
                </w:p>
              </w:tc>
              <w:tc>
                <w:tcPr>
                  <w:tcW w:w="57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900" w:type="dxa"/>
                  <w:tcBorders>
                    <w:tl2br w:val="nil"/>
                    <w:tr2bl w:val="nil"/>
                  </w:tcBorders>
                  <w:noWrap w:val="0"/>
                  <w:vAlign w:val="center"/>
                </w:tcPr>
                <w:p>
                  <w:pPr>
                    <w:adjustRightInd w:val="0"/>
                    <w:snapToGrid w:val="0"/>
                    <w:jc w:val="center"/>
                    <w:rPr>
                      <w:rFonts w:hint="default" w:ascii="Times New Roman" w:hAnsi="Times New Roman" w:cs="Times New Roman"/>
                      <w:color w:val="0000FF"/>
                    </w:rPr>
                  </w:pPr>
                  <w:r>
                    <w:rPr>
                      <w:rFonts w:hint="default" w:ascii="Times New Roman" w:hAnsi="Times New Roman" w:cs="Times New Roman"/>
                      <w:color w:val="0000FF"/>
                    </w:rPr>
                    <w:t>/</w:t>
                  </w:r>
                </w:p>
              </w:tc>
              <w:tc>
                <w:tcPr>
                  <w:tcW w:w="915"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r>
                    <w:rPr>
                      <w:rFonts w:hint="default" w:ascii="Times New Roman" w:hAnsi="Times New Roman" w:cs="Times New Roman"/>
                      <w:color w:val="0000FF"/>
                    </w:rPr>
                    <w:t>少量</w:t>
                  </w:r>
                </w:p>
              </w:tc>
              <w:tc>
                <w:tcPr>
                  <w:tcW w:w="117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FF"/>
                      <w:kern w:val="2"/>
                      <w:sz w:val="21"/>
                      <w:szCs w:val="24"/>
                      <w:lang w:val="en-US" w:eastAsia="zh-CN" w:bidi="ar-SA"/>
                    </w:rPr>
                  </w:pPr>
                  <w:r>
                    <w:rPr>
                      <w:rFonts w:hint="default" w:ascii="Times New Roman" w:hAnsi="Times New Roman" w:cs="Times New Roman"/>
                      <w:color w:val="0000FF"/>
                      <w:lang w:bidi="ar"/>
                    </w:rPr>
                    <w:t>《大气污染物综合排放标准》（GB16297-1996）中</w:t>
                  </w:r>
                  <w:r>
                    <w:rPr>
                      <w:rFonts w:hint="default" w:ascii="Times New Roman" w:hAnsi="Times New Roman" w:cs="Times New Roman"/>
                      <w:color w:val="0000FF"/>
                      <w:lang w:eastAsia="zh-CN" w:bidi="ar"/>
                    </w:rPr>
                    <w:t>二次</w:t>
                  </w:r>
                  <w:r>
                    <w:rPr>
                      <w:rFonts w:hint="default" w:ascii="Times New Roman" w:hAnsi="Times New Roman" w:cs="Times New Roman"/>
                      <w:color w:val="0000FF"/>
                      <w:lang w:bidi="ar"/>
                    </w:rPr>
                    <w:t>排放标准</w:t>
                  </w:r>
                </w:p>
              </w:tc>
            </w:tr>
          </w:tbl>
          <w:p>
            <w:pPr>
              <w:adjustRightInd w:val="0"/>
              <w:snapToGrid w:val="0"/>
              <w:spacing w:line="360" w:lineRule="auto"/>
              <w:ind w:firstLine="482" w:firstLineChars="200"/>
              <w:rPr>
                <w:rFonts w:hint="default" w:ascii="Times New Roman" w:hAnsi="Times New Roman" w:cs="Times New Roman"/>
                <w:b/>
                <w:bCs/>
                <w:sz w:val="24"/>
                <w:u w:val="single"/>
              </w:rPr>
            </w:pPr>
            <w:r>
              <w:rPr>
                <w:rFonts w:hint="default" w:ascii="Times New Roman" w:hAnsi="Times New Roman" w:cs="Times New Roman"/>
                <w:b/>
                <w:bCs/>
                <w:sz w:val="24"/>
                <w:u w:val="single"/>
                <w:lang w:val="en-US" w:eastAsia="zh-CN"/>
              </w:rPr>
              <w:t>1.2</w:t>
            </w:r>
            <w:r>
              <w:rPr>
                <w:rFonts w:hint="default" w:ascii="Times New Roman" w:hAnsi="Times New Roman" w:cs="Times New Roman"/>
                <w:b/>
                <w:bCs/>
                <w:sz w:val="24"/>
                <w:u w:val="single"/>
              </w:rPr>
              <w:t>废气污染防治措施可行性分析</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（1）油罐大小呼吸、加油机作业等排放的非甲烷总烃</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本项目按照《加油站大气污染物排放标准》（GB20952-2020）要求设置两级油气回收系统处理油气，属于《排污许可证申请与核发技术规范 储油库、加油站》（HJ1118-2020）附录F.1规定的可行技术。</w:t>
            </w:r>
          </w:p>
          <w:p>
            <w:pPr>
              <w:adjustRightInd w:val="0"/>
              <w:snapToGrid w:val="0"/>
              <w:spacing w:line="360" w:lineRule="auto"/>
              <w:ind w:firstLine="480" w:firstLineChars="200"/>
              <w:jc w:val="left"/>
              <w:rPr>
                <w:rFonts w:hint="default" w:ascii="Times New Roman" w:hAnsi="Times New Roman" w:cs="Times New Roman"/>
                <w:sz w:val="24"/>
                <w:u w:val="single"/>
              </w:rPr>
            </w:pPr>
            <w:r>
              <w:rPr>
                <w:rFonts w:hint="default" w:ascii="Times New Roman" w:hAnsi="Times New Roman" w:cs="Times New Roman"/>
                <w:sz w:val="24"/>
                <w:u w:val="single"/>
              </w:rPr>
              <w:t>本加油站采用地下卧式储罐，油罐密闭性较好，储油罐内气温比较稳定，受大气环境温度影响较小，可减少油罐小呼吸蒸发损耗</w:t>
            </w:r>
            <w:r>
              <w:rPr>
                <w:rFonts w:hint="default" w:ascii="Times New Roman" w:hAnsi="Times New Roman" w:cs="Times New Roman"/>
                <w:sz w:val="24"/>
                <w:u w:val="single"/>
                <w:lang w:eastAsia="zh-CN"/>
              </w:rPr>
              <w:t>，</w:t>
            </w:r>
            <w:r>
              <w:rPr>
                <w:rFonts w:hint="default" w:ascii="Times New Roman" w:hAnsi="Times New Roman" w:cs="Times New Roman"/>
                <w:sz w:val="24"/>
                <w:u w:val="single"/>
                <w:lang w:val="en-US" w:eastAsia="zh-CN"/>
              </w:rPr>
              <w:t>项目采取三次油气回收装置，</w:t>
            </w:r>
            <w:r>
              <w:rPr>
                <w:rFonts w:hint="default" w:ascii="Times New Roman" w:hAnsi="Times New Roman" w:cs="Times New Roman"/>
                <w:sz w:val="24"/>
                <w:szCs w:val="24"/>
                <w:u w:val="single"/>
              </w:rPr>
              <w:t>当油罐压力超过预设的压力值时（+150Pa），设备内部的真空泵自动开始运行，抽取储罐内的油气通过采用吸附、吸收、冷凝、膜分离方法对油气进行处理回收</w:t>
            </w:r>
            <w:r>
              <w:rPr>
                <w:rFonts w:hint="default" w:ascii="Times New Roman" w:hAnsi="Times New Roman" w:cs="Times New Roman"/>
                <w:sz w:val="24"/>
                <w:u w:val="single"/>
              </w:rPr>
              <w:t>；同时，加油站采用自封式加油枪，可减少人为跑、冒、滴、漏情况，除此之外还应对从业人员管理规范，更进一步减少人为跑、冒、滴、漏情况。为保证项目内设置及油气排放均满足要求，结合《汽车加油加气加氢站 设计标准》（GB50156-2021）与《加油站大气污染物排放标准》（GB20952-2020） 的要求，建设方应采取相关措施减少油气排放：①油罐车卸油作业造成的储油罐大呼吸呼出的汽油蒸发排放可通过使用“卸油油气回收系统”加以削减。油罐车卸油入储油罐时，利用一条卸油连通软管把储油罐被置换的油气返回到正被逐渐放空的油罐车储油槽箱内。②本项目采用埋地式储油罐，由于该罐密闭性较好，顶部有不小于0.5m的覆土，周围回填的沙子和细土厚度也不小于0.3m，因此储油罐罐室内气温比较稳定，受大气环境稳定影响较小，可减少油罐小呼吸蒸发损耗，延缓油品变质。③加油作业中，车辆油箱被置换外排的油气采用“加油油气回收装置”，在加油机枪处设置油气回收胶管，通过真空泵将油气抽回储油罐，通过采取上述措施对逸散的油气进行回收。④加油站在卸油作业、加油作业及日常储油过程中产生的油气虽然采取油气回收装置进行回收，但在加油作业及日常储油过程中回收至油气至储油罐内使储油罐压力上升，当罐内压力大于安全泄压阀设定压力时，安全泄压阀自动开启，油气外排，安全泄压阀位于罩棚顶部，高出罩棚约1.5m。外排油气浓度约20m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，外排油气浓度低于《加油站大气污染物排放标准》25mg/m</w:t>
            </w:r>
            <w:r>
              <w:rPr>
                <w:rFonts w:hint="default" w:ascii="Times New Roman" w:hAnsi="Times New Roman" w:cs="Times New Roman"/>
                <w:sz w:val="24"/>
                <w:u w:val="single"/>
                <w:vertAlign w:val="superscript"/>
              </w:rPr>
              <w:t>3</w:t>
            </w:r>
            <w:r>
              <w:rPr>
                <w:rFonts w:hint="default" w:ascii="Times New Roman" w:hAnsi="Times New Roman" w:cs="Times New Roman"/>
                <w:sz w:val="24"/>
                <w:u w:val="single"/>
              </w:rPr>
              <w:t>。综上所述，项目采用油气回收装置处理有机废气在技术上是可行的。</w:t>
            </w:r>
            <w:r>
              <w:rPr>
                <w:rFonts w:hint="default" w:ascii="Times New Roman" w:hAnsi="Times New Roman" w:cs="Times New Roman"/>
                <w:u w:val="single"/>
              </w:rPr>
              <w:drawing>
                <wp:inline distT="0" distB="0" distL="114300" distR="114300">
                  <wp:extent cx="5045075" cy="2919095"/>
                  <wp:effectExtent l="0" t="0" r="3175" b="14605"/>
                  <wp:docPr id="2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5"/>
                          <pic:cNvPicPr>
                            <a:picLocks noChangeAspect="1"/>
                          </pic:cNvPicPr>
                        </pic:nvPicPr>
                        <pic:blipFill>
                          <a:blip r:embed="rId24"/>
                          <a:stretch>
                            <a:fillRect/>
                          </a:stretch>
                        </pic:blipFill>
                        <pic:spPr>
                          <a:xfrm>
                            <a:off x="0" y="0"/>
                            <a:ext cx="5045075" cy="291909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b/>
                <w:bCs/>
                <w:szCs w:val="21"/>
                <w:u w:val="single"/>
              </w:rPr>
            </w:pPr>
            <w:r>
              <w:rPr>
                <w:rFonts w:hint="default" w:ascii="Times New Roman" w:hAnsi="Times New Roman" w:cs="Times New Roman"/>
                <w:b/>
                <w:bCs/>
                <w:szCs w:val="21"/>
                <w:u w:val="single"/>
              </w:rPr>
              <w:t>图4-1 加油站</w:t>
            </w:r>
            <w:r>
              <w:rPr>
                <w:rFonts w:hint="default" w:ascii="Times New Roman" w:hAnsi="Times New Roman" w:cs="Times New Roman"/>
                <w:b/>
                <w:bCs/>
                <w:szCs w:val="21"/>
                <w:u w:val="single"/>
                <w:lang w:val="en-US" w:eastAsia="zh-CN"/>
              </w:rPr>
              <w:t>油气</w:t>
            </w:r>
            <w:r>
              <w:rPr>
                <w:rFonts w:hint="default" w:ascii="Times New Roman" w:hAnsi="Times New Roman" w:cs="Times New Roman"/>
                <w:b/>
                <w:bCs/>
                <w:szCs w:val="21"/>
                <w:u w:val="single"/>
              </w:rPr>
              <w:t>回收系统示意图</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（2）备用发电机废气由于备用发电机仅作为备用电源，工作时间短，无长时间影响问题，使用含硫量低的轻质柴油，在加强运行操作管理的情况下，燃烧较为完全，其污染物排放浓</w:t>
            </w:r>
            <w:r>
              <w:rPr>
                <w:rFonts w:hint="default" w:ascii="Times New Roman" w:hAnsi="Times New Roman" w:cs="Times New Roman"/>
                <w:color w:val="0000FF"/>
                <w:sz w:val="24"/>
                <w:u w:val="single"/>
              </w:rPr>
              <w:t>度满足</w:t>
            </w:r>
            <w:r>
              <w:rPr>
                <w:rFonts w:hint="default" w:ascii="Times New Roman" w:hAnsi="Times New Roman" w:eastAsia="宋体" w:cs="Times New Roman"/>
                <w:b w:val="0"/>
                <w:bCs/>
                <w:color w:val="0000FF"/>
                <w:sz w:val="24"/>
                <w:szCs w:val="24"/>
                <w:highlight w:val="none"/>
                <w:u w:val="single"/>
              </w:rPr>
              <w:t>《大气污染物综合排放标准》（GB16297-1996）</w:t>
            </w:r>
            <w:r>
              <w:rPr>
                <w:rFonts w:hint="default" w:ascii="Times New Roman" w:hAnsi="Times New Roman" w:eastAsia="宋体" w:cs="Times New Roman"/>
                <w:b w:val="0"/>
                <w:bCs/>
                <w:color w:val="0000FF"/>
                <w:sz w:val="24"/>
                <w:szCs w:val="24"/>
                <w:highlight w:val="none"/>
                <w:u w:val="single"/>
                <w:lang w:eastAsia="zh-CN"/>
              </w:rPr>
              <w:t>表</w:t>
            </w:r>
            <w:r>
              <w:rPr>
                <w:rFonts w:hint="default" w:ascii="Times New Roman" w:hAnsi="Times New Roman" w:eastAsia="宋体" w:cs="Times New Roman"/>
                <w:b w:val="0"/>
                <w:bCs/>
                <w:color w:val="0000FF"/>
                <w:sz w:val="24"/>
                <w:szCs w:val="24"/>
                <w:highlight w:val="none"/>
                <w:u w:val="single"/>
                <w:lang w:val="en-US" w:eastAsia="zh-CN"/>
              </w:rPr>
              <w:t>2</w:t>
            </w:r>
            <w:r>
              <w:rPr>
                <w:rFonts w:hint="default" w:ascii="Times New Roman" w:hAnsi="Times New Roman" w:eastAsia="宋体" w:cs="Times New Roman"/>
                <w:b w:val="0"/>
                <w:bCs/>
                <w:color w:val="0000FF"/>
                <w:sz w:val="24"/>
                <w:szCs w:val="24"/>
                <w:highlight w:val="none"/>
                <w:u w:val="single"/>
              </w:rPr>
              <w:t>中的</w:t>
            </w:r>
            <w:r>
              <w:rPr>
                <w:rFonts w:hint="default" w:ascii="Times New Roman" w:hAnsi="Times New Roman" w:cs="Times New Roman"/>
                <w:b w:val="0"/>
                <w:bCs/>
                <w:color w:val="0000FF"/>
                <w:sz w:val="24"/>
                <w:szCs w:val="24"/>
                <w:highlight w:val="none"/>
                <w:u w:val="single"/>
                <w:lang w:eastAsia="zh-CN"/>
              </w:rPr>
              <w:t>二次</w:t>
            </w:r>
            <w:r>
              <w:rPr>
                <w:rFonts w:hint="default" w:ascii="Times New Roman" w:hAnsi="Times New Roman" w:eastAsia="宋体" w:cs="Times New Roman"/>
                <w:b w:val="0"/>
                <w:bCs/>
                <w:color w:val="0000FF"/>
                <w:sz w:val="24"/>
                <w:szCs w:val="24"/>
                <w:highlight w:val="none"/>
                <w:u w:val="single"/>
              </w:rPr>
              <w:t>标准</w:t>
            </w:r>
            <w:r>
              <w:rPr>
                <w:rFonts w:hint="default" w:ascii="Times New Roman" w:hAnsi="Times New Roman" w:cs="Times New Roman"/>
                <w:color w:val="0000FF"/>
                <w:sz w:val="24"/>
                <w:u w:val="single"/>
              </w:rPr>
              <w:t>。项目备用柴油发电机废气通过</w:t>
            </w:r>
            <w:r>
              <w:rPr>
                <w:rFonts w:hint="default" w:ascii="Times New Roman" w:hAnsi="Times New Roman" w:cs="Times New Roman"/>
                <w:color w:val="0000FF"/>
                <w:sz w:val="24"/>
                <w:u w:val="single"/>
                <w:lang w:val="en-US" w:eastAsia="zh-CN"/>
              </w:rPr>
              <w:t>高出屋顶排放</w:t>
            </w:r>
            <w:r>
              <w:rPr>
                <w:rFonts w:hint="default" w:ascii="Times New Roman" w:hAnsi="Times New Roman" w:cs="Times New Roman"/>
                <w:color w:val="0000FF"/>
                <w:sz w:val="24"/>
                <w:u w:val="single"/>
              </w:rPr>
              <w:t>排烟管道排放。综上所述，本项目产生的废</w:t>
            </w:r>
            <w:r>
              <w:rPr>
                <w:rFonts w:hint="default" w:ascii="Times New Roman" w:hAnsi="Times New Roman" w:cs="Times New Roman"/>
                <w:sz w:val="24"/>
                <w:u w:val="single"/>
              </w:rPr>
              <w:t>气经过相应的措施处理后能够达到相应的排放标准达标排放，对周围大气环境影响较小。</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综上所述，本项目产生的废气经过相应的措施处理后能够达到相应的排 放标准达标排放，对周围大气环境影响较小。</w:t>
            </w:r>
          </w:p>
          <w:p>
            <w:pPr>
              <w:spacing w:line="360" w:lineRule="auto"/>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b/>
                <w:bCs/>
                <w:color w:val="0000FF"/>
                <w:sz w:val="21"/>
                <w:szCs w:val="21"/>
              </w:rPr>
              <w:t>表4-</w:t>
            </w:r>
            <w:r>
              <w:rPr>
                <w:rFonts w:hint="default" w:ascii="Times New Roman" w:hAnsi="Times New Roman" w:eastAsia="宋体" w:cs="Times New Roman"/>
                <w:b/>
                <w:bCs/>
                <w:color w:val="0000FF"/>
                <w:sz w:val="21"/>
                <w:szCs w:val="21"/>
                <w:lang w:val="en-US" w:eastAsia="zh-CN"/>
              </w:rPr>
              <w:t>4</w:t>
            </w:r>
            <w:r>
              <w:rPr>
                <w:rFonts w:hint="default" w:ascii="Times New Roman" w:hAnsi="Times New Roman" w:eastAsia="宋体" w:cs="Times New Roman"/>
                <w:b/>
                <w:bCs/>
                <w:color w:val="0000FF"/>
                <w:sz w:val="21"/>
                <w:szCs w:val="21"/>
              </w:rPr>
              <w:t xml:space="preserve">   废气治理措施可行性分析</w:t>
            </w:r>
          </w:p>
          <w:tbl>
            <w:tblPr>
              <w:tblStyle w:val="26"/>
              <w:tblW w:w="497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3"/>
              <w:gridCol w:w="2183"/>
              <w:gridCol w:w="2989"/>
              <w:gridCol w:w="152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5" w:type="dxa"/>
                  <w:tcBorders>
                    <w:top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bookmarkStart w:id="111" w:name="_GoBack" w:colFirst="0" w:colLast="3"/>
                  <w:r>
                    <w:rPr>
                      <w:rFonts w:hint="default" w:ascii="Times New Roman" w:hAnsi="Times New Roman" w:eastAsia="宋体" w:cs="Times New Roman"/>
                      <w:color w:val="0000FF"/>
                      <w:lang w:val="en-US" w:eastAsia="zh-CN"/>
                    </w:rPr>
                    <w:t>生产设施</w:t>
                  </w:r>
                </w:p>
              </w:tc>
              <w:tc>
                <w:tcPr>
                  <w:tcW w:w="2186"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污染治理措施</w:t>
                  </w:r>
                </w:p>
              </w:tc>
              <w:tc>
                <w:tcPr>
                  <w:tcW w:w="2993"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本项目情况</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是否可行技术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5"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汽油储罐大呼吸</w:t>
                  </w:r>
                </w:p>
              </w:tc>
              <w:tc>
                <w:tcPr>
                  <w:tcW w:w="2186"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卸油油气回收系统</w:t>
                  </w:r>
                </w:p>
              </w:tc>
              <w:tc>
                <w:tcPr>
                  <w:tcW w:w="2993"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拟设置卸油油气回收系统</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5"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汽油加油枪</w:t>
                  </w:r>
                </w:p>
              </w:tc>
              <w:tc>
                <w:tcPr>
                  <w:tcW w:w="2186"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加油油气回收系统</w:t>
                  </w:r>
                </w:p>
              </w:tc>
              <w:tc>
                <w:tcPr>
                  <w:tcW w:w="2993"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拟设置油气回收装置</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5"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汽油储罐</w:t>
                  </w:r>
                </w:p>
              </w:tc>
              <w:tc>
                <w:tcPr>
                  <w:tcW w:w="2186"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储油罐</w:t>
                  </w:r>
                </w:p>
              </w:tc>
              <w:tc>
                <w:tcPr>
                  <w:tcW w:w="2993"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拟采用吸附、吸收、冷凝、膜分离方法对油气进行处理回收，后经4m高排气筒排放</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5"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柴油发电机</w:t>
                  </w:r>
                </w:p>
              </w:tc>
              <w:tc>
                <w:tcPr>
                  <w:tcW w:w="2186"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高空排放</w:t>
                  </w:r>
                </w:p>
              </w:tc>
              <w:tc>
                <w:tcPr>
                  <w:tcW w:w="2993"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高空排放</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56"/>
                    <w:keepNext w:val="0"/>
                    <w:keepLines w:val="0"/>
                    <w:pageBreakBefore w:val="0"/>
                    <w:widowControl/>
                    <w:kinsoku/>
                    <w:wordWrap/>
                    <w:overflowPunct/>
                    <w:topLinePunct w:val="0"/>
                    <w:autoSpaceDE/>
                    <w:autoSpaceDN/>
                    <w:bidi w:val="0"/>
                    <w:adjustRightInd w:val="0"/>
                    <w:snapToGrid w:val="0"/>
                    <w:spacing w:before="0" w:after="0" w:line="240" w:lineRule="auto"/>
                    <w:ind w:right="113" w:firstLine="0" w:firstLineChars="0"/>
                    <w:textAlignment w:val="auto"/>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可行</w:t>
                  </w:r>
                </w:p>
              </w:tc>
            </w:tr>
            <w:bookmarkEnd w:id="111"/>
          </w:tbl>
          <w:p>
            <w:pPr>
              <w:pStyle w:val="83"/>
              <w:snapToGrid w:val="0"/>
              <w:ind w:firstLine="482"/>
              <w:rPr>
                <w:rFonts w:hint="default" w:ascii="Times New Roman" w:hAnsi="Times New Roman" w:cs="Times New Roman"/>
                <w:color w:val="0000FF"/>
              </w:rPr>
            </w:pPr>
            <w:r>
              <w:rPr>
                <w:rFonts w:hint="default" w:ascii="Times New Roman" w:hAnsi="Times New Roman" w:cs="Times New Roman"/>
                <w:color w:val="0000FF"/>
                <w:lang w:val="en-US" w:eastAsia="zh-CN"/>
              </w:rPr>
              <w:t>1.3</w:t>
            </w:r>
            <w:r>
              <w:rPr>
                <w:rFonts w:hint="default" w:ascii="Times New Roman" w:hAnsi="Times New Roman" w:cs="Times New Roman"/>
                <w:color w:val="0000FF"/>
              </w:rPr>
              <w:t xml:space="preserve"> 非正常工况分析</w:t>
            </w:r>
          </w:p>
          <w:p>
            <w:pPr>
              <w:widowControl/>
              <w:spacing w:line="360" w:lineRule="auto"/>
              <w:ind w:firstLine="480" w:firstLineChars="200"/>
              <w:jc w:val="left"/>
              <w:textAlignment w:val="baseline"/>
              <w:rPr>
                <w:rFonts w:hint="default" w:ascii="Times New Roman" w:hAnsi="Times New Roman" w:cs="Times New Roman"/>
                <w:b/>
                <w:bCs/>
                <w:color w:val="0000FF"/>
                <w:sz w:val="24"/>
              </w:rPr>
            </w:pPr>
            <w:r>
              <w:rPr>
                <w:rFonts w:hint="default" w:ascii="Times New Roman" w:hAnsi="Times New Roman" w:cs="Times New Roman"/>
                <w:color w:val="0000FF"/>
                <w:sz w:val="24"/>
              </w:rPr>
              <w:t>项目的非正常工况主要为油气回收装置失效，造成</w:t>
            </w:r>
            <w:r>
              <w:rPr>
                <w:rFonts w:hint="default" w:ascii="Times New Roman" w:hAnsi="Times New Roman" w:cs="Times New Roman"/>
                <w:color w:val="0000FF"/>
                <w:sz w:val="24"/>
                <w:lang w:bidi="ar"/>
              </w:rPr>
              <w:t>油气</w:t>
            </w:r>
            <w:r>
              <w:rPr>
                <w:rFonts w:hint="default" w:ascii="Times New Roman" w:hAnsi="Times New Roman" w:cs="Times New Roman"/>
                <w:color w:val="0000FF"/>
                <w:sz w:val="24"/>
              </w:rPr>
              <w:t>未经处理直接排放，根据源强分析，加油站设置油气回收装置中最大产生区域为卸油，本次环评按储油罐油气回收装置失效计，其排放情况如下表所示。</w:t>
            </w:r>
          </w:p>
          <w:p>
            <w:pPr>
              <w:adjustRightInd w:val="0"/>
              <w:snapToGrid w:val="0"/>
              <w:jc w:val="center"/>
              <w:rPr>
                <w:rFonts w:hint="default" w:ascii="Times New Roman" w:hAnsi="Times New Roman" w:cs="Times New Roman"/>
                <w:b/>
                <w:bCs/>
                <w:color w:val="0000FF"/>
                <w:sz w:val="24"/>
                <w:u w:val="single"/>
              </w:rPr>
            </w:pPr>
            <w:r>
              <w:rPr>
                <w:rFonts w:hint="default" w:ascii="Times New Roman" w:hAnsi="Times New Roman" w:cs="Times New Roman"/>
                <w:b/>
                <w:bCs/>
                <w:color w:val="0000FF"/>
                <w:sz w:val="24"/>
                <w:u w:val="single"/>
              </w:rPr>
              <w:t>表4-</w:t>
            </w:r>
            <w:r>
              <w:rPr>
                <w:rFonts w:hint="default" w:ascii="Times New Roman" w:hAnsi="Times New Roman" w:cs="Times New Roman"/>
                <w:b/>
                <w:bCs/>
                <w:color w:val="0000FF"/>
                <w:sz w:val="24"/>
                <w:u w:val="single"/>
                <w:lang w:val="en-US" w:eastAsia="zh-CN"/>
              </w:rPr>
              <w:t>5</w:t>
            </w:r>
            <w:r>
              <w:rPr>
                <w:rFonts w:hint="default" w:ascii="Times New Roman" w:hAnsi="Times New Roman" w:cs="Times New Roman"/>
                <w:b/>
                <w:bCs/>
                <w:color w:val="0000FF"/>
                <w:sz w:val="24"/>
                <w:u w:val="single"/>
              </w:rPr>
              <w:t>非正常工况废气污染物产排情况</w:t>
            </w:r>
          </w:p>
          <w:tbl>
            <w:tblPr>
              <w:tblStyle w:val="2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322"/>
              <w:gridCol w:w="1141"/>
              <w:gridCol w:w="1971"/>
              <w:gridCol w:w="1802"/>
              <w:gridCol w:w="195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94" w:hRule="atLeast"/>
                <w:jc w:val="center"/>
              </w:trPr>
              <w:tc>
                <w:tcPr>
                  <w:tcW w:w="806" w:type="pct"/>
                  <w:vMerge w:val="restart"/>
                  <w:noWrap w:val="0"/>
                  <w:vAlign w:val="center"/>
                </w:tcPr>
                <w:p>
                  <w:pPr>
                    <w:pStyle w:val="51"/>
                    <w:kinsoku w:val="0"/>
                    <w:overflowPunct w:val="0"/>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污染源</w:t>
                  </w:r>
                </w:p>
              </w:tc>
              <w:tc>
                <w:tcPr>
                  <w:tcW w:w="696" w:type="pct"/>
                  <w:vMerge w:val="restart"/>
                  <w:noWrap w:val="0"/>
                  <w:vAlign w:val="center"/>
                </w:tcPr>
                <w:p>
                  <w:pPr>
                    <w:pStyle w:val="51"/>
                    <w:kinsoku w:val="0"/>
                    <w:overflowPunct w:val="0"/>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污染因子</w:t>
                  </w:r>
                </w:p>
              </w:tc>
              <w:tc>
                <w:tcPr>
                  <w:tcW w:w="1202" w:type="pct"/>
                  <w:vMerge w:val="restart"/>
                  <w:noWrap w:val="0"/>
                  <w:vAlign w:val="center"/>
                </w:tcPr>
                <w:p>
                  <w:pPr>
                    <w:pStyle w:val="51"/>
                    <w:kinsoku w:val="0"/>
                    <w:overflowPunct w:val="0"/>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非正常排放原因</w:t>
                  </w:r>
                </w:p>
              </w:tc>
              <w:tc>
                <w:tcPr>
                  <w:tcW w:w="2294" w:type="pct"/>
                  <w:gridSpan w:val="2"/>
                  <w:noWrap w:val="0"/>
                  <w:vAlign w:val="center"/>
                </w:tcPr>
                <w:p>
                  <w:pPr>
                    <w:pStyle w:val="51"/>
                    <w:kinsoku w:val="0"/>
                    <w:overflowPunct w:val="0"/>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非正常排放情况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36" w:hRule="atLeast"/>
                <w:jc w:val="center"/>
              </w:trPr>
              <w:tc>
                <w:tcPr>
                  <w:tcW w:w="806" w:type="pct"/>
                  <w:vMerge w:val="continue"/>
                  <w:noWrap w:val="0"/>
                  <w:vAlign w:val="center"/>
                </w:tcPr>
                <w:p>
                  <w:pPr>
                    <w:widowControl/>
                    <w:jc w:val="center"/>
                    <w:rPr>
                      <w:rFonts w:hint="default" w:ascii="Times New Roman" w:hAnsi="Times New Roman" w:eastAsia="Times New Roman" w:cs="Times New Roman"/>
                      <w:color w:val="0000FF"/>
                      <w:u w:val="single"/>
                      <w:lang w:val="zh-CN" w:bidi="zh-CN"/>
                    </w:rPr>
                  </w:pPr>
                </w:p>
              </w:tc>
              <w:tc>
                <w:tcPr>
                  <w:tcW w:w="696" w:type="pct"/>
                  <w:vMerge w:val="continue"/>
                  <w:noWrap w:val="0"/>
                  <w:vAlign w:val="center"/>
                </w:tcPr>
                <w:p>
                  <w:pPr>
                    <w:widowControl/>
                    <w:jc w:val="center"/>
                    <w:rPr>
                      <w:rFonts w:hint="default" w:ascii="Times New Roman" w:hAnsi="Times New Roman" w:eastAsia="Times New Roman" w:cs="Times New Roman"/>
                      <w:color w:val="0000FF"/>
                      <w:u w:val="single"/>
                      <w:lang w:val="zh-CN" w:bidi="zh-CN"/>
                    </w:rPr>
                  </w:pPr>
                </w:p>
              </w:tc>
              <w:tc>
                <w:tcPr>
                  <w:tcW w:w="1202" w:type="pct"/>
                  <w:vMerge w:val="continue"/>
                  <w:noWrap w:val="0"/>
                  <w:vAlign w:val="center"/>
                </w:tcPr>
                <w:p>
                  <w:pPr>
                    <w:widowControl/>
                    <w:jc w:val="center"/>
                    <w:rPr>
                      <w:rFonts w:hint="default" w:ascii="Times New Roman" w:hAnsi="Times New Roman" w:eastAsia="Times New Roman" w:cs="Times New Roman"/>
                      <w:color w:val="0000FF"/>
                      <w:u w:val="single"/>
                      <w:lang w:val="zh-CN" w:bidi="zh-CN"/>
                    </w:rPr>
                  </w:pPr>
                </w:p>
              </w:tc>
              <w:tc>
                <w:tcPr>
                  <w:tcW w:w="1099" w:type="pct"/>
                  <w:noWrap w:val="0"/>
                  <w:vAlign w:val="center"/>
                </w:tcPr>
                <w:p>
                  <w:pPr>
                    <w:pStyle w:val="51"/>
                    <w:kinsoku w:val="0"/>
                    <w:overflowPunct w:val="0"/>
                    <w:jc w:val="center"/>
                    <w:rPr>
                      <w:rFonts w:hint="default" w:ascii="Times New Roman" w:hAnsi="Times New Roman" w:cs="Times New Roman"/>
                      <w:bCs/>
                      <w:color w:val="0000FF"/>
                      <w:szCs w:val="21"/>
                      <w:u w:val="single"/>
                    </w:rPr>
                  </w:pPr>
                  <w:r>
                    <w:rPr>
                      <w:rFonts w:hint="default" w:ascii="Times New Roman" w:hAnsi="Times New Roman" w:cs="Times New Roman"/>
                      <w:bCs/>
                      <w:color w:val="0000FF"/>
                      <w:szCs w:val="21"/>
                      <w:u w:val="single"/>
                    </w:rPr>
                    <w:t>频次及持续时间</w:t>
                  </w:r>
                </w:p>
              </w:tc>
              <w:tc>
                <w:tcPr>
                  <w:tcW w:w="1195" w:type="pct"/>
                  <w:noWrap w:val="0"/>
                  <w:vAlign w:val="center"/>
                </w:tcPr>
                <w:p>
                  <w:pPr>
                    <w:pStyle w:val="51"/>
                    <w:kinsoku w:val="0"/>
                    <w:overflowPunct w:val="0"/>
                    <w:jc w:val="center"/>
                    <w:rPr>
                      <w:rFonts w:hint="default" w:ascii="Times New Roman" w:hAnsi="Times New Roman" w:cs="Times New Roman"/>
                      <w:bCs/>
                      <w:color w:val="0000FF"/>
                      <w:szCs w:val="21"/>
                      <w:u w:val="single"/>
                    </w:rPr>
                  </w:pPr>
                  <w:r>
                    <w:rPr>
                      <w:rFonts w:hint="default" w:ascii="Times New Roman" w:hAnsi="Times New Roman" w:cs="Times New Roman"/>
                      <w:bCs/>
                      <w:color w:val="0000FF"/>
                      <w:szCs w:val="21"/>
                      <w:u w:val="single"/>
                    </w:rPr>
                    <w:t>排放量t/a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88" w:hRule="atLeast"/>
                <w:jc w:val="center"/>
              </w:trPr>
              <w:tc>
                <w:tcPr>
                  <w:tcW w:w="806" w:type="pct"/>
                  <w:noWrap w:val="0"/>
                  <w:vAlign w:val="center"/>
                </w:tcPr>
                <w:p>
                  <w:pPr>
                    <w:jc w:val="center"/>
                    <w:rPr>
                      <w:rFonts w:hint="default" w:ascii="Times New Roman" w:hAnsi="Times New Roman" w:cs="Times New Roman"/>
                      <w:color w:val="0000FF"/>
                      <w:u w:val="single"/>
                    </w:rPr>
                  </w:pPr>
                  <w:r>
                    <w:rPr>
                      <w:rFonts w:hint="default" w:ascii="Times New Roman" w:hAnsi="Times New Roman" w:cs="Times New Roman"/>
                      <w:color w:val="0000FF"/>
                      <w:u w:val="single"/>
                      <w:lang w:bidi="ar"/>
                    </w:rPr>
                    <w:t>储油罐</w:t>
                  </w:r>
                </w:p>
              </w:tc>
              <w:tc>
                <w:tcPr>
                  <w:tcW w:w="696" w:type="pct"/>
                  <w:noWrap w:val="0"/>
                  <w:vAlign w:val="center"/>
                </w:tcPr>
                <w:p>
                  <w:pPr>
                    <w:jc w:val="center"/>
                    <w:rPr>
                      <w:rFonts w:hint="default" w:ascii="Times New Roman" w:hAnsi="Times New Roman" w:cs="Times New Roman"/>
                      <w:color w:val="0000FF"/>
                      <w:u w:val="single"/>
                    </w:rPr>
                  </w:pPr>
                  <w:r>
                    <w:rPr>
                      <w:rFonts w:hint="default" w:ascii="Times New Roman" w:hAnsi="Times New Roman" w:cs="Times New Roman"/>
                      <w:color w:val="0000FF"/>
                      <w:u w:val="single"/>
                    </w:rPr>
                    <w:t>有机废气（非甲烷总烃）</w:t>
                  </w:r>
                </w:p>
              </w:tc>
              <w:tc>
                <w:tcPr>
                  <w:tcW w:w="1202" w:type="pct"/>
                  <w:noWrap w:val="0"/>
                  <w:vAlign w:val="center"/>
                </w:tcPr>
                <w:p>
                  <w:pPr>
                    <w:kinsoku w:val="0"/>
                    <w:overflowPunct w:val="0"/>
                    <w:jc w:val="center"/>
                    <w:rPr>
                      <w:rFonts w:hint="default" w:ascii="Times New Roman" w:hAnsi="Times New Roman" w:cs="Times New Roman"/>
                      <w:color w:val="0000FF"/>
                      <w:u w:val="single"/>
                    </w:rPr>
                  </w:pPr>
                  <w:r>
                    <w:rPr>
                      <w:rFonts w:hint="default" w:ascii="Times New Roman" w:hAnsi="Times New Roman" w:cs="Times New Roman"/>
                      <w:color w:val="0000FF"/>
                      <w:u w:val="single"/>
                    </w:rPr>
                    <w:t>油气回收装置失效，处理效率为0</w:t>
                  </w:r>
                </w:p>
              </w:tc>
              <w:tc>
                <w:tcPr>
                  <w:tcW w:w="1099" w:type="pct"/>
                  <w:noWrap w:val="0"/>
                  <w:vAlign w:val="center"/>
                </w:tcPr>
                <w:p>
                  <w:pPr>
                    <w:kinsoku w:val="0"/>
                    <w:overflowPunct w:val="0"/>
                    <w:jc w:val="center"/>
                    <w:rPr>
                      <w:rFonts w:hint="default" w:ascii="Times New Roman" w:hAnsi="Times New Roman" w:cs="Times New Roman"/>
                      <w:color w:val="0000FF"/>
                      <w:u w:val="single"/>
                    </w:rPr>
                  </w:pPr>
                  <w:r>
                    <w:rPr>
                      <w:rFonts w:hint="default" w:ascii="Times New Roman" w:hAnsi="Times New Roman" w:cs="Times New Roman"/>
                      <w:color w:val="0000FF"/>
                      <w:u w:val="single"/>
                    </w:rPr>
                    <w:t>1次/a，1h/次</w:t>
                  </w:r>
                </w:p>
              </w:tc>
              <w:tc>
                <w:tcPr>
                  <w:tcW w:w="1195" w:type="pct"/>
                  <w:noWrap w:val="0"/>
                  <w:vAlign w:val="center"/>
                </w:tcPr>
                <w:p>
                  <w:pPr>
                    <w:kinsoku w:val="0"/>
                    <w:overflowPunct w:val="0"/>
                    <w:jc w:val="center"/>
                    <w:rPr>
                      <w:rFonts w:hint="default" w:ascii="Times New Roman" w:hAnsi="Times New Roman" w:cs="Times New Roman"/>
                      <w:color w:val="0000FF"/>
                      <w:u w:val="single"/>
                    </w:rPr>
                  </w:pPr>
                  <w:r>
                    <w:rPr>
                      <w:rFonts w:hint="default" w:ascii="Times New Roman" w:hAnsi="Times New Roman" w:cs="Times New Roman"/>
                      <w:color w:val="0000FF"/>
                      <w:u w:val="single"/>
                    </w:rPr>
                    <w:t>1.926</w:t>
                  </w:r>
                </w:p>
              </w:tc>
            </w:tr>
          </w:tbl>
          <w:p>
            <w:pPr>
              <w:widowControl/>
              <w:spacing w:line="360" w:lineRule="auto"/>
              <w:ind w:firstLine="480" w:firstLineChars="200"/>
              <w:jc w:val="left"/>
              <w:textAlignment w:val="baseline"/>
              <w:rPr>
                <w:rFonts w:hint="default" w:ascii="Times New Roman" w:hAnsi="Times New Roman" w:cs="Times New Roman"/>
                <w:color w:val="0000FF"/>
                <w:sz w:val="24"/>
                <w:szCs w:val="32"/>
              </w:rPr>
            </w:pPr>
            <w:r>
              <w:rPr>
                <w:rFonts w:hint="default" w:ascii="Times New Roman" w:hAnsi="Times New Roman" w:cs="Times New Roman"/>
                <w:color w:val="0000FF"/>
                <w:sz w:val="24"/>
                <w:szCs w:val="32"/>
              </w:rPr>
              <w:t>为防止有机废气非正常工况排放，企业必须加强油气回收系统的管理，定期检修，确保废气处理设施正常运行，在废气处理设备停止运行或出现故障时，产生废气的各工序也必须相应停止运营。为杜绝废气非正常排放，应采取以下措施确保废气达标排放：</w:t>
            </w:r>
          </w:p>
          <w:p>
            <w:pPr>
              <w:widowControl/>
              <w:spacing w:line="360" w:lineRule="auto"/>
              <w:ind w:firstLine="480" w:firstLineChars="200"/>
              <w:jc w:val="left"/>
              <w:textAlignment w:val="baseline"/>
              <w:rPr>
                <w:rFonts w:hint="default" w:ascii="Times New Roman" w:hAnsi="Times New Roman" w:cs="Times New Roman"/>
                <w:color w:val="0000FF"/>
                <w:sz w:val="24"/>
                <w:szCs w:val="32"/>
              </w:rPr>
            </w:pPr>
            <w:r>
              <w:rPr>
                <w:rFonts w:hint="default" w:ascii="Times New Roman" w:hAnsi="Times New Roman" w:cs="Times New Roman"/>
                <w:color w:val="0000FF"/>
                <w:sz w:val="24"/>
                <w:szCs w:val="32"/>
              </w:rPr>
              <w:t>①安排专人负责环保设备的日常维护和管理，每个固定时间检查、汇报情况，及时发现油气回收系统的隐患，确保油气回收系统正常运行；</w:t>
            </w:r>
          </w:p>
          <w:p>
            <w:pPr>
              <w:widowControl/>
              <w:spacing w:line="360" w:lineRule="auto"/>
              <w:ind w:firstLine="480" w:firstLineChars="200"/>
              <w:jc w:val="left"/>
              <w:textAlignment w:val="baseline"/>
              <w:rPr>
                <w:rFonts w:hint="default" w:ascii="Times New Roman" w:hAnsi="Times New Roman" w:cs="Times New Roman"/>
                <w:color w:val="0000FF"/>
                <w:sz w:val="24"/>
                <w:szCs w:val="32"/>
              </w:rPr>
            </w:pPr>
            <w:r>
              <w:rPr>
                <w:rFonts w:hint="default" w:ascii="Times New Roman" w:hAnsi="Times New Roman" w:cs="Times New Roman"/>
                <w:color w:val="0000FF"/>
                <w:sz w:val="24"/>
                <w:szCs w:val="32"/>
              </w:rPr>
              <w:t>②建立健全的环保管理机构，对环保管理人员和技术人员进行岗位培训，委托具有专业资质的环境检测单位对项目排放的各类污染物进行定期检测。</w:t>
            </w:r>
          </w:p>
          <w:p>
            <w:pPr>
              <w:spacing w:line="360" w:lineRule="auto"/>
              <w:rPr>
                <w:rFonts w:hint="default" w:ascii="Times New Roman" w:hAnsi="Times New Roman" w:cs="Times New Roman"/>
                <w:b/>
                <w:bCs/>
                <w:sz w:val="24"/>
              </w:rPr>
            </w:pPr>
            <w:r>
              <w:rPr>
                <w:rFonts w:hint="default" w:ascii="Times New Roman" w:hAnsi="Times New Roman" w:cs="Times New Roman"/>
                <w:b/>
                <w:bCs/>
                <w:sz w:val="24"/>
              </w:rPr>
              <w:t>2、废水</w:t>
            </w:r>
          </w:p>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2.1废水源强</w:t>
            </w:r>
          </w:p>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snapToGrid w:val="0"/>
                <w:kern w:val="0"/>
                <w:sz w:val="24"/>
                <w:u w:val="single"/>
              </w:rPr>
              <w:t>项目运营期主要水污染源包括：</w:t>
            </w:r>
            <w:r>
              <w:rPr>
                <w:rFonts w:hint="default" w:ascii="Times New Roman" w:hAnsi="Times New Roman" w:cs="Times New Roman"/>
                <w:sz w:val="24"/>
                <w:u w:val="single"/>
              </w:rPr>
              <w:t>员工生活污水</w:t>
            </w:r>
            <w:r>
              <w:rPr>
                <w:rFonts w:hint="default" w:ascii="Times New Roman" w:hAnsi="Times New Roman" w:cs="Times New Roman"/>
                <w:bCs/>
                <w:sz w:val="24"/>
                <w:u w:val="single"/>
              </w:rPr>
              <w:t>、</w:t>
            </w:r>
            <w:r>
              <w:rPr>
                <w:rFonts w:hint="default" w:ascii="Times New Roman" w:hAnsi="Times New Roman" w:cs="Times New Roman"/>
                <w:sz w:val="24"/>
                <w:u w:val="single"/>
              </w:rPr>
              <w:t>公共卫生间污水和罩棚区地面保洁废水</w:t>
            </w:r>
            <w:r>
              <w:rPr>
                <w:rFonts w:hint="default" w:ascii="Times New Roman" w:hAnsi="Times New Roman" w:cs="Times New Roman"/>
                <w:bCs/>
                <w:sz w:val="24"/>
                <w:u w:val="single"/>
              </w:rPr>
              <w:t>以及</w:t>
            </w:r>
            <w:r>
              <w:rPr>
                <w:rFonts w:hint="default" w:ascii="Times New Roman" w:hAnsi="Times New Roman" w:cs="Times New Roman"/>
                <w:sz w:val="24"/>
                <w:u w:val="single"/>
              </w:rPr>
              <w:t>雨天冲刷废水</w:t>
            </w:r>
            <w:r>
              <w:rPr>
                <w:rFonts w:hint="default" w:ascii="Times New Roman" w:hAnsi="Times New Roman" w:cs="Times New Roman"/>
                <w:bCs/>
                <w:sz w:val="24"/>
                <w:u w:val="single"/>
              </w:rPr>
              <w:t>等。</w:t>
            </w:r>
          </w:p>
          <w:p>
            <w:pPr>
              <w:adjustRightInd w:val="0"/>
              <w:snapToGrid w:val="0"/>
              <w:spacing w:line="360" w:lineRule="auto"/>
              <w:ind w:firstLine="480" w:firstLineChars="200"/>
              <w:rPr>
                <w:rFonts w:hint="default" w:ascii="Times New Roman" w:hAnsi="Times New Roman" w:cs="Times New Roman"/>
                <w:snapToGrid w:val="0"/>
                <w:kern w:val="0"/>
                <w:sz w:val="24"/>
                <w:u w:val="single"/>
              </w:rPr>
            </w:pPr>
            <w:r>
              <w:rPr>
                <w:rFonts w:hint="default" w:ascii="Times New Roman" w:hAnsi="Times New Roman" w:cs="Times New Roman"/>
                <w:sz w:val="24"/>
                <w:u w:val="single"/>
              </w:rPr>
              <w:t>由前文章节的给排水相关分析可得，项目运营期间，员工生活污水排放量约</w:t>
            </w:r>
            <w:r>
              <w:rPr>
                <w:rFonts w:hint="default" w:ascii="Times New Roman" w:hAnsi="Times New Roman" w:cs="Times New Roman"/>
                <w:snapToGrid w:val="0"/>
                <w:kern w:val="0"/>
                <w:sz w:val="24"/>
                <w:u w:val="single"/>
              </w:rPr>
              <w:t>96m</w:t>
            </w:r>
            <w:r>
              <w:rPr>
                <w:rFonts w:hint="default" w:ascii="Times New Roman" w:hAnsi="Times New Roman" w:cs="Times New Roman"/>
                <w:snapToGrid w:val="0"/>
                <w:kern w:val="0"/>
                <w:sz w:val="24"/>
                <w:u w:val="single"/>
                <w:vertAlign w:val="superscript"/>
              </w:rPr>
              <w:t>3</w:t>
            </w:r>
            <w:r>
              <w:rPr>
                <w:rFonts w:hint="default" w:ascii="Times New Roman" w:hAnsi="Times New Roman" w:cs="Times New Roman"/>
                <w:snapToGrid w:val="0"/>
                <w:kern w:val="0"/>
                <w:sz w:val="24"/>
                <w:u w:val="single"/>
              </w:rPr>
              <w:t>/a，公共卫生间污水排放量约78.84m</w:t>
            </w:r>
            <w:r>
              <w:rPr>
                <w:rFonts w:hint="default" w:ascii="Times New Roman" w:hAnsi="Times New Roman" w:cs="Times New Roman"/>
                <w:snapToGrid w:val="0"/>
                <w:kern w:val="0"/>
                <w:sz w:val="24"/>
                <w:u w:val="single"/>
                <w:vertAlign w:val="superscript"/>
              </w:rPr>
              <w:t>3</w:t>
            </w:r>
            <w:r>
              <w:rPr>
                <w:rFonts w:hint="default" w:ascii="Times New Roman" w:hAnsi="Times New Roman" w:cs="Times New Roman"/>
                <w:snapToGrid w:val="0"/>
                <w:kern w:val="0"/>
                <w:sz w:val="24"/>
                <w:u w:val="single"/>
              </w:rPr>
              <w:t>/a，罩棚区地面保洁废水排放量约32.19m</w:t>
            </w:r>
            <w:r>
              <w:rPr>
                <w:rFonts w:hint="default" w:ascii="Times New Roman" w:hAnsi="Times New Roman" w:cs="Times New Roman"/>
                <w:snapToGrid w:val="0"/>
                <w:kern w:val="0"/>
                <w:sz w:val="24"/>
                <w:u w:val="single"/>
                <w:vertAlign w:val="superscript"/>
              </w:rPr>
              <w:t>3</w:t>
            </w:r>
            <w:r>
              <w:rPr>
                <w:rFonts w:hint="default" w:ascii="Times New Roman" w:hAnsi="Times New Roman" w:cs="Times New Roman"/>
                <w:snapToGrid w:val="0"/>
                <w:kern w:val="0"/>
                <w:sz w:val="24"/>
                <w:u w:val="single"/>
              </w:rPr>
              <w:t>/a，罩棚区雨天初期冲刷废水产生量约6.51m</w:t>
            </w:r>
            <w:r>
              <w:rPr>
                <w:rFonts w:hint="default" w:ascii="Times New Roman" w:hAnsi="Times New Roman" w:cs="Times New Roman"/>
                <w:snapToGrid w:val="0"/>
                <w:kern w:val="0"/>
                <w:sz w:val="24"/>
                <w:u w:val="single"/>
                <w:vertAlign w:val="superscript"/>
              </w:rPr>
              <w:t>3</w:t>
            </w:r>
            <w:r>
              <w:rPr>
                <w:rFonts w:hint="default" w:ascii="Times New Roman" w:hAnsi="Times New Roman" w:cs="Times New Roman"/>
                <w:snapToGrid w:val="0"/>
                <w:kern w:val="0"/>
                <w:sz w:val="24"/>
                <w:u w:val="single"/>
              </w:rPr>
              <w:t xml:space="preserve">/次（取前15min）。    </w:t>
            </w:r>
          </w:p>
          <w:p>
            <w:pPr>
              <w:adjustRightInd w:val="0"/>
              <w:snapToGrid w:val="0"/>
              <w:spacing w:line="360" w:lineRule="auto"/>
              <w:rPr>
                <w:rFonts w:hint="default" w:ascii="Times New Roman" w:hAnsi="Times New Roman" w:cs="Times New Roman"/>
                <w:snapToGrid w:val="0"/>
                <w:kern w:val="0"/>
                <w:sz w:val="24"/>
                <w:u w:val="single"/>
              </w:rPr>
            </w:pPr>
            <w:r>
              <w:rPr>
                <w:rFonts w:hint="default" w:ascii="Times New Roman" w:hAnsi="Times New Roman" w:cs="Times New Roman"/>
                <w:snapToGrid w:val="0"/>
                <w:kern w:val="0"/>
                <w:sz w:val="24"/>
                <w:u w:val="single"/>
              </w:rPr>
              <w:t>（</w:t>
            </w:r>
            <w:r>
              <w:rPr>
                <w:rFonts w:hint="default" w:ascii="Times New Roman" w:hAnsi="Times New Roman" w:cs="Times New Roman"/>
                <w:sz w:val="24"/>
                <w:u w:val="single"/>
              </w:rPr>
              <w:t>类比同类工程并结合项目实际监测数据，</w:t>
            </w:r>
            <w:r>
              <w:rPr>
                <w:rFonts w:hint="default" w:ascii="Times New Roman" w:hAnsi="Times New Roman" w:cs="Times New Roman"/>
                <w:snapToGrid w:val="0"/>
                <w:kern w:val="0"/>
                <w:sz w:val="24"/>
                <w:u w:val="single"/>
              </w:rPr>
              <w:t>项目运营期主要水污染源及其污染物产排放情况如下：。</w:t>
            </w:r>
          </w:p>
          <w:p>
            <w:pPr>
              <w:spacing w:line="360" w:lineRule="auto"/>
              <w:jc w:val="center"/>
              <w:rPr>
                <w:rFonts w:hint="default" w:ascii="Times New Roman" w:hAnsi="Times New Roman" w:cs="Times New Roman"/>
                <w:b/>
                <w:szCs w:val="21"/>
                <w:u w:val="single"/>
              </w:rPr>
            </w:pPr>
            <w:r>
              <w:rPr>
                <w:rFonts w:hint="default" w:ascii="Times New Roman" w:hAnsi="Times New Roman" w:cs="Times New Roman"/>
                <w:b/>
                <w:szCs w:val="21"/>
                <w:u w:val="single"/>
              </w:rPr>
              <w:t>表4-</w:t>
            </w:r>
            <w:r>
              <w:rPr>
                <w:rFonts w:hint="default" w:ascii="Times New Roman" w:hAnsi="Times New Roman" w:cs="Times New Roman"/>
                <w:b/>
                <w:szCs w:val="21"/>
                <w:u w:val="single"/>
                <w:lang w:val="en-US" w:eastAsia="zh-CN"/>
              </w:rPr>
              <w:t>5</w:t>
            </w:r>
            <w:r>
              <w:rPr>
                <w:rFonts w:hint="default" w:ascii="Times New Roman" w:hAnsi="Times New Roman" w:cs="Times New Roman"/>
                <w:b/>
                <w:szCs w:val="21"/>
                <w:u w:val="single"/>
              </w:rPr>
              <w:t xml:space="preserve">   废水产生及排放情况一览表   单位：pH：无量纲</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304"/>
              <w:gridCol w:w="1156"/>
              <w:gridCol w:w="1277"/>
              <w:gridCol w:w="661"/>
              <w:gridCol w:w="1247"/>
              <w:gridCol w:w="1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污染源</w:t>
                  </w: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污染物名称</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产生浓度</w:t>
                  </w:r>
                </w:p>
              </w:tc>
              <w:tc>
                <w:tcPr>
                  <w:tcW w:w="1277" w:type="dxa"/>
                  <w:noWrap w:val="0"/>
                  <w:vAlign w:val="center"/>
                </w:tcPr>
                <w:p>
                  <w:pPr>
                    <w:adjustRightInd w:val="0"/>
                    <w:snapToGrid w:val="0"/>
                    <w:jc w:val="center"/>
                    <w:rPr>
                      <w:rFonts w:hint="default" w:ascii="Times New Roman" w:hAnsi="Times New Roman" w:cs="Times New Roman"/>
                      <w:szCs w:val="21"/>
                      <w:u w:val="single"/>
                      <w:vertAlign w:val="subscript"/>
                    </w:rPr>
                  </w:pPr>
                  <w:r>
                    <w:rPr>
                      <w:rFonts w:hint="default" w:ascii="Times New Roman" w:hAnsi="Times New Roman" w:cs="Times New Roman"/>
                      <w:szCs w:val="21"/>
                      <w:u w:val="single"/>
                    </w:rPr>
                    <w:t>产生量</w:t>
                  </w:r>
                </w:p>
              </w:tc>
              <w:tc>
                <w:tcPr>
                  <w:tcW w:w="661"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治理措施</w:t>
                  </w: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排放浓度</w:t>
                  </w:r>
                </w:p>
              </w:tc>
              <w:tc>
                <w:tcPr>
                  <w:tcW w:w="1399"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restart"/>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员工生活污水</w:t>
                  </w: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污水量</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27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kern w:val="21"/>
                      <w:szCs w:val="21"/>
                      <w:u w:val="single"/>
                    </w:rPr>
                    <w:t>96m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c>
                <w:tcPr>
                  <w:tcW w:w="661" w:type="dxa"/>
                  <w:vMerge w:val="restart"/>
                  <w:noWrap w:val="0"/>
                  <w:vAlign w:val="center"/>
                </w:tcPr>
                <w:p>
                  <w:pPr>
                    <w:adjustRightInd w:val="0"/>
                    <w:snapToGrid w:val="0"/>
                    <w:jc w:val="center"/>
                    <w:rPr>
                      <w:rFonts w:hint="default" w:ascii="Times New Roman" w:hAnsi="Times New Roman" w:eastAsia="宋体" w:cs="Times New Roman"/>
                      <w:kern w:val="21"/>
                      <w:szCs w:val="21"/>
                      <w:u w:val="single"/>
                      <w:lang w:val="en-US" w:eastAsia="zh-CN"/>
                    </w:rPr>
                  </w:pPr>
                  <w:r>
                    <w:rPr>
                      <w:rFonts w:hint="default" w:ascii="Times New Roman" w:hAnsi="Times New Roman" w:cs="Times New Roman"/>
                      <w:kern w:val="21"/>
                      <w:szCs w:val="21"/>
                      <w:u w:val="single"/>
                    </w:rPr>
                    <w:t>化粪池</w:t>
                  </w:r>
                  <w:r>
                    <w:rPr>
                      <w:rFonts w:hint="default" w:ascii="Times New Roman" w:hAnsi="Times New Roman" w:cs="Times New Roman"/>
                      <w:kern w:val="21"/>
                      <w:szCs w:val="21"/>
                      <w:u w:val="single"/>
                      <w:lang w:val="en-US" w:eastAsia="zh-CN"/>
                    </w:rPr>
                    <w:t>+调节池</w:t>
                  </w: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399"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kern w:val="21"/>
                      <w:szCs w:val="21"/>
                      <w:u w:val="single"/>
                    </w:rPr>
                    <w:t>96m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COD</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350mg/L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0.034t/a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100mg/L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BOD</w:t>
                  </w:r>
                  <w:r>
                    <w:rPr>
                      <w:rFonts w:hint="default" w:ascii="Times New Roman" w:hAnsi="Times New Roman" w:cs="Times New Roman"/>
                      <w:szCs w:val="21"/>
                      <w:u w:val="single"/>
                      <w:vertAlign w:val="subscript"/>
                    </w:rPr>
                    <w:t>5</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250mg/L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0.024t/a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20mg/L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NH</w:t>
                  </w:r>
                  <w:r>
                    <w:rPr>
                      <w:rFonts w:hint="default" w:ascii="Times New Roman" w:hAnsi="Times New Roman" w:cs="Times New Roman"/>
                      <w:szCs w:val="21"/>
                      <w:u w:val="single"/>
                      <w:vertAlign w:val="subscript"/>
                    </w:rPr>
                    <w:t>3</w:t>
                  </w:r>
                  <w:r>
                    <w:rPr>
                      <w:rFonts w:hint="default" w:ascii="Times New Roman" w:hAnsi="Times New Roman" w:cs="Times New Roman"/>
                      <w:szCs w:val="21"/>
                      <w:u w:val="single"/>
                    </w:rPr>
                    <w:t>-N</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0.003t/a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15mg/L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SS</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300mg/L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0.029t/a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70mg/L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restart"/>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公共卫生间污水</w:t>
                  </w: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污水量</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27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kern w:val="21"/>
                      <w:szCs w:val="21"/>
                      <w:u w:val="single"/>
                    </w:rPr>
                    <w:t>78.84m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c>
                <w:tcPr>
                  <w:tcW w:w="661" w:type="dxa"/>
                  <w:vMerge w:val="continue"/>
                  <w:noWrap w:val="0"/>
                  <w:vAlign w:val="center"/>
                </w:tcPr>
                <w:p>
                  <w:pPr>
                    <w:adjustRightInd w:val="0"/>
                    <w:snapToGrid w:val="0"/>
                    <w:jc w:val="center"/>
                    <w:rPr>
                      <w:rFonts w:hint="default" w:ascii="Times New Roman" w:hAnsi="Times New Roman" w:cs="Times New Roman"/>
                      <w:kern w:val="21"/>
                      <w:szCs w:val="21"/>
                      <w:u w:val="single"/>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399"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kern w:val="21"/>
                      <w:szCs w:val="21"/>
                      <w:u w:val="single"/>
                    </w:rPr>
                    <w:t>78.84m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COD</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350mg/L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0.0276t/a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100mg/L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0.0079t/a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BOD</w:t>
                  </w:r>
                  <w:r>
                    <w:rPr>
                      <w:rFonts w:hint="default" w:ascii="Times New Roman" w:hAnsi="Times New Roman" w:cs="Times New Roman"/>
                      <w:szCs w:val="21"/>
                      <w:u w:val="single"/>
                      <w:vertAlign w:val="subscript"/>
                    </w:rPr>
                    <w:t>5</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250mg/L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0.0197t/a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20mg/L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0.0016t/a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NH</w:t>
                  </w:r>
                  <w:r>
                    <w:rPr>
                      <w:rFonts w:hint="default" w:ascii="Times New Roman" w:hAnsi="Times New Roman" w:cs="Times New Roman"/>
                      <w:szCs w:val="21"/>
                      <w:u w:val="single"/>
                      <w:vertAlign w:val="subscript"/>
                    </w:rPr>
                    <w:t>3</w:t>
                  </w:r>
                  <w:r>
                    <w:rPr>
                      <w:rFonts w:hint="default" w:ascii="Times New Roman" w:hAnsi="Times New Roman" w:cs="Times New Roman"/>
                      <w:szCs w:val="21"/>
                      <w:u w:val="single"/>
                    </w:rPr>
                    <w:t>-N</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0.0024t/a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15mg/L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SS</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300mg/L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0.0236t/a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70mg/L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0.055t/a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restart"/>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罩棚区地面保洁废水</w:t>
                  </w: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废水量</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27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kern w:val="21"/>
                      <w:szCs w:val="21"/>
                      <w:u w:val="single"/>
                    </w:rPr>
                    <w:t>32.19m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c>
                <w:tcPr>
                  <w:tcW w:w="661" w:type="dxa"/>
                  <w:vMerge w:val="restart"/>
                  <w:noWrap w:val="0"/>
                  <w:vAlign w:val="center"/>
                </w:tcPr>
                <w:p>
                  <w:pPr>
                    <w:adjustRightInd w:val="0"/>
                    <w:snapToGrid w:val="0"/>
                    <w:jc w:val="center"/>
                    <w:rPr>
                      <w:rFonts w:hint="default" w:ascii="Times New Roman" w:hAnsi="Times New Roman" w:cs="Times New Roman"/>
                      <w:kern w:val="21"/>
                      <w:szCs w:val="21"/>
                      <w:u w:val="single"/>
                    </w:rPr>
                  </w:pPr>
                  <w:r>
                    <w:rPr>
                      <w:rFonts w:hint="default" w:ascii="Times New Roman" w:hAnsi="Times New Roman" w:cs="Times New Roman"/>
                      <w:kern w:val="21"/>
                      <w:szCs w:val="21"/>
                      <w:u w:val="single"/>
                    </w:rPr>
                    <w:t>隔油沉淀池</w:t>
                  </w: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399"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bCs/>
                      <w:kern w:val="21"/>
                      <w:szCs w:val="21"/>
                      <w:u w:val="single"/>
                    </w:rPr>
                    <w:t>32.19</w:t>
                  </w:r>
                  <w:r>
                    <w:rPr>
                      <w:rFonts w:hint="default" w:ascii="Times New Roman" w:hAnsi="Times New Roman" w:cs="Times New Roman"/>
                      <w:kern w:val="21"/>
                      <w:szCs w:val="21"/>
                      <w:u w:val="single"/>
                    </w:rPr>
                    <w:t>m</w:t>
                  </w:r>
                  <w:r>
                    <w:rPr>
                      <w:rFonts w:hint="default" w:ascii="Times New Roman" w:hAnsi="Times New Roman" w:cs="Times New Roman"/>
                      <w:kern w:val="21"/>
                      <w:szCs w:val="21"/>
                      <w:u w:val="single"/>
                      <w:vertAlign w:val="superscript"/>
                    </w:rPr>
                    <w:t>3</w:t>
                  </w:r>
                  <w:r>
                    <w:rPr>
                      <w:rFonts w:hint="default" w:ascii="Times New Roman" w:hAnsi="Times New Roman" w:cs="Times New Roman"/>
                      <w:kern w:val="21"/>
                      <w:szCs w:val="21"/>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石油类</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0.0003t/a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5mg/L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SS</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300mg/L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0.01t/a</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70mg/L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restart"/>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罩棚区雨天冲刷废水</w:t>
                  </w: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废水量</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27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6.51m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/次</w:t>
                  </w:r>
                </w:p>
              </w:tc>
              <w:tc>
                <w:tcPr>
                  <w:tcW w:w="661" w:type="dxa"/>
                  <w:vMerge w:val="continue"/>
                  <w:noWrap w:val="0"/>
                  <w:vAlign w:val="center"/>
                </w:tcPr>
                <w:p>
                  <w:pPr>
                    <w:adjustRightInd w:val="0"/>
                    <w:snapToGrid w:val="0"/>
                    <w:jc w:val="center"/>
                    <w:rPr>
                      <w:rFonts w:hint="default" w:ascii="Times New Roman" w:hAnsi="Times New Roman" w:cs="Times New Roman"/>
                      <w:szCs w:val="21"/>
                      <w:u w:val="single"/>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w:t>
                  </w:r>
                </w:p>
              </w:tc>
              <w:tc>
                <w:tcPr>
                  <w:tcW w:w="1399"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6.51m</w:t>
                  </w:r>
                  <w:r>
                    <w:rPr>
                      <w:rFonts w:hint="default" w:ascii="Times New Roman" w:hAnsi="Times New Roman" w:cs="Times New Roman"/>
                      <w:szCs w:val="21"/>
                      <w:u w:val="single"/>
                      <w:vertAlign w:val="superscript"/>
                    </w:rPr>
                    <w:t>3</w:t>
                  </w:r>
                  <w:r>
                    <w:rPr>
                      <w:rFonts w:hint="default" w:ascii="Times New Roman" w:hAnsi="Times New Roman" w:cs="Times New Roman"/>
                      <w:szCs w:val="21"/>
                      <w:u w:val="single"/>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top"/>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石油类</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10mg/L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0.00006t/次</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5mg/L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0.00003t/次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3" w:type="dxa"/>
                  <w:vMerge w:val="continue"/>
                  <w:noWrap w:val="0"/>
                  <w:vAlign w:val="top"/>
                </w:tcPr>
                <w:p>
                  <w:pPr>
                    <w:adjustRightInd w:val="0"/>
                    <w:snapToGrid w:val="0"/>
                    <w:jc w:val="center"/>
                    <w:rPr>
                      <w:rFonts w:hint="default" w:ascii="Times New Roman" w:hAnsi="Times New Roman" w:cs="Times New Roman"/>
                      <w:szCs w:val="21"/>
                      <w:u w:val="single"/>
                    </w:rPr>
                  </w:pPr>
                </w:p>
              </w:tc>
              <w:tc>
                <w:tcPr>
                  <w:tcW w:w="1304"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SS</w:t>
                  </w:r>
                </w:p>
              </w:tc>
              <w:tc>
                <w:tcPr>
                  <w:tcW w:w="1156"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200mg/L</w:t>
                  </w:r>
                </w:p>
              </w:tc>
              <w:tc>
                <w:tcPr>
                  <w:tcW w:w="1277"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0.0013t/次</w:t>
                  </w:r>
                </w:p>
              </w:tc>
              <w:tc>
                <w:tcPr>
                  <w:tcW w:w="661" w:type="dxa"/>
                  <w:vMerge w:val="continue"/>
                  <w:noWrap w:val="0"/>
                  <w:vAlign w:val="center"/>
                </w:tcPr>
                <w:p>
                  <w:pPr>
                    <w:widowControl/>
                    <w:adjustRightInd w:val="0"/>
                    <w:snapToGrid w:val="0"/>
                    <w:jc w:val="center"/>
                    <w:textAlignment w:val="center"/>
                    <w:rPr>
                      <w:rFonts w:hint="default" w:ascii="Times New Roman" w:hAnsi="Times New Roman" w:cs="Times New Roman"/>
                      <w:kern w:val="0"/>
                      <w:szCs w:val="21"/>
                      <w:u w:val="single"/>
                      <w:lang w:bidi="ar"/>
                    </w:rPr>
                  </w:pPr>
                </w:p>
              </w:tc>
              <w:tc>
                <w:tcPr>
                  <w:tcW w:w="1247" w:type="dxa"/>
                  <w:noWrap w:val="0"/>
                  <w:vAlign w:val="center"/>
                </w:tcPr>
                <w:p>
                  <w:pPr>
                    <w:adjustRightInd w:val="0"/>
                    <w:snapToGrid w:val="0"/>
                    <w:jc w:val="center"/>
                    <w:rPr>
                      <w:rFonts w:hint="default" w:ascii="Times New Roman" w:hAnsi="Times New Roman" w:cs="Times New Roman"/>
                      <w:szCs w:val="21"/>
                      <w:u w:val="single"/>
                    </w:rPr>
                  </w:pPr>
                  <w:r>
                    <w:rPr>
                      <w:rFonts w:hint="default" w:ascii="Times New Roman" w:hAnsi="Times New Roman" w:cs="Times New Roman"/>
                      <w:szCs w:val="21"/>
                      <w:u w:val="single"/>
                    </w:rPr>
                    <w:t>70mg/L</w:t>
                  </w:r>
                </w:p>
              </w:tc>
              <w:tc>
                <w:tcPr>
                  <w:tcW w:w="1399" w:type="dxa"/>
                  <w:noWrap w:val="0"/>
                  <w:vAlign w:val="center"/>
                </w:tcPr>
                <w:p>
                  <w:pPr>
                    <w:widowControl/>
                    <w:adjustRightInd w:val="0"/>
                    <w:snapToGrid w:val="0"/>
                    <w:jc w:val="center"/>
                    <w:textAlignment w:val="center"/>
                    <w:rPr>
                      <w:rFonts w:hint="default" w:ascii="Times New Roman" w:hAnsi="Times New Roman" w:cs="Times New Roman"/>
                      <w:szCs w:val="21"/>
                      <w:u w:val="single"/>
                    </w:rPr>
                  </w:pPr>
                  <w:r>
                    <w:rPr>
                      <w:rFonts w:hint="default" w:ascii="Times New Roman" w:hAnsi="Times New Roman" w:cs="Times New Roman"/>
                      <w:kern w:val="0"/>
                      <w:szCs w:val="21"/>
                      <w:u w:val="single"/>
                      <w:lang w:bidi="ar"/>
                    </w:rPr>
                    <w:t>0.0004t/次</w:t>
                  </w:r>
                </w:p>
              </w:tc>
            </w:tr>
          </w:tbl>
          <w:p>
            <w:pPr>
              <w:pStyle w:val="10"/>
              <w:spacing w:before="0" w:after="0" w:line="360" w:lineRule="auto"/>
              <w:ind w:right="0" w:firstLine="480" w:firstLineChars="200"/>
              <w:rPr>
                <w:rFonts w:hint="default" w:ascii="Times New Roman" w:hAnsi="Times New Roman" w:cs="Times New Roman"/>
                <w:snapToGrid w:val="0"/>
                <w:sz w:val="24"/>
                <w:szCs w:val="24"/>
                <w:u w:val="single"/>
              </w:rPr>
            </w:pPr>
            <w:r>
              <w:rPr>
                <w:rFonts w:hint="default" w:ascii="Times New Roman" w:hAnsi="Times New Roman" w:cs="Times New Roman"/>
                <w:snapToGrid w:val="0"/>
                <w:sz w:val="24"/>
                <w:szCs w:val="24"/>
                <w:u w:val="single"/>
              </w:rPr>
              <w:t>项目生活污水和公共厕所污水经三级化粪池</w:t>
            </w:r>
            <w:r>
              <w:rPr>
                <w:rFonts w:hint="default" w:ascii="Times New Roman" w:hAnsi="Times New Roman" w:cs="Times New Roman"/>
                <w:snapToGrid w:val="0"/>
                <w:sz w:val="24"/>
                <w:szCs w:val="24"/>
                <w:u w:val="single"/>
                <w:lang w:val="en-US" w:eastAsia="zh-CN"/>
              </w:rPr>
              <w:t>+调节池</w:t>
            </w:r>
            <w:r>
              <w:rPr>
                <w:rFonts w:hint="default" w:ascii="Times New Roman" w:hAnsi="Times New Roman" w:cs="Times New Roman"/>
                <w:snapToGrid w:val="0"/>
                <w:sz w:val="24"/>
                <w:szCs w:val="24"/>
                <w:u w:val="single"/>
              </w:rPr>
              <w:t>处理后用作周边植物农肥，初期雨水、地面清洗废水经隔油沉淀池处理后用作洒水降尘及植物灌溉。</w:t>
            </w:r>
          </w:p>
          <w:p>
            <w:pPr>
              <w:pStyle w:val="10"/>
              <w:spacing w:before="0" w:after="0" w:line="360" w:lineRule="auto"/>
              <w:ind w:right="0" w:firstLine="482" w:firstLineChars="200"/>
              <w:rPr>
                <w:rFonts w:hint="default" w:ascii="Times New Roman" w:hAnsi="Times New Roman" w:cs="Times New Roman"/>
                <w:b/>
                <w:bCs/>
                <w:snapToGrid w:val="0"/>
                <w:sz w:val="24"/>
                <w:szCs w:val="24"/>
                <w:u w:val="single"/>
              </w:rPr>
            </w:pPr>
            <w:r>
              <w:rPr>
                <w:rFonts w:hint="default" w:ascii="Times New Roman" w:hAnsi="Times New Roman" w:cs="Times New Roman"/>
                <w:b/>
                <w:bCs/>
                <w:sz w:val="24"/>
                <w:szCs w:val="24"/>
                <w:u w:val="single"/>
              </w:rPr>
              <w:t>废水污染防治措施可行性分析</w:t>
            </w:r>
          </w:p>
          <w:p>
            <w:pPr>
              <w:pStyle w:val="10"/>
              <w:spacing w:before="0" w:after="0" w:line="360" w:lineRule="auto"/>
              <w:ind w:firstLine="480" w:firstLineChars="200"/>
              <w:rPr>
                <w:rFonts w:hint="default" w:ascii="Times New Roman" w:hAnsi="Times New Roman" w:cs="Times New Roman"/>
                <w:sz w:val="24"/>
                <w:szCs w:val="24"/>
                <w:u w:val="single"/>
              </w:rPr>
            </w:pPr>
            <w:r>
              <w:rPr>
                <w:rFonts w:hint="default" w:ascii="Times New Roman" w:hAnsi="Times New Roman" w:cs="Times New Roman"/>
                <w:sz w:val="24"/>
                <w:szCs w:val="24"/>
                <w:u w:val="single"/>
              </w:rPr>
              <w:t>（1）生活污水及公共卫生间污水作为肥料使用可行性</w:t>
            </w:r>
          </w:p>
          <w:p>
            <w:pPr>
              <w:pStyle w:val="10"/>
              <w:spacing w:before="0" w:after="0" w:line="360" w:lineRule="auto"/>
              <w:ind w:firstLine="480" w:firstLineChars="200"/>
              <w:rPr>
                <w:rFonts w:hint="default" w:ascii="Times New Roman" w:hAnsi="Times New Roman" w:cs="Times New Roman"/>
                <w:sz w:val="24"/>
                <w:szCs w:val="24"/>
                <w:u w:val="single"/>
              </w:rPr>
            </w:pPr>
            <w:r>
              <w:rPr>
                <w:rFonts w:hint="default" w:ascii="Times New Roman" w:hAnsi="Times New Roman" w:cs="Times New Roman"/>
                <w:sz w:val="24"/>
                <w:szCs w:val="24"/>
                <w:u w:val="single"/>
              </w:rPr>
              <w:t>由于项目所在区域暂无市政污水管网，因此，项目生活污水及公共卫生间污水采用化粪池</w:t>
            </w:r>
            <w:r>
              <w:rPr>
                <w:rFonts w:hint="default" w:ascii="Times New Roman" w:hAnsi="Times New Roman" w:cs="Times New Roman"/>
                <w:sz w:val="24"/>
                <w:szCs w:val="24"/>
                <w:u w:val="single"/>
                <w:lang w:val="en-US" w:eastAsia="zh-CN"/>
              </w:rPr>
              <w:t>+调节池</w:t>
            </w:r>
            <w:r>
              <w:rPr>
                <w:rFonts w:hint="default" w:ascii="Times New Roman" w:hAnsi="Times New Roman" w:cs="Times New Roman"/>
                <w:sz w:val="24"/>
                <w:szCs w:val="24"/>
                <w:u w:val="single"/>
              </w:rPr>
              <w:t>处理后用作周边植物农肥。根据表4-2可知，项目生活污水及公共卫生间污水年产生量为174.84m</w:t>
            </w:r>
            <w:r>
              <w:rPr>
                <w:rFonts w:hint="default" w:ascii="Times New Roman" w:hAnsi="Times New Roman" w:cs="Times New Roman"/>
                <w:sz w:val="24"/>
                <w:szCs w:val="24"/>
                <w:u w:val="single"/>
                <w:vertAlign w:val="superscript"/>
              </w:rPr>
              <w:t>3</w:t>
            </w:r>
            <w:r>
              <w:rPr>
                <w:rFonts w:hint="default" w:ascii="Times New Roman" w:hAnsi="Times New Roman" w:cs="Times New Roman"/>
                <w:sz w:val="24"/>
                <w:szCs w:val="24"/>
                <w:u w:val="single"/>
              </w:rPr>
              <w:t>/a，项目周边存在大量山林、农田及旱地，能满足项目生活污水及公共卫生间污水作为农肥使用。因此，本项目采用化粪池</w:t>
            </w:r>
            <w:r>
              <w:rPr>
                <w:rFonts w:hint="default" w:ascii="Times New Roman" w:hAnsi="Times New Roman" w:cs="Times New Roman"/>
                <w:sz w:val="24"/>
                <w:szCs w:val="24"/>
                <w:u w:val="single"/>
                <w:lang w:val="en-US" w:eastAsia="zh-CN"/>
              </w:rPr>
              <w:t>+调节池</w:t>
            </w:r>
            <w:r>
              <w:rPr>
                <w:rFonts w:hint="default" w:ascii="Times New Roman" w:hAnsi="Times New Roman" w:cs="Times New Roman"/>
                <w:sz w:val="24"/>
                <w:szCs w:val="24"/>
                <w:u w:val="single"/>
              </w:rPr>
              <w:t>作为废水处理技术是可行性技术。</w:t>
            </w:r>
          </w:p>
          <w:p>
            <w:pPr>
              <w:pStyle w:val="10"/>
              <w:spacing w:before="0" w:after="0" w:line="360" w:lineRule="auto"/>
              <w:ind w:firstLine="480" w:firstLineChars="200"/>
              <w:rPr>
                <w:rFonts w:hint="default" w:ascii="Times New Roman" w:hAnsi="Times New Roman" w:cs="Times New Roman"/>
                <w:sz w:val="24"/>
                <w:szCs w:val="24"/>
                <w:u w:val="single"/>
              </w:rPr>
            </w:pPr>
            <w:r>
              <w:rPr>
                <w:rFonts w:hint="default" w:ascii="Times New Roman" w:hAnsi="Times New Roman" w:cs="Times New Roman"/>
                <w:sz w:val="24"/>
                <w:szCs w:val="24"/>
                <w:u w:val="single"/>
              </w:rPr>
              <w:t>（2）隔油池预处理可行性分析</w:t>
            </w:r>
          </w:p>
          <w:p>
            <w:pPr>
              <w:pStyle w:val="10"/>
              <w:spacing w:before="0" w:after="0" w:line="360" w:lineRule="auto"/>
              <w:ind w:firstLine="480" w:firstLineChars="200"/>
              <w:rPr>
                <w:rFonts w:hint="default" w:ascii="Times New Roman" w:hAnsi="Times New Roman" w:eastAsia="宋体" w:cs="Times New Roman"/>
                <w:sz w:val="24"/>
                <w:szCs w:val="24"/>
                <w:u w:val="single"/>
              </w:rPr>
            </w:pPr>
            <w:r>
              <w:rPr>
                <w:rFonts w:hint="default" w:ascii="Times New Roman" w:hAnsi="Times New Roman" w:cs="Times New Roman"/>
                <w:sz w:val="24"/>
                <w:szCs w:val="24"/>
                <w:u w:val="single"/>
              </w:rPr>
              <w:t>站区内设有隔油池处理场地清洗废水</w:t>
            </w:r>
            <w:r>
              <w:rPr>
                <w:rFonts w:hint="default" w:ascii="Times New Roman" w:hAnsi="Times New Roman" w:cs="Times New Roman"/>
                <w:sz w:val="24"/>
                <w:szCs w:val="24"/>
                <w:u w:val="single"/>
                <w:lang w:val="en-US" w:eastAsia="zh-CN"/>
              </w:rPr>
              <w:t>及初期雨水</w:t>
            </w:r>
            <w:r>
              <w:rPr>
                <w:rFonts w:hint="default" w:ascii="Times New Roman" w:hAnsi="Times New Roman" w:cs="Times New Roman"/>
                <w:sz w:val="24"/>
                <w:szCs w:val="24"/>
                <w:u w:val="single"/>
              </w:rPr>
              <w:t>，根据《排污许可证申请与核发技术规范储油库、加油站》（HJ1118-2020）表C.2储油库排污单位废水处理可行性技术，生产废水可行预处理技术为隔油、气浮、混凝、吸附、调节；</w:t>
            </w:r>
            <w:r>
              <w:rPr>
                <w:rFonts w:hint="default" w:ascii="Times New Roman" w:hAnsi="Times New Roman" w:cs="Times New Roman"/>
                <w:sz w:val="24"/>
                <w:szCs w:val="24"/>
                <w:u w:val="single"/>
                <w:lang w:val="en-US" w:eastAsia="zh-CN"/>
              </w:rPr>
              <w:t>本项目隔油</w:t>
            </w:r>
            <w:r>
              <w:rPr>
                <w:rFonts w:hint="default" w:ascii="Times New Roman" w:hAnsi="Times New Roman" w:eastAsia="宋体" w:cs="Times New Roman"/>
                <w:sz w:val="24"/>
                <w:szCs w:val="24"/>
                <w:u w:val="single"/>
                <w:lang w:val="en-US" w:eastAsia="zh-CN"/>
              </w:rPr>
              <w:t>沉淀池设计大小为9m3,根据2.8.1、给排水中计算，单次初期雨水量为6.51m</w:t>
            </w:r>
            <w:r>
              <w:rPr>
                <w:rFonts w:hint="default" w:ascii="Times New Roman" w:hAnsi="Times New Roman" w:eastAsia="宋体" w:cs="Times New Roman"/>
                <w:sz w:val="24"/>
                <w:szCs w:val="24"/>
                <w:u w:val="single"/>
                <w:vertAlign w:val="superscript"/>
                <w:lang w:val="en-US" w:eastAsia="zh-CN"/>
              </w:rPr>
              <w:t>3</w:t>
            </w:r>
            <w:r>
              <w:rPr>
                <w:rFonts w:hint="default" w:ascii="Times New Roman" w:hAnsi="Times New Roman" w:eastAsia="宋体" w:cs="Times New Roman"/>
                <w:sz w:val="24"/>
                <w:szCs w:val="24"/>
                <w:u w:val="single"/>
                <w:lang w:val="en-US" w:eastAsia="zh-CN"/>
              </w:rPr>
              <w:t>，隔油沉淀池满足初期雨水收集的要求，</w:t>
            </w:r>
            <w:r>
              <w:rPr>
                <w:rFonts w:hint="default" w:ascii="Times New Roman" w:hAnsi="Times New Roman" w:eastAsia="宋体" w:cs="Times New Roman"/>
                <w:sz w:val="24"/>
                <w:szCs w:val="24"/>
                <w:u w:val="single"/>
              </w:rPr>
              <w:t>本项目采用隔油池作为预处理是可行性技术。</w:t>
            </w:r>
          </w:p>
          <w:p>
            <w:pPr>
              <w:pStyle w:val="10"/>
              <w:spacing w:before="0" w:after="0" w:line="360" w:lineRule="auto"/>
              <w:rPr>
                <w:rFonts w:hint="default" w:ascii="Times New Roman" w:hAnsi="Times New Roman" w:cs="Times New Roman"/>
                <w:b/>
                <w:bCs/>
                <w:kern w:val="2"/>
                <w:sz w:val="24"/>
                <w:szCs w:val="24"/>
              </w:rPr>
            </w:pPr>
            <w:r>
              <w:rPr>
                <w:rFonts w:hint="default" w:ascii="Times New Roman" w:hAnsi="Times New Roman" w:cs="Times New Roman"/>
                <w:b/>
                <w:bCs/>
                <w:kern w:val="2"/>
                <w:sz w:val="24"/>
                <w:szCs w:val="24"/>
              </w:rPr>
              <w:t>3、噪声</w:t>
            </w:r>
          </w:p>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snapToGrid w:val="0"/>
                <w:kern w:val="0"/>
                <w:sz w:val="24"/>
                <w:u w:val="single"/>
              </w:rPr>
              <w:t>项目运营期间噪声污染源主要为潜油泵、加油机、备用柴油发电机</w:t>
            </w:r>
            <w:r>
              <w:rPr>
                <w:rFonts w:hint="default" w:ascii="Times New Roman" w:hAnsi="Times New Roman" w:cs="Times New Roman"/>
                <w:sz w:val="24"/>
                <w:u w:val="single"/>
              </w:rPr>
              <w:t>、压缩</w:t>
            </w:r>
            <w:r>
              <w:rPr>
                <w:rFonts w:hint="default" w:ascii="Times New Roman" w:hAnsi="Times New Roman" w:cs="Times New Roman"/>
                <w:sz w:val="24"/>
                <w:u w:val="single"/>
                <w:lang w:val="en-US" w:eastAsia="zh-CN"/>
              </w:rPr>
              <w:t>机</w:t>
            </w:r>
            <w:r>
              <w:rPr>
                <w:rFonts w:hint="default" w:ascii="Times New Roman" w:hAnsi="Times New Roman" w:cs="Times New Roman"/>
                <w:sz w:val="24"/>
                <w:u w:val="single"/>
              </w:rPr>
              <w:t>以及机动车辆等机械设备运行时排放的噪声</w:t>
            </w:r>
            <w:r>
              <w:rPr>
                <w:rFonts w:hint="default" w:ascii="Times New Roman" w:hAnsi="Times New Roman" w:cs="Times New Roman"/>
                <w:snapToGrid w:val="0"/>
                <w:kern w:val="0"/>
                <w:sz w:val="24"/>
                <w:u w:val="single"/>
              </w:rPr>
              <w:t>，污染源强一般在65~88dB(A)之间，详见下表：</w:t>
            </w:r>
          </w:p>
          <w:p>
            <w:pPr>
              <w:adjustRightInd w:val="0"/>
              <w:snapToGrid w:val="0"/>
              <w:spacing w:line="360" w:lineRule="auto"/>
              <w:jc w:val="center"/>
              <w:rPr>
                <w:rFonts w:hint="default" w:ascii="Times New Roman" w:hAnsi="Times New Roman" w:cs="Times New Roman"/>
                <w:b/>
                <w:bCs/>
                <w:szCs w:val="21"/>
                <w:u w:val="single"/>
              </w:rPr>
            </w:pPr>
            <w:r>
              <w:rPr>
                <w:rFonts w:hint="default" w:ascii="Times New Roman" w:hAnsi="Times New Roman" w:cs="Times New Roman"/>
                <w:b/>
                <w:bCs/>
                <w:szCs w:val="21"/>
                <w:u w:val="single"/>
              </w:rPr>
              <w:t>表4-</w:t>
            </w:r>
            <w:r>
              <w:rPr>
                <w:rFonts w:hint="default" w:ascii="Times New Roman" w:hAnsi="Times New Roman" w:cs="Times New Roman"/>
                <w:b/>
                <w:bCs/>
                <w:szCs w:val="21"/>
                <w:u w:val="single"/>
                <w:lang w:val="en-US" w:eastAsia="zh-CN"/>
              </w:rPr>
              <w:t>6</w:t>
            </w:r>
            <w:r>
              <w:rPr>
                <w:rFonts w:hint="default" w:ascii="Times New Roman" w:hAnsi="Times New Roman" w:cs="Times New Roman"/>
                <w:b/>
                <w:bCs/>
                <w:szCs w:val="21"/>
                <w:u w:val="single"/>
              </w:rPr>
              <w:t xml:space="preserve">   建设项目运营期噪声污染源强一览表</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7"/>
              <w:gridCol w:w="1655"/>
              <w:gridCol w:w="2399"/>
              <w:gridCol w:w="1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设备名称</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zCs w:val="21"/>
                      <w:u w:val="single"/>
                    </w:rPr>
                    <w:t>测距</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噪声强度</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排放特征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潜油泵</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w:t>
                  </w:r>
                  <w:r>
                    <w:rPr>
                      <w:rFonts w:hint="default" w:ascii="Times New Roman" w:hAnsi="Times New Roman" w:cs="Times New Roman"/>
                      <w:szCs w:val="21"/>
                      <w:u w:val="single"/>
                    </w:rPr>
                    <w:t>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75~80dB(A)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加油机</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w:t>
                  </w:r>
                  <w:r>
                    <w:rPr>
                      <w:rFonts w:hint="default" w:ascii="Times New Roman" w:hAnsi="Times New Roman" w:cs="Times New Roman"/>
                      <w:szCs w:val="21"/>
                      <w:u w:val="single"/>
                    </w:rPr>
                    <w:t>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70~80dB(A)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柴油发电机</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w:t>
                  </w:r>
                  <w:r>
                    <w:rPr>
                      <w:rFonts w:hint="default" w:ascii="Times New Roman" w:hAnsi="Times New Roman" w:cs="Times New Roman"/>
                      <w:szCs w:val="21"/>
                      <w:u w:val="single"/>
                    </w:rPr>
                    <w:t>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85~88dB(A)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机动车辆</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w:t>
                  </w:r>
                  <w:r>
                    <w:rPr>
                      <w:rFonts w:hint="default" w:ascii="Times New Roman" w:hAnsi="Times New Roman" w:cs="Times New Roman"/>
                      <w:szCs w:val="21"/>
                      <w:u w:val="single"/>
                    </w:rPr>
                    <w:t>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65~85dB(A)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压缩机</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85~88dB(A)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7"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机动车辆</w:t>
                  </w:r>
                </w:p>
              </w:tc>
              <w:tc>
                <w:tcPr>
                  <w:tcW w:w="1655"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1m处</w:t>
                  </w:r>
                </w:p>
              </w:tc>
              <w:tc>
                <w:tcPr>
                  <w:tcW w:w="2399"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65~85dB(A)</w:t>
                  </w:r>
                </w:p>
              </w:tc>
              <w:tc>
                <w:tcPr>
                  <w:tcW w:w="1926" w:type="dxa"/>
                  <w:noWrap w:val="0"/>
                  <w:vAlign w:val="center"/>
                </w:tcPr>
                <w:p>
                  <w:pPr>
                    <w:adjustRightInd w:val="0"/>
                    <w:snapToGrid w:val="0"/>
                    <w:jc w:val="center"/>
                    <w:rPr>
                      <w:rFonts w:hint="default" w:ascii="Times New Roman" w:hAnsi="Times New Roman" w:cs="Times New Roman"/>
                      <w:snapToGrid w:val="0"/>
                      <w:kern w:val="0"/>
                      <w:szCs w:val="21"/>
                      <w:u w:val="single"/>
                    </w:rPr>
                  </w:pPr>
                  <w:r>
                    <w:rPr>
                      <w:rFonts w:hint="default" w:ascii="Times New Roman" w:hAnsi="Times New Roman" w:cs="Times New Roman"/>
                      <w:snapToGrid w:val="0"/>
                      <w:kern w:val="0"/>
                      <w:szCs w:val="21"/>
                      <w:u w:val="single"/>
                    </w:rPr>
                    <w:t>间歇性</w:t>
                  </w:r>
                </w:p>
              </w:tc>
            </w:tr>
          </w:tbl>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bCs/>
                <w:sz w:val="24"/>
                <w:u w:val="single"/>
              </w:rPr>
              <w:t>为减少噪声对周围环境的影响，加油站应加强管理，加强设备维护，并设置明显的限速标志和禁鸣标志等。</w:t>
            </w:r>
          </w:p>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bCs/>
                <w:sz w:val="24"/>
                <w:u w:val="single"/>
              </w:rPr>
              <w:t>2023年2月22日、10月30日-31日，建设方委托湖南宏润检测技术有限公司、湖南宇昂检测技术有限公司</w:t>
            </w:r>
            <w:r>
              <w:rPr>
                <w:rFonts w:hint="default" w:ascii="Times New Roman" w:hAnsi="Times New Roman" w:cs="Times New Roman"/>
                <w:sz w:val="24"/>
                <w:u w:val="single"/>
              </w:rPr>
              <w:t>在</w:t>
            </w:r>
            <w:r>
              <w:rPr>
                <w:rFonts w:hint="default" w:ascii="Times New Roman" w:hAnsi="Times New Roman" w:cs="Times New Roman"/>
                <w:bCs/>
                <w:sz w:val="24"/>
                <w:u w:val="single"/>
              </w:rPr>
              <w:t>本项目正常运行时对本加油站的厂界噪声监测结果（表3-4、3-5），厂界噪声实际监测结果可以达到《工业企业厂界环境噪声排放标准》（GB12348-2008）中的2类及4类标准，居民敏感点声环境</w:t>
            </w:r>
            <w:r>
              <w:rPr>
                <w:rFonts w:hint="default" w:ascii="Times New Roman" w:hAnsi="Times New Roman" w:cs="Times New Roman"/>
                <w:sz w:val="24"/>
                <w:u w:val="single"/>
              </w:rPr>
              <w:t>声现状监测结果满足《声环境质量标准》（GB3096-2008）2类标准</w:t>
            </w:r>
            <w:r>
              <w:rPr>
                <w:rFonts w:hint="default" w:ascii="Times New Roman" w:hAnsi="Times New Roman" w:cs="Times New Roman"/>
                <w:bCs/>
                <w:sz w:val="24"/>
                <w:u w:val="single"/>
              </w:rPr>
              <w:t>。</w:t>
            </w:r>
          </w:p>
          <w:p>
            <w:pPr>
              <w:adjustRightInd w:val="0"/>
              <w:snapToGrid w:val="0"/>
              <w:spacing w:line="360" w:lineRule="auto"/>
              <w:ind w:firstLine="480" w:firstLineChars="200"/>
              <w:rPr>
                <w:rFonts w:hint="default" w:ascii="Times New Roman" w:hAnsi="Times New Roman" w:cs="Times New Roman"/>
                <w:bCs/>
                <w:sz w:val="24"/>
                <w:u w:val="single"/>
              </w:rPr>
            </w:pPr>
            <w:r>
              <w:rPr>
                <w:rFonts w:hint="default" w:ascii="Times New Roman" w:hAnsi="Times New Roman" w:cs="Times New Roman"/>
                <w:bCs/>
                <w:sz w:val="24"/>
                <w:u w:val="single"/>
              </w:rPr>
              <w:t>改造前后，本项目设备数量无较大变化。本项目改造后，厂界噪声和敏感点声环境预测值与现状值无明显差异，均可达到《</w:t>
            </w:r>
            <w:r>
              <w:rPr>
                <w:rFonts w:hint="default" w:ascii="Times New Roman" w:hAnsi="Times New Roman" w:cs="Times New Roman"/>
                <w:sz w:val="24"/>
                <w:u w:val="single"/>
              </w:rPr>
              <w:t>声环境质量标准》（GB3096-2008）相关标准限值要求，</w:t>
            </w:r>
            <w:r>
              <w:rPr>
                <w:rFonts w:hint="default" w:ascii="Times New Roman" w:hAnsi="Times New Roman" w:cs="Times New Roman"/>
                <w:bCs/>
                <w:sz w:val="24"/>
                <w:u w:val="single"/>
              </w:rPr>
              <w:t>对周围声环境影响较小。</w:t>
            </w:r>
          </w:p>
          <w:p>
            <w:pPr>
              <w:pStyle w:val="10"/>
              <w:spacing w:before="0" w:after="0" w:line="360" w:lineRule="auto"/>
              <w:rPr>
                <w:rFonts w:hint="default" w:ascii="Times New Roman" w:hAnsi="Times New Roman" w:cs="Times New Roman"/>
                <w:b/>
                <w:bCs/>
                <w:kern w:val="2"/>
                <w:sz w:val="24"/>
                <w:szCs w:val="24"/>
              </w:rPr>
            </w:pPr>
            <w:r>
              <w:rPr>
                <w:rFonts w:hint="default" w:ascii="Times New Roman" w:hAnsi="Times New Roman" w:cs="Times New Roman"/>
                <w:b/>
                <w:bCs/>
                <w:kern w:val="2"/>
                <w:sz w:val="24"/>
                <w:szCs w:val="24"/>
              </w:rPr>
              <w:t>4、固体废物</w:t>
            </w:r>
          </w:p>
          <w:p>
            <w:pPr>
              <w:pStyle w:val="10"/>
              <w:spacing w:before="0" w:after="0" w:line="360" w:lineRule="auto"/>
              <w:ind w:firstLine="480" w:firstLineChars="200"/>
              <w:rPr>
                <w:rFonts w:hint="default" w:ascii="Times New Roman" w:hAnsi="Times New Roman" w:cs="Times New Roman"/>
                <w:bCs/>
                <w:snapToGrid w:val="0"/>
                <w:kern w:val="2"/>
                <w:sz w:val="24"/>
                <w:szCs w:val="24"/>
                <w:u w:val="single"/>
              </w:rPr>
            </w:pPr>
            <w:r>
              <w:rPr>
                <w:rFonts w:hint="default" w:ascii="Times New Roman" w:hAnsi="Times New Roman" w:cs="Times New Roman"/>
                <w:bCs/>
                <w:snapToGrid w:val="0"/>
                <w:kern w:val="2"/>
                <w:sz w:val="24"/>
                <w:szCs w:val="24"/>
                <w:u w:val="single"/>
                <w:lang w:val="en-US" w:eastAsia="zh-CN"/>
              </w:rPr>
              <w:t>本</w:t>
            </w:r>
            <w:r>
              <w:rPr>
                <w:rFonts w:hint="default" w:ascii="Times New Roman" w:hAnsi="Times New Roman" w:cs="Times New Roman"/>
                <w:bCs/>
                <w:snapToGrid w:val="0"/>
                <w:kern w:val="2"/>
                <w:sz w:val="24"/>
                <w:szCs w:val="24"/>
                <w:u w:val="single"/>
              </w:rPr>
              <w:t>项目</w:t>
            </w:r>
            <w:r>
              <w:rPr>
                <w:rFonts w:hint="default" w:ascii="Times New Roman" w:hAnsi="Times New Roman" w:cs="Times New Roman"/>
                <w:bCs/>
                <w:snapToGrid w:val="0"/>
                <w:kern w:val="2"/>
                <w:sz w:val="24"/>
                <w:szCs w:val="24"/>
                <w:u w:val="single"/>
                <w:lang w:val="en-US" w:eastAsia="zh-CN"/>
              </w:rPr>
              <w:t>主要</w:t>
            </w:r>
            <w:r>
              <w:rPr>
                <w:rFonts w:hint="default" w:ascii="Times New Roman" w:hAnsi="Times New Roman" w:cs="Times New Roman"/>
                <w:bCs/>
                <w:snapToGrid w:val="0"/>
                <w:kern w:val="2"/>
                <w:sz w:val="24"/>
                <w:szCs w:val="24"/>
                <w:u w:val="single"/>
              </w:rPr>
              <w:t>产生的固体废物按性质分为危险废物、生活垃圾。</w:t>
            </w:r>
          </w:p>
          <w:p>
            <w:pPr>
              <w:pStyle w:val="10"/>
              <w:numPr>
                <w:ilvl w:val="0"/>
                <w:numId w:val="3"/>
              </w:numPr>
              <w:spacing w:before="0" w:after="0" w:line="360" w:lineRule="auto"/>
              <w:ind w:firstLine="480" w:firstLineChars="200"/>
              <w:rPr>
                <w:rFonts w:hint="default" w:ascii="Times New Roman" w:hAnsi="Times New Roman" w:cs="Times New Roman"/>
                <w:bCs/>
                <w:snapToGrid w:val="0"/>
                <w:kern w:val="2"/>
                <w:sz w:val="24"/>
                <w:szCs w:val="24"/>
                <w:u w:val="single"/>
              </w:rPr>
            </w:pPr>
            <w:r>
              <w:rPr>
                <w:rFonts w:hint="default" w:ascii="Times New Roman" w:hAnsi="Times New Roman" w:cs="Times New Roman"/>
                <w:bCs/>
                <w:snapToGrid w:val="0"/>
                <w:kern w:val="2"/>
                <w:sz w:val="24"/>
                <w:szCs w:val="24"/>
                <w:u w:val="single"/>
              </w:rPr>
              <w:t>危险废物</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含油淤泥废渣：类比同类工程并结合其他加油站以往清淤经验，隔油沉淀池产生的含油淤泥废渣约0.6t/a（含水率85%），属于《国家危险废物名录（2021年本）》中的HW08（含油废水处理中隔油、气浮、沉淀等处理过程中产生的浮油、浮渣和污泥（不包括废水生化处理污泥），编号：900-210-08），隔油沉淀池的清理由专业清掏工人进行，在清洗当天用专用车辆把废油运走，委托有危废处置资质的单位进行安全处置。</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废含油抹布手套：项目运营期间会产生少量的废含油抹布手套，据同类加油站情况预计，其产生量约30kg/a，属于《国家危险废物名录（2021年本）》中的HW49（其他废物，编号：900-041-49）。</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废油渣：加油站在下述情况下要进行油罐清洗：新建油罐装油之前：换装不同种类的油料、原储油料对新换装的油料有影响时：需要对油罐进行明火烧焊或清除油漆；在装油时间较长，罐内较脏时要清洗。</w:t>
            </w:r>
            <w:r>
              <w:rPr>
                <w:rFonts w:hint="default" w:ascii="Times New Roman" w:hAnsi="Times New Roman" w:cs="Times New Roman"/>
                <w:color w:val="0000FF"/>
                <w:sz w:val="24"/>
                <w:u w:val="single"/>
              </w:rPr>
              <w:t>加油站每隔3-5年应对油罐进行一次清洗，对清罐清出的油水混合物进行沉淀回收，对无法回收的合格油品及沉淀物，统一放置到规定的容器内妥善保管，油罐区清洗油罐采用干洗法。根据油罐体积大小，预计油罐底渣产生体积不大于0.5%，重量最大约0.6t/次</w:t>
            </w:r>
            <w:r>
              <w:rPr>
                <w:rFonts w:hint="default" w:ascii="Times New Roman" w:hAnsi="Times New Roman" w:cs="Times New Roman"/>
                <w:color w:val="0000FF"/>
                <w:sz w:val="24"/>
                <w:u w:val="single"/>
                <w:lang w:eastAsia="zh-CN"/>
              </w:rPr>
              <w:t>（</w:t>
            </w:r>
            <w:r>
              <w:rPr>
                <w:rFonts w:hint="default" w:ascii="Times New Roman" w:hAnsi="Times New Roman" w:cs="Times New Roman"/>
                <w:color w:val="0000FF"/>
                <w:sz w:val="24"/>
                <w:u w:val="single"/>
                <w:lang w:val="en-US" w:eastAsia="zh-CN"/>
              </w:rPr>
              <w:t>年产生量0.2t/a</w:t>
            </w:r>
            <w:r>
              <w:rPr>
                <w:rFonts w:hint="default" w:ascii="Times New Roman" w:hAnsi="Times New Roman" w:cs="Times New Roman"/>
                <w:color w:val="0000FF"/>
                <w:sz w:val="24"/>
                <w:u w:val="single"/>
                <w:lang w:eastAsia="zh-CN"/>
              </w:rPr>
              <w:t>）</w:t>
            </w:r>
            <w:r>
              <w:rPr>
                <w:rFonts w:hint="default" w:ascii="Times New Roman" w:hAnsi="Times New Roman" w:cs="Times New Roman"/>
                <w:color w:val="0000FF"/>
                <w:sz w:val="24"/>
                <w:u w:val="single"/>
              </w:rPr>
              <w:t>，</w:t>
            </w:r>
            <w:r>
              <w:rPr>
                <w:rFonts w:hint="default" w:ascii="Times New Roman" w:hAnsi="Times New Roman" w:cs="Times New Roman"/>
                <w:sz w:val="24"/>
                <w:u w:val="single"/>
              </w:rPr>
              <w:t>油罐底渣属于危险废物，危险废物类别为HW08，废物代码900-221-08（废燃料油及燃料油储存过程中产生的油泥）。从防火防爆安全角度考虑，加油站油罐清洗均由建设单位委托资质专业单位进行，清洗时产生的油罐废油渣属于危险固废，暂存至危废暂存间后委托专门单位负责处置。</w:t>
            </w:r>
          </w:p>
          <w:p>
            <w:pPr>
              <w:adjustRightInd w:val="0"/>
              <w:snapToGrid w:val="0"/>
              <w:spacing w:line="360" w:lineRule="auto"/>
              <w:ind w:firstLine="480" w:firstLineChars="200"/>
              <w:rPr>
                <w:rFonts w:hint="default" w:ascii="Times New Roman" w:hAnsi="Times New Roman" w:eastAsia="宋体" w:cs="Times New Roman"/>
                <w:color w:val="0000FF"/>
                <w:sz w:val="24"/>
                <w:u w:val="single"/>
                <w:lang w:eastAsia="zh-CN"/>
              </w:rPr>
            </w:pPr>
            <w:r>
              <w:rPr>
                <w:rFonts w:hint="default" w:ascii="Times New Roman" w:hAnsi="Times New Roman" w:cs="Times New Roman"/>
                <w:color w:val="0000FF"/>
                <w:sz w:val="24"/>
                <w:u w:val="single"/>
              </w:rPr>
              <w:t>设备检修废机油：项目生产设备在进行检修保养过程中会产生一定量的废机油，废机油产生量约为0.02t/</w:t>
            </w:r>
            <w:r>
              <w:rPr>
                <w:rFonts w:hint="default" w:ascii="Times New Roman" w:hAnsi="Times New Roman" w:cs="Times New Roman"/>
                <w:color w:val="0000FF"/>
                <w:sz w:val="24"/>
                <w:u w:val="single"/>
                <w:lang w:val="en-US" w:eastAsia="zh-CN"/>
              </w:rPr>
              <w:t>a</w:t>
            </w:r>
            <w:r>
              <w:rPr>
                <w:rFonts w:hint="default" w:ascii="Times New Roman" w:hAnsi="Times New Roman" w:cs="Times New Roman"/>
                <w:color w:val="0000FF"/>
                <w:sz w:val="24"/>
                <w:u w:val="single"/>
              </w:rPr>
              <w:t>，属于《国家危险废物名录》（2019年版）中"HW08废矿物油及含矿物油废物"，危废代码900-249-08</w:t>
            </w:r>
          </w:p>
          <w:p>
            <w:pPr>
              <w:spacing w:line="360" w:lineRule="auto"/>
              <w:jc w:val="center"/>
              <w:rPr>
                <w:rFonts w:hint="default" w:ascii="Times New Roman" w:hAnsi="Times New Roman" w:cs="Times New Roman"/>
                <w:u w:val="single"/>
              </w:rPr>
            </w:pPr>
            <w:r>
              <w:rPr>
                <w:rFonts w:hint="default" w:ascii="Times New Roman" w:hAnsi="Times New Roman" w:cs="Times New Roman"/>
                <w:b/>
                <w:bCs/>
                <w:szCs w:val="21"/>
                <w:u w:val="single"/>
              </w:rPr>
              <w:t>表4-</w:t>
            </w:r>
            <w:r>
              <w:rPr>
                <w:rFonts w:hint="default" w:ascii="Times New Roman" w:hAnsi="Times New Roman" w:cs="Times New Roman"/>
                <w:b/>
                <w:bCs/>
                <w:szCs w:val="21"/>
                <w:u w:val="single"/>
                <w:lang w:val="en-US" w:eastAsia="zh-CN"/>
              </w:rPr>
              <w:t>7</w:t>
            </w:r>
            <w:r>
              <w:rPr>
                <w:rFonts w:hint="default" w:ascii="Times New Roman" w:hAnsi="Times New Roman" w:cs="Times New Roman"/>
                <w:b/>
                <w:bCs/>
                <w:szCs w:val="21"/>
                <w:u w:val="single"/>
              </w:rPr>
              <w:t xml:space="preserve">  本项目危废产生情况及拟采取措施</w:t>
            </w:r>
          </w:p>
          <w:tbl>
            <w:tblPr>
              <w:tblStyle w:val="26"/>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116"/>
              <w:gridCol w:w="1625"/>
              <w:gridCol w:w="2198"/>
              <w:gridCol w:w="967"/>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序号</w:t>
                  </w:r>
                </w:p>
              </w:tc>
              <w:tc>
                <w:tcPr>
                  <w:tcW w:w="1116"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名称</w:t>
                  </w:r>
                </w:p>
              </w:tc>
              <w:tc>
                <w:tcPr>
                  <w:tcW w:w="162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污染物</w:t>
                  </w:r>
                </w:p>
              </w:tc>
              <w:tc>
                <w:tcPr>
                  <w:tcW w:w="2198"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类别及危废代码</w:t>
                  </w:r>
                </w:p>
              </w:tc>
              <w:tc>
                <w:tcPr>
                  <w:tcW w:w="967"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产量</w:t>
                  </w:r>
                </w:p>
              </w:tc>
              <w:tc>
                <w:tcPr>
                  <w:tcW w:w="1309"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1</w:t>
                  </w:r>
                </w:p>
              </w:tc>
              <w:tc>
                <w:tcPr>
                  <w:tcW w:w="1116"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含油污泥</w:t>
                  </w:r>
                </w:p>
              </w:tc>
              <w:tc>
                <w:tcPr>
                  <w:tcW w:w="162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矿物油类物质</w:t>
                  </w:r>
                </w:p>
              </w:tc>
              <w:tc>
                <w:tcPr>
                  <w:tcW w:w="2198"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HW08(900-210-08)</w:t>
                  </w:r>
                </w:p>
              </w:tc>
              <w:tc>
                <w:tcPr>
                  <w:tcW w:w="967"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0.6t/a</w:t>
                  </w:r>
                </w:p>
              </w:tc>
              <w:tc>
                <w:tcPr>
                  <w:tcW w:w="1309" w:type="dxa"/>
                  <w:vMerge w:val="restart"/>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危废暂存间收集暂存，送有资质单位处理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2</w:t>
                  </w:r>
                </w:p>
              </w:tc>
              <w:tc>
                <w:tcPr>
                  <w:tcW w:w="1116"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含油抹布手套</w:t>
                  </w:r>
                </w:p>
              </w:tc>
              <w:tc>
                <w:tcPr>
                  <w:tcW w:w="1625"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矿物油类物质</w:t>
                  </w:r>
                </w:p>
              </w:tc>
              <w:tc>
                <w:tcPr>
                  <w:tcW w:w="2198"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HW49(900-041-49)</w:t>
                  </w:r>
                </w:p>
              </w:tc>
              <w:tc>
                <w:tcPr>
                  <w:tcW w:w="967" w:type="dxa"/>
                  <w:noWrap w:val="0"/>
                  <w:vAlign w:val="center"/>
                </w:tcPr>
                <w:p>
                  <w:pPr>
                    <w:jc w:val="center"/>
                    <w:rPr>
                      <w:rFonts w:hint="default" w:ascii="Times New Roman" w:hAnsi="Times New Roman" w:cs="Times New Roman"/>
                      <w:szCs w:val="21"/>
                      <w:u w:val="single"/>
                    </w:rPr>
                  </w:pPr>
                  <w:r>
                    <w:rPr>
                      <w:rFonts w:hint="default" w:ascii="Times New Roman" w:hAnsi="Times New Roman" w:cs="Times New Roman"/>
                      <w:szCs w:val="21"/>
                      <w:u w:val="single"/>
                    </w:rPr>
                    <w:t>0.03t/a</w:t>
                  </w:r>
                </w:p>
              </w:tc>
              <w:tc>
                <w:tcPr>
                  <w:tcW w:w="1309" w:type="dxa"/>
                  <w:vMerge w:val="continue"/>
                  <w:noWrap w:val="0"/>
                  <w:vAlign w:val="center"/>
                </w:tcPr>
                <w:p>
                  <w:pPr>
                    <w:jc w:val="center"/>
                    <w:rPr>
                      <w:rFonts w:hint="default" w:ascii="Times New Roman" w:hAnsi="Times New Roman" w:cs="Times New Roman"/>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3</w:t>
                  </w:r>
                </w:p>
              </w:tc>
              <w:tc>
                <w:tcPr>
                  <w:tcW w:w="1116"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废油渣</w:t>
                  </w:r>
                </w:p>
              </w:tc>
              <w:tc>
                <w:tcPr>
                  <w:tcW w:w="1625"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矿物油类物质</w:t>
                  </w:r>
                </w:p>
              </w:tc>
              <w:tc>
                <w:tcPr>
                  <w:tcW w:w="2198"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HW08(900-221-08)</w:t>
                  </w:r>
                </w:p>
              </w:tc>
              <w:tc>
                <w:tcPr>
                  <w:tcW w:w="967" w:type="dxa"/>
                  <w:noWrap w:val="0"/>
                  <w:vAlign w:val="center"/>
                </w:tcPr>
                <w:p>
                  <w:pPr>
                    <w:jc w:val="center"/>
                    <w:rPr>
                      <w:rFonts w:hint="default" w:ascii="Times New Roman" w:hAnsi="Times New Roman" w:eastAsia="宋体" w:cs="Times New Roman"/>
                      <w:color w:val="0000FF"/>
                      <w:szCs w:val="21"/>
                      <w:u w:val="single"/>
                      <w:lang w:val="en-US" w:eastAsia="zh-CN"/>
                    </w:rPr>
                  </w:pPr>
                  <w:r>
                    <w:rPr>
                      <w:rFonts w:hint="default" w:ascii="Times New Roman" w:hAnsi="Times New Roman" w:cs="Times New Roman"/>
                      <w:color w:val="0000FF"/>
                      <w:szCs w:val="21"/>
                      <w:u w:val="single"/>
                    </w:rPr>
                    <w:t>0.</w:t>
                  </w:r>
                  <w:r>
                    <w:rPr>
                      <w:rFonts w:hint="default" w:ascii="Times New Roman" w:hAnsi="Times New Roman" w:cs="Times New Roman"/>
                      <w:color w:val="0000FF"/>
                      <w:szCs w:val="21"/>
                      <w:u w:val="single"/>
                      <w:lang w:val="en-US" w:eastAsia="zh-CN"/>
                    </w:rPr>
                    <w:t>2</w:t>
                  </w:r>
                  <w:r>
                    <w:rPr>
                      <w:rFonts w:hint="default" w:ascii="Times New Roman" w:hAnsi="Times New Roman" w:cs="Times New Roman"/>
                      <w:color w:val="0000FF"/>
                      <w:szCs w:val="21"/>
                      <w:u w:val="single"/>
                    </w:rPr>
                    <w:t>t/</w:t>
                  </w:r>
                  <w:r>
                    <w:rPr>
                      <w:rFonts w:hint="default" w:ascii="Times New Roman" w:hAnsi="Times New Roman" w:cs="Times New Roman"/>
                      <w:color w:val="0000FF"/>
                      <w:szCs w:val="21"/>
                      <w:u w:val="single"/>
                      <w:lang w:val="en-US" w:eastAsia="zh-CN"/>
                    </w:rPr>
                    <w:t>a</w:t>
                  </w:r>
                </w:p>
              </w:tc>
              <w:tc>
                <w:tcPr>
                  <w:tcW w:w="1309" w:type="dxa"/>
                  <w:vMerge w:val="continue"/>
                  <w:noWrap w:val="0"/>
                  <w:vAlign w:val="center"/>
                </w:tcPr>
                <w:p>
                  <w:pPr>
                    <w:jc w:val="center"/>
                    <w:rPr>
                      <w:rFonts w:hint="default" w:ascii="Times New Roman" w:hAnsi="Times New Roman" w:cs="Times New Roman"/>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2"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4</w:t>
                  </w:r>
                </w:p>
              </w:tc>
              <w:tc>
                <w:tcPr>
                  <w:tcW w:w="1116"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废机油</w:t>
                  </w:r>
                </w:p>
              </w:tc>
              <w:tc>
                <w:tcPr>
                  <w:tcW w:w="1625"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矿物油类物质</w:t>
                  </w:r>
                </w:p>
              </w:tc>
              <w:tc>
                <w:tcPr>
                  <w:tcW w:w="2198" w:type="dxa"/>
                  <w:noWrap w:val="0"/>
                  <w:vAlign w:val="center"/>
                </w:tcPr>
                <w:p>
                  <w:pPr>
                    <w:jc w:val="center"/>
                    <w:rPr>
                      <w:rFonts w:hint="default" w:ascii="Times New Roman" w:hAnsi="Times New Roman" w:cs="Times New Roman"/>
                      <w:color w:val="0000FF"/>
                      <w:szCs w:val="21"/>
                      <w:u w:val="single"/>
                    </w:rPr>
                  </w:pPr>
                  <w:r>
                    <w:rPr>
                      <w:rFonts w:hint="default" w:ascii="Times New Roman" w:hAnsi="Times New Roman" w:cs="Times New Roman"/>
                      <w:color w:val="0000FF"/>
                      <w:szCs w:val="21"/>
                      <w:u w:val="single"/>
                    </w:rPr>
                    <w:t>HW08(900-249-08)</w:t>
                  </w:r>
                </w:p>
              </w:tc>
              <w:tc>
                <w:tcPr>
                  <w:tcW w:w="967" w:type="dxa"/>
                  <w:noWrap w:val="0"/>
                  <w:vAlign w:val="center"/>
                </w:tcPr>
                <w:p>
                  <w:pPr>
                    <w:jc w:val="center"/>
                    <w:rPr>
                      <w:rFonts w:hint="default" w:ascii="Times New Roman" w:hAnsi="Times New Roman" w:eastAsia="宋体" w:cs="Times New Roman"/>
                      <w:color w:val="0000FF"/>
                      <w:szCs w:val="21"/>
                      <w:u w:val="single"/>
                      <w:lang w:val="en-US" w:eastAsia="zh-CN"/>
                    </w:rPr>
                  </w:pPr>
                  <w:r>
                    <w:rPr>
                      <w:rFonts w:hint="default" w:ascii="Times New Roman" w:hAnsi="Times New Roman" w:cs="Times New Roman"/>
                      <w:color w:val="0000FF"/>
                      <w:szCs w:val="21"/>
                      <w:u w:val="single"/>
                    </w:rPr>
                    <w:t>0.02t/</w:t>
                  </w:r>
                  <w:r>
                    <w:rPr>
                      <w:rFonts w:hint="default" w:ascii="Times New Roman" w:hAnsi="Times New Roman" w:cs="Times New Roman"/>
                      <w:color w:val="0000FF"/>
                      <w:szCs w:val="21"/>
                      <w:u w:val="single"/>
                      <w:lang w:val="en-US" w:eastAsia="zh-CN"/>
                    </w:rPr>
                    <w:t>a</w:t>
                  </w:r>
                </w:p>
              </w:tc>
              <w:tc>
                <w:tcPr>
                  <w:tcW w:w="1309" w:type="dxa"/>
                  <w:vMerge w:val="continue"/>
                  <w:noWrap w:val="0"/>
                  <w:vAlign w:val="center"/>
                </w:tcPr>
                <w:p>
                  <w:pPr>
                    <w:jc w:val="center"/>
                    <w:rPr>
                      <w:rFonts w:hint="default" w:ascii="Times New Roman" w:hAnsi="Times New Roman" w:cs="Times New Roman"/>
                      <w:szCs w:val="21"/>
                      <w:u w:val="single"/>
                    </w:rPr>
                  </w:pPr>
                </w:p>
              </w:tc>
            </w:tr>
          </w:tbl>
          <w:p>
            <w:pPr>
              <w:pStyle w:val="10"/>
              <w:spacing w:before="0" w:after="0" w:line="360" w:lineRule="auto"/>
              <w:ind w:left="420" w:leftChars="200"/>
              <w:rPr>
                <w:rFonts w:hint="default" w:ascii="Times New Roman" w:hAnsi="Times New Roman" w:cs="Times New Roman"/>
                <w:bCs/>
                <w:snapToGrid w:val="0"/>
                <w:kern w:val="2"/>
                <w:sz w:val="24"/>
                <w:szCs w:val="24"/>
                <w:u w:val="single"/>
              </w:rPr>
            </w:pPr>
            <w:r>
              <w:rPr>
                <w:rFonts w:hint="default" w:ascii="Times New Roman" w:hAnsi="Times New Roman" w:cs="Times New Roman"/>
                <w:bCs/>
                <w:snapToGrid w:val="0"/>
                <w:kern w:val="2"/>
                <w:sz w:val="24"/>
                <w:szCs w:val="24"/>
                <w:u w:val="single"/>
              </w:rPr>
              <w:t>（2）生活垃圾</w:t>
            </w:r>
          </w:p>
          <w:p>
            <w:pPr>
              <w:pStyle w:val="10"/>
              <w:spacing w:before="0" w:after="0" w:line="360" w:lineRule="auto"/>
              <w:ind w:firstLine="480" w:firstLineChars="200"/>
              <w:rPr>
                <w:rFonts w:hint="default" w:ascii="Times New Roman" w:hAnsi="Times New Roman" w:cs="Times New Roman"/>
                <w:bCs/>
                <w:snapToGrid w:val="0"/>
                <w:kern w:val="2"/>
                <w:sz w:val="24"/>
                <w:szCs w:val="24"/>
                <w:u w:val="single"/>
              </w:rPr>
            </w:pPr>
            <w:r>
              <w:rPr>
                <w:rFonts w:hint="default" w:ascii="Times New Roman" w:hAnsi="Times New Roman" w:cs="Times New Roman"/>
                <w:bCs/>
                <w:snapToGrid w:val="0"/>
                <w:kern w:val="2"/>
                <w:sz w:val="24"/>
                <w:szCs w:val="24"/>
                <w:u w:val="single"/>
              </w:rPr>
              <w:t>生活来源于员工日常生活及办公，生活垃圾产生量约为0.5kg/人</w:t>
            </w:r>
            <w:r>
              <w:rPr>
                <w:rFonts w:hint="default" w:ascii="Times New Roman" w:hAnsi="Times New Roman" w:cs="Times New Roman"/>
                <w:szCs w:val="21"/>
                <w:u w:val="single"/>
              </w:rPr>
              <w:t>·</w:t>
            </w:r>
            <w:r>
              <w:rPr>
                <w:rFonts w:hint="default" w:ascii="Times New Roman" w:hAnsi="Times New Roman" w:cs="Times New Roman"/>
                <w:sz w:val="22"/>
                <w:szCs w:val="28"/>
                <w:u w:val="single"/>
              </w:rPr>
              <w:t>d，年产生量约为</w:t>
            </w:r>
            <w:r>
              <w:rPr>
                <w:rFonts w:hint="default" w:ascii="Times New Roman" w:hAnsi="Times New Roman" w:cs="Times New Roman"/>
                <w:sz w:val="24"/>
                <w:szCs w:val="32"/>
                <w:u w:val="single"/>
              </w:rPr>
              <w:t>1.46t</w:t>
            </w:r>
            <w:r>
              <w:rPr>
                <w:rFonts w:hint="default" w:ascii="Times New Roman" w:hAnsi="Times New Roman" w:cs="Times New Roman"/>
                <w:bCs/>
                <w:snapToGrid w:val="0"/>
                <w:kern w:val="2"/>
                <w:sz w:val="24"/>
                <w:szCs w:val="24"/>
                <w:u w:val="single"/>
              </w:rPr>
              <w:t>，交由环卫部门处置。经上述措施处理后，本项目产生的固体废物均将得到妥善处置，将不会对环境造成明显影响。</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（3）固废管理要求</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sz w:val="24"/>
                <w:u w:val="single"/>
              </w:rPr>
              <w:t>根据《固体废物污染环境防治法（2020 年修订）》，本项目监督管理要求如下：a.建设项目的环境影响评价文件确定需要配套建设的固体废物污染环境防治设施，应当与主体工程同时设计、同时施工、同时投入使用。建设项目的初步设计，应当按照环境保护设计规范的要求，将固体废物污染环境防 治内容纳入环境影响评价文件，落实防治固体废物污染环境和破坏生态的措 施以及固体废物污染环境防治设施投资概算；b.收集、贮存、运输、利用、处置固体废物的单位和其他生产经营者，应当加强对相关设施、设备和场所的管理和维护，保证其正常运行和使用；c.产生、收集、贮存、运输、利用、处置固体废物的单位和其他生产经营者，应当采取防扬散、防流失、防渗漏或者其他防止污染环境的措施，不得擅自倾倒、堆放、丢弃、遗撒固体废物。</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危险固废必须交由有危废处理资质的单位进行安全处置。危险废物临时堆放于危险废物暂存库暂存，危险废物临时贮存区应按照危险废物临时贮存区应按照</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《建设项目危险废物环境影响评价指南》（环境保护部公告2017 年第 43 号）以及</w:t>
            </w:r>
            <w:r>
              <w:rPr>
                <w:rFonts w:hint="default" w:ascii="Times New Roman" w:hAnsi="Times New Roman" w:cs="Times New Roman"/>
                <w:sz w:val="24"/>
                <w:u w:val="single"/>
              </w:rPr>
              <w:t>《危险废物贮存污染控制标准》（GB18597—2023）</w:t>
            </w:r>
            <w:r>
              <w:rPr>
                <w:rFonts w:hint="default" w:ascii="Times New Roman" w:hAnsi="Times New Roman" w:cs="Times New Roman"/>
                <w:kern w:val="21"/>
                <w:sz w:val="24"/>
                <w:u w:val="single"/>
              </w:rPr>
              <w:t>有关要求进行设置。</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1）危险废物收集防范措施</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散落情况。最后按照对危险废物交换和转移管理工作的有关要求，对危险废物进行安全包装，并在包装的明显位置附上危险废物标签。</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2）危险固废暂存、运输防范措施</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①贮存场所应符合</w:t>
            </w:r>
            <w:r>
              <w:rPr>
                <w:rFonts w:hint="default" w:ascii="Times New Roman" w:hAnsi="Times New Roman" w:cs="Times New Roman"/>
                <w:sz w:val="24"/>
                <w:u w:val="single"/>
              </w:rPr>
              <w:t>《危险废物贮存污染控制标准》（GB18597—2023）</w:t>
            </w:r>
            <w:r>
              <w:rPr>
                <w:rFonts w:hint="default" w:ascii="Times New Roman" w:hAnsi="Times New Roman" w:cs="Times New Roman"/>
                <w:kern w:val="21"/>
                <w:sz w:val="24"/>
                <w:u w:val="single"/>
              </w:rPr>
              <w:t>，有符合要求的专用标志。</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②危废的暂存措施</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a 采取室内贮存方式，设置环境保护图形标志和警示标志。清楚地标明废物类别、数量、主要成分、盛装日期、危险特性等。</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b 按类别放入相应的容器内，不同的危险废物分开存放并设有隔离间隔断；贮存区内禁止混放不相容危险废物。</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c 堆放场为封闭砖混构筑物，室内地面为水泥地，具有耐腐蚀性，基础设置至少 1m 厚粘土层（渗透系数≤10-7cm/s），或 2mm 厚高密度聚乙烯，或至少 2mm 厚的其他人工材料，渗透系数≤10-10cm/s。室内四周设置围堰，具有防渗、防晒、防雨和防风的效果。</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d 废物运输过程中应做好危废的密闭储存措施，防止运输时危废的泄漏，造成环境污染。</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e 建立档案制度，对暂存的废物种类、数量、特性、包装容器类别、存放库位、存入日期、运出日期等详细记录在案并长期保存。</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f 贮存区考虑相应的集排水和防渗设施。g 贮存区符合消防要求。</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h 建立定期巡查、维护制度。</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3）此外，危险废物的管理做到以下几点：</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①必须按国家有关规定申报登记；</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kern w:val="21"/>
                <w:sz w:val="24"/>
                <w:u w:val="single"/>
              </w:rPr>
              <w:t>②建立健全污染防治责任制度，外运处理的废弃物必须交由有资质的专业固 体废物处理部门处理，转移危险废弃物的必须按照国家有关规定填写危险废物转移六联单；</w:t>
            </w:r>
          </w:p>
          <w:p>
            <w:pPr>
              <w:adjustRightInd w:val="0"/>
              <w:snapToGrid w:val="0"/>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kern w:val="21"/>
                <w:sz w:val="24"/>
                <w:u w:val="single"/>
              </w:rPr>
              <w:t>③专业部门在收集、储存、运输、利用、处置废物过程中必须严格执行国家 的有关规定，采取防止扬散、流失、防渗或其它防止污染环境的措施。</w:t>
            </w:r>
          </w:p>
          <w:p>
            <w:pPr>
              <w:pStyle w:val="10"/>
              <w:spacing w:before="0" w:after="0" w:line="360" w:lineRule="auto"/>
              <w:ind w:firstLine="480" w:firstLineChars="200"/>
              <w:rPr>
                <w:rFonts w:hint="default" w:ascii="Times New Roman" w:hAnsi="Times New Roman" w:cs="Times New Roman"/>
                <w:bCs/>
                <w:snapToGrid w:val="0"/>
                <w:kern w:val="2"/>
                <w:sz w:val="24"/>
                <w:szCs w:val="24"/>
                <w:u w:val="single"/>
              </w:rPr>
            </w:pPr>
            <w:r>
              <w:rPr>
                <w:rFonts w:hint="default" w:ascii="Times New Roman" w:hAnsi="Times New Roman" w:cs="Times New Roman"/>
                <w:snapToGrid w:val="0"/>
                <w:kern w:val="21"/>
                <w:sz w:val="24"/>
                <w:u w:val="single"/>
              </w:rPr>
              <w:t>采取上述措施，加强管理后，项目运营期间产生的固体废物均得到有效处置，不随意丢弃，对周围环境影响不大。</w:t>
            </w:r>
          </w:p>
          <w:p>
            <w:pPr>
              <w:pStyle w:val="71"/>
              <w:ind w:firstLine="0" w:firstLineChars="0"/>
              <w:rPr>
                <w:rFonts w:hint="default" w:ascii="Times New Roman" w:hAnsi="Times New Roman" w:cs="Times New Roman"/>
                <w:b/>
              </w:rPr>
            </w:pPr>
            <w:r>
              <w:rPr>
                <w:rFonts w:hint="default" w:ascii="Times New Roman" w:hAnsi="Times New Roman" w:cs="Times New Roman"/>
                <w:b/>
              </w:rPr>
              <w:t>5、地下水、土壤</w:t>
            </w:r>
          </w:p>
          <w:p>
            <w:pPr>
              <w:adjustRightInd w:val="0"/>
              <w:snapToGrid w:val="0"/>
              <w:spacing w:line="360" w:lineRule="auto"/>
              <w:ind w:firstLine="482" w:firstLineChars="200"/>
              <w:rPr>
                <w:rFonts w:hint="default" w:ascii="Times New Roman" w:hAnsi="Times New Roman" w:cs="Times New Roman"/>
                <w:b/>
                <w:sz w:val="24"/>
                <w:szCs w:val="20"/>
              </w:rPr>
            </w:pPr>
            <w:r>
              <w:rPr>
                <w:rFonts w:hint="default" w:ascii="Times New Roman" w:hAnsi="Times New Roman" w:cs="Times New Roman"/>
                <w:b/>
                <w:sz w:val="24"/>
                <w:szCs w:val="20"/>
              </w:rPr>
              <w:t>5.1污染途径</w:t>
            </w:r>
          </w:p>
          <w:p>
            <w:pPr>
              <w:adjustRightInd w:val="0"/>
              <w:snapToGrid w:val="0"/>
              <w:spacing w:line="360" w:lineRule="auto"/>
              <w:ind w:firstLine="480" w:firstLineChars="200"/>
              <w:rPr>
                <w:rFonts w:hint="default" w:ascii="Times New Roman" w:hAnsi="Times New Roman" w:cs="Times New Roman"/>
                <w:kern w:val="21"/>
                <w:sz w:val="24"/>
                <w:u w:val="single"/>
              </w:rPr>
            </w:pPr>
            <w:r>
              <w:rPr>
                <w:rFonts w:hint="default" w:ascii="Times New Roman" w:hAnsi="Times New Roman" w:cs="Times New Roman"/>
                <w:sz w:val="24"/>
                <w:u w:val="single"/>
              </w:rPr>
              <w:t>本项目用水采用城市自来水管网供给，生活污水及厕所废水经化粪池</w:t>
            </w:r>
            <w:r>
              <w:rPr>
                <w:rFonts w:hint="default" w:ascii="Times New Roman" w:hAnsi="Times New Roman" w:cs="Times New Roman"/>
                <w:sz w:val="24"/>
                <w:u w:val="single"/>
                <w:lang w:val="en-US" w:eastAsia="zh-CN"/>
              </w:rPr>
              <w:t>+调节池</w:t>
            </w:r>
            <w:r>
              <w:rPr>
                <w:rFonts w:hint="default" w:ascii="Times New Roman" w:hAnsi="Times New Roman" w:cs="Times New Roman"/>
                <w:sz w:val="24"/>
                <w:u w:val="single"/>
              </w:rPr>
              <w:t>处理后用于周边绿植施肥，初期雨水及地面清洗废水经隔油沉淀后用于洒水降尘及绿植灌溉。通过分析可知，本项目给、排水均不会与地下水直接发生联系，故本项目的建设基本不会对地下水水位造成明显影响。本项目的建设仅有可能对地下水的水质造成一定影响。根据工程所处区域的地质情况，本项目可能对土壤和地下水造成污染的途径主要有：地埋式储油罐、卸油口和输油管线若发生泄漏或渗漏，将会对地下水造成较为严重的污染。</w:t>
            </w:r>
          </w:p>
          <w:p>
            <w:pPr>
              <w:pStyle w:val="71"/>
              <w:ind w:firstLine="482"/>
              <w:rPr>
                <w:rFonts w:hint="default" w:ascii="Times New Roman" w:hAnsi="Times New Roman" w:cs="Times New Roman"/>
                <w:b/>
              </w:rPr>
            </w:pPr>
            <w:r>
              <w:rPr>
                <w:rFonts w:hint="default" w:ascii="Times New Roman" w:hAnsi="Times New Roman" w:cs="Times New Roman"/>
                <w:b/>
              </w:rPr>
              <w:t>5.2土壤防控要求</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本项目土壤、地下水污染防治措施和对策，应坚持“源头控制、分区防 治、污染监控、应急响应”的原则，确保本项目建设对项目所在地土壤、地下水不会产生影响。（1）源头控制项目影响源主要为站区内储油罐、输油管线，评价建议站区做好源头控制工作，切断其对土壤环境的影响。建设单位应严格按照国家相关规范要求，对管道、设备采取相应的措施，以防止和降低污染物的跑、冒、滴、漏；将地下储油罐设置为SF型（钢制强化玻璃纤维制）双层卧式地埋罐，内钢外玻璃纤维之间有0.1mm的空隙，即使内壳产生泄漏，也能保证所容危险物仅在空隙中流动，不会马上溢出外界污染环境，高效环保；同时油罐配备了泄漏检测仪，一旦内部产生泄漏后，传感器能够感应泄漏流向流量产生峰鸣警报，保证在第一时间停止使用并及时修补，钢制油罐的外表面按照《石油化工设备和管道涂层防腐技术规范》的相关规定，采用相应的防腐涂层；加油管线采用埋设于地面下的固定工艺管道，管道采用双层管道，有效防止加油管线发生泄漏。符合《汽车加油加气加氢站技术标准》(GB50156-2021)防渗要求。</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（2）过程防控措施</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建设单位应对站区进行分区防渗，减少污染物的下渗。①储油区、卸油区、加油区等划分为重点防渗区，地面及裙角均铺设有坚固、防渗材料，做到防风、防雨、防晒；危险废物分类储存，采用专用密闭容器贮存。基础防渗层为至少1m厚粘土层（渗透系数≤10-7cm/s），或2mm厚高密度聚乙烯，或至少2mm厚的其他人工材料，渗透系数≤10-10cm/s，避免危险废物渗滤液下渗污染土壤和地下水。</w:t>
            </w:r>
          </w:p>
          <w:p>
            <w:pPr>
              <w:pStyle w:val="71"/>
              <w:ind w:firstLine="480"/>
              <w:rPr>
                <w:rFonts w:hint="default" w:ascii="Times New Roman" w:hAnsi="Times New Roman" w:cs="Times New Roman"/>
                <w:b/>
                <w:bCs/>
                <w:u w:val="single"/>
              </w:rPr>
            </w:pPr>
            <w:r>
              <w:rPr>
                <w:rFonts w:hint="default" w:ascii="Times New Roman" w:hAnsi="Times New Roman" w:cs="Times New Roman"/>
                <w:szCs w:val="24"/>
                <w:u w:val="single"/>
              </w:rPr>
              <w:t>②营业室等划分为一般防渗区，地基处理时表层50cm以上的夯实粘性土层（要求压实后渗透系数为10-7cm/s至10-5cm/s），上部铺设15cm厚的防渗钢纤维混凝土现浇垫层（渗透系数不大于10-8cm/s）。</w:t>
            </w:r>
          </w:p>
          <w:p>
            <w:pPr>
              <w:pStyle w:val="71"/>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表4-</w:t>
            </w:r>
            <w:r>
              <w:rPr>
                <w:rFonts w:hint="default" w:ascii="Times New Roman" w:hAnsi="Times New Roman" w:cs="Times New Roman"/>
                <w:b/>
                <w:sz w:val="21"/>
                <w:szCs w:val="21"/>
                <w:u w:val="single"/>
                <w:lang w:val="en-US" w:eastAsia="zh-CN"/>
              </w:rPr>
              <w:t>8</w:t>
            </w:r>
            <w:r>
              <w:rPr>
                <w:rFonts w:hint="default" w:ascii="Times New Roman" w:hAnsi="Times New Roman" w:cs="Times New Roman"/>
                <w:b/>
                <w:sz w:val="21"/>
                <w:szCs w:val="21"/>
                <w:u w:val="single"/>
              </w:rPr>
              <w:t xml:space="preserve"> 本项目污染区划分及防渗等级一览表</w:t>
            </w:r>
          </w:p>
          <w:tbl>
            <w:tblPr>
              <w:tblStyle w:val="26"/>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1882"/>
              <w:gridCol w:w="2760"/>
              <w:gridCol w:w="1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1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分区</w:t>
                  </w:r>
                </w:p>
              </w:tc>
              <w:tc>
                <w:tcPr>
                  <w:tcW w:w="1882"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厂区分区</w:t>
                  </w:r>
                </w:p>
              </w:tc>
              <w:tc>
                <w:tcPr>
                  <w:tcW w:w="2760"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防渗措施</w:t>
                  </w:r>
                </w:p>
              </w:tc>
              <w:tc>
                <w:tcPr>
                  <w:tcW w:w="198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1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非防渗区</w:t>
                  </w:r>
                </w:p>
              </w:tc>
              <w:tc>
                <w:tcPr>
                  <w:tcW w:w="1882"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绿化</w:t>
                  </w:r>
                </w:p>
              </w:tc>
              <w:tc>
                <w:tcPr>
                  <w:tcW w:w="2760"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简单地面硬化即可</w:t>
                  </w:r>
                </w:p>
              </w:tc>
              <w:tc>
                <w:tcPr>
                  <w:tcW w:w="198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1" w:hRule="atLeast"/>
              </w:trPr>
              <w:tc>
                <w:tcPr>
                  <w:tcW w:w="131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一般防渗区</w:t>
                  </w:r>
                </w:p>
              </w:tc>
              <w:tc>
                <w:tcPr>
                  <w:tcW w:w="1882"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营业室等其他区域</w:t>
                  </w:r>
                </w:p>
              </w:tc>
              <w:tc>
                <w:tcPr>
                  <w:tcW w:w="2760"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采用“水泥硬化+地砖”进行防渗，其防渗层至下而上依次为：100mm厚C15砼垫底，1.5mm厚水泥基防水涂料，200mm 厚C25 砼（内配钢筋），20mm厚1：3干硬性水泥浆结合层（表面撒水泥粉），10mm厚玻化地砖（干水泥擦缝）</w:t>
                  </w:r>
                </w:p>
              </w:tc>
              <w:tc>
                <w:tcPr>
                  <w:tcW w:w="198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渗透系数≤0.5×10 -8cm/s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1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重点防渗区</w:t>
                  </w:r>
                </w:p>
              </w:tc>
              <w:tc>
                <w:tcPr>
                  <w:tcW w:w="1882"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储油区、卸油区、加油区</w:t>
                  </w:r>
                </w:p>
              </w:tc>
              <w:tc>
                <w:tcPr>
                  <w:tcW w:w="2760"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（1）地面防渗处理：采用防腐蚀环氧地面进行重点防渗，具体要求：防渗层至下而上依次为：100mm厚C15砼垫底，1.5mm厚水泥基防水涂料，200mm厚C25砼（内配钢筋），2mm厚防腐蚀环氧涂料；</w:t>
                  </w:r>
                </w:p>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（2）设置地沟及对地沟采取相应防渗措施：设置地沟及集液坑，并对地沟和集液坑分别采取防渗措施，地沟（底部及两侧）及集液坑（底部及四壁）均设置防腐蚀环氧层进行防渗。。</w:t>
                  </w:r>
                </w:p>
              </w:tc>
              <w:tc>
                <w:tcPr>
                  <w:tcW w:w="1987"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渗透系数≤1.0×10 -11cm/s</w:t>
                  </w:r>
                </w:p>
              </w:tc>
            </w:tr>
          </w:tbl>
          <w:p>
            <w:pPr>
              <w:pStyle w:val="71"/>
              <w:ind w:firstLine="0" w:firstLineChars="0"/>
              <w:rPr>
                <w:rFonts w:hint="default" w:ascii="Times New Roman" w:hAnsi="Times New Roman" w:cs="Times New Roman"/>
                <w:b/>
                <w:u w:val="single"/>
              </w:rPr>
            </w:pPr>
            <w:r>
              <w:rPr>
                <w:rFonts w:hint="default" w:ascii="Times New Roman" w:hAnsi="Times New Roman" w:cs="Times New Roman"/>
                <w:b/>
                <w:u w:val="single"/>
              </w:rPr>
              <w:t xml:space="preserve">    </w:t>
            </w:r>
            <w:r>
              <w:rPr>
                <w:rFonts w:hint="default" w:ascii="Times New Roman" w:hAnsi="Times New Roman" w:cs="Times New Roman"/>
                <w:szCs w:val="24"/>
                <w:u w:val="single"/>
              </w:rPr>
              <w:t>采取上述防控措施后，本项目对周边土壤、地下水环境质量影响较小， 不会降低土壤、地下水环境质量。</w:t>
            </w:r>
          </w:p>
          <w:p>
            <w:pPr>
              <w:pStyle w:val="71"/>
              <w:ind w:firstLine="482"/>
              <w:rPr>
                <w:rFonts w:hint="default" w:ascii="Times New Roman" w:hAnsi="Times New Roman" w:cs="Times New Roman"/>
                <w:b/>
              </w:rPr>
            </w:pPr>
            <w:r>
              <w:rPr>
                <w:rFonts w:hint="default" w:ascii="Times New Roman" w:hAnsi="Times New Roman" w:cs="Times New Roman"/>
                <w:b/>
              </w:rPr>
              <w:t>5.3地下水监测</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企业已在罐区设置了1个地下水监测水井，以便及时发现问题，采取措 施。</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6、生态</w:t>
            </w:r>
          </w:p>
          <w:p>
            <w:pPr>
              <w:pStyle w:val="71"/>
              <w:ind w:firstLine="480"/>
              <w:rPr>
                <w:rFonts w:hint="default" w:ascii="Times New Roman" w:hAnsi="Times New Roman" w:cs="Times New Roman"/>
                <w:u w:val="single"/>
              </w:rPr>
            </w:pPr>
            <w:r>
              <w:rPr>
                <w:rFonts w:hint="default" w:ascii="Times New Roman" w:hAnsi="Times New Roman" w:cs="Times New Roman"/>
                <w:u w:val="single"/>
              </w:rPr>
              <w:t>本项目位于城市建成区内，不开展生态环境影响分析。</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7、环境风险</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7.1 环境风险识别</w:t>
            </w:r>
          </w:p>
          <w:p>
            <w:pPr>
              <w:tabs>
                <w:tab w:val="left" w:pos="360"/>
              </w:tabs>
              <w:spacing w:line="360" w:lineRule="auto"/>
              <w:ind w:firstLine="480" w:firstLineChars="200"/>
              <w:rPr>
                <w:rFonts w:hint="default" w:ascii="Times New Roman" w:hAnsi="Times New Roman" w:cs="Times New Roman"/>
                <w:sz w:val="24"/>
                <w:u w:val="single"/>
              </w:rPr>
            </w:pPr>
            <w:r>
              <w:rPr>
                <w:rFonts w:hint="default" w:ascii="Times New Roman" w:hAnsi="Times New Roman" w:cs="Times New Roman"/>
                <w:sz w:val="24"/>
                <w:u w:val="single"/>
              </w:rPr>
              <w:t>根据《建设项目环境影响报告表编制技术指南（污染影响类）（试行）》， 有毒有害和易燃易爆危险物质存储量超过临界量的建设项目需要设置风险专 项评价。对照《建设项目环境风险评价技术导则》（HJ169-2018）附录 B、 附录 C，本项目风险物质及临界量对比详见下表。</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rFonts w:hint="default" w:ascii="Times New Roman" w:hAnsi="Times New Roman" w:cs="Times New Roman"/>
                <w:b/>
                <w:bCs/>
                <w:szCs w:val="21"/>
                <w:u w:val="single"/>
              </w:rPr>
            </w:pPr>
            <w:r>
              <w:rPr>
                <w:rFonts w:hint="default" w:ascii="Times New Roman" w:hAnsi="Times New Roman" w:cs="Times New Roman"/>
                <w:b/>
                <w:bCs/>
                <w:szCs w:val="21"/>
                <w:u w:val="single"/>
              </w:rPr>
              <w:t>表4-</w:t>
            </w:r>
            <w:r>
              <w:rPr>
                <w:rFonts w:hint="default" w:ascii="Times New Roman" w:hAnsi="Times New Roman" w:cs="Times New Roman"/>
                <w:b/>
                <w:bCs/>
                <w:szCs w:val="21"/>
                <w:u w:val="single"/>
                <w:lang w:val="en-US" w:eastAsia="zh-CN"/>
              </w:rPr>
              <w:t>9</w:t>
            </w:r>
            <w:r>
              <w:rPr>
                <w:rFonts w:hint="default" w:ascii="Times New Roman" w:hAnsi="Times New Roman" w:cs="Times New Roman"/>
                <w:b/>
                <w:bCs/>
                <w:szCs w:val="21"/>
                <w:u w:val="single"/>
              </w:rPr>
              <w:t xml:space="preserve">  环境风险物质储存情况表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624"/>
              <w:gridCol w:w="903"/>
              <w:gridCol w:w="1614"/>
              <w:gridCol w:w="1056"/>
              <w:gridCol w:w="2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1"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序号</w:t>
                  </w:r>
                </w:p>
              </w:tc>
              <w:tc>
                <w:tcPr>
                  <w:tcW w:w="156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风险物质名称</w:t>
                  </w:r>
                </w:p>
              </w:tc>
              <w:tc>
                <w:tcPr>
                  <w:tcW w:w="872"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CAS号</w:t>
                  </w:r>
                </w:p>
              </w:tc>
              <w:tc>
                <w:tcPr>
                  <w:tcW w:w="155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最大暂存量（t）</w:t>
                  </w:r>
                </w:p>
              </w:tc>
              <w:tc>
                <w:tcPr>
                  <w:tcW w:w="1020"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临界量</w:t>
                  </w:r>
                </w:p>
              </w:tc>
              <w:tc>
                <w:tcPr>
                  <w:tcW w:w="2185"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1"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1</w:t>
                  </w:r>
                </w:p>
              </w:tc>
              <w:tc>
                <w:tcPr>
                  <w:tcW w:w="156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汽油</w:t>
                  </w:r>
                </w:p>
              </w:tc>
              <w:tc>
                <w:tcPr>
                  <w:tcW w:w="872"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w:t>
                  </w:r>
                </w:p>
              </w:tc>
              <w:tc>
                <w:tcPr>
                  <w:tcW w:w="155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75</w:t>
                  </w:r>
                </w:p>
              </w:tc>
              <w:tc>
                <w:tcPr>
                  <w:tcW w:w="1020"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2500t</w:t>
                  </w:r>
                </w:p>
              </w:tc>
              <w:tc>
                <w:tcPr>
                  <w:tcW w:w="2185"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1"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2</w:t>
                  </w:r>
                </w:p>
              </w:tc>
              <w:tc>
                <w:tcPr>
                  <w:tcW w:w="156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柴油</w:t>
                  </w:r>
                </w:p>
              </w:tc>
              <w:tc>
                <w:tcPr>
                  <w:tcW w:w="872"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w:t>
                  </w:r>
                </w:p>
              </w:tc>
              <w:tc>
                <w:tcPr>
                  <w:tcW w:w="1559"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83</w:t>
                  </w:r>
                </w:p>
              </w:tc>
              <w:tc>
                <w:tcPr>
                  <w:tcW w:w="1020"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2500t</w:t>
                  </w:r>
                </w:p>
              </w:tc>
              <w:tc>
                <w:tcPr>
                  <w:tcW w:w="2185"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0.0332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51" w:type="dxa"/>
                  <w:gridSpan w:val="5"/>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项目Q值</w:t>
                  </w:r>
                  <w:r>
                    <w:rPr>
                      <w:rFonts w:hint="default" w:ascii="Times New Roman" w:hAnsi="Times New Roman" w:cs="Times New Roman"/>
                      <w:sz w:val="24"/>
                      <w:u w:val="single"/>
                    </w:rPr>
                    <w:t>Σ</w:t>
                  </w:r>
                </w:p>
              </w:tc>
              <w:tc>
                <w:tcPr>
                  <w:tcW w:w="2185" w:type="dxa"/>
                  <w:noWrap w:val="0"/>
                  <w:vAlign w:val="center"/>
                </w:tcPr>
                <w:p>
                  <w:pPr>
                    <w:tabs>
                      <w:tab w:val="left" w:pos="360"/>
                    </w:tabs>
                    <w:jc w:val="center"/>
                    <w:rPr>
                      <w:rFonts w:hint="default" w:ascii="Times New Roman" w:hAnsi="Times New Roman" w:cs="Times New Roman"/>
                      <w:snapToGrid w:val="0"/>
                      <w:szCs w:val="21"/>
                      <w:u w:val="single"/>
                    </w:rPr>
                  </w:pPr>
                  <w:r>
                    <w:rPr>
                      <w:rFonts w:hint="default" w:ascii="Times New Roman" w:hAnsi="Times New Roman" w:cs="Times New Roman"/>
                      <w:snapToGrid w:val="0"/>
                      <w:szCs w:val="21"/>
                      <w:u w:val="single"/>
                    </w:rPr>
                    <w:t>0.0632</w:t>
                  </w:r>
                </w:p>
              </w:tc>
            </w:tr>
          </w:tbl>
          <w:p>
            <w:pPr>
              <w:spacing w:line="360" w:lineRule="auto"/>
              <w:ind w:firstLine="480" w:firstLineChars="200"/>
              <w:rPr>
                <w:rFonts w:hint="default" w:ascii="Times New Roman" w:hAnsi="Times New Roman" w:cs="Times New Roman"/>
                <w:color w:val="0000FF"/>
                <w:sz w:val="24"/>
              </w:rPr>
            </w:pPr>
            <w:r>
              <w:rPr>
                <w:rFonts w:hint="default" w:ascii="Times New Roman" w:hAnsi="Times New Roman" w:cs="Times New Roman"/>
                <w:sz w:val="24"/>
                <w:u w:val="single"/>
              </w:rPr>
              <w:t>根据上表，有毒有害和易燃易爆等危险物质存储量均低于临界量，</w:t>
            </w:r>
            <w:r>
              <w:rPr>
                <w:rFonts w:hint="default" w:ascii="Times New Roman" w:hAnsi="Times New Roman" w:cs="Times New Roman"/>
                <w:color w:val="0000FF"/>
                <w:sz w:val="24"/>
              </w:rPr>
              <w:t>根据《建设项目环境风险评价技术导则》（HJ169-2018）可知，Q&lt;1，项目风险潜势为Ⅰ，可开展简单分析。</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7.2 危险物质和风险源分布情况</w:t>
            </w:r>
          </w:p>
          <w:p>
            <w:pPr>
              <w:pStyle w:val="71"/>
              <w:ind w:firstLine="480"/>
              <w:rPr>
                <w:rFonts w:hint="default" w:ascii="Times New Roman" w:hAnsi="Times New Roman" w:cs="Times New Roman"/>
                <w:b/>
                <w:u w:val="single"/>
              </w:rPr>
            </w:pPr>
            <w:r>
              <w:rPr>
                <w:rFonts w:hint="default" w:ascii="Times New Roman" w:hAnsi="Times New Roman" w:cs="Times New Roman"/>
                <w:szCs w:val="24"/>
                <w:u w:val="single"/>
              </w:rPr>
              <w:t>本项目风险物质和风险源分布情况如下：</w:t>
            </w:r>
          </w:p>
          <w:p>
            <w:pPr>
              <w:pBdr>
                <w:top w:val="none" w:color="auto" w:sz="0" w:space="1"/>
                <w:left w:val="none" w:color="auto" w:sz="0" w:space="4"/>
                <w:bottom w:val="none" w:color="auto" w:sz="0" w:space="1"/>
                <w:right w:val="none" w:color="auto" w:sz="0" w:space="4"/>
              </w:pBdr>
              <w:adjustRightInd w:val="0"/>
              <w:snapToGrid w:val="0"/>
              <w:spacing w:line="360" w:lineRule="auto"/>
              <w:jc w:val="center"/>
              <w:rPr>
                <w:rFonts w:hint="default" w:ascii="Times New Roman" w:hAnsi="Times New Roman" w:cs="Times New Roman"/>
                <w:b/>
                <w:bCs/>
                <w:szCs w:val="21"/>
                <w:u w:val="single"/>
              </w:rPr>
            </w:pPr>
            <w:r>
              <w:rPr>
                <w:rFonts w:hint="default" w:ascii="Times New Roman" w:hAnsi="Times New Roman" w:cs="Times New Roman"/>
                <w:b/>
                <w:bCs/>
                <w:szCs w:val="21"/>
                <w:u w:val="single"/>
              </w:rPr>
              <w:t>表4-</w:t>
            </w:r>
            <w:r>
              <w:rPr>
                <w:rFonts w:hint="default" w:ascii="Times New Roman" w:hAnsi="Times New Roman" w:cs="Times New Roman"/>
                <w:b/>
                <w:bCs/>
                <w:szCs w:val="21"/>
                <w:u w:val="single"/>
                <w:lang w:val="en-US" w:eastAsia="zh-CN"/>
              </w:rPr>
              <w:t>14</w:t>
            </w:r>
            <w:r>
              <w:rPr>
                <w:rFonts w:hint="default" w:ascii="Times New Roman" w:hAnsi="Times New Roman" w:cs="Times New Roman"/>
                <w:b/>
                <w:bCs/>
                <w:szCs w:val="21"/>
                <w:u w:val="single"/>
              </w:rPr>
              <w:t xml:space="preserve"> 危险物质和风险源分布情况一览表</w:t>
            </w:r>
          </w:p>
          <w:tbl>
            <w:tblPr>
              <w:tblStyle w:val="26"/>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8"/>
              <w:gridCol w:w="2649"/>
              <w:gridCol w:w="2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风险单元</w:t>
                  </w: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主要危险物质</w:t>
                  </w: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可能影响的环境途径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vMerge w:val="restart"/>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加油站</w:t>
                  </w: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汽油</w:t>
                  </w: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泄漏、火灾、爆炸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8" w:type="dxa"/>
                  <w:vMerge w:val="continue"/>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柴油</w:t>
                  </w:r>
                </w:p>
              </w:tc>
              <w:tc>
                <w:tcPr>
                  <w:tcW w:w="2649" w:type="dxa"/>
                  <w:noWrap w:val="0"/>
                  <w:vAlign w:val="center"/>
                </w:tcPr>
                <w:p>
                  <w:pPr>
                    <w:pStyle w:val="71"/>
                    <w:spacing w:line="240" w:lineRule="auto"/>
                    <w:ind w:firstLine="0" w:firstLineChars="0"/>
                    <w:jc w:val="center"/>
                    <w:rPr>
                      <w:rFonts w:hint="default" w:ascii="Times New Roman" w:hAnsi="Times New Roman" w:cs="Times New Roman"/>
                      <w:bCs/>
                      <w:sz w:val="21"/>
                      <w:szCs w:val="21"/>
                      <w:u w:val="single"/>
                    </w:rPr>
                  </w:pPr>
                  <w:r>
                    <w:rPr>
                      <w:rFonts w:hint="default" w:ascii="Times New Roman" w:hAnsi="Times New Roman" w:cs="Times New Roman"/>
                      <w:bCs/>
                      <w:sz w:val="21"/>
                      <w:szCs w:val="21"/>
                      <w:u w:val="single"/>
                    </w:rPr>
                    <w:t>泄漏、火灾、爆炸</w:t>
                  </w:r>
                </w:p>
              </w:tc>
            </w:tr>
          </w:tbl>
          <w:p>
            <w:pPr>
              <w:pStyle w:val="71"/>
              <w:ind w:firstLine="482"/>
              <w:rPr>
                <w:rFonts w:hint="default" w:ascii="Times New Roman" w:hAnsi="Times New Roman" w:cs="Times New Roman"/>
                <w:b/>
                <w:u w:val="single"/>
              </w:rPr>
            </w:pPr>
            <w:r>
              <w:rPr>
                <w:rFonts w:hint="default" w:ascii="Times New Roman" w:hAnsi="Times New Roman" w:cs="Times New Roman"/>
                <w:b/>
                <w:u w:val="single"/>
              </w:rPr>
              <w:t>7.3 危险物质和风险源分布情况</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（1）污染大气环境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①危险废物运输过程发生风险事故时挥发的废气污染物可能对大气环境 造成影响；②部分可燃物质在储存或使用过程中由于误操作或遇明火等原因发生火灾、爆炸事故时，燃烧产生的 CO、CO2、SO2、烟尘、NOX等污染物将对空 气环境造成影响；③油气回收系统等环保设施故障导致非甲烷总烃、烟尘等污染物事故性 排放等将对空气环境造成影响。 </w:t>
            </w:r>
          </w:p>
          <w:p>
            <w:pPr>
              <w:pStyle w:val="71"/>
              <w:numPr>
                <w:ilvl w:val="0"/>
                <w:numId w:val="3"/>
              </w:numPr>
              <w:ind w:firstLine="480"/>
              <w:rPr>
                <w:rFonts w:hint="default" w:ascii="Times New Roman" w:hAnsi="Times New Roman" w:cs="Times New Roman"/>
                <w:szCs w:val="24"/>
                <w:u w:val="single"/>
              </w:rPr>
            </w:pPr>
            <w:r>
              <w:rPr>
                <w:rFonts w:hint="default" w:ascii="Times New Roman" w:hAnsi="Times New Roman" w:cs="Times New Roman"/>
                <w:szCs w:val="24"/>
                <w:u w:val="single"/>
              </w:rPr>
              <w:t>污染地表水环境</w:t>
            </w:r>
          </w:p>
          <w:p>
            <w:pPr>
              <w:pStyle w:val="71"/>
              <w:ind w:firstLine="480"/>
              <w:rPr>
                <w:rFonts w:hint="default" w:ascii="Times New Roman" w:hAnsi="Times New Roman" w:cs="Times New Roman"/>
                <w:b/>
                <w:u w:val="single"/>
              </w:rPr>
            </w:pPr>
            <w:r>
              <w:rPr>
                <w:rFonts w:hint="default" w:ascii="Times New Roman" w:hAnsi="Times New Roman" w:cs="Times New Roman"/>
                <w:szCs w:val="24"/>
                <w:u w:val="single"/>
              </w:rPr>
              <w:t>①危险废物运输过程发生风险事故时可能对周边水体造成影响；</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②污水事故性排放时污水中的 COD、氨氮等污染物将对周边水体造成影 响；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③火灾、爆炸事故发生时灭火产生的消防废水处理不当排入地表水体时， 将对周边水体造成影响。 </w:t>
            </w:r>
          </w:p>
          <w:p>
            <w:pPr>
              <w:pStyle w:val="71"/>
              <w:numPr>
                <w:ilvl w:val="0"/>
                <w:numId w:val="3"/>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污染地下水和土壤环境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①储油罐和输油管线的泄漏或渗漏对地下水的污染较为严重，地下水一 旦遭到汽（柴）油的污染，导致地下水中石油类含量严重超标，水质破坏， 将使地下水产生严重异味，并具有较强的致畸致癌性，根本无法饮用；</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②汽油、柴油在储存过程中由于操作不当、防渗材料破裂等原因将导致 废物中的 COD、有机物等物质污染地下水和土壤环境。</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7.4 风险防范措施及应急要求</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（1）地表水环境风险防范措施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项目储罐区做重点防渗。项目储油罐采用双层卧式油罐，具有良好的防 腐性能。且设置有液位计、液位管理系统、液位报警装置，液位计和液位管 理系统能够准确显示和管理罐内液位，如果发生油罐较大量泄漏，液位报警 装置能够发出警告，可在第一时间发现泄漏事故，采取紧急处理措施处理泄 漏的油品。因此，项目对周围地表水环境的影响较小。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大气环境风险防范措施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本项目汽油泄漏、火灾和爆炸均会引起大气污染，甚至危及生命财产安 全。发生突发环境事件要求企业首先停止营业，另外要求企业加油站站房房 顶周围应安插彩旗或风向标，以方便在突发环境事件发生时判断风向。企业 建立应急组织机构，若发生火灾和爆炸突发环境事件，企业应急小组将立即 组织灭火和疏散周围群众，并向上风向撤离。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地下水环境风险防范措施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为了防止加油站地下水污染，要以防为主，防治结合，把预防污染作为基本原则，把治理作为补救措施。结合本项目实际情况，建议建设单位加油站设置双层罐和防渗池；储油罐要经常检修，发现水泥地面破坏、有裂痕要 及时修补；同时开展地下水常规监测。当日常监测中发现加油站罐区发生油品泄漏，火灾、爆炸或者地下水中任一特征指标超标，需开展地下水环境调查，确定是否发生污染、污染程度和范围，并开展相应的地下水污染控制和 治理。在严格落实本环评提出的各项防范措施后，可以有效地防治地下水污 染，对地下水环境影响很小。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防火、防暴措施 </w:t>
            </w:r>
          </w:p>
          <w:p>
            <w:pPr>
              <w:pStyle w:val="71"/>
              <w:numPr>
                <w:ilvl w:val="0"/>
                <w:numId w:val="5"/>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加油站站内应按《安全标志及其使用导则》(GB2894-2008) 的规定在 室内外醒目处设置安全标志。各建（构）筑物之间的防火间距、防爆及安全 疏散均满足规范要求。</w:t>
            </w:r>
          </w:p>
          <w:p>
            <w:pPr>
              <w:pStyle w:val="71"/>
              <w:numPr>
                <w:ilvl w:val="0"/>
                <w:numId w:val="5"/>
              </w:numPr>
              <w:ind w:firstLine="480"/>
              <w:rPr>
                <w:rFonts w:hint="default" w:ascii="Times New Roman" w:hAnsi="Times New Roman" w:cs="Times New Roman"/>
                <w:szCs w:val="24"/>
                <w:u w:val="single"/>
              </w:rPr>
            </w:pPr>
            <w:r>
              <w:rPr>
                <w:rFonts w:hint="default" w:ascii="Times New Roman" w:hAnsi="Times New Roman" w:cs="Times New Roman"/>
                <w:szCs w:val="24"/>
                <w:u w:val="single"/>
              </w:rPr>
              <w:t>重视夏季安全管理，针对夏季天气炎热、事故苗头多的特点，强化人员的安全意识，调整好人员作息时间，保证作业人员精力充沛、作业规范并 有计划、有步骤地开展预防事故活动，使加油站各项活动正常运行。同时还 应根据夏季雷雨天气多的特点，搞好预防预查，防止雷电引起的油气爆炸、电气火灾、电子电气仪表失灵以及人身遭受伤害等事故，防止暴风雨引起加 油站设备遭水淹、设施遭破坏。</w:t>
            </w:r>
          </w:p>
          <w:p>
            <w:pPr>
              <w:pStyle w:val="71"/>
              <w:numPr>
                <w:ilvl w:val="0"/>
                <w:numId w:val="5"/>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加强人员安全教育、科学管理加油站。既要注重加油站工作人员的安 全培训教育，使其掌握基本的防火防爆知识，同时还应该注重加油站其他人 员的安全，严格落实各项规章制度，做好加油站流动人员的管理。</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D、从严控制火源。加油站的着火源非常复杂，既有外来火源，又有因电器、静电、金属碰撞火花等产生的内在着火源。火源控制不严是引起加油站火灾的重要原因，因此必须认真吸取教训，严加控制，严禁一切 外来火源进入加油站防火禁区，同时在加油站站区内应防止金属撞击产生火星，防止静电、雷电和杂散电流引起火灾爆炸，防止电器设备发生故障产生点火源，杜绝一切违章作业。</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消防措施 根据《汽车加油加气加氢站技术标准》(GB50156-2021) 要求，本项目拟配置手提式干粉灭火器 6 具、推车式干粉灭火器 1 具、泡沫灭火器 2 具、灭火毯、消防锹、消防钩、消防桶、2m</w:t>
            </w:r>
            <w:r>
              <w:rPr>
                <w:rFonts w:hint="default" w:ascii="Times New Roman" w:hAnsi="Times New Roman" w:cs="Times New Roman"/>
                <w:szCs w:val="24"/>
                <w:u w:val="single"/>
                <w:vertAlign w:val="superscript"/>
              </w:rPr>
              <w:t>3</w:t>
            </w:r>
            <w:r>
              <w:rPr>
                <w:rFonts w:hint="default" w:ascii="Times New Roman" w:hAnsi="Times New Roman" w:cs="Times New Roman"/>
                <w:szCs w:val="24"/>
                <w:u w:val="single"/>
              </w:rPr>
              <w:t xml:space="preserve">消防沙等消防器材。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健全管理制度</w:t>
            </w:r>
          </w:p>
          <w:p>
            <w:pPr>
              <w:pStyle w:val="71"/>
              <w:ind w:firstLine="480" w:firstLineChars="0"/>
              <w:rPr>
                <w:rFonts w:hint="default" w:ascii="Times New Roman" w:hAnsi="Times New Roman" w:cs="Times New Roman"/>
                <w:szCs w:val="24"/>
                <w:u w:val="single"/>
              </w:rPr>
            </w:pPr>
            <w:r>
              <w:rPr>
                <w:rFonts w:hint="default" w:ascii="Times New Roman" w:hAnsi="Times New Roman" w:cs="Times New Roman"/>
                <w:szCs w:val="24"/>
                <w:u w:val="single"/>
              </w:rPr>
              <w:t xml:space="preserve">各类事故的发生大多数与操作管理不当有直接关系，因此必须建立健全 一整套严格的管理制度。建议企业应采取如下的防范措施: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加强职工的安全教育，提高环境防范风险的意识；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针对营运中可能发生的异常现象和存在的安全隐患，设置合理可行的 技术措施，制定严格的操作规程；</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对易发生泄漏的部位实行定期的巡检制度，及时发现问趣，尽快解决；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严格执行防火、防爆、防雷击、防毒害等各项要求；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建立健全安全、环境管理体系及高效的安全生产机构，一旦发生事故， 要做到快速、高效、安全处置；</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加油站内的电气设备严格按照防爆区划分配置；</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在储存油罐和加油站入口处设立警告牌（严禁烟火）；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在加油站设立严禁打手机的警告牌； </w:t>
            </w:r>
          </w:p>
          <w:p>
            <w:pPr>
              <w:pStyle w:val="71"/>
              <w:numPr>
                <w:ilvl w:val="0"/>
                <w:numId w:val="6"/>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按照设计图的要求，注意避雷针的安全防护措施。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加强装卸油作业管理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在装卸油作业过程中，要严格按照作业程序进行操作，严格检查汽车油 罐车，防止因装油设备不符合规范、设备失修、冒油泄漏、静电放电和人的违章操作造成的汽车油罐车火灾。在作业过程中，应按照规定进行静电接地， 控制加油枪的流速，严格操作规程和注意随时可能出现的隐患，掌握正确处 理各种突发事件的应急办法和抢救措施。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控制油气产生和聚集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有效防止油气的产生和聚集油品起火爆炸存在浓度合适的油气混合气是 其基本条件之一。控制油气的产生和聚集，应该从以下四方面入手： </w:t>
            </w:r>
          </w:p>
          <w:p>
            <w:pPr>
              <w:pStyle w:val="71"/>
              <w:numPr>
                <w:ilvl w:val="0"/>
                <w:numId w:val="7"/>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在平时应该将设备设施维护保养好，做到不渗不漏，检修设备时不要 将油品洒到地面，并及时把设备内放出的油品妥善处理，缩短油品在危险场 所内的存放时间；</w:t>
            </w:r>
          </w:p>
          <w:p>
            <w:pPr>
              <w:pStyle w:val="71"/>
              <w:numPr>
                <w:ilvl w:val="0"/>
                <w:numId w:val="7"/>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为了防止油品蒸发降低油气浓度，在装卸油过程中应采用先进完善的 油气回收系统，尽量减少不必要的油气排放，从而减小油蒸气的存在范围； </w:t>
            </w:r>
          </w:p>
          <w:p>
            <w:pPr>
              <w:pStyle w:val="71"/>
              <w:numPr>
                <w:ilvl w:val="0"/>
                <w:numId w:val="7"/>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应该采取科学布局，根据加油站各场所的特点采取通风、惰化等多种方式减少油气积聚，控制油气浓度，使之达不到油气燃烧爆炸的浓度； </w:t>
            </w:r>
          </w:p>
          <w:p>
            <w:pPr>
              <w:pStyle w:val="71"/>
              <w:numPr>
                <w:ilvl w:val="0"/>
                <w:numId w:val="7"/>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加强油气浓度的检测，在爆炸危险场所内进行明火或其它危险作业前， 进行严格的油气浓度检测，确认油气浓度在作业方式所允许的范围内，方可 进入或进行作业。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加油站跑冒油事故预防措施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工作人员应定期通过液位观测装置定期检查，本加油站安装了高液位 报警器，发生泄漏能够及时发现并处理；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加油作业时要巡查管线，出现漏油情况及时处理，作业人员在值班期 间，绝不允许擅离职守，并不得从事与本职工作无关的其他事情；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装油容量应严格控制在安全高度之内，装油过满会使油料在容器内因 温度升高膨胀而从容器口冒出；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维修油罐、阀门、管线及其附件时，修理人员要与有关人员密切联系。 离开现场或暂时停止修理时，应将拆开的管道用堵头堵住，并将修理情况向 有关人员交待清楚。修理结束应经技术人员或值班员检查无误后，方可使用；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油罐输油前后，都应对油罐安全设施进行检查，尤其是进出油管线上 的阀门，油罐呼吸阀、计量口等，发现问题，应及时报告有关部门解决； </w:t>
            </w:r>
          </w:p>
          <w:p>
            <w:pPr>
              <w:pStyle w:val="71"/>
              <w:numPr>
                <w:ilvl w:val="0"/>
                <w:numId w:val="8"/>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定期委托相关资质单位对罐区附近地下水进行检测，通过检测地下水 各项标，及时检查有无渗漏情况发生。</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加强加油站雨季安全防范措施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在雨季来临的时候要及时检查加油站所有设备和线路，包括加油机、配 电柜、照明线路等，要确保这些设施的建筑不渗漏，防止线路短路，加油机 要做好遮雨避雨措施，防止被雨淋湿；对非地埋线路必须要套阻燃管；所有 灯具开关必须选用防爆或防护型装备。在雷电较大或者雷电频繁时，加油站 要断电禁止发油。除了以上措施外，加油站平时要作好以下工作: </w:t>
            </w:r>
          </w:p>
          <w:p>
            <w:pPr>
              <w:pStyle w:val="71"/>
              <w:numPr>
                <w:ilvl w:val="0"/>
                <w:numId w:val="9"/>
              </w:numPr>
              <w:ind w:firstLine="480"/>
              <w:rPr>
                <w:rFonts w:hint="default" w:ascii="Times New Roman" w:hAnsi="Times New Roman" w:cs="Times New Roman"/>
                <w:szCs w:val="24"/>
                <w:u w:val="single"/>
              </w:rPr>
            </w:pPr>
            <w:r>
              <w:rPr>
                <w:rFonts w:hint="default" w:ascii="Times New Roman" w:hAnsi="Times New Roman" w:cs="Times New Roman"/>
                <w:szCs w:val="24"/>
                <w:u w:val="single"/>
              </w:rPr>
              <w:t>建站时做好地埋接地防护网，每个油罐、卸油口、加油站罩棚、加油 机等都要进行静电接地，而且静电接地要进行并联；高层建筑和罩棚要安装 避雷针。</w:t>
            </w:r>
          </w:p>
          <w:p>
            <w:pPr>
              <w:pStyle w:val="71"/>
              <w:numPr>
                <w:ilvl w:val="0"/>
                <w:numId w:val="9"/>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每年雨季来临之前要作好静电的测试和防雷的测试，一年不少于2次；所有4个螺丝以内的管线法兰盘必须进行跨接，静电测试结果必须符合 国家标准，达不到的要及时进行整改。 </w:t>
            </w:r>
          </w:p>
          <w:p>
            <w:pPr>
              <w:pStyle w:val="71"/>
              <w:numPr>
                <w:ilvl w:val="0"/>
                <w:numId w:val="9"/>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在雷电时尽量不要卸油，每次卸油时罐车必须做好卸油静电接地，卸 油静电接地桩和卸油口要保持 1.5m 的安全间距，卸油前要做好静电接地电子器的检查，看是否报警并预备好石棉被、灭火器等以防止意外。 </w:t>
            </w:r>
          </w:p>
          <w:p>
            <w:pPr>
              <w:pStyle w:val="71"/>
              <w:numPr>
                <w:ilvl w:val="0"/>
                <w:numId w:val="4"/>
              </w:numPr>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应急措施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本项目发生事故应急措施：迅速撤离泄漏污染区人员至安全区，并进行 隔离，严格限制出入。切断火源。建议应急处理人员戴自给正压式呼吸器，穿消防防护服。尽可能切断泄漏源，防止进入下水道、输油管沟等限制性空间。少量泄漏时可用砂土或其它惰性材料吸收。大量泄漏时可构筑围堤或挖坑收容；用消防灭火器泡沫覆盖，降低油气挥发散逸。必要时可采用防爆泵 转移至槽车或专用收集器内，回收或交由具备废油处理资质单位处理。项目在营运期存在着泄漏、火灾爆炸风险。 </w:t>
            </w:r>
          </w:p>
          <w:p>
            <w:pPr>
              <w:pStyle w:val="71"/>
              <w:ind w:firstLine="480"/>
              <w:rPr>
                <w:rFonts w:hint="default" w:ascii="Times New Roman" w:hAnsi="Times New Roman" w:cs="Times New Roman"/>
                <w:szCs w:val="24"/>
                <w:u w:val="single"/>
              </w:rPr>
            </w:pPr>
            <w:r>
              <w:rPr>
                <w:rFonts w:hint="default" w:ascii="Times New Roman" w:hAnsi="Times New Roman" w:cs="Times New Roman"/>
                <w:szCs w:val="24"/>
                <w:u w:val="single"/>
              </w:rPr>
              <w:t xml:space="preserve">根据工程情况及各物料理化性质，本次评价选择汽油、柴油为风险评价 因子，最大可信事故确定为汽油、柴油储罐发生泄漏及火灾爆炸事故，泄漏后对大气有一定影响，根据风险防范分析，本项目风险水平是可以接受的，采取的环境风险管理措施可行，应急预案可操作性强。项目建设从环境风险角度是可行的。 </w:t>
            </w:r>
          </w:p>
          <w:p>
            <w:pPr>
              <w:pStyle w:val="71"/>
              <w:ind w:firstLine="480"/>
              <w:rPr>
                <w:rFonts w:hint="default" w:ascii="Times New Roman" w:hAnsi="Times New Roman" w:cs="Times New Roman"/>
                <w:b/>
                <w:u w:val="single"/>
              </w:rPr>
            </w:pPr>
            <w:r>
              <w:rPr>
                <w:rFonts w:hint="default" w:ascii="Times New Roman" w:hAnsi="Times New Roman" w:cs="Times New Roman"/>
                <w:szCs w:val="24"/>
                <w:u w:val="single"/>
              </w:rPr>
              <w:t>综上所述，本项目的环境风险值水平与同行业比较是可以接受的。企业 应设立风险防范措施，最大限度防止风险事故的发生并进行有效处置，结合 企业在下一步设计、运营过程中不断制定和完善的风险防范和应急措施，将 发生环境风险的可能性降至最低。在各环境风险防范措施落实到位的情况下， 将可大大降低本项目的环境风险，最大程度减少对环境可能造成的危害。</w:t>
            </w:r>
          </w:p>
          <w:p>
            <w:pPr>
              <w:spacing w:line="360" w:lineRule="auto"/>
              <w:ind w:firstLine="482" w:firstLineChars="200"/>
              <w:rPr>
                <w:rFonts w:hint="default" w:ascii="Times New Roman" w:hAnsi="Times New Roman" w:cs="Times New Roman"/>
                <w:b/>
                <w:color w:val="0000FF"/>
                <w:sz w:val="24"/>
              </w:rPr>
            </w:pPr>
            <w:bookmarkStart w:id="86" w:name="_Toc505237230"/>
            <w:bookmarkStart w:id="87" w:name="_Toc3886025"/>
            <w:r>
              <w:rPr>
                <w:rFonts w:hint="default" w:ascii="Times New Roman" w:hAnsi="Times New Roman" w:cs="Times New Roman"/>
                <w:b/>
                <w:color w:val="0000FF"/>
                <w:sz w:val="24"/>
              </w:rPr>
              <w:t>环境风险评价结论</w:t>
            </w:r>
            <w:bookmarkEnd w:id="86"/>
            <w:bookmarkEnd w:id="87"/>
          </w:p>
          <w:p>
            <w:pPr>
              <w:spacing w:line="360" w:lineRule="auto"/>
              <w:ind w:firstLine="482"/>
              <w:rPr>
                <w:rFonts w:hint="default" w:ascii="Times New Roman" w:hAnsi="Times New Roman" w:cs="Times New Roman"/>
                <w:color w:val="0000FF"/>
                <w:sz w:val="24"/>
              </w:rPr>
            </w:pPr>
            <w:r>
              <w:rPr>
                <w:rFonts w:hint="default" w:ascii="Times New Roman" w:hAnsi="Times New Roman" w:cs="Times New Roman"/>
                <w:color w:val="0000FF"/>
                <w:sz w:val="24"/>
              </w:rPr>
              <w:t>建设项目环境风险简单分析内容表如下：</w:t>
            </w:r>
          </w:p>
          <w:p>
            <w:pPr>
              <w:jc w:val="center"/>
              <w:rPr>
                <w:rFonts w:hint="default" w:ascii="Times New Roman" w:hAnsi="Times New Roman" w:cs="Times New Roman"/>
                <w:b/>
                <w:color w:val="0000FF"/>
                <w:sz w:val="24"/>
              </w:rPr>
            </w:pPr>
            <w:r>
              <w:rPr>
                <w:rFonts w:hint="default" w:ascii="Times New Roman" w:hAnsi="Times New Roman" w:cs="Times New Roman"/>
                <w:b/>
                <w:color w:val="0000FF"/>
                <w:sz w:val="24"/>
              </w:rPr>
              <w:t>表4-</w:t>
            </w:r>
            <w:r>
              <w:rPr>
                <w:rFonts w:hint="default" w:ascii="Times New Roman" w:hAnsi="Times New Roman" w:cs="Times New Roman"/>
                <w:b/>
                <w:color w:val="0000FF"/>
                <w:sz w:val="24"/>
                <w:lang w:val="en-US" w:eastAsia="zh-CN"/>
              </w:rPr>
              <w:t>10</w:t>
            </w:r>
            <w:r>
              <w:rPr>
                <w:rFonts w:hint="default" w:ascii="Times New Roman" w:hAnsi="Times New Roman" w:cs="Times New Roman"/>
                <w:b/>
                <w:color w:val="0000FF"/>
                <w:sz w:val="24"/>
              </w:rPr>
              <w:t xml:space="preserve">  建设项目环境风险简单分析内容表</w:t>
            </w:r>
          </w:p>
          <w:tbl>
            <w:tblPr>
              <w:tblStyle w:val="26"/>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49"/>
              <w:gridCol w:w="1305"/>
              <w:gridCol w:w="977"/>
              <w:gridCol w:w="911"/>
              <w:gridCol w:w="1139"/>
              <w:gridCol w:w="19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89" w:type="pct"/>
                  <w:tcBorders>
                    <w:top w:val="single" w:color="auto" w:sz="12"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建设项目名称</w:t>
                  </w:r>
                </w:p>
              </w:tc>
              <w:tc>
                <w:tcPr>
                  <w:tcW w:w="3810" w:type="pct"/>
                  <w:gridSpan w:val="5"/>
                  <w:tcBorders>
                    <w:top w:val="single" w:color="auto" w:sz="12"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lang w:eastAsia="zh-CN"/>
                    </w:rPr>
                    <w:t>恒太</w:t>
                  </w:r>
                  <w:r>
                    <w:rPr>
                      <w:rFonts w:hint="default" w:ascii="Times New Roman" w:hAnsi="Times New Roman" w:cs="Times New Roman"/>
                      <w:color w:val="0000FF"/>
                    </w:rPr>
                    <w:t>加油站</w:t>
                  </w:r>
                  <w:r>
                    <w:rPr>
                      <w:rFonts w:hint="default" w:ascii="Times New Roman" w:hAnsi="Times New Roman" w:cs="Times New Roman"/>
                      <w:color w:val="0000FF"/>
                      <w:lang w:val="en-US" w:eastAsia="zh-CN"/>
                    </w:rPr>
                    <w:t>扩建</w:t>
                  </w:r>
                  <w:r>
                    <w:rPr>
                      <w:rFonts w:hint="default" w:ascii="Times New Roman" w:hAnsi="Times New Roman" w:cs="Times New Roman"/>
                      <w:color w:val="0000FF"/>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 w:hRule="atLeast"/>
              </w:trPr>
              <w:tc>
                <w:tcPr>
                  <w:tcW w:w="1189" w:type="pct"/>
                  <w:tcBorders>
                    <w:top w:val="single" w:color="auto" w:sz="6"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建设地点</w:t>
                  </w:r>
                </w:p>
              </w:tc>
              <w:tc>
                <w:tcPr>
                  <w:tcW w:w="79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湖南省</w:t>
                  </w:r>
                </w:p>
              </w:tc>
              <w:tc>
                <w:tcPr>
                  <w:tcW w:w="59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岳阳市</w:t>
                  </w:r>
                </w:p>
              </w:tc>
              <w:tc>
                <w:tcPr>
                  <w:tcW w:w="555"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FF"/>
                      <w:lang w:eastAsia="zh-CN"/>
                    </w:rPr>
                  </w:pPr>
                  <w:r>
                    <w:rPr>
                      <w:rFonts w:hint="default" w:ascii="Times New Roman" w:hAnsi="Times New Roman" w:cs="Times New Roman"/>
                      <w:color w:val="0000FF"/>
                      <w:lang w:eastAsia="zh-CN"/>
                    </w:rPr>
                    <w:t>临湘市</w:t>
                  </w:r>
                </w:p>
              </w:tc>
              <w:tc>
                <w:tcPr>
                  <w:tcW w:w="1862" w:type="pct"/>
                  <w:gridSpan w:val="2"/>
                  <w:tcBorders>
                    <w:top w:val="single" w:color="auto" w:sz="6"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长安街道白云村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1189" w:type="pct"/>
                  <w:tcBorders>
                    <w:top w:val="single" w:color="auto" w:sz="6"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地理坐标</w:t>
                  </w:r>
                </w:p>
              </w:tc>
              <w:tc>
                <w:tcPr>
                  <w:tcW w:w="796"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经度</w:t>
                  </w:r>
                </w:p>
              </w:tc>
              <w:tc>
                <w:tcPr>
                  <w:tcW w:w="1152"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113.418037°</w:t>
                  </w:r>
                </w:p>
              </w:tc>
              <w:tc>
                <w:tcPr>
                  <w:tcW w:w="694"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纬度</w:t>
                  </w:r>
                </w:p>
              </w:tc>
              <w:tc>
                <w:tcPr>
                  <w:tcW w:w="1167" w:type="pct"/>
                  <w:tcBorders>
                    <w:top w:val="single" w:color="auto" w:sz="6"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 xml:space="preserve"> 29.512733°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1189" w:type="pct"/>
                  <w:tcBorders>
                    <w:top w:val="single" w:color="auto" w:sz="6"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主要危险物质及分布</w:t>
                  </w:r>
                </w:p>
              </w:tc>
              <w:tc>
                <w:tcPr>
                  <w:tcW w:w="3810" w:type="pct"/>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eastAsia="宋体" w:cs="Times New Roman"/>
                      <w:color w:val="0000FF"/>
                      <w:lang w:eastAsia="zh-CN"/>
                    </w:rPr>
                  </w:pPr>
                  <w:r>
                    <w:rPr>
                      <w:rFonts w:hint="default" w:ascii="Times New Roman" w:hAnsi="Times New Roman" w:cs="Times New Roman"/>
                      <w:color w:val="0000FF"/>
                    </w:rPr>
                    <w:t>加油站储罐区汽油和柴油；危废、废气处理设施事</w:t>
                  </w:r>
                  <w:r>
                    <w:rPr>
                      <w:rFonts w:hint="default" w:ascii="Times New Roman" w:hAnsi="Times New Roman" w:cs="Times New Roman"/>
                      <w:color w:val="0000FF"/>
                      <w:lang w:eastAsia="zh-CN"/>
                    </w:rPr>
                    <w:t>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9" w:hRule="atLeast"/>
              </w:trPr>
              <w:tc>
                <w:tcPr>
                  <w:tcW w:w="1189" w:type="pct"/>
                  <w:tcBorders>
                    <w:top w:val="single" w:color="auto" w:sz="6"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环境影响途径及危害后果（大气、地表水、地下水等）</w:t>
                  </w:r>
                </w:p>
              </w:tc>
              <w:tc>
                <w:tcPr>
                  <w:tcW w:w="3810" w:type="pct"/>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柴油和汽油泄漏及火灾、爆炸引发次生污染物排放，造成空气、地表水、地下水环境污染；废水和废气事故排放造成地表水和大气污染；危废外泄污染地下水和土壤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0" w:hRule="atLeast"/>
              </w:trPr>
              <w:tc>
                <w:tcPr>
                  <w:tcW w:w="1189" w:type="pct"/>
                  <w:tcBorders>
                    <w:top w:val="single" w:color="auto" w:sz="6" w:space="0"/>
                    <w:left w:val="single" w:color="auto" w:sz="12" w:space="0"/>
                    <w:bottom w:val="single" w:color="auto" w:sz="6"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风险防范措施要求</w:t>
                  </w:r>
                </w:p>
              </w:tc>
              <w:tc>
                <w:tcPr>
                  <w:tcW w:w="3810" w:type="pct"/>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 xml:space="preserve">企业加强监管监控，设备定期维护和保养；做好站内防渗防漏措施和火灾防范措施；加强废水和废气处理设施维护。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5" w:hRule="atLeast"/>
              </w:trPr>
              <w:tc>
                <w:tcPr>
                  <w:tcW w:w="1189" w:type="pct"/>
                  <w:tcBorders>
                    <w:top w:val="single" w:color="auto" w:sz="6" w:space="0"/>
                    <w:left w:val="single" w:color="auto" w:sz="12" w:space="0"/>
                    <w:bottom w:val="single" w:color="auto" w:sz="12" w:space="0"/>
                    <w:right w:val="single" w:color="auto" w:sz="6"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填表说明（列出项目相关信息及评价说明）</w:t>
                  </w:r>
                </w:p>
              </w:tc>
              <w:tc>
                <w:tcPr>
                  <w:tcW w:w="3810" w:type="pct"/>
                  <w:gridSpan w:val="5"/>
                  <w:tcBorders>
                    <w:top w:val="single" w:color="auto" w:sz="6" w:space="0"/>
                    <w:left w:val="single" w:color="auto" w:sz="6" w:space="0"/>
                    <w:bottom w:val="single" w:color="auto" w:sz="12" w:space="0"/>
                    <w:right w:val="single" w:color="auto" w:sz="12" w:space="0"/>
                  </w:tcBorders>
                  <w:noWrap w:val="0"/>
                  <w:vAlign w:val="center"/>
                </w:tcPr>
                <w:p>
                  <w:pPr>
                    <w:jc w:val="center"/>
                    <w:rPr>
                      <w:rFonts w:hint="default" w:ascii="Times New Roman" w:hAnsi="Times New Roman" w:cs="Times New Roman"/>
                      <w:color w:val="0000FF"/>
                    </w:rPr>
                  </w:pPr>
                  <w:r>
                    <w:rPr>
                      <w:rFonts w:hint="default" w:ascii="Times New Roman" w:hAnsi="Times New Roman" w:cs="Times New Roman"/>
                      <w:color w:val="0000FF"/>
                    </w:rPr>
                    <w:t>项目通过采取相应的风险预防、管理、应急措施后，评价认为项目环境风险是可以接受的</w:t>
                  </w:r>
                </w:p>
              </w:tc>
            </w:tr>
          </w:tbl>
          <w:p>
            <w:pPr>
              <w:spacing w:line="360" w:lineRule="auto"/>
              <w:ind w:firstLine="482"/>
              <w:rPr>
                <w:rFonts w:hint="default" w:ascii="Times New Roman" w:hAnsi="Times New Roman" w:cs="Times New Roman"/>
                <w:color w:val="0000FF"/>
                <w:sz w:val="24"/>
              </w:rPr>
            </w:pPr>
            <w:r>
              <w:rPr>
                <w:rFonts w:hint="default" w:ascii="Times New Roman" w:hAnsi="Times New Roman" w:cs="Times New Roman"/>
                <w:color w:val="0000FF"/>
                <w:sz w:val="24"/>
              </w:rPr>
              <w:t>项目除柴油和汽油储存、加油过程中可能会发生泄漏、火灾及爆炸等环境风险事故外，部分设施也存在环境风险。项目柴油和汽油采用专用储罐储存，量不大，发生泄漏可能性极小，而且泄漏后的风险可控。建议公司落实各项风险防范措施，加强管理，建立应急预案并演练，确保其环境风险可控。</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8、电磁辐射</w:t>
            </w:r>
          </w:p>
          <w:p>
            <w:pPr>
              <w:pStyle w:val="71"/>
              <w:ind w:firstLine="480"/>
              <w:rPr>
                <w:rFonts w:hint="default" w:ascii="Times New Roman" w:hAnsi="Times New Roman" w:cs="Times New Roman"/>
                <w:u w:val="single"/>
              </w:rPr>
            </w:pPr>
            <w:r>
              <w:rPr>
                <w:rFonts w:hint="default" w:ascii="Times New Roman" w:hAnsi="Times New Roman" w:cs="Times New Roman"/>
                <w:u w:val="single"/>
              </w:rPr>
              <w:t>本项目无电磁辐射源，不开展电磁辐射分析。</w:t>
            </w:r>
          </w:p>
          <w:p>
            <w:pPr>
              <w:pStyle w:val="71"/>
              <w:ind w:firstLine="482"/>
              <w:rPr>
                <w:rFonts w:hint="default" w:ascii="Times New Roman" w:hAnsi="Times New Roman" w:cs="Times New Roman"/>
                <w:b/>
                <w:u w:val="single"/>
              </w:rPr>
            </w:pPr>
            <w:r>
              <w:rPr>
                <w:rFonts w:hint="default" w:ascii="Times New Roman" w:hAnsi="Times New Roman" w:cs="Times New Roman"/>
                <w:b/>
                <w:u w:val="single"/>
              </w:rPr>
              <w:t>9、监测计划</w:t>
            </w:r>
          </w:p>
          <w:p>
            <w:pPr>
              <w:pStyle w:val="71"/>
              <w:ind w:firstLine="480"/>
              <w:rPr>
                <w:rFonts w:hint="default" w:ascii="Times New Roman" w:hAnsi="Times New Roman" w:eastAsia="宋体" w:cs="Times New Roman"/>
                <w:color w:val="FF0000"/>
                <w:szCs w:val="24"/>
                <w:u w:val="single"/>
                <w:lang w:eastAsia="zh-CN"/>
              </w:rPr>
            </w:pPr>
            <w:r>
              <w:rPr>
                <w:rFonts w:hint="default" w:ascii="Times New Roman" w:hAnsi="Times New Roman" w:cs="Times New Roman"/>
                <w:szCs w:val="24"/>
                <w:u w:val="single"/>
              </w:rPr>
              <w:t>根据《排污单位自行监测技术指南 总则》（HJ819-2017）及《排污许可 证申请与核发技术规范储油库、加油站》(HJ 1118-2020)制定了监测方案：</w:t>
            </w:r>
          </w:p>
          <w:p>
            <w:pPr>
              <w:pStyle w:val="71"/>
              <w:adjustRightInd w:val="0"/>
              <w:snapToGrid w:val="0"/>
              <w:ind w:firstLine="0" w:firstLineChars="0"/>
              <w:jc w:val="center"/>
              <w:rPr>
                <w:rFonts w:hint="default" w:ascii="Times New Roman" w:hAnsi="Times New Roman" w:eastAsia="宋体" w:cs="Times New Roman"/>
                <w:b/>
                <w:bCs/>
                <w:color w:val="0000FF"/>
                <w:sz w:val="21"/>
                <w:szCs w:val="21"/>
                <w:u w:val="single"/>
                <w:lang w:val="en-US" w:eastAsia="zh-CN"/>
              </w:rPr>
            </w:pPr>
            <w:r>
              <w:rPr>
                <w:rFonts w:hint="default" w:ascii="Times New Roman" w:hAnsi="Times New Roman" w:cs="Times New Roman"/>
                <w:b/>
                <w:bCs/>
                <w:color w:val="0000FF"/>
                <w:sz w:val="21"/>
                <w:szCs w:val="21"/>
                <w:u w:val="single"/>
              </w:rPr>
              <w:t>表4-9 监测计划一览表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106"/>
              <w:gridCol w:w="1465"/>
              <w:gridCol w:w="1190"/>
              <w:gridCol w:w="3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监测</w:t>
                  </w:r>
                </w:p>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内容</w:t>
                  </w:r>
                </w:p>
              </w:tc>
              <w:tc>
                <w:tcPr>
                  <w:tcW w:w="1106"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监测点位</w:t>
                  </w:r>
                </w:p>
              </w:tc>
              <w:tc>
                <w:tcPr>
                  <w:tcW w:w="1465"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监测指标</w:t>
                  </w:r>
                </w:p>
              </w:tc>
              <w:tc>
                <w:tcPr>
                  <w:tcW w:w="1190"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监测频率</w:t>
                  </w:r>
                </w:p>
              </w:tc>
              <w:tc>
                <w:tcPr>
                  <w:tcW w:w="3192"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vMerge w:val="restart"/>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无组织废气</w:t>
                  </w:r>
                </w:p>
              </w:tc>
              <w:tc>
                <w:tcPr>
                  <w:tcW w:w="1106"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eastAsia" w:ascii="Times New Roman" w:hAnsi="Times New Roman" w:cs="Times New Roman"/>
                      <w:color w:val="0000FF"/>
                      <w:sz w:val="21"/>
                      <w:szCs w:val="21"/>
                      <w:u w:val="single"/>
                      <w:lang w:val="en-US" w:eastAsia="zh-CN"/>
                    </w:rPr>
                    <w:t>油气回收处理装置排气筒</w:t>
                  </w:r>
                </w:p>
              </w:tc>
              <w:tc>
                <w:tcPr>
                  <w:tcW w:w="1465"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NMHC</w:t>
                  </w:r>
                </w:p>
              </w:tc>
              <w:tc>
                <w:tcPr>
                  <w:tcW w:w="1190" w:type="dxa"/>
                  <w:vMerge w:val="restart"/>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1次/年</w:t>
                  </w:r>
                </w:p>
              </w:tc>
              <w:tc>
                <w:tcPr>
                  <w:tcW w:w="3192"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eastAsia="宋体" w:cs="Times New Roman"/>
                      <w:color w:val="0000FF"/>
                      <w:sz w:val="21"/>
                      <w:szCs w:val="21"/>
                      <w:u w:val="single"/>
                      <w:lang w:val="en-US" w:eastAsia="zh-CN"/>
                    </w:rPr>
                    <w:t>《加油站大气污染物排放标准》（GB20952-2020）表3中的排放限值（4.0mg/m</w:t>
                  </w:r>
                  <w:r>
                    <w:rPr>
                      <w:rFonts w:hint="default" w:ascii="Times New Roman" w:hAnsi="Times New Roman" w:eastAsia="宋体" w:cs="Times New Roman"/>
                      <w:color w:val="0000FF"/>
                      <w:sz w:val="21"/>
                      <w:szCs w:val="21"/>
                      <w:u w:val="single"/>
                      <w:vertAlign w:val="superscript"/>
                      <w:lang w:val="en-US" w:eastAsia="zh-CN"/>
                    </w:rPr>
                    <w:t>3</w:t>
                  </w:r>
                  <w:r>
                    <w:rPr>
                      <w:rFonts w:hint="default" w:ascii="Times New Roman" w:hAnsi="Times New Roman" w:eastAsia="宋体" w:cs="Times New Roman"/>
                      <w:color w:val="0000FF"/>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vMerge w:val="continue"/>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p>
              </w:tc>
              <w:tc>
                <w:tcPr>
                  <w:tcW w:w="1106"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lang w:val="en-US" w:eastAsia="zh-CN"/>
                    </w:rPr>
                  </w:pPr>
                  <w:r>
                    <w:rPr>
                      <w:rFonts w:hint="eastAsia" w:ascii="Times New Roman" w:hAnsi="Times New Roman" w:cs="Times New Roman"/>
                      <w:color w:val="0000FF"/>
                      <w:sz w:val="21"/>
                      <w:szCs w:val="21"/>
                      <w:u w:val="single"/>
                      <w:lang w:val="en-US" w:eastAsia="zh-CN"/>
                    </w:rPr>
                    <w:t>油气回收系统</w:t>
                  </w:r>
                </w:p>
              </w:tc>
              <w:tc>
                <w:tcPr>
                  <w:tcW w:w="1465"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cs="Times New Roman"/>
                      <w:color w:val="0000FF"/>
                      <w:sz w:val="21"/>
                      <w:szCs w:val="21"/>
                      <w:u w:val="single"/>
                    </w:rPr>
                    <w:t>气液比、液阻、密闭性</w:t>
                  </w:r>
                </w:p>
              </w:tc>
              <w:tc>
                <w:tcPr>
                  <w:tcW w:w="1190" w:type="dxa"/>
                  <w:vMerge w:val="continue"/>
                  <w:tcBorders/>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p>
              </w:tc>
              <w:tc>
                <w:tcPr>
                  <w:tcW w:w="3192"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《加油站大气污染物排放标准》（GB20952-2020）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vMerge w:val="continue"/>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p>
              </w:tc>
              <w:tc>
                <w:tcPr>
                  <w:tcW w:w="1106"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eastAsia" w:ascii="Times New Roman" w:hAnsi="Times New Roman" w:cs="Times New Roman"/>
                      <w:color w:val="0000FF"/>
                      <w:sz w:val="21"/>
                      <w:szCs w:val="21"/>
                      <w:u w:val="single"/>
                      <w:lang w:val="en-US" w:eastAsia="zh-CN"/>
                    </w:rPr>
                    <w:t>企业边界</w:t>
                  </w:r>
                </w:p>
              </w:tc>
              <w:tc>
                <w:tcPr>
                  <w:tcW w:w="1465"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eastAsia" w:ascii="Times New Roman" w:hAnsi="Times New Roman" w:cs="Times New Roman"/>
                      <w:color w:val="0000FF"/>
                      <w:sz w:val="21"/>
                      <w:szCs w:val="21"/>
                      <w:u w:val="single"/>
                      <w:lang w:val="en-US" w:eastAsia="zh-CN"/>
                    </w:rPr>
                    <w:t>挥发性有机物</w:t>
                  </w:r>
                </w:p>
              </w:tc>
              <w:tc>
                <w:tcPr>
                  <w:tcW w:w="1190" w:type="dxa"/>
                  <w:vMerge w:val="continue"/>
                  <w:tcBorders/>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p>
              </w:tc>
              <w:tc>
                <w:tcPr>
                  <w:tcW w:w="3192"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《加油站大气污染物排放标准》（GB20952-2020）表3中的排放限值（4.0mg/m</w:t>
                  </w:r>
                  <w:r>
                    <w:rPr>
                      <w:rFonts w:hint="default" w:ascii="Times New Roman" w:hAnsi="Times New Roman" w:eastAsia="宋体" w:cs="Times New Roman"/>
                      <w:color w:val="0000FF"/>
                      <w:sz w:val="21"/>
                      <w:szCs w:val="21"/>
                      <w:u w:val="single"/>
                      <w:vertAlign w:val="superscript"/>
                      <w:lang w:val="en-US" w:eastAsia="zh-CN"/>
                    </w:rPr>
                    <w:t>3</w:t>
                  </w:r>
                  <w:r>
                    <w:rPr>
                      <w:rFonts w:hint="default" w:ascii="Times New Roman" w:hAnsi="Times New Roman" w:eastAsia="宋体" w:cs="Times New Roman"/>
                      <w:color w:val="0000FF"/>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vMerge w:val="continue"/>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p>
              </w:tc>
              <w:tc>
                <w:tcPr>
                  <w:tcW w:w="1106"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站内无组织挥发</w:t>
                  </w:r>
                </w:p>
              </w:tc>
              <w:tc>
                <w:tcPr>
                  <w:tcW w:w="1465"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NMHC</w:t>
                  </w:r>
                </w:p>
              </w:tc>
              <w:tc>
                <w:tcPr>
                  <w:tcW w:w="1190"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1次/年</w:t>
                  </w:r>
                </w:p>
              </w:tc>
              <w:tc>
                <w:tcPr>
                  <w:tcW w:w="3192"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rPr>
                  </w:pPr>
                  <w:r>
                    <w:rPr>
                      <w:rFonts w:hint="default" w:ascii="Times New Roman" w:hAnsi="Times New Roman" w:eastAsia="宋体" w:cs="Times New Roman"/>
                      <w:color w:val="0000FF"/>
                      <w:sz w:val="21"/>
                      <w:szCs w:val="21"/>
                      <w:u w:val="single"/>
                      <w:lang w:val="en-US" w:eastAsia="zh-CN"/>
                    </w:rPr>
                    <w:t>挥发性有机物无组织排放控制标准》（GB37822-2019）附录A中的排放限值要求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噪声</w:t>
                  </w:r>
                </w:p>
              </w:tc>
              <w:tc>
                <w:tcPr>
                  <w:tcW w:w="1106"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厂界四周外1m处</w:t>
                  </w:r>
                </w:p>
              </w:tc>
              <w:tc>
                <w:tcPr>
                  <w:tcW w:w="1465"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昼夜等效连续A声级</w:t>
                  </w:r>
                </w:p>
              </w:tc>
              <w:tc>
                <w:tcPr>
                  <w:tcW w:w="1190"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1次/季度</w:t>
                  </w:r>
                </w:p>
              </w:tc>
              <w:tc>
                <w:tcPr>
                  <w:tcW w:w="3192"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rPr>
                  </w:pPr>
                  <w:r>
                    <w:rPr>
                      <w:rFonts w:hint="default" w:ascii="Times New Roman" w:hAnsi="Times New Roman" w:eastAsia="宋体" w:cs="Times New Roman"/>
                      <w:color w:val="0000FF"/>
                      <w:sz w:val="21"/>
                      <w:szCs w:val="21"/>
                      <w:u w:val="single"/>
                    </w:rPr>
                    <w:t>北侧厂界执行《工业企业厂界环境噪声排放标准》（GB12348-2008）4类标准，其余执行2类标准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2"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地下水</w:t>
                  </w:r>
                </w:p>
              </w:tc>
              <w:tc>
                <w:tcPr>
                  <w:tcW w:w="1106"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lang w:val="en-US" w:eastAsia="zh-CN"/>
                    </w:rPr>
                    <w:t>地下水监测井</w:t>
                  </w:r>
                </w:p>
              </w:tc>
              <w:tc>
                <w:tcPr>
                  <w:tcW w:w="1465"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石油类</w:t>
                  </w:r>
                </w:p>
              </w:tc>
              <w:tc>
                <w:tcPr>
                  <w:tcW w:w="1190" w:type="dxa"/>
                  <w:noWrap w:val="0"/>
                  <w:vAlign w:val="center"/>
                </w:tcPr>
                <w:p>
                  <w:pPr>
                    <w:pStyle w:val="71"/>
                    <w:spacing w:line="240" w:lineRule="auto"/>
                    <w:ind w:firstLine="0" w:firstLineChars="0"/>
                    <w:jc w:val="center"/>
                    <w:rPr>
                      <w:rFonts w:hint="default" w:ascii="Times New Roman" w:hAnsi="Times New Roman" w:cs="Times New Roman"/>
                      <w:color w:val="0000FF"/>
                      <w:sz w:val="21"/>
                      <w:szCs w:val="21"/>
                      <w:u w:val="single"/>
                    </w:rPr>
                  </w:pPr>
                  <w:r>
                    <w:rPr>
                      <w:rFonts w:hint="default" w:ascii="Times New Roman" w:hAnsi="Times New Roman" w:cs="Times New Roman"/>
                      <w:color w:val="0000FF"/>
                      <w:sz w:val="21"/>
                      <w:szCs w:val="21"/>
                      <w:u w:val="single"/>
                    </w:rPr>
                    <w:t>1次/年</w:t>
                  </w:r>
                </w:p>
              </w:tc>
              <w:tc>
                <w:tcPr>
                  <w:tcW w:w="3192" w:type="dxa"/>
                  <w:noWrap w:val="0"/>
                  <w:vAlign w:val="center"/>
                </w:tcPr>
                <w:p>
                  <w:pPr>
                    <w:pStyle w:val="71"/>
                    <w:spacing w:line="240" w:lineRule="auto"/>
                    <w:ind w:firstLine="0" w:firstLineChars="0"/>
                    <w:jc w:val="center"/>
                    <w:rPr>
                      <w:rFonts w:hint="default" w:ascii="Times New Roman" w:hAnsi="Times New Roman" w:eastAsia="宋体" w:cs="Times New Roman"/>
                      <w:color w:val="0000FF"/>
                      <w:sz w:val="21"/>
                      <w:szCs w:val="21"/>
                      <w:u w:val="single"/>
                      <w:lang w:val="en-US" w:eastAsia="zh-CN"/>
                    </w:rPr>
                  </w:pPr>
                  <w:r>
                    <w:rPr>
                      <w:rFonts w:hint="default" w:ascii="Times New Roman" w:hAnsi="Times New Roman" w:eastAsia="宋体" w:cs="Times New Roman"/>
                      <w:color w:val="0000FF"/>
                      <w:sz w:val="21"/>
                      <w:szCs w:val="21"/>
                      <w:u w:val="single"/>
                    </w:rPr>
                    <w:t>《地下水质量标准》（GB/T 14848-2017）</w:t>
                  </w:r>
                  <w:r>
                    <w:rPr>
                      <w:rFonts w:hint="default" w:ascii="Times New Roman" w:hAnsi="Times New Roman" w:eastAsia="宋体" w:cs="Times New Roman"/>
                      <w:color w:val="0000FF"/>
                      <w:sz w:val="21"/>
                      <w:szCs w:val="21"/>
                      <w:u w:val="single"/>
                      <w:lang w:val="en-US" w:eastAsia="zh-CN"/>
                    </w:rPr>
                    <w:t>III类</w:t>
                  </w:r>
                </w:p>
              </w:tc>
            </w:tr>
          </w:tbl>
          <w:p>
            <w:pPr>
              <w:pStyle w:val="71"/>
              <w:ind w:firstLine="482"/>
              <w:rPr>
                <w:rFonts w:hint="default" w:ascii="Times New Roman" w:hAnsi="Times New Roman" w:cs="Times New Roman"/>
                <w:b/>
                <w:u w:val="single"/>
              </w:rPr>
            </w:pPr>
            <w:r>
              <w:rPr>
                <w:rFonts w:hint="default" w:ascii="Times New Roman" w:hAnsi="Times New Roman" w:cs="Times New Roman"/>
                <w:b/>
                <w:u w:val="single"/>
                <w:lang w:val="en-US" w:eastAsia="zh-CN"/>
              </w:rPr>
              <w:t>9</w:t>
            </w:r>
            <w:r>
              <w:rPr>
                <w:rFonts w:hint="default" w:ascii="Times New Roman" w:hAnsi="Times New Roman" w:cs="Times New Roman"/>
                <w:b/>
                <w:u w:val="single"/>
              </w:rPr>
              <w:t>、环保投资估算</w:t>
            </w:r>
          </w:p>
          <w:p>
            <w:pPr>
              <w:pStyle w:val="71"/>
              <w:ind w:firstLine="480" w:firstLineChars="0"/>
              <w:rPr>
                <w:rFonts w:hint="default" w:ascii="Times New Roman" w:hAnsi="Times New Roman" w:cs="Times New Roman"/>
                <w:u w:val="single"/>
              </w:rPr>
            </w:pPr>
            <w:r>
              <w:rPr>
                <w:rFonts w:hint="default" w:ascii="Times New Roman" w:hAnsi="Times New Roman" w:cs="Times New Roman"/>
                <w:u w:val="single"/>
              </w:rPr>
              <w:t>本项目总投资为360万元，预计其中环保投资为20万元，占总投资的5.56%。</w:t>
            </w:r>
          </w:p>
          <w:p>
            <w:pPr>
              <w:pStyle w:val="71"/>
              <w:adjustRightInd w:val="0"/>
              <w:snapToGrid w:val="0"/>
              <w:ind w:firstLine="0" w:firstLineChars="0"/>
              <w:jc w:val="center"/>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表4-1</w:t>
            </w:r>
            <w:r>
              <w:rPr>
                <w:rFonts w:hint="default" w:ascii="Times New Roman" w:hAnsi="Times New Roman" w:cs="Times New Roman"/>
                <w:b/>
                <w:bCs/>
                <w:sz w:val="21"/>
                <w:szCs w:val="21"/>
                <w:u w:val="single"/>
                <w:lang w:val="en-US" w:eastAsia="zh-CN"/>
              </w:rPr>
              <w:t>1</w:t>
            </w:r>
            <w:r>
              <w:rPr>
                <w:rFonts w:hint="default" w:ascii="Times New Roman" w:hAnsi="Times New Roman" w:cs="Times New Roman"/>
                <w:b/>
                <w:bCs/>
                <w:sz w:val="21"/>
                <w:szCs w:val="21"/>
                <w:u w:val="single"/>
              </w:rPr>
              <w:t xml:space="preserve"> 环保投资估算一览表 单位：万元</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2070"/>
              <w:gridCol w:w="2798"/>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序号</w:t>
                  </w:r>
                </w:p>
              </w:tc>
              <w:tc>
                <w:tcPr>
                  <w:tcW w:w="2000"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类别</w:t>
                  </w:r>
                </w:p>
              </w:tc>
              <w:tc>
                <w:tcPr>
                  <w:tcW w:w="2703"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治理措施</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投资费用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1</w:t>
                  </w:r>
                </w:p>
              </w:tc>
              <w:tc>
                <w:tcPr>
                  <w:tcW w:w="2000"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废水</w:t>
                  </w:r>
                </w:p>
              </w:tc>
              <w:tc>
                <w:tcPr>
                  <w:tcW w:w="2703"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化粪池</w:t>
                  </w:r>
                  <w:r>
                    <w:rPr>
                      <w:rFonts w:hint="default" w:ascii="Times New Roman" w:hAnsi="Times New Roman" w:cs="Times New Roman"/>
                      <w:sz w:val="21"/>
                      <w:szCs w:val="21"/>
                      <w:u w:val="single"/>
                      <w:lang w:eastAsia="zh-CN"/>
                    </w:rPr>
                    <w:t>、</w:t>
                  </w:r>
                  <w:r>
                    <w:rPr>
                      <w:rFonts w:hint="default" w:ascii="Times New Roman" w:hAnsi="Times New Roman" w:cs="Times New Roman"/>
                      <w:sz w:val="21"/>
                      <w:szCs w:val="21"/>
                      <w:u w:val="single"/>
                      <w:lang w:val="en-US" w:eastAsia="zh-CN"/>
                    </w:rPr>
                    <w:t>调节池</w:t>
                  </w:r>
                  <w:r>
                    <w:rPr>
                      <w:rFonts w:hint="default" w:ascii="Times New Roman" w:hAnsi="Times New Roman" w:cs="Times New Roman"/>
                      <w:sz w:val="21"/>
                      <w:szCs w:val="21"/>
                      <w:u w:val="single"/>
                    </w:rPr>
                    <w:t>、隔油沉淀池</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2</w:t>
                  </w:r>
                </w:p>
              </w:tc>
              <w:tc>
                <w:tcPr>
                  <w:tcW w:w="2000"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废气</w:t>
                  </w:r>
                </w:p>
              </w:tc>
              <w:tc>
                <w:tcPr>
                  <w:tcW w:w="2703"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卸油、加油油气回收系统</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3</w:t>
                  </w:r>
                </w:p>
              </w:tc>
              <w:tc>
                <w:tcPr>
                  <w:tcW w:w="2000"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噪声</w:t>
                  </w:r>
                </w:p>
              </w:tc>
              <w:tc>
                <w:tcPr>
                  <w:tcW w:w="2703"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隔声、减振、降噪</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4</w:t>
                  </w:r>
                </w:p>
              </w:tc>
              <w:tc>
                <w:tcPr>
                  <w:tcW w:w="2000"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固体废物</w:t>
                  </w:r>
                </w:p>
              </w:tc>
              <w:tc>
                <w:tcPr>
                  <w:tcW w:w="2703"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垃圾桶、危废暂存间</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52" w:type="dxa"/>
                  <w:gridSpan w:val="3"/>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总计</w:t>
                  </w:r>
                </w:p>
              </w:tc>
              <w:tc>
                <w:tcPr>
                  <w:tcW w:w="1984" w:type="dxa"/>
                  <w:noWrap w:val="0"/>
                  <w:vAlign w:val="center"/>
                </w:tcPr>
                <w:p>
                  <w:pPr>
                    <w:pStyle w:val="71"/>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20</w:t>
                  </w:r>
                </w:p>
              </w:tc>
            </w:tr>
          </w:tbl>
          <w:p>
            <w:pPr>
              <w:pStyle w:val="71"/>
              <w:ind w:firstLine="0" w:firstLineChars="0"/>
              <w:rPr>
                <w:rFonts w:hint="default" w:ascii="Times New Roman" w:hAnsi="Times New Roman" w:cs="Times New Roman"/>
              </w:rPr>
            </w:pPr>
          </w:p>
        </w:tc>
      </w:tr>
    </w:tbl>
    <w:p>
      <w:pPr>
        <w:adjustRightInd w:val="0"/>
        <w:snapToGrid w:val="0"/>
        <w:spacing w:line="360" w:lineRule="auto"/>
        <w:rPr>
          <w:rFonts w:hint="eastAsia"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4"/>
        <w:jc w:val="center"/>
        <w:rPr>
          <w:rFonts w:hint="eastAsia" w:ascii="黑体" w:hAnsi="黑体" w:eastAsia="黑体"/>
          <w:snapToGrid w:val="0"/>
          <w:color w:val="0000FF"/>
          <w:lang w:eastAsia="zh-CN"/>
        </w:rPr>
      </w:pPr>
      <w:bookmarkStart w:id="88" w:name="_Toc15677"/>
      <w:r>
        <w:rPr>
          <w:rFonts w:hint="eastAsia"/>
          <w:color w:val="0000FF"/>
        </w:rPr>
        <w:t>五、</w:t>
      </w:r>
      <w:bookmarkStart w:id="89" w:name="_Hlk54167917"/>
      <w:r>
        <w:rPr>
          <w:rFonts w:hint="eastAsia"/>
          <w:color w:val="0000FF"/>
        </w:rPr>
        <w:t>环境保护措施监督检查清单</w:t>
      </w:r>
      <w:bookmarkEnd w:id="88"/>
      <w:bookmarkEnd w:id="89"/>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9"/>
        <w:gridCol w:w="1526"/>
        <w:gridCol w:w="1693"/>
        <w:gridCol w:w="1948"/>
        <w:gridCol w:w="26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tcBorders>
              <w:tl2br w:val="single" w:color="auto" w:sz="4" w:space="0"/>
            </w:tcBorders>
            <w:noWrap w:val="0"/>
            <w:vAlign w:val="top"/>
          </w:tcPr>
          <w:p>
            <w:pPr>
              <w:adjustRightInd w:val="0"/>
              <w:snapToGrid w:val="0"/>
              <w:rPr>
                <w:rFonts w:hint="eastAsia" w:ascii="宋体" w:hAnsi="宋体" w:cs="宋体"/>
                <w:szCs w:val="21"/>
              </w:rPr>
            </w:pPr>
            <w:r>
              <w:rPr>
                <w:rFonts w:hint="eastAsia" w:ascii="宋体" w:hAnsi="宋体" w:cs="宋体"/>
                <w:szCs w:val="21"/>
              </w:rPr>
              <w:t>内容</w:t>
            </w:r>
          </w:p>
          <w:p>
            <w:pPr>
              <w:adjustRightInd w:val="0"/>
              <w:snapToGrid w:val="0"/>
              <w:rPr>
                <w:rFonts w:hint="eastAsia" w:ascii="宋体" w:hAnsi="宋体" w:cs="宋体"/>
                <w:szCs w:val="21"/>
              </w:rPr>
            </w:pPr>
            <w:r>
              <w:rPr>
                <w:rFonts w:hint="eastAsia" w:ascii="宋体" w:hAnsi="宋体" w:cs="宋体"/>
                <w:szCs w:val="21"/>
              </w:rPr>
              <w:t>要素</w:t>
            </w:r>
          </w:p>
        </w:tc>
        <w:tc>
          <w:tcPr>
            <w:tcW w:w="152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排放口(编号、</w:t>
            </w:r>
          </w:p>
          <w:p>
            <w:pPr>
              <w:adjustRightInd w:val="0"/>
              <w:snapToGrid w:val="0"/>
              <w:jc w:val="center"/>
              <w:rPr>
                <w:rFonts w:hint="eastAsia" w:ascii="宋体" w:hAnsi="宋体" w:cs="宋体"/>
                <w:szCs w:val="21"/>
              </w:rPr>
            </w:pPr>
            <w:r>
              <w:rPr>
                <w:rFonts w:hint="eastAsia" w:ascii="宋体" w:hAnsi="宋体" w:cs="宋体"/>
                <w:szCs w:val="21"/>
              </w:rPr>
              <w:t>名称)/污染源</w:t>
            </w:r>
          </w:p>
        </w:tc>
        <w:tc>
          <w:tcPr>
            <w:tcW w:w="1693"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污染物项目</w:t>
            </w:r>
          </w:p>
        </w:tc>
        <w:tc>
          <w:tcPr>
            <w:tcW w:w="194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环境保护措施</w:t>
            </w:r>
          </w:p>
        </w:tc>
        <w:tc>
          <w:tcPr>
            <w:tcW w:w="2657" w:type="dxa"/>
            <w:noWrap w:val="0"/>
            <w:vAlign w:val="center"/>
          </w:tcPr>
          <w:p>
            <w:pPr>
              <w:adjustRightInd w:val="0"/>
              <w:snapToGrid w:val="0"/>
              <w:jc w:val="center"/>
              <w:rPr>
                <w:rFonts w:hint="eastAsia" w:ascii="宋体" w:hAnsi="宋体" w:eastAsia="宋体" w:cs="宋体"/>
                <w:szCs w:val="21"/>
                <w:lang w:eastAsia="zh-CN"/>
              </w:rPr>
            </w:pPr>
            <w:r>
              <w:rPr>
                <w:rFonts w:hint="eastAsia" w:ascii="宋体" w:hAnsi="宋体" w:cs="宋体"/>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restart"/>
            <w:noWrap w:val="0"/>
            <w:vAlign w:val="center"/>
          </w:tcPr>
          <w:p>
            <w:pPr>
              <w:adjustRightInd w:val="0"/>
              <w:snapToGrid w:val="0"/>
              <w:jc w:val="center"/>
              <w:rPr>
                <w:rFonts w:hint="eastAsia" w:ascii="宋体" w:hAnsi="宋体" w:cs="宋体"/>
                <w:sz w:val="24"/>
              </w:rPr>
            </w:pPr>
            <w:r>
              <w:rPr>
                <w:rFonts w:hint="eastAsia" w:ascii="宋体" w:hAnsi="宋体" w:cs="宋体"/>
                <w:sz w:val="24"/>
              </w:rPr>
              <w:t>大气环境</w:t>
            </w:r>
          </w:p>
        </w:tc>
        <w:tc>
          <w:tcPr>
            <w:tcW w:w="1526" w:type="dxa"/>
            <w:noWrap w:val="0"/>
            <w:vAlign w:val="center"/>
          </w:tcPr>
          <w:p>
            <w:pPr>
              <w:adjustRightInd w:val="0"/>
              <w:snapToGrid w:val="0"/>
              <w:jc w:val="center"/>
              <w:rPr>
                <w:rFonts w:hint="eastAsia" w:ascii="宋体" w:hAnsi="宋体" w:eastAsia="宋体" w:cs="宋体"/>
                <w:sz w:val="24"/>
                <w:lang w:val="en-US" w:eastAsia="zh-CN"/>
              </w:rPr>
            </w:pPr>
            <w:r>
              <w:rPr>
                <w:rFonts w:hint="eastAsia" w:ascii="宋体" w:hAnsi="宋体" w:cs="宋体"/>
                <w:sz w:val="24"/>
              </w:rPr>
              <w:t>油罐大呼吸</w:t>
            </w:r>
            <w:r>
              <w:rPr>
                <w:rFonts w:hint="eastAsia" w:ascii="宋体" w:hAnsi="宋体" w:cs="宋体"/>
                <w:sz w:val="24"/>
                <w:lang w:val="en-US" w:eastAsia="zh-CN"/>
              </w:rPr>
              <w:t>损失</w:t>
            </w:r>
          </w:p>
        </w:tc>
        <w:tc>
          <w:tcPr>
            <w:tcW w:w="1693" w:type="dxa"/>
            <w:vMerge w:val="restart"/>
            <w:noWrap w:val="0"/>
            <w:vAlign w:val="center"/>
          </w:tcPr>
          <w:p>
            <w:pPr>
              <w:adjustRightInd w:val="0"/>
              <w:snapToGrid w:val="0"/>
              <w:jc w:val="center"/>
              <w:rPr>
                <w:rFonts w:hint="eastAsia" w:ascii="宋体" w:hAnsi="宋体" w:cs="宋体"/>
                <w:sz w:val="24"/>
              </w:rPr>
            </w:pPr>
            <w:r>
              <w:rPr>
                <w:rFonts w:hint="eastAsia" w:ascii="宋体" w:hAnsi="宋体" w:cs="宋体"/>
                <w:sz w:val="24"/>
              </w:rPr>
              <w:t>NMHC、气液比、液阻、密闭性</w:t>
            </w:r>
          </w:p>
        </w:tc>
        <w:tc>
          <w:tcPr>
            <w:tcW w:w="1948" w:type="dxa"/>
            <w:noWrap w:val="0"/>
            <w:vAlign w:val="center"/>
          </w:tcPr>
          <w:p>
            <w:pPr>
              <w:adjustRightInd w:val="0"/>
              <w:snapToGrid w:val="0"/>
              <w:jc w:val="center"/>
              <w:rPr>
                <w:rFonts w:ascii="宋体" w:hAnsi="宋体" w:cs="宋体"/>
                <w:sz w:val="24"/>
              </w:rPr>
            </w:pPr>
            <w:r>
              <w:rPr>
                <w:rFonts w:hint="eastAsia" w:ascii="宋体" w:hAnsi="宋体" w:cs="宋体"/>
                <w:sz w:val="24"/>
                <w:lang w:val="en-US" w:eastAsia="zh-CN"/>
              </w:rPr>
              <w:t>一次</w:t>
            </w:r>
            <w:r>
              <w:rPr>
                <w:rFonts w:hint="eastAsia" w:ascii="宋体" w:hAnsi="宋体" w:cs="宋体"/>
                <w:sz w:val="24"/>
              </w:rPr>
              <w:t>油气回收</w:t>
            </w:r>
          </w:p>
        </w:tc>
        <w:tc>
          <w:tcPr>
            <w:tcW w:w="2657" w:type="dxa"/>
            <w:vMerge w:val="restart"/>
            <w:noWrap w:val="0"/>
            <w:vAlign w:val="center"/>
          </w:tcPr>
          <w:p>
            <w:pPr>
              <w:adjustRightInd w:val="0"/>
              <w:snapToGrid w:val="0"/>
              <w:jc w:val="center"/>
              <w:rPr>
                <w:rFonts w:hint="eastAsia" w:ascii="宋体" w:hAnsi="宋体" w:eastAsia="宋体" w:cs="宋体"/>
                <w:color w:val="0000FF"/>
                <w:sz w:val="24"/>
              </w:rPr>
            </w:pPr>
            <w:r>
              <w:rPr>
                <w:rFonts w:hint="default" w:ascii="Times New Roman" w:hAnsi="Times New Roman" w:eastAsia="宋体" w:cs="Times New Roman"/>
                <w:color w:val="0000FF"/>
                <w:sz w:val="24"/>
                <w:szCs w:val="24"/>
                <w:u w:val="single"/>
                <w:lang w:val="en-US" w:eastAsia="zh-CN"/>
              </w:rPr>
              <w:t>生产系统损失</w:t>
            </w:r>
            <w:r>
              <w:rPr>
                <w:rFonts w:hint="eastAsia" w:ascii="Times New Roman" w:hAnsi="Times New Roman" w:eastAsia="宋体" w:cs="Times New Roman"/>
                <w:color w:val="0000FF"/>
                <w:sz w:val="24"/>
                <w:szCs w:val="24"/>
                <w:u w:val="single"/>
                <w:lang w:val="en-US" w:eastAsia="zh-CN"/>
              </w:rPr>
              <w:t>（</w:t>
            </w:r>
            <w:r>
              <w:rPr>
                <w:rFonts w:hint="default" w:ascii="Times New Roman" w:hAnsi="Times New Roman" w:eastAsia="宋体" w:cs="Times New Roman"/>
                <w:color w:val="0000FF"/>
                <w:sz w:val="24"/>
                <w:szCs w:val="24"/>
                <w:u w:val="single"/>
                <w:lang w:val="en-US" w:eastAsia="zh-CN"/>
              </w:rPr>
              <w:t>卸油、储油、加油过程</w:t>
            </w:r>
            <w:r>
              <w:rPr>
                <w:rFonts w:hint="eastAsia" w:ascii="Times New Roman" w:hAnsi="Times New Roman" w:eastAsia="宋体" w:cs="Times New Roman"/>
                <w:color w:val="0000FF"/>
                <w:sz w:val="24"/>
                <w:szCs w:val="24"/>
                <w:u w:val="single"/>
                <w:lang w:val="en-US" w:eastAsia="zh-CN"/>
              </w:rPr>
              <w:t>）产生的有机废气（非甲烷总烃）经</w:t>
            </w:r>
            <w:r>
              <w:rPr>
                <w:rFonts w:hint="default" w:ascii="Times New Roman" w:hAnsi="Times New Roman" w:eastAsia="宋体" w:cs="Times New Roman"/>
                <w:color w:val="0000FF"/>
                <w:sz w:val="24"/>
                <w:szCs w:val="24"/>
                <w:u w:val="single"/>
                <w:lang w:val="en-US" w:eastAsia="zh-CN"/>
              </w:rPr>
              <w:t>油气</w:t>
            </w:r>
            <w:r>
              <w:rPr>
                <w:rFonts w:hint="eastAsia" w:cs="Times New Roman"/>
                <w:color w:val="0000FF"/>
                <w:sz w:val="24"/>
                <w:szCs w:val="24"/>
                <w:u w:val="single"/>
                <w:lang w:val="en-US" w:eastAsia="zh-CN"/>
              </w:rPr>
              <w:t>二次</w:t>
            </w:r>
            <w:r>
              <w:rPr>
                <w:rFonts w:hint="eastAsia" w:ascii="Times New Roman" w:hAnsi="Times New Roman" w:eastAsia="宋体" w:cs="Times New Roman"/>
                <w:color w:val="0000FF"/>
                <w:sz w:val="24"/>
                <w:szCs w:val="24"/>
                <w:u w:val="single"/>
                <w:lang w:val="en-US" w:eastAsia="zh-CN"/>
              </w:rPr>
              <w:t>回收装置</w:t>
            </w:r>
            <w:r>
              <w:rPr>
                <w:rFonts w:hint="default" w:ascii="Times New Roman" w:hAnsi="Times New Roman" w:eastAsia="宋体" w:cs="Times New Roman"/>
                <w:color w:val="0000FF"/>
                <w:sz w:val="24"/>
                <w:szCs w:val="24"/>
                <w:u w:val="single"/>
                <w:lang w:val="en-US" w:eastAsia="zh-CN"/>
              </w:rPr>
              <w:t>处理后</w:t>
            </w:r>
            <w:r>
              <w:rPr>
                <w:rFonts w:hint="eastAsia" w:ascii="Times New Roman" w:hAnsi="Times New Roman" w:eastAsia="宋体" w:cs="Times New Roman"/>
                <w:color w:val="0000FF"/>
                <w:sz w:val="24"/>
                <w:szCs w:val="24"/>
                <w:u w:val="single"/>
                <w:lang w:val="en-US" w:eastAsia="zh-CN"/>
              </w:rPr>
              <w:t>回收系统</w:t>
            </w:r>
            <w:r>
              <w:rPr>
                <w:rFonts w:hint="default" w:ascii="Times New Roman" w:hAnsi="Times New Roman" w:eastAsia="宋体" w:cs="Times New Roman"/>
                <w:color w:val="0000FF"/>
                <w:sz w:val="24"/>
                <w:szCs w:val="24"/>
                <w:u w:val="single"/>
                <w:lang w:val="en-US" w:eastAsia="zh-CN"/>
              </w:rPr>
              <w:t>能达到</w:t>
            </w:r>
            <w:r>
              <w:rPr>
                <w:rFonts w:hint="eastAsia" w:ascii="Times New Roman" w:hAnsi="Times New Roman" w:eastAsia="宋体" w:cs="Times New Roman"/>
                <w:color w:val="0000FF"/>
                <w:sz w:val="24"/>
                <w:szCs w:val="24"/>
                <w:u w:val="single"/>
                <w:lang w:val="en-US" w:eastAsia="zh-CN"/>
              </w:rPr>
              <w:t>《加油站大气污染物排放标准》（GB20952-2020）中相关要求（</w:t>
            </w:r>
            <w:r>
              <w:rPr>
                <w:rFonts w:hint="default" w:ascii="Times New Roman" w:hAnsi="Times New Roman" w:eastAsia="宋体" w:cs="Times New Roman"/>
                <w:color w:val="0000FF"/>
                <w:sz w:val="24"/>
                <w:szCs w:val="24"/>
                <w:u w:val="single"/>
                <w:lang w:val="en-US" w:eastAsia="zh-CN"/>
              </w:rPr>
              <w:t>1小时平均浓度≤25g/m</w:t>
            </w:r>
            <w:r>
              <w:rPr>
                <w:rFonts w:hint="default" w:ascii="Times New Roman" w:hAnsi="Times New Roman" w:eastAsia="宋体" w:cs="Times New Roman"/>
                <w:color w:val="0000FF"/>
                <w:sz w:val="24"/>
                <w:szCs w:val="24"/>
                <w:u w:val="single"/>
                <w:vertAlign w:val="superscript"/>
                <w:lang w:val="en-US" w:eastAsia="zh-CN"/>
              </w:rPr>
              <w:t>3</w:t>
            </w:r>
            <w:r>
              <w:rPr>
                <w:rFonts w:hint="eastAsia" w:ascii="Times New Roman" w:hAnsi="Times New Roman" w:eastAsia="宋体" w:cs="Times New Roman"/>
                <w:color w:val="0000FF"/>
                <w:sz w:val="24"/>
                <w:szCs w:val="24"/>
                <w:u w:val="single"/>
                <w:lang w:val="en-US" w:eastAsia="zh-CN"/>
              </w:rPr>
              <w:t>）、无组织排放厂界浓度满足《加油站大气污染物排放标准》（GB20952-2020）表3</w:t>
            </w:r>
            <w:r>
              <w:rPr>
                <w:rFonts w:hint="default" w:ascii="Times New Roman" w:hAnsi="Times New Roman" w:eastAsia="宋体" w:cs="Times New Roman"/>
                <w:color w:val="0000FF"/>
                <w:sz w:val="24"/>
                <w:szCs w:val="24"/>
                <w:u w:val="single"/>
                <w:lang w:val="en-US" w:eastAsia="zh-CN"/>
              </w:rPr>
              <w:t>中的排放限值</w:t>
            </w:r>
            <w:r>
              <w:rPr>
                <w:rFonts w:hint="eastAsia" w:ascii="Times New Roman" w:hAnsi="Times New Roman" w:eastAsia="宋体" w:cs="Times New Roman"/>
                <w:color w:val="0000FF"/>
                <w:sz w:val="24"/>
                <w:szCs w:val="24"/>
                <w:u w:val="single"/>
                <w:lang w:val="en-US" w:eastAsia="zh-CN"/>
              </w:rPr>
              <w:t>（4.0m</w:t>
            </w:r>
            <w:r>
              <w:rPr>
                <w:rFonts w:hint="default" w:ascii="Times New Roman" w:hAnsi="Times New Roman" w:eastAsia="宋体" w:cs="Times New Roman"/>
                <w:color w:val="0000FF"/>
                <w:sz w:val="24"/>
                <w:szCs w:val="24"/>
                <w:u w:val="single"/>
                <w:lang w:val="en-US" w:eastAsia="zh-CN"/>
              </w:rPr>
              <w:t>g/m</w:t>
            </w:r>
            <w:r>
              <w:rPr>
                <w:rFonts w:hint="default" w:ascii="Times New Roman" w:hAnsi="Times New Roman" w:eastAsia="宋体" w:cs="Times New Roman"/>
                <w:color w:val="0000FF"/>
                <w:sz w:val="24"/>
                <w:szCs w:val="24"/>
                <w:u w:val="single"/>
                <w:vertAlign w:val="superscript"/>
                <w:lang w:val="en-US" w:eastAsia="zh-CN"/>
              </w:rPr>
              <w:t>3</w:t>
            </w:r>
            <w:r>
              <w:rPr>
                <w:rFonts w:hint="eastAsia" w:ascii="Times New Roman" w:hAnsi="Times New Roman" w:eastAsia="宋体" w:cs="Times New Roman"/>
                <w:color w:val="0000FF"/>
                <w:sz w:val="24"/>
                <w:szCs w:val="24"/>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hint="default" w:ascii="宋体" w:hAnsi="宋体" w:eastAsia="宋体" w:cs="宋体"/>
                <w:sz w:val="24"/>
                <w:lang w:val="en-US" w:eastAsia="zh-CN"/>
              </w:rPr>
            </w:pPr>
            <w:r>
              <w:rPr>
                <w:rFonts w:hint="eastAsia" w:ascii="宋体" w:hAnsi="宋体" w:cs="宋体"/>
                <w:sz w:val="24"/>
              </w:rPr>
              <w:t>加油损失</w:t>
            </w:r>
          </w:p>
        </w:tc>
        <w:tc>
          <w:tcPr>
            <w:tcW w:w="1693" w:type="dxa"/>
            <w:vMerge w:val="continue"/>
            <w:tcBorders/>
            <w:noWrap w:val="0"/>
            <w:vAlign w:val="center"/>
          </w:tcPr>
          <w:p>
            <w:pPr>
              <w:adjustRightInd w:val="0"/>
              <w:snapToGrid w:val="0"/>
              <w:jc w:val="center"/>
              <w:rPr>
                <w:rFonts w:hint="eastAsia" w:ascii="宋体" w:hAnsi="宋体" w:cs="宋体"/>
                <w:sz w:val="24"/>
              </w:rPr>
            </w:pPr>
          </w:p>
        </w:tc>
        <w:tc>
          <w:tcPr>
            <w:tcW w:w="1948" w:type="dxa"/>
            <w:noWrap w:val="0"/>
            <w:vAlign w:val="center"/>
          </w:tcPr>
          <w:p>
            <w:pPr>
              <w:adjustRightInd w:val="0"/>
              <w:snapToGrid w:val="0"/>
              <w:jc w:val="center"/>
              <w:rPr>
                <w:rFonts w:hint="eastAsia" w:ascii="宋体" w:hAnsi="宋体" w:cs="宋体"/>
                <w:sz w:val="24"/>
              </w:rPr>
            </w:pPr>
            <w:r>
              <w:rPr>
                <w:rFonts w:hint="eastAsia" w:ascii="宋体" w:hAnsi="宋体" w:cs="宋体"/>
                <w:sz w:val="24"/>
                <w:lang w:val="en-US" w:eastAsia="zh-CN"/>
              </w:rPr>
              <w:t>二次油气回收</w:t>
            </w:r>
          </w:p>
        </w:tc>
        <w:tc>
          <w:tcPr>
            <w:tcW w:w="2657" w:type="dxa"/>
            <w:vMerge w:val="continue"/>
            <w:noWrap w:val="0"/>
            <w:vAlign w:val="center"/>
          </w:tcPr>
          <w:p>
            <w:pPr>
              <w:adjustRightInd w:val="0"/>
              <w:snapToGrid w:val="0"/>
              <w:jc w:val="center"/>
              <w:rPr>
                <w:rFonts w:hint="eastAsia" w:ascii="宋体" w:hAnsi="宋体" w:eastAsia="宋体" w:cs="宋体"/>
                <w:color w:val="0000FF"/>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lang w:val="en-US" w:eastAsia="zh-CN"/>
              </w:rPr>
              <w:t>油罐小呼吸损失</w:t>
            </w:r>
          </w:p>
        </w:tc>
        <w:tc>
          <w:tcPr>
            <w:tcW w:w="1693" w:type="dxa"/>
            <w:vMerge w:val="continue"/>
            <w:tcBorders/>
            <w:noWrap w:val="0"/>
            <w:vAlign w:val="center"/>
          </w:tcPr>
          <w:p>
            <w:pPr>
              <w:adjustRightInd w:val="0"/>
              <w:snapToGrid w:val="0"/>
              <w:jc w:val="center"/>
              <w:rPr>
                <w:rFonts w:hint="eastAsia" w:ascii="宋体" w:hAnsi="宋体" w:cs="宋体"/>
                <w:sz w:val="24"/>
              </w:rPr>
            </w:pPr>
          </w:p>
        </w:tc>
        <w:tc>
          <w:tcPr>
            <w:tcW w:w="1948" w:type="dxa"/>
            <w:noWrap w:val="0"/>
            <w:vAlign w:val="center"/>
          </w:tcPr>
          <w:p>
            <w:pPr>
              <w:adjustRightInd w:val="0"/>
              <w:snapToGrid w:val="0"/>
              <w:jc w:val="center"/>
              <w:rPr>
                <w:rFonts w:hint="default" w:ascii="宋体" w:hAnsi="宋体" w:eastAsia="宋体" w:cs="宋体"/>
                <w:sz w:val="24"/>
                <w:lang w:val="en-US" w:eastAsia="zh-CN"/>
              </w:rPr>
            </w:pPr>
            <w:r>
              <w:rPr>
                <w:rFonts w:hint="eastAsia" w:ascii="宋体" w:hAnsi="宋体" w:cs="宋体"/>
                <w:sz w:val="24"/>
                <w:lang w:val="en-US" w:eastAsia="zh-CN"/>
              </w:rPr>
              <w:t>三次油气回收</w:t>
            </w:r>
          </w:p>
        </w:tc>
        <w:tc>
          <w:tcPr>
            <w:tcW w:w="2657" w:type="dxa"/>
            <w:vMerge w:val="continue"/>
            <w:noWrap w:val="0"/>
            <w:vAlign w:val="center"/>
          </w:tcPr>
          <w:p>
            <w:pPr>
              <w:adjustRightInd w:val="0"/>
              <w:snapToGrid w:val="0"/>
              <w:jc w:val="center"/>
              <w:rPr>
                <w:rFonts w:hint="eastAsia" w:ascii="宋体" w:hAnsi="宋体" w:eastAsia="宋体" w:cs="宋体"/>
                <w:color w:val="0000FF"/>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卸油</w:t>
            </w:r>
            <w:r>
              <w:rPr>
                <w:rFonts w:hint="eastAsia" w:ascii="宋体" w:hAnsi="宋体" w:cs="宋体"/>
                <w:sz w:val="24"/>
                <w:lang w:val="en-US" w:eastAsia="zh-CN"/>
              </w:rPr>
              <w:t>油罐车油气损失</w:t>
            </w:r>
          </w:p>
        </w:tc>
        <w:tc>
          <w:tcPr>
            <w:tcW w:w="1693"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NMHC</w:t>
            </w:r>
          </w:p>
        </w:tc>
        <w:tc>
          <w:tcPr>
            <w:tcW w:w="1948"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加强管理</w:t>
            </w:r>
          </w:p>
        </w:tc>
        <w:tc>
          <w:tcPr>
            <w:tcW w:w="2657" w:type="dxa"/>
            <w:vMerge w:val="continue"/>
            <w:noWrap w:val="0"/>
            <w:vAlign w:val="center"/>
          </w:tcPr>
          <w:p>
            <w:pPr>
              <w:adjustRightInd w:val="0"/>
              <w:snapToGrid w:val="0"/>
              <w:jc w:val="center"/>
              <w:rPr>
                <w:rFonts w:hint="eastAsia" w:ascii="宋体" w:hAnsi="宋体" w:eastAsia="宋体" w:cs="宋体"/>
                <w:color w:val="0000FF"/>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跑冒滴漏</w:t>
            </w:r>
          </w:p>
        </w:tc>
        <w:tc>
          <w:tcPr>
            <w:tcW w:w="1693"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NMHC</w:t>
            </w:r>
          </w:p>
        </w:tc>
        <w:tc>
          <w:tcPr>
            <w:tcW w:w="1948" w:type="dxa"/>
            <w:noWrap w:val="0"/>
            <w:vAlign w:val="center"/>
          </w:tcPr>
          <w:p>
            <w:pPr>
              <w:adjustRightInd w:val="0"/>
              <w:snapToGrid w:val="0"/>
              <w:jc w:val="center"/>
              <w:rPr>
                <w:rFonts w:ascii="宋体" w:hAnsi="宋体" w:cs="宋体"/>
                <w:sz w:val="24"/>
              </w:rPr>
            </w:pPr>
            <w:r>
              <w:rPr>
                <w:rFonts w:hint="eastAsia" w:ascii="宋体" w:hAnsi="宋体" w:cs="宋体"/>
                <w:sz w:val="24"/>
              </w:rPr>
              <w:t>加强管理</w:t>
            </w:r>
          </w:p>
        </w:tc>
        <w:tc>
          <w:tcPr>
            <w:tcW w:w="2657" w:type="dxa"/>
            <w:vMerge w:val="continue"/>
            <w:noWrap w:val="0"/>
            <w:vAlign w:val="center"/>
          </w:tcPr>
          <w:p>
            <w:pPr>
              <w:adjustRightInd w:val="0"/>
              <w:snapToGrid w:val="0"/>
              <w:jc w:val="center"/>
              <w:rPr>
                <w:rFonts w:hint="eastAsia" w:ascii="宋体" w:hAnsi="宋体" w:eastAsia="宋体" w:cs="宋体"/>
                <w:color w:val="0000FF"/>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站内无组织挥发</w:t>
            </w:r>
          </w:p>
        </w:tc>
        <w:tc>
          <w:tcPr>
            <w:tcW w:w="1693" w:type="dxa"/>
            <w:noWrap w:val="0"/>
            <w:vAlign w:val="center"/>
          </w:tcPr>
          <w:p>
            <w:pPr>
              <w:adjustRightInd w:val="0"/>
              <w:snapToGrid w:val="0"/>
              <w:jc w:val="center"/>
              <w:rPr>
                <w:rFonts w:ascii="宋体" w:hAnsi="宋体" w:cs="宋体"/>
                <w:sz w:val="24"/>
              </w:rPr>
            </w:pPr>
            <w:r>
              <w:rPr>
                <w:rFonts w:hint="eastAsia" w:ascii="宋体" w:hAnsi="宋体" w:cs="宋体"/>
                <w:sz w:val="24"/>
              </w:rPr>
              <w:t>NMHC</w:t>
            </w:r>
          </w:p>
        </w:tc>
        <w:tc>
          <w:tcPr>
            <w:tcW w:w="1948" w:type="dxa"/>
            <w:noWrap w:val="0"/>
            <w:vAlign w:val="center"/>
          </w:tcPr>
          <w:p>
            <w:pPr>
              <w:adjustRightInd w:val="0"/>
              <w:snapToGrid w:val="0"/>
              <w:jc w:val="center"/>
              <w:rPr>
                <w:rFonts w:ascii="宋体" w:hAnsi="宋体" w:cs="宋体"/>
                <w:sz w:val="24"/>
              </w:rPr>
            </w:pPr>
            <w:r>
              <w:rPr>
                <w:rFonts w:hint="eastAsia" w:ascii="宋体" w:hAnsi="宋体" w:cs="宋体"/>
                <w:sz w:val="24"/>
              </w:rPr>
              <w:t>油气回收、加强管理</w:t>
            </w:r>
          </w:p>
        </w:tc>
        <w:tc>
          <w:tcPr>
            <w:tcW w:w="2657" w:type="dxa"/>
            <w:noWrap w:val="0"/>
            <w:vAlign w:val="center"/>
          </w:tcPr>
          <w:p>
            <w:pPr>
              <w:adjustRightInd w:val="0"/>
              <w:snapToGrid w:val="0"/>
              <w:jc w:val="center"/>
              <w:rPr>
                <w:rFonts w:hint="eastAsia" w:ascii="宋体" w:hAnsi="宋体" w:eastAsia="宋体" w:cs="宋体"/>
                <w:color w:val="0000FF"/>
                <w:sz w:val="24"/>
              </w:rPr>
            </w:pPr>
            <w:r>
              <w:rPr>
                <w:rFonts w:hint="eastAsia" w:ascii="Times New Roman" w:hAnsi="Times New Roman" w:eastAsia="宋体" w:cs="Times New Roman"/>
                <w:color w:val="0000FF"/>
                <w:sz w:val="24"/>
                <w:szCs w:val="24"/>
                <w:u w:val="single"/>
                <w:lang w:val="en-US" w:eastAsia="zh-CN"/>
              </w:rPr>
              <w:t>《挥发性有机物无组织排放控制标准》（</w:t>
            </w:r>
            <w:r>
              <w:rPr>
                <w:rFonts w:hint="default" w:ascii="Times New Roman" w:hAnsi="Times New Roman" w:eastAsia="宋体" w:cs="Times New Roman"/>
                <w:color w:val="0000FF"/>
                <w:sz w:val="24"/>
                <w:szCs w:val="24"/>
                <w:u w:val="single"/>
                <w:lang w:val="en-US" w:eastAsia="zh-CN"/>
              </w:rPr>
              <w:t>GB37822-2019</w:t>
            </w:r>
            <w:r>
              <w:rPr>
                <w:rFonts w:hint="eastAsia" w:ascii="Times New Roman" w:hAnsi="Times New Roman" w:eastAsia="宋体" w:cs="Times New Roman"/>
                <w:color w:val="0000FF"/>
                <w:sz w:val="24"/>
                <w:szCs w:val="24"/>
                <w:u w:val="single"/>
                <w:lang w:val="en-US" w:eastAsia="zh-CN"/>
              </w:rPr>
              <w:t>）附录</w:t>
            </w:r>
            <w:r>
              <w:rPr>
                <w:rFonts w:hint="default" w:ascii="Times New Roman" w:hAnsi="Times New Roman" w:eastAsia="宋体" w:cs="Times New Roman"/>
                <w:color w:val="0000FF"/>
                <w:sz w:val="24"/>
                <w:szCs w:val="24"/>
                <w:u w:val="single"/>
                <w:lang w:val="en-US" w:eastAsia="zh-CN"/>
              </w:rPr>
              <w:t>A</w:t>
            </w:r>
            <w:r>
              <w:rPr>
                <w:rFonts w:hint="eastAsia" w:ascii="Times New Roman" w:hAnsi="Times New Roman" w:eastAsia="宋体" w:cs="Times New Roman"/>
                <w:color w:val="0000FF"/>
                <w:sz w:val="24"/>
                <w:szCs w:val="24"/>
                <w:u w:val="single"/>
                <w:lang w:val="en-US" w:eastAsia="zh-CN"/>
              </w:rPr>
              <w:t>中的排放限值要求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汽车尾气</w:t>
            </w:r>
          </w:p>
        </w:tc>
        <w:tc>
          <w:tcPr>
            <w:tcW w:w="1693" w:type="dxa"/>
            <w:noWrap w:val="0"/>
            <w:vAlign w:val="center"/>
          </w:tcPr>
          <w:p>
            <w:pPr>
              <w:adjustRightInd w:val="0"/>
              <w:snapToGrid w:val="0"/>
              <w:jc w:val="center"/>
              <w:rPr>
                <w:kern w:val="0"/>
                <w:position w:val="-24"/>
                <w:sz w:val="24"/>
              </w:rPr>
            </w:pPr>
            <w:r>
              <w:rPr>
                <w:rFonts w:hint="eastAsia"/>
                <w:kern w:val="0"/>
                <w:position w:val="-24"/>
                <w:sz w:val="24"/>
              </w:rPr>
              <w:t>CO、NOx等</w:t>
            </w:r>
          </w:p>
        </w:tc>
        <w:tc>
          <w:tcPr>
            <w:tcW w:w="1948" w:type="dxa"/>
            <w:noWrap w:val="0"/>
            <w:vAlign w:val="center"/>
          </w:tcPr>
          <w:p>
            <w:pPr>
              <w:adjustRightInd w:val="0"/>
              <w:snapToGrid w:val="0"/>
              <w:jc w:val="center"/>
              <w:rPr>
                <w:rFonts w:ascii="宋体" w:hAnsi="宋体" w:cs="宋体"/>
                <w:sz w:val="24"/>
              </w:rPr>
            </w:pPr>
            <w:r>
              <w:rPr>
                <w:rFonts w:hint="eastAsia" w:ascii="宋体" w:hAnsi="宋体" w:cs="宋体"/>
                <w:sz w:val="24"/>
              </w:rPr>
              <w:t>降速行驶</w:t>
            </w:r>
          </w:p>
        </w:tc>
        <w:tc>
          <w:tcPr>
            <w:tcW w:w="2657" w:type="dxa"/>
            <w:noWrap w:val="0"/>
            <w:vAlign w:val="center"/>
          </w:tcPr>
          <w:p>
            <w:pPr>
              <w:adjustRightInd w:val="0"/>
              <w:snapToGrid w:val="0"/>
              <w:jc w:val="center"/>
              <w:rPr>
                <w:rFonts w:hint="eastAsia" w:ascii="宋体" w:hAnsi="宋体" w:eastAsia="宋体" w:cs="宋体"/>
                <w:color w:val="0000FF"/>
                <w:sz w:val="24"/>
              </w:rPr>
            </w:pPr>
            <w:r>
              <w:rPr>
                <w:rFonts w:hint="eastAsia" w:ascii="宋体" w:hAnsi="宋体" w:eastAsia="宋体" w:cs="宋体"/>
                <w:color w:val="0000FF"/>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备用柴油发电机废气</w:t>
            </w:r>
          </w:p>
        </w:tc>
        <w:tc>
          <w:tcPr>
            <w:tcW w:w="1693" w:type="dxa"/>
            <w:noWrap w:val="0"/>
            <w:vAlign w:val="center"/>
          </w:tcPr>
          <w:p>
            <w:pPr>
              <w:adjustRightInd w:val="0"/>
              <w:snapToGrid w:val="0"/>
              <w:jc w:val="center"/>
              <w:rPr>
                <w:kern w:val="0"/>
                <w:position w:val="-24"/>
                <w:sz w:val="24"/>
              </w:rPr>
            </w:pPr>
            <w:r>
              <w:rPr>
                <w:rFonts w:hint="eastAsia"/>
                <w:kern w:val="0"/>
                <w:position w:val="-24"/>
                <w:sz w:val="24"/>
                <w:lang w:eastAsia="zh-CN"/>
              </w:rPr>
              <w:t>烟尘</w:t>
            </w:r>
            <w:r>
              <w:rPr>
                <w:rFonts w:hint="eastAsia"/>
                <w:kern w:val="0"/>
                <w:position w:val="-24"/>
                <w:sz w:val="24"/>
              </w:rPr>
              <w:t>、NOx、SO</w:t>
            </w:r>
            <w:r>
              <w:rPr>
                <w:rFonts w:hint="eastAsia"/>
                <w:kern w:val="0"/>
                <w:position w:val="-24"/>
                <w:sz w:val="24"/>
                <w:vertAlign w:val="subscript"/>
              </w:rPr>
              <w:t>2</w:t>
            </w:r>
          </w:p>
        </w:tc>
        <w:tc>
          <w:tcPr>
            <w:tcW w:w="1948" w:type="dxa"/>
            <w:noWrap w:val="0"/>
            <w:vAlign w:val="center"/>
          </w:tcPr>
          <w:p>
            <w:pPr>
              <w:adjustRightInd w:val="0"/>
              <w:snapToGrid w:val="0"/>
              <w:jc w:val="center"/>
              <w:rPr>
                <w:rFonts w:hint="default" w:ascii="宋体" w:hAnsi="宋体" w:eastAsia="宋体" w:cs="宋体"/>
                <w:sz w:val="24"/>
                <w:lang w:val="en-US" w:eastAsia="zh-CN"/>
              </w:rPr>
            </w:pPr>
            <w:r>
              <w:rPr>
                <w:rFonts w:hint="eastAsia" w:ascii="宋体" w:hAnsi="宋体" w:cs="宋体"/>
                <w:sz w:val="24"/>
                <w:lang w:val="en-US" w:eastAsia="zh-CN"/>
              </w:rPr>
              <w:t>经高出屋顶排放排气筒排放</w:t>
            </w:r>
          </w:p>
        </w:tc>
        <w:tc>
          <w:tcPr>
            <w:tcW w:w="2657" w:type="dxa"/>
            <w:noWrap w:val="0"/>
            <w:vAlign w:val="center"/>
          </w:tcPr>
          <w:p>
            <w:pPr>
              <w:adjustRightInd w:val="0"/>
              <w:snapToGrid w:val="0"/>
              <w:jc w:val="center"/>
              <w:rPr>
                <w:rFonts w:hint="eastAsia" w:ascii="宋体" w:hAnsi="宋体" w:eastAsia="宋体" w:cs="宋体"/>
                <w:color w:val="0000FF"/>
                <w:sz w:val="24"/>
                <w:lang w:eastAsia="zh-CN"/>
              </w:rPr>
            </w:pPr>
            <w:r>
              <w:rPr>
                <w:rFonts w:hint="eastAsia" w:ascii="宋体" w:hAnsi="宋体" w:eastAsia="宋体" w:cs="宋体"/>
                <w:color w:val="0000FF"/>
                <w:sz w:val="24"/>
              </w:rPr>
              <w:t>《《大气污染物综合排放标准》（GB16297-1996）中</w:t>
            </w:r>
            <w:r>
              <w:rPr>
                <w:rFonts w:hint="eastAsia" w:ascii="宋体" w:hAnsi="宋体" w:cs="宋体"/>
                <w:color w:val="0000FF"/>
                <w:sz w:val="24"/>
                <w:lang w:eastAsia="zh-CN"/>
              </w:rPr>
              <w:t>二次</w:t>
            </w:r>
            <w:r>
              <w:rPr>
                <w:rFonts w:hint="eastAsia" w:ascii="宋体" w:hAnsi="宋体" w:eastAsia="宋体" w:cs="宋体"/>
                <w:color w:val="0000FF"/>
                <w:sz w:val="24"/>
              </w:rPr>
              <w:t>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restart"/>
            <w:noWrap w:val="0"/>
            <w:vAlign w:val="center"/>
          </w:tcPr>
          <w:p>
            <w:pPr>
              <w:adjustRightInd w:val="0"/>
              <w:snapToGrid w:val="0"/>
              <w:jc w:val="center"/>
              <w:rPr>
                <w:rFonts w:hint="eastAsia" w:ascii="宋体" w:hAnsi="宋体" w:cs="宋体"/>
                <w:sz w:val="24"/>
              </w:rPr>
            </w:pPr>
            <w:r>
              <w:rPr>
                <w:rFonts w:hint="eastAsia" w:ascii="宋体" w:hAnsi="宋体" w:cs="宋体"/>
                <w:sz w:val="24"/>
              </w:rPr>
              <w:t>地表水环境</w:t>
            </w: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生活污水</w:t>
            </w:r>
          </w:p>
        </w:tc>
        <w:tc>
          <w:tcPr>
            <w:tcW w:w="1693" w:type="dxa"/>
            <w:noWrap w:val="0"/>
            <w:vAlign w:val="center"/>
          </w:tcPr>
          <w:p>
            <w:pPr>
              <w:adjustRightInd w:val="0"/>
              <w:snapToGrid w:val="0"/>
              <w:jc w:val="center"/>
              <w:rPr>
                <w:rFonts w:hint="eastAsia" w:ascii="宋体" w:hAnsi="宋体" w:cs="宋体"/>
                <w:sz w:val="24"/>
              </w:rPr>
            </w:pPr>
            <w:r>
              <w:rPr>
                <w:kern w:val="0"/>
                <w:position w:val="-24"/>
                <w:sz w:val="24"/>
              </w:rPr>
              <w:t>p</w:t>
            </w:r>
            <w:r>
              <w:rPr>
                <w:rFonts w:hint="eastAsia"/>
                <w:kern w:val="0"/>
                <w:position w:val="-24"/>
                <w:sz w:val="24"/>
              </w:rPr>
              <w:t>H、</w:t>
            </w:r>
            <w:r>
              <w:rPr>
                <w:kern w:val="0"/>
                <w:position w:val="-24"/>
                <w:sz w:val="24"/>
              </w:rPr>
              <w:t>COD</w:t>
            </w:r>
            <w:r>
              <w:rPr>
                <w:rFonts w:hint="eastAsia"/>
                <w:kern w:val="0"/>
                <w:position w:val="-24"/>
                <w:sz w:val="24"/>
              </w:rPr>
              <w:t>、</w:t>
            </w:r>
            <w:r>
              <w:rPr>
                <w:kern w:val="0"/>
                <w:position w:val="-24"/>
                <w:sz w:val="24"/>
              </w:rPr>
              <w:t>BOD</w:t>
            </w:r>
            <w:r>
              <w:rPr>
                <w:kern w:val="0"/>
                <w:position w:val="-24"/>
                <w:sz w:val="24"/>
                <w:vertAlign w:val="subscript"/>
              </w:rPr>
              <w:t>5</w:t>
            </w:r>
            <w:r>
              <w:rPr>
                <w:rFonts w:hint="eastAsia"/>
                <w:kern w:val="0"/>
                <w:position w:val="-24"/>
                <w:sz w:val="24"/>
              </w:rPr>
              <w:t>、</w:t>
            </w:r>
            <w:r>
              <w:rPr>
                <w:kern w:val="0"/>
                <w:position w:val="-24"/>
                <w:sz w:val="24"/>
              </w:rPr>
              <w:t>NH</w:t>
            </w:r>
            <w:r>
              <w:rPr>
                <w:kern w:val="0"/>
                <w:position w:val="-24"/>
                <w:sz w:val="24"/>
                <w:vertAlign w:val="subscript"/>
              </w:rPr>
              <w:t>3</w:t>
            </w:r>
            <w:r>
              <w:rPr>
                <w:kern w:val="0"/>
                <w:position w:val="-24"/>
                <w:sz w:val="24"/>
              </w:rPr>
              <w:t>-N</w:t>
            </w:r>
            <w:r>
              <w:rPr>
                <w:rFonts w:hint="eastAsia"/>
                <w:kern w:val="0"/>
                <w:position w:val="-24"/>
                <w:sz w:val="24"/>
              </w:rPr>
              <w:t>、</w:t>
            </w:r>
            <w:r>
              <w:rPr>
                <w:kern w:val="0"/>
                <w:position w:val="-24"/>
                <w:sz w:val="24"/>
              </w:rPr>
              <w:t>SS</w:t>
            </w:r>
            <w:r>
              <w:rPr>
                <w:rFonts w:hint="eastAsia"/>
                <w:kern w:val="0"/>
                <w:position w:val="-24"/>
                <w:sz w:val="24"/>
              </w:rPr>
              <w:t>、石油类、总氮、总磷</w:t>
            </w:r>
          </w:p>
        </w:tc>
        <w:tc>
          <w:tcPr>
            <w:tcW w:w="1948" w:type="dxa"/>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经化粪池</w:t>
            </w:r>
            <w:r>
              <w:rPr>
                <w:rFonts w:hint="eastAsia" w:ascii="宋体" w:hAnsi="宋体" w:cs="宋体"/>
                <w:color w:val="000000"/>
                <w:sz w:val="24"/>
                <w:lang w:val="en-US" w:eastAsia="zh-CN"/>
              </w:rPr>
              <w:t>+调节池</w:t>
            </w:r>
            <w:r>
              <w:rPr>
                <w:rFonts w:hint="eastAsia" w:ascii="宋体" w:hAnsi="宋体" w:cs="宋体"/>
                <w:color w:val="000000"/>
                <w:sz w:val="24"/>
              </w:rPr>
              <w:t>处理后用作农肥</w:t>
            </w:r>
          </w:p>
        </w:tc>
        <w:tc>
          <w:tcPr>
            <w:tcW w:w="2657" w:type="dxa"/>
            <w:noWrap w:val="0"/>
            <w:vAlign w:val="center"/>
          </w:tcPr>
          <w:p>
            <w:pPr>
              <w:adjustRightInd w:val="0"/>
              <w:snapToGrid w:val="0"/>
              <w:jc w:val="center"/>
              <w:rPr>
                <w:rFonts w:hint="eastAsia" w:ascii="宋体" w:hAnsi="宋体" w:cs="宋体"/>
                <w:sz w:val="24"/>
              </w:rPr>
            </w:pPr>
            <w:r>
              <w:rPr>
                <w:rFonts w:hint="eastAsia"/>
                <w:sz w:val="24"/>
              </w:rPr>
              <w:t>不排放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地面清洗废水</w:t>
            </w:r>
          </w:p>
        </w:tc>
        <w:tc>
          <w:tcPr>
            <w:tcW w:w="1693" w:type="dxa"/>
            <w:vMerge w:val="restart"/>
            <w:noWrap w:val="0"/>
            <w:vAlign w:val="center"/>
          </w:tcPr>
          <w:p>
            <w:pPr>
              <w:adjustRightInd w:val="0"/>
              <w:snapToGrid w:val="0"/>
              <w:jc w:val="center"/>
              <w:rPr>
                <w:rFonts w:hint="eastAsia"/>
                <w:kern w:val="0"/>
                <w:position w:val="-24"/>
                <w:sz w:val="24"/>
              </w:rPr>
            </w:pPr>
            <w:r>
              <w:rPr>
                <w:kern w:val="0"/>
                <w:position w:val="-24"/>
                <w:sz w:val="24"/>
              </w:rPr>
              <w:t>SS</w:t>
            </w:r>
            <w:r>
              <w:rPr>
                <w:rFonts w:hint="eastAsia"/>
                <w:kern w:val="0"/>
                <w:position w:val="-24"/>
                <w:sz w:val="24"/>
              </w:rPr>
              <w:t>、石油类</w:t>
            </w:r>
          </w:p>
        </w:tc>
        <w:tc>
          <w:tcPr>
            <w:tcW w:w="1948" w:type="dxa"/>
            <w:vMerge w:val="restart"/>
            <w:noWrap w:val="0"/>
            <w:vAlign w:val="center"/>
          </w:tcPr>
          <w:p>
            <w:pPr>
              <w:adjustRightInd w:val="0"/>
              <w:snapToGrid w:val="0"/>
              <w:jc w:val="center"/>
              <w:rPr>
                <w:rFonts w:ascii="宋体" w:hAnsi="宋体" w:cs="宋体"/>
                <w:color w:val="000000"/>
                <w:sz w:val="24"/>
              </w:rPr>
            </w:pPr>
            <w:r>
              <w:rPr>
                <w:rFonts w:hint="eastAsia" w:ascii="宋体" w:hAnsi="宋体" w:cs="宋体"/>
                <w:color w:val="000000"/>
                <w:sz w:val="24"/>
              </w:rPr>
              <w:t>经隔油沉淀池处理后用作洒水降尘或绿植灌溉</w:t>
            </w:r>
          </w:p>
        </w:tc>
        <w:tc>
          <w:tcPr>
            <w:tcW w:w="2657" w:type="dxa"/>
            <w:vMerge w:val="restart"/>
            <w:noWrap w:val="0"/>
            <w:vAlign w:val="center"/>
          </w:tcPr>
          <w:p>
            <w:pPr>
              <w:adjustRightInd w:val="0"/>
              <w:snapToGrid w:val="0"/>
              <w:jc w:val="center"/>
              <w:rPr>
                <w:rFonts w:hint="eastAsia"/>
                <w:sz w:val="24"/>
              </w:rPr>
            </w:pPr>
            <w:r>
              <w:rPr>
                <w:rFonts w:hint="eastAsia"/>
                <w:sz w:val="24"/>
              </w:rPr>
              <w:t>不排放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vMerge w:val="continue"/>
            <w:noWrap w:val="0"/>
            <w:vAlign w:val="center"/>
          </w:tcPr>
          <w:p>
            <w:pPr>
              <w:adjustRightInd w:val="0"/>
              <w:snapToGrid w:val="0"/>
              <w:jc w:val="center"/>
              <w:rPr>
                <w:rFonts w:hint="eastAsia" w:ascii="宋体" w:hAnsi="宋体" w:cs="宋体"/>
                <w:sz w:val="24"/>
              </w:rPr>
            </w:pP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初期雨水</w:t>
            </w:r>
          </w:p>
        </w:tc>
        <w:tc>
          <w:tcPr>
            <w:tcW w:w="1693" w:type="dxa"/>
            <w:vMerge w:val="continue"/>
            <w:noWrap w:val="0"/>
            <w:vAlign w:val="center"/>
          </w:tcPr>
          <w:p>
            <w:pPr>
              <w:adjustRightInd w:val="0"/>
              <w:snapToGrid w:val="0"/>
              <w:jc w:val="center"/>
              <w:rPr>
                <w:kern w:val="0"/>
                <w:position w:val="-24"/>
                <w:sz w:val="24"/>
              </w:rPr>
            </w:pPr>
          </w:p>
        </w:tc>
        <w:tc>
          <w:tcPr>
            <w:tcW w:w="1948" w:type="dxa"/>
            <w:vMerge w:val="continue"/>
            <w:noWrap w:val="0"/>
            <w:vAlign w:val="center"/>
          </w:tcPr>
          <w:p>
            <w:pPr>
              <w:adjustRightInd w:val="0"/>
              <w:snapToGrid w:val="0"/>
              <w:jc w:val="center"/>
              <w:rPr>
                <w:rFonts w:hint="eastAsia" w:ascii="宋体" w:hAnsi="宋体" w:cs="宋体"/>
                <w:sz w:val="24"/>
              </w:rPr>
            </w:pPr>
          </w:p>
        </w:tc>
        <w:tc>
          <w:tcPr>
            <w:tcW w:w="2657" w:type="dxa"/>
            <w:vMerge w:val="continue"/>
            <w:noWrap w:val="0"/>
            <w:vAlign w:val="center"/>
          </w:tcPr>
          <w:p>
            <w:pPr>
              <w:adjustRightInd w:val="0"/>
              <w:snapToGrid w:val="0"/>
              <w:jc w:val="center"/>
              <w:rPr>
                <w:rFonts w:hint="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声环境</w:t>
            </w:r>
          </w:p>
        </w:tc>
        <w:tc>
          <w:tcPr>
            <w:tcW w:w="1526" w:type="dxa"/>
            <w:noWrap w:val="0"/>
            <w:vAlign w:val="center"/>
          </w:tcPr>
          <w:p>
            <w:pPr>
              <w:adjustRightInd w:val="0"/>
              <w:snapToGrid w:val="0"/>
              <w:jc w:val="center"/>
              <w:rPr>
                <w:rFonts w:ascii="宋体" w:hAnsi="宋体" w:cs="宋体"/>
                <w:sz w:val="24"/>
              </w:rPr>
            </w:pPr>
            <w:r>
              <w:rPr>
                <w:rFonts w:hint="eastAsia" w:ascii="宋体" w:hAnsi="宋体" w:cs="宋体"/>
                <w:sz w:val="24"/>
              </w:rPr>
              <w:t>厂界噪声</w:t>
            </w:r>
          </w:p>
        </w:tc>
        <w:tc>
          <w:tcPr>
            <w:tcW w:w="1693" w:type="dxa"/>
            <w:noWrap w:val="0"/>
            <w:vAlign w:val="center"/>
          </w:tcPr>
          <w:p>
            <w:pPr>
              <w:adjustRightInd w:val="0"/>
              <w:snapToGrid w:val="0"/>
              <w:jc w:val="center"/>
              <w:rPr>
                <w:rFonts w:ascii="宋体" w:hAnsi="宋体" w:cs="宋体"/>
                <w:sz w:val="24"/>
              </w:rPr>
            </w:pPr>
            <w:r>
              <w:rPr>
                <w:rFonts w:hint="eastAsia" w:ascii="宋体" w:hAnsi="宋体" w:cs="宋体"/>
                <w:sz w:val="24"/>
              </w:rPr>
              <w:t>等效连续A级声</w:t>
            </w:r>
          </w:p>
        </w:tc>
        <w:tc>
          <w:tcPr>
            <w:tcW w:w="1948" w:type="dxa"/>
            <w:noWrap w:val="0"/>
            <w:vAlign w:val="center"/>
          </w:tcPr>
          <w:p>
            <w:pPr>
              <w:adjustRightInd w:val="0"/>
              <w:snapToGrid w:val="0"/>
              <w:jc w:val="center"/>
              <w:rPr>
                <w:rFonts w:hint="eastAsia" w:ascii="宋体" w:hAnsi="宋体" w:cs="宋体"/>
                <w:sz w:val="24"/>
              </w:rPr>
            </w:pPr>
            <w:r>
              <w:rPr>
                <w:sz w:val="24"/>
              </w:rPr>
              <w:t>采取有效的</w:t>
            </w:r>
            <w:r>
              <w:rPr>
                <w:rFonts w:hint="eastAsia"/>
                <w:sz w:val="24"/>
              </w:rPr>
              <w:t>减振、</w:t>
            </w:r>
            <w:r>
              <w:rPr>
                <w:sz w:val="24"/>
              </w:rPr>
              <w:t>隔声</w:t>
            </w:r>
            <w:r>
              <w:rPr>
                <w:rFonts w:hint="eastAsia"/>
                <w:sz w:val="24"/>
              </w:rPr>
              <w:t>等</w:t>
            </w:r>
            <w:r>
              <w:rPr>
                <w:sz w:val="24"/>
              </w:rPr>
              <w:t>措施</w:t>
            </w:r>
          </w:p>
        </w:tc>
        <w:tc>
          <w:tcPr>
            <w:tcW w:w="2657" w:type="dxa"/>
            <w:noWrap w:val="0"/>
            <w:vAlign w:val="center"/>
          </w:tcPr>
          <w:p>
            <w:pPr>
              <w:adjustRightInd w:val="0"/>
              <w:snapToGrid w:val="0"/>
              <w:jc w:val="center"/>
              <w:rPr>
                <w:rFonts w:ascii="宋体" w:hAnsi="宋体" w:cs="宋体"/>
                <w:sz w:val="24"/>
              </w:rPr>
            </w:pPr>
            <w:r>
              <w:rPr>
                <w:sz w:val="24"/>
              </w:rPr>
              <w:t>《工业企业厂界环境噪声排放标准》（GB12348-2008）</w:t>
            </w:r>
            <w:r>
              <w:rPr>
                <w:rFonts w:hint="eastAsia"/>
                <w:sz w:val="24"/>
              </w:rPr>
              <w:t>2</w:t>
            </w:r>
            <w:r>
              <w:rPr>
                <w:sz w:val="24"/>
              </w:rPr>
              <w:t>类标准</w:t>
            </w:r>
            <w:r>
              <w:rPr>
                <w:rFonts w:hint="eastAsia"/>
                <w:sz w:val="24"/>
              </w:rPr>
              <w:t>、临临鸭公路一侧执行4类标准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19"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电磁辐射</w:t>
            </w:r>
          </w:p>
        </w:tc>
        <w:tc>
          <w:tcPr>
            <w:tcW w:w="1526"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w:t>
            </w:r>
          </w:p>
        </w:tc>
        <w:tc>
          <w:tcPr>
            <w:tcW w:w="1693"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w:t>
            </w:r>
          </w:p>
        </w:tc>
        <w:tc>
          <w:tcPr>
            <w:tcW w:w="1948" w:type="dxa"/>
            <w:noWrap w:val="0"/>
            <w:vAlign w:val="center"/>
          </w:tcPr>
          <w:p>
            <w:pPr>
              <w:adjustRightInd w:val="0"/>
              <w:snapToGrid w:val="0"/>
              <w:jc w:val="center"/>
              <w:rPr>
                <w:sz w:val="24"/>
              </w:rPr>
            </w:pPr>
            <w:r>
              <w:rPr>
                <w:rFonts w:hint="eastAsia" w:ascii="宋体" w:hAnsi="宋体" w:cs="宋体"/>
                <w:sz w:val="24"/>
              </w:rPr>
              <w:t>/</w:t>
            </w:r>
          </w:p>
        </w:tc>
        <w:tc>
          <w:tcPr>
            <w:tcW w:w="2657" w:type="dxa"/>
            <w:noWrap w:val="0"/>
            <w:vAlign w:val="center"/>
          </w:tcPr>
          <w:p>
            <w:pPr>
              <w:adjustRightInd w:val="0"/>
              <w:snapToGrid w:val="0"/>
              <w:jc w:val="center"/>
              <w:rPr>
                <w:sz w:val="24"/>
              </w:rPr>
            </w:pPr>
            <w:r>
              <w:rPr>
                <w:rFonts w:hint="eastAsia" w:ascii="宋体" w:hAnsi="宋体" w:cs="宋体"/>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19"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固体废物</w:t>
            </w:r>
          </w:p>
        </w:tc>
        <w:tc>
          <w:tcPr>
            <w:tcW w:w="7824" w:type="dxa"/>
            <w:gridSpan w:val="4"/>
            <w:noWrap w:val="0"/>
            <w:vAlign w:val="center"/>
          </w:tcPr>
          <w:p>
            <w:pPr>
              <w:adjustRightInd w:val="0"/>
              <w:snapToGrid w:val="0"/>
              <w:ind w:firstLine="480" w:firstLineChars="200"/>
              <w:rPr>
                <w:sz w:val="24"/>
                <w:szCs w:val="32"/>
              </w:rPr>
            </w:pPr>
            <w:r>
              <w:rPr>
                <w:sz w:val="24"/>
                <w:szCs w:val="32"/>
              </w:rPr>
              <w:t>生活垃圾经生活垃圾箱收集，由环卫部门统一清运。</w:t>
            </w:r>
          </w:p>
          <w:p>
            <w:pPr>
              <w:adjustRightInd w:val="0"/>
              <w:snapToGrid w:val="0"/>
              <w:ind w:firstLine="480" w:firstLineChars="200"/>
              <w:rPr>
                <w:rFonts w:hint="eastAsia" w:ascii="宋体" w:hAnsi="宋体" w:cs="宋体"/>
                <w:sz w:val="24"/>
              </w:rPr>
            </w:pPr>
            <w:r>
              <w:rPr>
                <w:rFonts w:hint="eastAsia"/>
                <w:sz w:val="24"/>
                <w:szCs w:val="32"/>
              </w:rPr>
              <w:t>隔油池油泥、含油抹布手套、油罐油渣等暂存入危废暂存间内，</w:t>
            </w:r>
            <w:r>
              <w:rPr>
                <w:sz w:val="24"/>
                <w:szCs w:val="32"/>
              </w:rPr>
              <w:t>由有资质的单位定期清运进行处理。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19"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土壤及地下水</w:t>
            </w:r>
          </w:p>
          <w:p>
            <w:pPr>
              <w:adjustRightInd w:val="0"/>
              <w:snapToGrid w:val="0"/>
              <w:jc w:val="center"/>
              <w:rPr>
                <w:rFonts w:hint="eastAsia" w:ascii="宋体" w:hAnsi="宋体" w:cs="宋体"/>
                <w:sz w:val="24"/>
              </w:rPr>
            </w:pPr>
            <w:r>
              <w:rPr>
                <w:rFonts w:hint="eastAsia" w:ascii="宋体" w:hAnsi="宋体" w:cs="宋体"/>
                <w:sz w:val="24"/>
              </w:rPr>
              <w:t>污染防治措施</w:t>
            </w:r>
          </w:p>
        </w:tc>
        <w:tc>
          <w:tcPr>
            <w:tcW w:w="7824" w:type="dxa"/>
            <w:gridSpan w:val="4"/>
            <w:noWrap w:val="0"/>
            <w:vAlign w:val="center"/>
          </w:tcPr>
          <w:p>
            <w:pPr>
              <w:pStyle w:val="71"/>
              <w:spacing w:line="240" w:lineRule="auto"/>
              <w:ind w:firstLine="480"/>
              <w:rPr>
                <w:rFonts w:hint="eastAsia" w:ascii="宋体" w:hAnsi="宋体" w:cs="宋体"/>
                <w:szCs w:val="24"/>
              </w:rPr>
            </w:pPr>
            <w:r>
              <w:rPr>
                <w:rFonts w:hint="eastAsia" w:ascii="宋体" w:hAnsi="宋体" w:cs="宋体"/>
                <w:color w:val="0000FF"/>
                <w:u w:val="single"/>
              </w:rPr>
              <w:t>项目必须建立完善的防渗措施。项目在设置液位仪、地下水监测井的基础上，定期对液位仪、地下水监测进行观测。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19" w:type="dxa"/>
            <w:noWrap w:val="0"/>
            <w:vAlign w:val="center"/>
          </w:tcPr>
          <w:p>
            <w:pPr>
              <w:adjustRightInd w:val="0"/>
              <w:snapToGrid w:val="0"/>
              <w:jc w:val="center"/>
              <w:rPr>
                <w:rFonts w:hint="eastAsia" w:ascii="宋体" w:hAnsi="宋体" w:cs="宋体"/>
                <w:sz w:val="24"/>
              </w:rPr>
            </w:pPr>
            <w:r>
              <w:rPr>
                <w:rFonts w:hint="eastAsia" w:ascii="宋体" w:hAnsi="宋体" w:cs="宋体"/>
                <w:sz w:val="24"/>
              </w:rPr>
              <w:t>生态保护措施</w:t>
            </w:r>
          </w:p>
        </w:tc>
        <w:tc>
          <w:tcPr>
            <w:tcW w:w="7824" w:type="dxa"/>
            <w:gridSpan w:val="4"/>
            <w:noWrap w:val="0"/>
            <w:vAlign w:val="center"/>
          </w:tcPr>
          <w:p>
            <w:pPr>
              <w:adjustRightInd w:val="0"/>
              <w:snapToGrid w:val="0"/>
              <w:jc w:val="center"/>
              <w:rPr>
                <w:rFonts w:hint="eastAsia" w:ascii="宋体" w:hAnsi="宋体" w:cs="宋体"/>
                <w:sz w:val="24"/>
              </w:rPr>
            </w:pPr>
            <w:r>
              <w:rPr>
                <w:rFonts w:hint="eastAsia"/>
                <w:color w:val="0000FF"/>
                <w:u w:val="single"/>
              </w:rPr>
              <w:t>加油站四周绿化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19" w:type="dxa"/>
            <w:noWrap w:val="0"/>
            <w:vAlign w:val="center"/>
          </w:tcPr>
          <w:p>
            <w:pPr>
              <w:adjustRightInd w:val="0"/>
              <w:snapToGrid w:val="0"/>
              <w:jc w:val="center"/>
              <w:rPr>
                <w:rFonts w:ascii="宋体" w:hAnsi="宋体" w:cs="宋体"/>
                <w:spacing w:val="-8"/>
                <w:sz w:val="24"/>
              </w:rPr>
            </w:pPr>
            <w:r>
              <w:rPr>
                <w:rFonts w:hint="eastAsia" w:ascii="宋体" w:hAnsi="宋体" w:cs="宋体"/>
                <w:spacing w:val="-8"/>
                <w:sz w:val="24"/>
              </w:rPr>
              <w:t>环境风险</w:t>
            </w:r>
          </w:p>
          <w:p>
            <w:pPr>
              <w:adjustRightInd w:val="0"/>
              <w:snapToGrid w:val="0"/>
              <w:jc w:val="center"/>
              <w:rPr>
                <w:rFonts w:hint="eastAsia" w:ascii="宋体" w:hAnsi="宋体" w:cs="宋体"/>
                <w:spacing w:val="-8"/>
                <w:sz w:val="24"/>
              </w:rPr>
            </w:pPr>
            <w:r>
              <w:rPr>
                <w:rFonts w:hint="eastAsia" w:ascii="宋体" w:hAnsi="宋体" w:cs="宋体"/>
                <w:spacing w:val="-8"/>
                <w:sz w:val="24"/>
              </w:rPr>
              <w:t>防范措施</w:t>
            </w:r>
          </w:p>
        </w:tc>
        <w:tc>
          <w:tcPr>
            <w:tcW w:w="7824" w:type="dxa"/>
            <w:gridSpan w:val="4"/>
            <w:noWrap w:val="0"/>
            <w:vAlign w:val="center"/>
          </w:tcPr>
          <w:p>
            <w:pPr>
              <w:adjustRightInd w:val="0"/>
              <w:snapToGrid w:val="0"/>
              <w:ind w:firstLine="480" w:firstLineChars="200"/>
              <w:rPr>
                <w:rFonts w:hint="eastAsia"/>
                <w:kern w:val="21"/>
                <w:sz w:val="24"/>
              </w:rPr>
            </w:pPr>
            <w:r>
              <w:rPr>
                <w:rFonts w:hint="eastAsia"/>
                <w:kern w:val="21"/>
                <w:sz w:val="24"/>
              </w:rPr>
              <w:t>为保障评价区域的环境质量以及生产设备和生命财产安全，本报告要求建设单位必须有针对性地制定相应的环境风险管理制度以及防范措施：</w:t>
            </w:r>
          </w:p>
          <w:p>
            <w:pPr>
              <w:adjustRightInd w:val="0"/>
              <w:snapToGrid w:val="0"/>
              <w:ind w:firstLine="480" w:firstLineChars="200"/>
              <w:rPr>
                <w:rFonts w:hint="eastAsia"/>
                <w:kern w:val="21"/>
                <w:sz w:val="24"/>
              </w:rPr>
            </w:pPr>
            <w:r>
              <w:rPr>
                <w:rFonts w:hint="eastAsia"/>
                <w:kern w:val="21"/>
                <w:sz w:val="24"/>
              </w:rPr>
              <w:t>①应在消防重点部位（如：储罐区）设置醒目的防火标志牌，并且按消防设计规范配置相应的消防器材及设施，此外还必须做到定期保养和维护，保证消防设备的有效性。</w:t>
            </w:r>
          </w:p>
          <w:p>
            <w:pPr>
              <w:adjustRightInd w:val="0"/>
              <w:snapToGrid w:val="0"/>
              <w:ind w:firstLine="480" w:firstLineChars="200"/>
              <w:rPr>
                <w:rFonts w:hint="eastAsia"/>
                <w:kern w:val="21"/>
                <w:sz w:val="24"/>
              </w:rPr>
            </w:pPr>
            <w:r>
              <w:rPr>
                <w:rFonts w:hint="eastAsia"/>
                <w:kern w:val="21"/>
                <w:sz w:val="24"/>
              </w:rPr>
              <w:t>②加强项目风险防范措施，在事故易发地分别增设消防器材。</w:t>
            </w:r>
          </w:p>
          <w:p>
            <w:pPr>
              <w:adjustRightInd w:val="0"/>
              <w:snapToGrid w:val="0"/>
              <w:ind w:firstLine="480" w:firstLineChars="200"/>
              <w:rPr>
                <w:rFonts w:hint="eastAsia"/>
                <w:kern w:val="21"/>
                <w:sz w:val="24"/>
              </w:rPr>
            </w:pPr>
            <w:r>
              <w:rPr>
                <w:rFonts w:hint="eastAsia"/>
                <w:kern w:val="21"/>
                <w:sz w:val="24"/>
              </w:rPr>
              <w:t>③加强储罐与管道系统的管理与维修，确保整个储存系统处于密闭化，严格防止跑、冒、滴、漏现象发生。</w:t>
            </w:r>
          </w:p>
          <w:p>
            <w:pPr>
              <w:adjustRightInd w:val="0"/>
              <w:snapToGrid w:val="0"/>
              <w:ind w:firstLine="480" w:firstLineChars="200"/>
              <w:rPr>
                <w:rFonts w:hint="eastAsia"/>
                <w:kern w:val="21"/>
                <w:sz w:val="24"/>
              </w:rPr>
            </w:pPr>
            <w:r>
              <w:rPr>
                <w:rFonts w:hint="eastAsia"/>
                <w:kern w:val="21"/>
                <w:sz w:val="24"/>
              </w:rPr>
              <w:t>④做好加油区卸油区的防渗、防漏工作，并针对加油区、卸油区、储罐区设置防渗围堰，确保即使发生泄漏，仍可将泄漏油品拦截在围堰内，不会直接下渗，污染土壤及地下水。</w:t>
            </w:r>
          </w:p>
          <w:p>
            <w:pPr>
              <w:adjustRightInd w:val="0"/>
              <w:snapToGrid w:val="0"/>
              <w:ind w:firstLine="480" w:firstLineChars="200"/>
              <w:rPr>
                <w:rFonts w:hint="eastAsia"/>
                <w:kern w:val="21"/>
                <w:sz w:val="24"/>
              </w:rPr>
            </w:pPr>
            <w:r>
              <w:rPr>
                <w:rFonts w:hint="eastAsia"/>
                <w:kern w:val="21"/>
                <w:sz w:val="24"/>
              </w:rPr>
              <w:t>⑤在做好内部人员培训管理的同时加强对外来人员、车辆的管理：站内严禁吸烟以及任何火源，加油车辆进入指定位置后应熄火静候下一步操作，严禁顾客在加油区域使用手机、平板电脑等电子设备和其他不利于安全的行为。</w:t>
            </w:r>
          </w:p>
          <w:p>
            <w:pPr>
              <w:adjustRightInd w:val="0"/>
              <w:snapToGrid w:val="0"/>
              <w:ind w:firstLine="480" w:firstLineChars="200"/>
              <w:rPr>
                <w:rFonts w:hint="eastAsia"/>
                <w:kern w:val="21"/>
                <w:sz w:val="24"/>
              </w:rPr>
            </w:pPr>
            <w:r>
              <w:rPr>
                <w:rFonts w:hint="eastAsia"/>
                <w:kern w:val="21"/>
                <w:sz w:val="24"/>
              </w:rPr>
              <w:t>⑥针对站内有火灾和爆炸危险的区域，采取防爆灯具及其他防爆性的电气设备或仪表。</w:t>
            </w:r>
          </w:p>
          <w:p>
            <w:pPr>
              <w:adjustRightInd w:val="0"/>
              <w:snapToGrid w:val="0"/>
              <w:ind w:firstLine="480" w:firstLineChars="200"/>
              <w:rPr>
                <w:rFonts w:hint="eastAsia" w:ascii="宋体" w:hAnsi="宋体" w:cs="宋体"/>
                <w:sz w:val="24"/>
              </w:rPr>
            </w:pPr>
            <w:r>
              <w:rPr>
                <w:rFonts w:hint="eastAsia"/>
                <w:kern w:val="21"/>
                <w:sz w:val="24"/>
              </w:rPr>
              <w:t>⑦建立夜间值班巡查制度、火险报告制度、安全奖惩制度等。</w:t>
            </w:r>
          </w:p>
          <w:p>
            <w:pPr>
              <w:adjustRightInd w:val="0"/>
              <w:snapToGrid w:val="0"/>
              <w:ind w:firstLine="480" w:firstLineChars="200"/>
              <w:rPr>
                <w:rFonts w:hint="eastAsia" w:ascii="宋体" w:hAnsi="宋体" w:cs="宋体"/>
                <w:sz w:val="24"/>
              </w:rPr>
            </w:pPr>
            <w:r>
              <w:rPr>
                <w:rFonts w:hint="eastAsia"/>
                <w:kern w:val="21"/>
                <w:sz w:val="24"/>
              </w:rPr>
              <w:t>本项目危险物质主要为汽油、柴油，风险源则主要为涉及上述危险物质的生产单元（含：卸油、储存、加油系统等）。经计算分析判定，项目环境风险潜势为I，储罐单元发生泄漏事件属于极小概率事件。建设单位采取相应的防护措施后，项目环境风险在环境可接受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219" w:type="dxa"/>
            <w:noWrap w:val="0"/>
            <w:vAlign w:val="center"/>
          </w:tcPr>
          <w:p>
            <w:pPr>
              <w:adjustRightInd w:val="0"/>
              <w:snapToGrid w:val="0"/>
              <w:jc w:val="center"/>
              <w:rPr>
                <w:rFonts w:ascii="宋体" w:hAnsi="宋体" w:cs="宋体"/>
                <w:spacing w:val="-8"/>
                <w:sz w:val="24"/>
              </w:rPr>
            </w:pPr>
            <w:r>
              <w:rPr>
                <w:rFonts w:hint="eastAsia" w:ascii="宋体" w:hAnsi="宋体" w:cs="宋体"/>
                <w:spacing w:val="-8"/>
                <w:sz w:val="24"/>
              </w:rPr>
              <w:t>其他环境</w:t>
            </w:r>
          </w:p>
          <w:p>
            <w:pPr>
              <w:adjustRightInd w:val="0"/>
              <w:snapToGrid w:val="0"/>
              <w:jc w:val="center"/>
              <w:rPr>
                <w:rFonts w:hint="eastAsia" w:ascii="宋体" w:hAnsi="宋体" w:cs="宋体"/>
                <w:spacing w:val="-8"/>
                <w:sz w:val="24"/>
              </w:rPr>
            </w:pPr>
            <w:r>
              <w:rPr>
                <w:rFonts w:hint="eastAsia" w:ascii="宋体" w:hAnsi="宋体" w:cs="宋体"/>
                <w:spacing w:val="-8"/>
                <w:sz w:val="24"/>
              </w:rPr>
              <w:t>管理要求</w:t>
            </w:r>
          </w:p>
        </w:tc>
        <w:tc>
          <w:tcPr>
            <w:tcW w:w="7824" w:type="dxa"/>
            <w:gridSpan w:val="4"/>
            <w:noWrap w:val="0"/>
            <w:vAlign w:val="center"/>
          </w:tcPr>
          <w:p>
            <w:pPr>
              <w:adjustRightInd w:val="0"/>
              <w:snapToGrid w:val="0"/>
              <w:ind w:firstLine="480" w:firstLineChars="200"/>
              <w:jc w:val="left"/>
              <w:rPr>
                <w:rFonts w:hint="eastAsia" w:ascii="宋体" w:hAnsi="宋体" w:cs="宋体"/>
                <w:color w:val="0000FF"/>
                <w:sz w:val="24"/>
              </w:rPr>
            </w:pPr>
            <w:r>
              <w:rPr>
                <w:rFonts w:hint="eastAsia" w:ascii="宋体" w:hAnsi="宋体" w:cs="宋体"/>
                <w:color w:val="0000FF"/>
                <w:sz w:val="24"/>
              </w:rPr>
              <w:t>1、需根据《排污许可管理条例》及相关规范的要求，落实定期检查计划，环境管理制度等。</w:t>
            </w:r>
          </w:p>
          <w:p>
            <w:pPr>
              <w:adjustRightInd w:val="0"/>
              <w:snapToGrid w:val="0"/>
              <w:ind w:firstLine="480" w:firstLineChars="200"/>
              <w:jc w:val="left"/>
              <w:rPr>
                <w:rFonts w:hint="eastAsia" w:ascii="宋体" w:hAnsi="宋体" w:cs="宋体"/>
                <w:color w:val="0000FF"/>
                <w:sz w:val="24"/>
              </w:rPr>
            </w:pPr>
            <w:r>
              <w:rPr>
                <w:rFonts w:hint="eastAsia" w:ascii="宋体" w:hAnsi="宋体" w:cs="宋体"/>
                <w:color w:val="0000FF"/>
                <w:sz w:val="24"/>
              </w:rPr>
              <w:t>2、定期做好自行污染源监测。</w:t>
            </w:r>
          </w:p>
          <w:p>
            <w:pPr>
              <w:adjustRightInd w:val="0"/>
              <w:snapToGrid w:val="0"/>
              <w:ind w:firstLine="480" w:firstLineChars="200"/>
              <w:jc w:val="left"/>
              <w:rPr>
                <w:rFonts w:hint="eastAsia" w:ascii="宋体" w:hAnsi="宋体" w:cs="宋体"/>
                <w:color w:val="0000FF"/>
                <w:sz w:val="24"/>
              </w:rPr>
            </w:pPr>
            <w:r>
              <w:rPr>
                <w:rFonts w:hint="eastAsia" w:ascii="宋体" w:hAnsi="宋体" w:cs="宋体"/>
                <w:color w:val="0000FF"/>
                <w:sz w:val="24"/>
              </w:rPr>
              <w:t>3、项目竣工后，建设单位应当按照生态环境部门规定的标准和程序，对配套建设的环境保护设施进行自主验收，编制验收报告。</w:t>
            </w:r>
          </w:p>
          <w:p>
            <w:pPr>
              <w:adjustRightInd w:val="0"/>
              <w:snapToGrid w:val="0"/>
              <w:ind w:firstLine="480" w:firstLineChars="200"/>
              <w:jc w:val="left"/>
              <w:rPr>
                <w:rFonts w:hint="eastAsia" w:ascii="宋体" w:hAnsi="宋体" w:cs="宋体"/>
                <w:sz w:val="24"/>
              </w:rPr>
            </w:pPr>
            <w:r>
              <w:rPr>
                <w:rFonts w:hint="eastAsia" w:ascii="宋体" w:hAnsi="宋体" w:cs="宋体"/>
                <w:color w:val="0000FF"/>
                <w:sz w:val="24"/>
              </w:rPr>
              <w:t>4、编制《突发环境事件应急预案》并向有关部门备案并定期更新、评审。</w:t>
            </w:r>
          </w:p>
        </w:tc>
      </w:tr>
    </w:tbl>
    <w:p>
      <w:pPr>
        <w:pStyle w:val="23"/>
        <w:jc w:val="center"/>
        <w:outlineLvl w:val="0"/>
        <w:rPr>
          <w:rFonts w:ascii="黑体" w:hAnsi="黑体" w:eastAsia="黑体"/>
          <w:snapToGrid w:val="0"/>
          <w:sz w:val="30"/>
          <w:szCs w:val="30"/>
        </w:rPr>
      </w:pPr>
      <w:r>
        <w:rPr>
          <w:snapToGrid w:val="0"/>
        </w:rPr>
        <w:br w:type="page"/>
      </w:r>
      <w:bookmarkStart w:id="90" w:name="_Toc6860"/>
      <w:r>
        <w:rPr>
          <w:rStyle w:val="32"/>
          <w:rFonts w:hint="eastAsia"/>
        </w:rPr>
        <w:t>六、结论</w:t>
      </w:r>
      <w:bookmarkEnd w:id="90"/>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spacing w:line="360" w:lineRule="auto"/>
              <w:ind w:firstLine="482" w:firstLineChars="200"/>
              <w:rPr>
                <w:rFonts w:hint="eastAsia"/>
                <w:sz w:val="24"/>
              </w:rPr>
            </w:pPr>
            <w:r>
              <w:rPr>
                <w:b/>
                <w:bCs/>
                <w:sz w:val="24"/>
              </w:rPr>
              <w:t>项目</w:t>
            </w:r>
            <w:r>
              <w:rPr>
                <w:rFonts w:hint="eastAsia"/>
                <w:b/>
                <w:bCs/>
                <w:sz w:val="24"/>
              </w:rPr>
              <w:t>总结论</w:t>
            </w:r>
          </w:p>
          <w:p>
            <w:pPr>
              <w:spacing w:line="360" w:lineRule="auto"/>
              <w:ind w:firstLine="480" w:firstLineChars="200"/>
              <w:rPr>
                <w:rFonts w:ascii="宋体" w:cs="宋体"/>
                <w:sz w:val="24"/>
              </w:rPr>
            </w:pPr>
            <w:r>
              <w:rPr>
                <w:rFonts w:hint="eastAsia"/>
                <w:sz w:val="24"/>
              </w:rPr>
              <w:t>项目选址合理、符合产业政策、符合“三线一单”，区域环境质量较好，采取的废气、废水、噪声、固废、环境风险防控等措施可行，废水、废气、噪声可以达标排放，固废得到妥善处置，环境风险可控，对周边环境影响较小，在可接受范围内。建设单位应严格执行相关的环保法律法规，严格落实本报告提出的各项环保措施，从环保角度考虑，本项目的建设是可行的。</w:t>
            </w: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line="648" w:lineRule="auto"/>
        <w:outlineLvl w:val="0"/>
        <w:rPr>
          <w:rFonts w:ascii="黑体" w:hAnsi="黑体" w:eastAsia="黑体"/>
          <w:snapToGrid w:val="0"/>
          <w:sz w:val="32"/>
          <w:szCs w:val="32"/>
        </w:rPr>
      </w:pPr>
      <w:bookmarkStart w:id="91" w:name="_Toc19141"/>
      <w:bookmarkStart w:id="92" w:name="_Toc31641"/>
      <w:r>
        <w:rPr>
          <w:rFonts w:hint="eastAsia" w:ascii="黑体" w:hAnsi="黑体" w:eastAsia="黑体"/>
          <w:snapToGrid w:val="0"/>
          <w:sz w:val="32"/>
          <w:szCs w:val="32"/>
        </w:rPr>
        <w:t>附表</w:t>
      </w:r>
      <w:bookmarkEnd w:id="91"/>
      <w:bookmarkEnd w:id="92"/>
    </w:p>
    <w:p>
      <w:pPr>
        <w:pStyle w:val="4"/>
        <w:jc w:val="center"/>
        <w:rPr>
          <w:rFonts w:hint="eastAsia" w:ascii="方正小标宋_GBK" w:hAnsi="黑体" w:eastAsia="方正小标宋_GBK"/>
          <w:snapToGrid w:val="0"/>
          <w:szCs w:val="38"/>
        </w:rPr>
      </w:pPr>
      <w:bookmarkStart w:id="93" w:name="_Toc17658"/>
      <w:r>
        <w:rPr>
          <w:rFonts w:hint="eastAsia"/>
        </w:rPr>
        <w:t>建设项目污染物排放量汇总表</w:t>
      </w:r>
      <w:bookmarkEnd w:id="93"/>
    </w:p>
    <w:tbl>
      <w:tblPr>
        <w:tblStyle w:val="26"/>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621"/>
        <w:gridCol w:w="11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46"/>
              <w:spacing w:beforeLines="0" w:afterLines="0" w:line="240" w:lineRule="auto"/>
              <w:ind w:left="396" w:hanging="396"/>
              <w:jc w:val="righ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pPr>
              <w:pStyle w:val="46"/>
              <w:spacing w:beforeLines="0" w:afterLines="0" w:line="240" w:lineRule="auto"/>
              <w:ind w:left="396" w:hanging="396"/>
              <w:jc w:val="lef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1417" w:type="dxa"/>
            <w:noWrap w:val="0"/>
            <w:tcMar>
              <w:left w:w="28" w:type="dxa"/>
              <w:right w:w="28" w:type="dxa"/>
            </w:tcMar>
            <w:vAlign w:val="center"/>
          </w:tcPr>
          <w:p>
            <w:pPr>
              <w:pStyle w:val="46"/>
              <w:spacing w:beforeLines="0" w:afterLines="0" w:line="240" w:lineRule="auto"/>
              <w:ind w:left="396" w:hanging="396"/>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701" w:type="dxa"/>
            <w:noWrap w:val="0"/>
            <w:tcMar>
              <w:left w:w="28" w:type="dxa"/>
              <w:right w:w="28" w:type="dxa"/>
            </w:tcMar>
            <w:vAlign w:val="center"/>
          </w:tcPr>
          <w:p>
            <w:pPr>
              <w:pStyle w:val="46"/>
              <w:spacing w:beforeLines="0" w:afterLines="0" w:line="240" w:lineRule="auto"/>
              <w:ind w:left="396" w:hanging="396"/>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276" w:type="dxa"/>
            <w:noWrap w:val="0"/>
            <w:tcMar>
              <w:left w:w="28" w:type="dxa"/>
              <w:right w:w="28" w:type="dxa"/>
            </w:tcMar>
            <w:vAlign w:val="center"/>
          </w:tcPr>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pPr>
              <w:pStyle w:val="46"/>
              <w:spacing w:beforeLines="0" w:afterLines="0"/>
              <w:ind w:left="420" w:hanging="42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701" w:type="dxa"/>
            <w:noWrap w:val="0"/>
            <w:tcMar>
              <w:left w:w="28" w:type="dxa"/>
              <w:right w:w="28" w:type="dxa"/>
            </w:tcMar>
            <w:vAlign w:val="center"/>
          </w:tcPr>
          <w:p>
            <w:pPr>
              <w:pStyle w:val="46"/>
              <w:spacing w:beforeLines="0" w:afterLines="0" w:line="240" w:lineRule="auto"/>
              <w:ind w:left="396" w:hanging="396"/>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w:t>
            </w:r>
          </w:p>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559" w:type="dxa"/>
            <w:noWrap w:val="0"/>
            <w:tcMar>
              <w:left w:w="28" w:type="dxa"/>
              <w:right w:w="28" w:type="dxa"/>
            </w:tcMar>
            <w:vAlign w:val="center"/>
          </w:tcPr>
          <w:p>
            <w:pPr>
              <w:pStyle w:val="46"/>
              <w:spacing w:beforeLines="0" w:afterLines="0" w:line="240" w:lineRule="auto"/>
              <w:ind w:left="396" w:hanging="396"/>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w:t>
            </w:r>
          </w:p>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761" w:type="dxa"/>
            <w:noWrap w:val="0"/>
            <w:tcMar>
              <w:left w:w="28" w:type="dxa"/>
              <w:right w:w="28" w:type="dxa"/>
            </w:tcMar>
            <w:vAlign w:val="center"/>
          </w:tcPr>
          <w:p>
            <w:pPr>
              <w:pStyle w:val="46"/>
              <w:spacing w:beforeLines="0" w:afterLines="0" w:line="240" w:lineRule="auto"/>
              <w:ind w:left="356" w:hanging="356"/>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pPr>
              <w:pStyle w:val="46"/>
              <w:spacing w:beforeLines="0" w:afterLines="0" w:line="240" w:lineRule="auto"/>
              <w:ind w:left="356" w:hanging="356"/>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1621" w:type="dxa"/>
            <w:noWrap w:val="0"/>
            <w:tcMar>
              <w:left w:w="28" w:type="dxa"/>
              <w:right w:w="28" w:type="dxa"/>
            </w:tcMar>
            <w:vAlign w:val="center"/>
          </w:tcPr>
          <w:p>
            <w:pPr>
              <w:pStyle w:val="46"/>
              <w:spacing w:beforeLines="0" w:afterLines="0" w:line="240" w:lineRule="auto"/>
              <w:ind w:left="356" w:hanging="356"/>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pPr>
              <w:pStyle w:val="46"/>
              <w:spacing w:beforeLines="0" w:afterLines="0" w:line="240" w:lineRule="auto"/>
              <w:ind w:left="356" w:hanging="356"/>
              <w:rPr>
                <w:rFonts w:ascii="黑体" w:hAnsi="黑体" w:eastAsia="黑体"/>
                <w:snapToGrid w:val="0"/>
                <w:color w:val="000000"/>
                <w:spacing w:val="-16"/>
                <w:kern w:val="21"/>
                <w:szCs w:val="21"/>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1164" w:type="dxa"/>
            <w:noWrap w:val="0"/>
            <w:tcMar>
              <w:left w:w="28" w:type="dxa"/>
              <w:right w:w="28" w:type="dxa"/>
            </w:tcMar>
            <w:vAlign w:val="center"/>
          </w:tcPr>
          <w:p>
            <w:pPr>
              <w:pStyle w:val="46"/>
              <w:spacing w:beforeLines="0" w:afterLines="0" w:line="240" w:lineRule="auto"/>
              <w:ind w:left="396" w:hanging="396"/>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pPr>
              <w:pStyle w:val="46"/>
              <w:spacing w:beforeLines="0" w:afterLines="0" w:line="240" w:lineRule="auto"/>
              <w:ind w:left="420" w:hanging="42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6"/>
              <w:spacing w:beforeLines="0" w:afterLines="0" w:line="240" w:lineRule="auto"/>
              <w:ind w:left="420" w:hanging="420"/>
              <w:rPr>
                <w:rFonts w:hint="eastAsia" w:hAnsi="宋体" w:cs="宋体"/>
                <w:snapToGrid w:val="0"/>
                <w:color w:val="000000"/>
                <w:kern w:val="21"/>
                <w:szCs w:val="21"/>
              </w:rPr>
            </w:pPr>
            <w:r>
              <w:rPr>
                <w:rFonts w:hint="eastAsia" w:hAnsi="宋体" w:cs="宋体"/>
                <w:snapToGrid w:val="0"/>
                <w:color w:val="000000"/>
                <w:kern w:val="21"/>
                <w:szCs w:val="21"/>
              </w:rPr>
              <w:t>废气</w:t>
            </w:r>
          </w:p>
        </w:tc>
        <w:tc>
          <w:tcPr>
            <w:tcW w:w="1417" w:type="dxa"/>
            <w:noWrap w:val="0"/>
            <w:vAlign w:val="center"/>
          </w:tcPr>
          <w:p>
            <w:pPr>
              <w:jc w:val="center"/>
            </w:pPr>
            <w:r>
              <w:rPr>
                <w:rFonts w:hint="eastAsia"/>
              </w:rPr>
              <w:t>非甲烷总烃</w:t>
            </w:r>
          </w:p>
        </w:tc>
        <w:tc>
          <w:tcPr>
            <w:tcW w:w="1701" w:type="dxa"/>
            <w:noWrap w:val="0"/>
            <w:vAlign w:val="center"/>
          </w:tcPr>
          <w:p>
            <w:pPr>
              <w:jc w:val="center"/>
              <w:rPr>
                <w:rFonts w:hint="eastAsia" w:eastAsia="宋体"/>
                <w:lang w:val="en-US" w:eastAsia="zh-CN"/>
              </w:rPr>
            </w:pPr>
            <w:r>
              <w:rPr>
                <w:rFonts w:hint="eastAsia"/>
              </w:rPr>
              <w:t>0.445</w:t>
            </w:r>
            <w:r>
              <w:rPr>
                <w:rFonts w:hint="eastAsia"/>
                <w:lang w:val="en-US" w:eastAsia="zh-CN"/>
              </w:rPr>
              <w:t>t/a</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pPr>
            <w:r>
              <w:rPr>
                <w:rFonts w:hint="eastAsia"/>
                <w:lang w:val="en-US" w:eastAsia="zh-CN"/>
              </w:rPr>
              <w:t>0.412</w:t>
            </w:r>
            <w:r>
              <w:rPr>
                <w:rFonts w:hint="eastAsia"/>
              </w:rPr>
              <w:t>t/a</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Ansi="宋体" w:cs="宋体"/>
                <w:snapToGrid w:val="0"/>
                <w:color w:val="000000"/>
                <w:kern w:val="21"/>
                <w:szCs w:val="21"/>
              </w:rPr>
            </w:pPr>
            <w:r>
              <w:rPr>
                <w:rFonts w:hint="eastAsia"/>
                <w:lang w:val="en-US" w:eastAsia="zh-CN"/>
              </w:rPr>
              <w:t>0.412</w:t>
            </w:r>
            <w:r>
              <w:rPr>
                <w:rFonts w:hint="eastAsia"/>
              </w:rPr>
              <w:t>t/a</w:t>
            </w:r>
          </w:p>
        </w:tc>
        <w:tc>
          <w:tcPr>
            <w:tcW w:w="1164" w:type="dxa"/>
            <w:noWrap w:val="0"/>
            <w:vAlign w:val="center"/>
          </w:tcPr>
          <w:p>
            <w:pPr>
              <w:jc w:val="center"/>
              <w:rPr>
                <w:rFonts w:hAnsi="宋体" w:cs="宋体"/>
                <w:snapToGrid w:val="0"/>
                <w:color w:val="000000"/>
                <w:kern w:val="21"/>
                <w:szCs w:val="21"/>
              </w:rPr>
            </w:pPr>
            <w:r>
              <w:rPr>
                <w:rFonts w:hint="eastAsia"/>
                <w:lang w:val="en-US" w:eastAsia="zh-CN"/>
              </w:rPr>
              <w:t>-</w:t>
            </w:r>
            <w:r>
              <w:rPr>
                <w:rFonts w:hint="eastAsia"/>
              </w:rPr>
              <w:t>0.</w:t>
            </w:r>
            <w:r>
              <w:rPr>
                <w:rFonts w:hint="eastAsia"/>
                <w:lang w:val="en-US" w:eastAsia="zh-CN"/>
              </w:rPr>
              <w:t>033</w:t>
            </w:r>
            <w:r>
              <w:rPr>
                <w:rFonts w:hint="eastAsi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adjustRightInd w:val="0"/>
              <w:snapToGrid w:val="0"/>
              <w:jc w:val="center"/>
              <w:rPr>
                <w:rFonts w:hint="eastAsia"/>
              </w:rPr>
            </w:pPr>
            <w:r>
              <w:rPr>
                <w:rFonts w:hint="eastAsia"/>
                <w:color w:val="0000FF"/>
                <w:szCs w:val="21"/>
                <w:u w:val="single"/>
              </w:rPr>
              <w:t>SO</w:t>
            </w:r>
            <w:r>
              <w:rPr>
                <w:rFonts w:hint="eastAsia"/>
                <w:color w:val="0000FF"/>
                <w:szCs w:val="21"/>
                <w:u w:val="single"/>
                <w:vertAlign w:val="subscript"/>
              </w:rPr>
              <w:t>2</w:t>
            </w:r>
          </w:p>
        </w:tc>
        <w:tc>
          <w:tcPr>
            <w:tcW w:w="1701" w:type="dxa"/>
            <w:noWrap w:val="0"/>
            <w:vAlign w:val="center"/>
          </w:tcPr>
          <w:p>
            <w:pPr>
              <w:adjustRightInd w:val="0"/>
              <w:snapToGrid w:val="0"/>
              <w:jc w:val="center"/>
              <w:rPr>
                <w:rFonts w:hint="eastAsia" w:eastAsia="宋体"/>
                <w:vertAlign w:val="baseline"/>
                <w:lang w:val="en-US" w:eastAsia="zh-CN"/>
              </w:rPr>
            </w:pPr>
            <w:r>
              <w:rPr>
                <w:color w:val="0000FF"/>
                <w:kern w:val="0"/>
                <w:szCs w:val="21"/>
                <w:u w:val="single"/>
                <w:lang w:bidi="ar"/>
              </w:rPr>
              <w:t>5</w:t>
            </w:r>
            <w:r>
              <w:rPr>
                <w:rFonts w:hint="eastAsia"/>
                <w:color w:val="0000FF"/>
                <w:kern w:val="0"/>
                <w:szCs w:val="21"/>
                <w:u w:val="single"/>
                <w:lang w:bidi="ar"/>
              </w:rPr>
              <w:t>.</w:t>
            </w:r>
            <w:r>
              <w:rPr>
                <w:color w:val="0000FF"/>
                <w:kern w:val="0"/>
                <w:szCs w:val="21"/>
                <w:u w:val="single"/>
                <w:lang w:bidi="ar"/>
              </w:rPr>
              <w:t>71</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w:t>
            </w:r>
          </w:p>
        </w:tc>
        <w:tc>
          <w:tcPr>
            <w:tcW w:w="1559" w:type="dxa"/>
            <w:noWrap w:val="0"/>
            <w:vAlign w:val="center"/>
          </w:tcPr>
          <w:p>
            <w:pPr>
              <w:adjustRightInd w:val="0"/>
              <w:snapToGrid w:val="0"/>
              <w:jc w:val="center"/>
              <w:rPr>
                <w:rFonts w:hint="eastAsia"/>
                <w:lang w:val="en-US" w:eastAsia="zh-CN"/>
              </w:rPr>
            </w:pPr>
            <w:r>
              <w:rPr>
                <w:color w:val="0000FF"/>
                <w:kern w:val="0"/>
                <w:szCs w:val="21"/>
                <w:u w:val="single"/>
                <w:lang w:bidi="ar"/>
              </w:rPr>
              <w:t>5</w:t>
            </w:r>
            <w:r>
              <w:rPr>
                <w:rFonts w:hint="eastAsia"/>
                <w:color w:val="0000FF"/>
                <w:kern w:val="0"/>
                <w:szCs w:val="21"/>
                <w:u w:val="single"/>
                <w:lang w:bidi="ar"/>
              </w:rPr>
              <w:t>.</w:t>
            </w:r>
            <w:r>
              <w:rPr>
                <w:color w:val="0000FF"/>
                <w:kern w:val="0"/>
                <w:szCs w:val="21"/>
                <w:u w:val="single"/>
                <w:lang w:bidi="ar"/>
              </w:rPr>
              <w:t>71</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761" w:type="dxa"/>
            <w:noWrap w:val="0"/>
            <w:vAlign w:val="center"/>
          </w:tcPr>
          <w:p>
            <w:pPr>
              <w:jc w:val="center"/>
              <w:rPr>
                <w:rFonts w:hint="default" w:eastAsia="宋体"/>
                <w:lang w:val="en-US" w:eastAsia="zh-CN"/>
              </w:rPr>
            </w:pPr>
            <w:r>
              <w:rPr>
                <w:rFonts w:hint="eastAsia"/>
                <w:lang w:val="en-US" w:eastAsia="zh-CN"/>
              </w:rPr>
              <w:t>/</w:t>
            </w:r>
          </w:p>
        </w:tc>
        <w:tc>
          <w:tcPr>
            <w:tcW w:w="1621" w:type="dxa"/>
            <w:noWrap w:val="0"/>
            <w:vAlign w:val="center"/>
          </w:tcPr>
          <w:p>
            <w:pPr>
              <w:adjustRightInd w:val="0"/>
              <w:snapToGrid w:val="0"/>
              <w:jc w:val="center"/>
              <w:rPr>
                <w:rFonts w:hint="eastAsia"/>
                <w:lang w:val="en-US" w:eastAsia="zh-CN"/>
              </w:rPr>
            </w:pPr>
            <w:r>
              <w:rPr>
                <w:color w:val="0000FF"/>
                <w:kern w:val="0"/>
                <w:szCs w:val="21"/>
                <w:u w:val="single"/>
                <w:lang w:bidi="ar"/>
              </w:rPr>
              <w:t>5</w:t>
            </w:r>
            <w:r>
              <w:rPr>
                <w:rFonts w:hint="eastAsia"/>
                <w:color w:val="0000FF"/>
                <w:kern w:val="0"/>
                <w:szCs w:val="21"/>
                <w:u w:val="single"/>
                <w:lang w:bidi="ar"/>
              </w:rPr>
              <w:t>.</w:t>
            </w:r>
            <w:r>
              <w:rPr>
                <w:color w:val="0000FF"/>
                <w:kern w:val="0"/>
                <w:szCs w:val="21"/>
                <w:u w:val="single"/>
                <w:lang w:bidi="ar"/>
              </w:rPr>
              <w:t>71</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164" w:type="dxa"/>
            <w:noWrap w:val="0"/>
            <w:vAlign w:val="center"/>
          </w:tcPr>
          <w:p>
            <w:pPr>
              <w:jc w:val="center"/>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adjustRightInd w:val="0"/>
              <w:snapToGrid w:val="0"/>
              <w:jc w:val="center"/>
              <w:rPr>
                <w:rFonts w:hint="eastAsia"/>
              </w:rPr>
            </w:pPr>
            <w:r>
              <w:rPr>
                <w:rFonts w:hint="eastAsia"/>
                <w:color w:val="0000FF"/>
                <w:szCs w:val="21"/>
                <w:u w:val="single"/>
              </w:rPr>
              <w:t>烟尘</w:t>
            </w:r>
          </w:p>
        </w:tc>
        <w:tc>
          <w:tcPr>
            <w:tcW w:w="1701" w:type="dxa"/>
            <w:noWrap w:val="0"/>
            <w:vAlign w:val="center"/>
          </w:tcPr>
          <w:p>
            <w:pPr>
              <w:adjustRightInd w:val="0"/>
              <w:snapToGrid w:val="0"/>
              <w:jc w:val="center"/>
              <w:rPr>
                <w:rFonts w:hint="eastAsia"/>
              </w:rPr>
            </w:pPr>
            <w:r>
              <w:rPr>
                <w:rFonts w:hint="eastAsia"/>
                <w:color w:val="0000FF"/>
                <w:szCs w:val="21"/>
                <w:u w:val="single"/>
              </w:rPr>
              <w:t>1.02</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w:t>
            </w:r>
          </w:p>
        </w:tc>
        <w:tc>
          <w:tcPr>
            <w:tcW w:w="1559" w:type="dxa"/>
            <w:noWrap w:val="0"/>
            <w:vAlign w:val="center"/>
          </w:tcPr>
          <w:p>
            <w:pPr>
              <w:adjustRightInd w:val="0"/>
              <w:snapToGrid w:val="0"/>
              <w:jc w:val="center"/>
              <w:rPr>
                <w:rFonts w:hint="eastAsia"/>
                <w:lang w:val="en-US" w:eastAsia="zh-CN"/>
              </w:rPr>
            </w:pPr>
            <w:r>
              <w:rPr>
                <w:rFonts w:hint="eastAsia"/>
                <w:color w:val="0000FF"/>
                <w:szCs w:val="21"/>
                <w:u w:val="single"/>
              </w:rPr>
              <w:t>1.02</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761" w:type="dxa"/>
            <w:noWrap w:val="0"/>
            <w:vAlign w:val="center"/>
          </w:tcPr>
          <w:p>
            <w:pPr>
              <w:jc w:val="center"/>
              <w:rPr>
                <w:rFonts w:hint="eastAsia"/>
              </w:rPr>
            </w:pPr>
            <w:r>
              <w:rPr>
                <w:rFonts w:hint="eastAsia"/>
                <w:lang w:val="en-US" w:eastAsia="zh-CN"/>
              </w:rPr>
              <w:t>/</w:t>
            </w:r>
          </w:p>
        </w:tc>
        <w:tc>
          <w:tcPr>
            <w:tcW w:w="1621" w:type="dxa"/>
            <w:noWrap w:val="0"/>
            <w:vAlign w:val="center"/>
          </w:tcPr>
          <w:p>
            <w:pPr>
              <w:adjustRightInd w:val="0"/>
              <w:snapToGrid w:val="0"/>
              <w:jc w:val="center"/>
              <w:rPr>
                <w:rFonts w:hint="eastAsia"/>
                <w:lang w:val="en-US" w:eastAsia="zh-CN"/>
              </w:rPr>
            </w:pPr>
            <w:r>
              <w:rPr>
                <w:rFonts w:hint="eastAsia"/>
                <w:color w:val="0000FF"/>
                <w:szCs w:val="21"/>
                <w:u w:val="single"/>
              </w:rPr>
              <w:t>1.02</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164" w:type="dxa"/>
            <w:noWrap w:val="0"/>
            <w:vAlign w:val="center"/>
          </w:tcPr>
          <w:p>
            <w:pPr>
              <w:jc w:val="center"/>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adjustRightInd w:val="0"/>
              <w:snapToGrid w:val="0"/>
              <w:jc w:val="center"/>
              <w:rPr>
                <w:rFonts w:hint="eastAsia"/>
              </w:rPr>
            </w:pPr>
            <w:r>
              <w:rPr>
                <w:rFonts w:hint="eastAsia"/>
                <w:color w:val="0000FF"/>
                <w:szCs w:val="21"/>
                <w:u w:val="single"/>
              </w:rPr>
              <w:t>NOx</w:t>
            </w:r>
          </w:p>
        </w:tc>
        <w:tc>
          <w:tcPr>
            <w:tcW w:w="1701" w:type="dxa"/>
            <w:noWrap w:val="0"/>
            <w:vAlign w:val="center"/>
          </w:tcPr>
          <w:p>
            <w:pPr>
              <w:adjustRightInd w:val="0"/>
              <w:snapToGrid w:val="0"/>
              <w:jc w:val="center"/>
              <w:rPr>
                <w:rFonts w:hint="eastAsia"/>
              </w:rPr>
            </w:pPr>
            <w:r>
              <w:rPr>
                <w:color w:val="0000FF"/>
                <w:kern w:val="0"/>
                <w:sz w:val="24"/>
                <w:u w:val="single"/>
                <w:lang w:bidi="ar"/>
              </w:rPr>
              <w:t>2</w:t>
            </w:r>
            <w:r>
              <w:rPr>
                <w:rFonts w:hint="eastAsia"/>
                <w:color w:val="0000FF"/>
                <w:kern w:val="0"/>
                <w:sz w:val="24"/>
                <w:u w:val="single"/>
                <w:lang w:bidi="ar"/>
              </w:rPr>
              <w:t>.</w:t>
            </w:r>
            <w:r>
              <w:rPr>
                <w:color w:val="0000FF"/>
                <w:kern w:val="0"/>
                <w:sz w:val="24"/>
                <w:u w:val="single"/>
                <w:lang w:bidi="ar"/>
              </w:rPr>
              <w:t>56</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w:t>
            </w:r>
          </w:p>
        </w:tc>
        <w:tc>
          <w:tcPr>
            <w:tcW w:w="1559" w:type="dxa"/>
            <w:noWrap w:val="0"/>
            <w:vAlign w:val="center"/>
          </w:tcPr>
          <w:p>
            <w:pPr>
              <w:adjustRightInd w:val="0"/>
              <w:snapToGrid w:val="0"/>
              <w:jc w:val="center"/>
              <w:rPr>
                <w:rFonts w:hint="eastAsia"/>
                <w:lang w:val="en-US" w:eastAsia="zh-CN"/>
              </w:rPr>
            </w:pPr>
            <w:r>
              <w:rPr>
                <w:color w:val="0000FF"/>
                <w:kern w:val="0"/>
                <w:sz w:val="24"/>
                <w:u w:val="single"/>
                <w:lang w:bidi="ar"/>
              </w:rPr>
              <w:t>2</w:t>
            </w:r>
            <w:r>
              <w:rPr>
                <w:rFonts w:hint="eastAsia"/>
                <w:color w:val="0000FF"/>
                <w:kern w:val="0"/>
                <w:sz w:val="24"/>
                <w:u w:val="single"/>
                <w:lang w:bidi="ar"/>
              </w:rPr>
              <w:t>.</w:t>
            </w:r>
            <w:r>
              <w:rPr>
                <w:color w:val="0000FF"/>
                <w:kern w:val="0"/>
                <w:sz w:val="24"/>
                <w:u w:val="single"/>
                <w:lang w:bidi="ar"/>
              </w:rPr>
              <w:t>56</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761" w:type="dxa"/>
            <w:noWrap w:val="0"/>
            <w:vAlign w:val="center"/>
          </w:tcPr>
          <w:p>
            <w:pPr>
              <w:jc w:val="center"/>
              <w:rPr>
                <w:rFonts w:hint="eastAsia"/>
              </w:rPr>
            </w:pPr>
            <w:r>
              <w:rPr>
                <w:rFonts w:hint="eastAsia"/>
                <w:lang w:val="en-US" w:eastAsia="zh-CN"/>
              </w:rPr>
              <w:t>/</w:t>
            </w:r>
          </w:p>
        </w:tc>
        <w:tc>
          <w:tcPr>
            <w:tcW w:w="1621" w:type="dxa"/>
            <w:noWrap w:val="0"/>
            <w:vAlign w:val="center"/>
          </w:tcPr>
          <w:p>
            <w:pPr>
              <w:adjustRightInd w:val="0"/>
              <w:snapToGrid w:val="0"/>
              <w:jc w:val="center"/>
              <w:rPr>
                <w:rFonts w:hint="eastAsia"/>
                <w:lang w:val="en-US" w:eastAsia="zh-CN"/>
              </w:rPr>
            </w:pPr>
            <w:r>
              <w:rPr>
                <w:color w:val="0000FF"/>
                <w:kern w:val="0"/>
                <w:sz w:val="24"/>
                <w:u w:val="single"/>
                <w:lang w:bidi="ar"/>
              </w:rPr>
              <w:t>2</w:t>
            </w:r>
            <w:r>
              <w:rPr>
                <w:rFonts w:hint="eastAsia"/>
                <w:color w:val="0000FF"/>
                <w:kern w:val="0"/>
                <w:sz w:val="24"/>
                <w:u w:val="single"/>
                <w:lang w:bidi="ar"/>
              </w:rPr>
              <w:t>.</w:t>
            </w:r>
            <w:r>
              <w:rPr>
                <w:color w:val="0000FF"/>
                <w:kern w:val="0"/>
                <w:sz w:val="24"/>
                <w:u w:val="single"/>
                <w:lang w:bidi="ar"/>
              </w:rPr>
              <w:t>56</w:t>
            </w:r>
            <w:r>
              <w:rPr>
                <w:rFonts w:hint="eastAsia"/>
                <w:color w:val="0000FF"/>
                <w:kern w:val="0"/>
                <w:szCs w:val="21"/>
                <w:u w:val="single"/>
                <w:lang w:bidi="ar"/>
              </w:rPr>
              <w:t>*10</w:t>
            </w:r>
            <w:r>
              <w:rPr>
                <w:rFonts w:hint="eastAsia"/>
                <w:color w:val="0000FF"/>
                <w:kern w:val="0"/>
                <w:szCs w:val="21"/>
                <w:u w:val="single"/>
                <w:vertAlign w:val="superscript"/>
                <w:lang w:bidi="ar"/>
              </w:rPr>
              <w:t>-4</w:t>
            </w:r>
            <w:r>
              <w:rPr>
                <w:rFonts w:hint="eastAsia"/>
                <w:color w:val="0000FF"/>
                <w:kern w:val="0"/>
                <w:szCs w:val="21"/>
                <w:u w:val="single"/>
                <w:vertAlign w:val="baseline"/>
                <w:lang w:val="en-US" w:eastAsia="zh-CN" w:bidi="ar"/>
              </w:rPr>
              <w:t>t/a</w:t>
            </w:r>
          </w:p>
        </w:tc>
        <w:tc>
          <w:tcPr>
            <w:tcW w:w="1164" w:type="dxa"/>
            <w:noWrap w:val="0"/>
            <w:vAlign w:val="center"/>
          </w:tcPr>
          <w:p>
            <w:pPr>
              <w:jc w:val="center"/>
              <w:rPr>
                <w:rFonts w:hint="eastAsia" w:eastAsia="宋体"/>
                <w:lang w:val="en-US" w:eastAsia="zh-CN"/>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6"/>
              <w:spacing w:beforeLines="0" w:afterLines="0" w:line="240" w:lineRule="auto"/>
              <w:ind w:left="420" w:hanging="420"/>
              <w:rPr>
                <w:rFonts w:hint="eastAsia" w:hAnsi="宋体" w:cs="宋体"/>
                <w:snapToGrid w:val="0"/>
                <w:color w:val="000000"/>
                <w:kern w:val="21"/>
                <w:szCs w:val="21"/>
              </w:rPr>
            </w:pPr>
            <w:r>
              <w:rPr>
                <w:rFonts w:hint="eastAsia" w:hAnsi="宋体" w:cs="宋体"/>
                <w:snapToGrid w:val="0"/>
                <w:color w:val="000000"/>
                <w:kern w:val="21"/>
                <w:szCs w:val="21"/>
              </w:rPr>
              <w:t>废水</w:t>
            </w:r>
          </w:p>
        </w:tc>
        <w:tc>
          <w:tcPr>
            <w:tcW w:w="1417" w:type="dxa"/>
            <w:noWrap w:val="0"/>
            <w:vAlign w:val="center"/>
          </w:tcPr>
          <w:p>
            <w:pPr>
              <w:jc w:val="center"/>
              <w:rPr>
                <w:rFonts w:hint="eastAsia"/>
              </w:rPr>
            </w:pPr>
            <w:r>
              <w:rPr>
                <w:rFonts w:hint="eastAsia"/>
              </w:rPr>
              <w:t>氨氮</w:t>
            </w:r>
          </w:p>
        </w:tc>
        <w:tc>
          <w:tcPr>
            <w:tcW w:w="1701" w:type="dxa"/>
            <w:noWrap w:val="0"/>
            <w:vAlign w:val="center"/>
          </w:tcPr>
          <w:p>
            <w:pPr>
              <w:jc w:val="center"/>
              <w:rPr>
                <w:rFonts w:hint="default" w:eastAsia="宋体"/>
                <w:lang w:val="en-US" w:eastAsia="zh-CN"/>
              </w:rPr>
            </w:pPr>
            <w:r>
              <w:rPr>
                <w:rFonts w:hint="eastAsia"/>
              </w:rPr>
              <w:t>0.0</w:t>
            </w:r>
            <w:r>
              <w:rPr>
                <w:rFonts w:hint="eastAsia"/>
                <w:lang w:val="en-US" w:eastAsia="zh-CN"/>
              </w:rPr>
              <w:t>0037</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pPr>
            <w:r>
              <w:rPr>
                <w:rFonts w:hint="eastAsia"/>
              </w:rPr>
              <w:t>0</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Ansi="宋体" w:cs="宋体"/>
                <w:snapToGrid w:val="0"/>
                <w:color w:val="000000"/>
                <w:kern w:val="21"/>
                <w:szCs w:val="21"/>
              </w:rPr>
            </w:pPr>
            <w:r>
              <w:rPr>
                <w:rFonts w:hint="eastAsia"/>
              </w:rPr>
              <w:t>0</w:t>
            </w:r>
          </w:p>
        </w:tc>
        <w:tc>
          <w:tcPr>
            <w:tcW w:w="1164" w:type="dxa"/>
            <w:noWrap w:val="0"/>
            <w:vAlign w:val="center"/>
          </w:tcPr>
          <w:p>
            <w:pPr>
              <w:jc w:val="center"/>
              <w:rPr>
                <w:rFonts w:hAnsi="宋体" w:cs="宋体"/>
                <w:snapToGrid w:val="0"/>
                <w:color w:val="000000"/>
                <w:kern w:val="21"/>
                <w:szCs w:val="21"/>
              </w:rPr>
            </w:pPr>
            <w:r>
              <w:rPr>
                <w:rFonts w:hint="eastAsia"/>
                <w:lang w:val="en-US" w:eastAsia="zh-CN"/>
              </w:rPr>
              <w:t>-</w:t>
            </w:r>
            <w:r>
              <w:rPr>
                <w:rFonts w:hint="eastAsia"/>
              </w:rPr>
              <w:t>0.0</w:t>
            </w:r>
            <w:r>
              <w:rPr>
                <w:rFonts w:hint="eastAsia"/>
                <w:lang w:val="en-US" w:eastAsia="zh-CN"/>
              </w:rPr>
              <w:t>0037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eastAsia"/>
              </w:rPr>
            </w:pPr>
            <w:r>
              <w:rPr>
                <w:rFonts w:hint="eastAsia"/>
              </w:rPr>
              <w:t>化学需氧量</w:t>
            </w:r>
          </w:p>
        </w:tc>
        <w:tc>
          <w:tcPr>
            <w:tcW w:w="1701" w:type="dxa"/>
            <w:noWrap w:val="0"/>
            <w:vAlign w:val="center"/>
          </w:tcPr>
          <w:p>
            <w:pPr>
              <w:jc w:val="center"/>
              <w:rPr>
                <w:rFonts w:hint="default" w:eastAsia="宋体"/>
                <w:lang w:val="en-US" w:eastAsia="zh-CN"/>
              </w:rPr>
            </w:pPr>
            <w:r>
              <w:rPr>
                <w:rFonts w:hint="eastAsia"/>
                <w:lang w:val="en-US" w:eastAsia="zh-CN"/>
              </w:rPr>
              <w:t>0.013</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pPr>
            <w:r>
              <w:rPr>
                <w:rFonts w:hint="eastAsia"/>
              </w:rPr>
              <w:t>0</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Ansi="宋体" w:cs="宋体"/>
                <w:snapToGrid w:val="0"/>
                <w:color w:val="000000"/>
                <w:kern w:val="21"/>
                <w:szCs w:val="21"/>
              </w:rPr>
            </w:pPr>
            <w:r>
              <w:rPr>
                <w:rFonts w:hint="eastAsia"/>
                <w:lang w:val="en-US" w:eastAsia="zh-CN"/>
              </w:rPr>
              <w:t>-0.013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default" w:eastAsia="宋体"/>
                <w:lang w:val="en-US" w:eastAsia="zh-CN"/>
              </w:rPr>
            </w:pPr>
            <w:r>
              <w:rPr>
                <w:rFonts w:hint="eastAsia"/>
                <w:lang w:val="en-US" w:eastAsia="zh-CN"/>
              </w:rPr>
              <w:t>五日生化需氧量</w:t>
            </w:r>
          </w:p>
        </w:tc>
        <w:tc>
          <w:tcPr>
            <w:tcW w:w="1701" w:type="dxa"/>
            <w:noWrap w:val="0"/>
            <w:vAlign w:val="center"/>
          </w:tcPr>
          <w:p>
            <w:pPr>
              <w:jc w:val="center"/>
              <w:rPr>
                <w:rFonts w:hint="eastAsia"/>
              </w:rPr>
            </w:pPr>
            <w:r>
              <w:rPr>
                <w:rFonts w:hint="eastAsia"/>
              </w:rPr>
              <w:t>0.0</w:t>
            </w:r>
            <w:r>
              <w:rPr>
                <w:rFonts w:hint="eastAsia"/>
                <w:lang w:val="en-US" w:eastAsia="zh-CN"/>
              </w:rPr>
              <w:t>039</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0</w:t>
            </w:r>
          </w:p>
        </w:tc>
        <w:tc>
          <w:tcPr>
            <w:tcW w:w="1559" w:type="dxa"/>
            <w:noWrap w:val="0"/>
            <w:vAlign w:val="center"/>
          </w:tcPr>
          <w:p>
            <w:pPr>
              <w:jc w:val="center"/>
              <w:rPr>
                <w:rFonts w:hint="eastAsia"/>
              </w:rPr>
            </w:pPr>
            <w:r>
              <w:rPr>
                <w:rFonts w:hint="eastAsia"/>
              </w:rPr>
              <w:t>0</w:t>
            </w:r>
          </w:p>
        </w:tc>
        <w:tc>
          <w:tcPr>
            <w:tcW w:w="1761" w:type="dxa"/>
            <w:noWrap w:val="0"/>
            <w:vAlign w:val="center"/>
          </w:tcPr>
          <w:p>
            <w:pPr>
              <w:jc w:val="center"/>
              <w:rPr>
                <w:rFonts w:hint="eastAsia"/>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int="eastAsia" w:hAnsi="宋体" w:cs="宋体"/>
                <w:snapToGrid w:val="0"/>
                <w:color w:val="000000"/>
                <w:kern w:val="21"/>
                <w:szCs w:val="21"/>
              </w:rPr>
            </w:pPr>
            <w:r>
              <w:rPr>
                <w:rFonts w:hint="eastAsia"/>
                <w:lang w:val="en-US" w:eastAsia="zh-CN"/>
              </w:rPr>
              <w:t>-</w:t>
            </w:r>
            <w:r>
              <w:rPr>
                <w:rFonts w:hint="eastAsia"/>
              </w:rPr>
              <w:t>0.0</w:t>
            </w:r>
            <w:r>
              <w:rPr>
                <w:rFonts w:hint="eastAsia"/>
                <w:lang w:val="en-US" w:eastAsia="zh-CN"/>
              </w:rPr>
              <w:t>039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default"/>
                <w:lang w:val="en-US" w:eastAsia="zh-CN"/>
              </w:rPr>
            </w:pPr>
            <w:r>
              <w:rPr>
                <w:rFonts w:hint="eastAsia"/>
                <w:lang w:val="en-US" w:eastAsia="zh-CN"/>
              </w:rPr>
              <w:t>悬浮物</w:t>
            </w:r>
          </w:p>
        </w:tc>
        <w:tc>
          <w:tcPr>
            <w:tcW w:w="1701" w:type="dxa"/>
            <w:noWrap w:val="0"/>
            <w:vAlign w:val="center"/>
          </w:tcPr>
          <w:p>
            <w:pPr>
              <w:jc w:val="center"/>
              <w:rPr>
                <w:rFonts w:hint="default" w:eastAsia="宋体"/>
                <w:lang w:val="en-US" w:eastAsia="zh-CN"/>
              </w:rPr>
            </w:pPr>
            <w:r>
              <w:rPr>
                <w:rFonts w:hint="eastAsia"/>
                <w:lang w:val="en-US" w:eastAsia="zh-CN"/>
              </w:rPr>
              <w:t>0.0063</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0</w:t>
            </w:r>
          </w:p>
        </w:tc>
        <w:tc>
          <w:tcPr>
            <w:tcW w:w="1559" w:type="dxa"/>
            <w:noWrap w:val="0"/>
            <w:vAlign w:val="center"/>
          </w:tcPr>
          <w:p>
            <w:pPr>
              <w:jc w:val="center"/>
              <w:rPr>
                <w:rFonts w:hint="eastAsia"/>
              </w:rPr>
            </w:pPr>
            <w:r>
              <w:rPr>
                <w:rFonts w:hint="eastAsia"/>
              </w:rPr>
              <w:t>0</w:t>
            </w:r>
          </w:p>
        </w:tc>
        <w:tc>
          <w:tcPr>
            <w:tcW w:w="1761" w:type="dxa"/>
            <w:noWrap w:val="0"/>
            <w:vAlign w:val="center"/>
          </w:tcPr>
          <w:p>
            <w:pPr>
              <w:jc w:val="center"/>
              <w:rPr>
                <w:rFonts w:hint="eastAsia"/>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int="eastAsia" w:hAnsi="宋体" w:cs="宋体"/>
                <w:snapToGrid w:val="0"/>
                <w:color w:val="000000"/>
                <w:kern w:val="21"/>
                <w:szCs w:val="21"/>
              </w:rPr>
            </w:pPr>
            <w:r>
              <w:rPr>
                <w:rFonts w:hint="eastAsia"/>
                <w:lang w:val="en-US" w:eastAsia="zh-CN"/>
              </w:rPr>
              <w:t>-0.0063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default"/>
                <w:lang w:val="en-US" w:eastAsia="zh-CN"/>
              </w:rPr>
            </w:pPr>
            <w:r>
              <w:rPr>
                <w:rFonts w:hint="eastAsia"/>
                <w:lang w:val="en-US" w:eastAsia="zh-CN"/>
              </w:rPr>
              <w:t>总磷</w:t>
            </w:r>
          </w:p>
        </w:tc>
        <w:tc>
          <w:tcPr>
            <w:tcW w:w="1701" w:type="dxa"/>
            <w:noWrap w:val="0"/>
            <w:vAlign w:val="center"/>
          </w:tcPr>
          <w:p>
            <w:pPr>
              <w:jc w:val="center"/>
              <w:rPr>
                <w:rFonts w:hint="default" w:eastAsia="宋体"/>
                <w:lang w:val="en-US" w:eastAsia="zh-CN"/>
              </w:rPr>
            </w:pPr>
            <w:r>
              <w:rPr>
                <w:rFonts w:hint="eastAsia"/>
                <w:lang w:val="en-US" w:eastAsia="zh-CN"/>
              </w:rPr>
              <w:t>0.0016</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0</w:t>
            </w:r>
          </w:p>
        </w:tc>
        <w:tc>
          <w:tcPr>
            <w:tcW w:w="1559" w:type="dxa"/>
            <w:noWrap w:val="0"/>
            <w:vAlign w:val="center"/>
          </w:tcPr>
          <w:p>
            <w:pPr>
              <w:jc w:val="center"/>
              <w:rPr>
                <w:rFonts w:hint="eastAsia"/>
              </w:rPr>
            </w:pPr>
            <w:r>
              <w:rPr>
                <w:rFonts w:hint="eastAsia"/>
              </w:rPr>
              <w:t>0</w:t>
            </w:r>
          </w:p>
        </w:tc>
        <w:tc>
          <w:tcPr>
            <w:tcW w:w="1761" w:type="dxa"/>
            <w:noWrap w:val="0"/>
            <w:vAlign w:val="center"/>
          </w:tcPr>
          <w:p>
            <w:pPr>
              <w:jc w:val="center"/>
              <w:rPr>
                <w:rFonts w:hint="eastAsia"/>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int="eastAsia" w:hAnsi="宋体" w:cs="宋体"/>
                <w:snapToGrid w:val="0"/>
                <w:color w:val="000000"/>
                <w:kern w:val="21"/>
                <w:szCs w:val="21"/>
              </w:rPr>
            </w:pPr>
            <w:r>
              <w:rPr>
                <w:rFonts w:hint="eastAsia"/>
                <w:lang w:val="en-US" w:eastAsia="zh-CN"/>
              </w:rPr>
              <w:t>-0.0016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default"/>
                <w:lang w:val="en-US" w:eastAsia="zh-CN"/>
              </w:rPr>
            </w:pPr>
            <w:r>
              <w:rPr>
                <w:rFonts w:hint="eastAsia"/>
                <w:lang w:val="en-US" w:eastAsia="zh-CN"/>
              </w:rPr>
              <w:t>总氮</w:t>
            </w:r>
          </w:p>
        </w:tc>
        <w:tc>
          <w:tcPr>
            <w:tcW w:w="1701" w:type="dxa"/>
            <w:noWrap w:val="0"/>
            <w:vAlign w:val="center"/>
          </w:tcPr>
          <w:p>
            <w:pPr>
              <w:jc w:val="center"/>
              <w:rPr>
                <w:rFonts w:hint="default" w:eastAsia="宋体"/>
                <w:lang w:val="en-US" w:eastAsia="zh-CN"/>
              </w:rPr>
            </w:pPr>
            <w:r>
              <w:rPr>
                <w:rFonts w:hint="eastAsia"/>
                <w:lang w:val="en-US" w:eastAsia="zh-CN"/>
              </w:rPr>
              <w:t>0.00062</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0</w:t>
            </w:r>
          </w:p>
        </w:tc>
        <w:tc>
          <w:tcPr>
            <w:tcW w:w="1559" w:type="dxa"/>
            <w:noWrap w:val="0"/>
            <w:vAlign w:val="center"/>
          </w:tcPr>
          <w:p>
            <w:pPr>
              <w:jc w:val="center"/>
              <w:rPr>
                <w:rFonts w:hint="eastAsia"/>
              </w:rPr>
            </w:pPr>
            <w:r>
              <w:rPr>
                <w:rFonts w:hint="eastAsia"/>
              </w:rPr>
              <w:t>0</w:t>
            </w:r>
          </w:p>
        </w:tc>
        <w:tc>
          <w:tcPr>
            <w:tcW w:w="1761" w:type="dxa"/>
            <w:noWrap w:val="0"/>
            <w:vAlign w:val="center"/>
          </w:tcPr>
          <w:p>
            <w:pPr>
              <w:jc w:val="center"/>
              <w:rPr>
                <w:rFonts w:hint="eastAsia"/>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int="eastAsia" w:hAnsi="宋体" w:cs="宋体"/>
                <w:snapToGrid w:val="0"/>
                <w:color w:val="000000"/>
                <w:kern w:val="21"/>
                <w:szCs w:val="21"/>
              </w:rPr>
            </w:pPr>
            <w:r>
              <w:rPr>
                <w:rFonts w:hint="eastAsia"/>
                <w:lang w:val="en-US" w:eastAsia="zh-CN"/>
              </w:rPr>
              <w:t>-0.00062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default"/>
                <w:lang w:val="en-US" w:eastAsia="zh-CN"/>
              </w:rPr>
            </w:pPr>
            <w:r>
              <w:rPr>
                <w:rFonts w:hint="eastAsia"/>
                <w:lang w:val="en-US" w:eastAsia="zh-CN"/>
              </w:rPr>
              <w:t>石油类</w:t>
            </w:r>
          </w:p>
        </w:tc>
        <w:tc>
          <w:tcPr>
            <w:tcW w:w="1701" w:type="dxa"/>
            <w:noWrap w:val="0"/>
            <w:vAlign w:val="center"/>
          </w:tcPr>
          <w:p>
            <w:pPr>
              <w:jc w:val="center"/>
              <w:rPr>
                <w:rFonts w:hint="default" w:eastAsia="宋体"/>
                <w:lang w:val="en-US" w:eastAsia="zh-CN"/>
              </w:rPr>
            </w:pPr>
            <w:r>
              <w:rPr>
                <w:rFonts w:hint="eastAsia"/>
                <w:lang w:val="en-US" w:eastAsia="zh-CN"/>
              </w:rPr>
              <w:t>0.0001</w:t>
            </w:r>
          </w:p>
        </w:tc>
        <w:tc>
          <w:tcPr>
            <w:tcW w:w="1276" w:type="dxa"/>
            <w:noWrap w:val="0"/>
            <w:vAlign w:val="center"/>
          </w:tcPr>
          <w:p>
            <w:pPr>
              <w:jc w:val="center"/>
              <w:rPr>
                <w:rFonts w:hint="eastAsia"/>
              </w:rPr>
            </w:pPr>
            <w:r>
              <w:rPr>
                <w:rFonts w:hint="eastAsia"/>
              </w:rPr>
              <w:t>/</w:t>
            </w:r>
          </w:p>
        </w:tc>
        <w:tc>
          <w:tcPr>
            <w:tcW w:w="1701" w:type="dxa"/>
            <w:noWrap w:val="0"/>
            <w:vAlign w:val="center"/>
          </w:tcPr>
          <w:p>
            <w:pPr>
              <w:jc w:val="center"/>
              <w:rPr>
                <w:rFonts w:hint="eastAsia"/>
              </w:rPr>
            </w:pPr>
            <w:r>
              <w:rPr>
                <w:rFonts w:hint="eastAsia"/>
              </w:rPr>
              <w:t>0</w:t>
            </w:r>
          </w:p>
        </w:tc>
        <w:tc>
          <w:tcPr>
            <w:tcW w:w="1559" w:type="dxa"/>
            <w:noWrap w:val="0"/>
            <w:vAlign w:val="center"/>
          </w:tcPr>
          <w:p>
            <w:pPr>
              <w:jc w:val="center"/>
              <w:rPr>
                <w:rFonts w:hint="eastAsia"/>
              </w:rPr>
            </w:pPr>
            <w:r>
              <w:rPr>
                <w:rFonts w:hint="eastAsia"/>
              </w:rPr>
              <w:t>0</w:t>
            </w:r>
          </w:p>
        </w:tc>
        <w:tc>
          <w:tcPr>
            <w:tcW w:w="1761" w:type="dxa"/>
            <w:noWrap w:val="0"/>
            <w:vAlign w:val="center"/>
          </w:tcPr>
          <w:p>
            <w:pPr>
              <w:jc w:val="center"/>
              <w:rPr>
                <w:rFonts w:hint="eastAsia"/>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hAnsi="宋体" w:cs="宋体"/>
                <w:snapToGrid w:val="0"/>
                <w:color w:val="000000"/>
                <w:kern w:val="21"/>
                <w:szCs w:val="21"/>
              </w:rPr>
              <w:t>0</w:t>
            </w:r>
          </w:p>
        </w:tc>
        <w:tc>
          <w:tcPr>
            <w:tcW w:w="1164" w:type="dxa"/>
            <w:noWrap w:val="0"/>
            <w:vAlign w:val="center"/>
          </w:tcPr>
          <w:p>
            <w:pPr>
              <w:jc w:val="center"/>
              <w:rPr>
                <w:rFonts w:hint="eastAsia" w:hAnsi="宋体" w:cs="宋体"/>
                <w:snapToGrid w:val="0"/>
                <w:color w:val="000000"/>
                <w:kern w:val="21"/>
                <w:szCs w:val="21"/>
              </w:rPr>
            </w:pPr>
            <w:r>
              <w:rPr>
                <w:rFonts w:hint="eastAsia"/>
                <w:lang w:val="en-US" w:eastAsia="zh-CN"/>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6"/>
              <w:spacing w:beforeLines="0" w:afterLines="0" w:line="240" w:lineRule="auto"/>
              <w:ind w:left="420" w:hanging="420"/>
              <w:rPr>
                <w:rFonts w:hint="eastAsia" w:hAnsi="宋体" w:cs="宋体"/>
                <w:snapToGrid w:val="0"/>
                <w:color w:val="000000"/>
                <w:kern w:val="21"/>
                <w:szCs w:val="21"/>
              </w:rPr>
            </w:pPr>
            <w:r>
              <w:rPr>
                <w:rFonts w:hint="eastAsia" w:hAnsi="宋体" w:cs="宋体"/>
                <w:snapToGrid w:val="0"/>
                <w:color w:val="000000"/>
                <w:kern w:val="21"/>
                <w:szCs w:val="21"/>
              </w:rPr>
              <w:t>危险废物</w:t>
            </w:r>
          </w:p>
        </w:tc>
        <w:tc>
          <w:tcPr>
            <w:tcW w:w="1417" w:type="dxa"/>
            <w:noWrap w:val="0"/>
            <w:vAlign w:val="center"/>
          </w:tcPr>
          <w:p>
            <w:pPr>
              <w:jc w:val="center"/>
              <w:rPr>
                <w:rFonts w:hint="eastAsia"/>
              </w:rPr>
            </w:pPr>
            <w:r>
              <w:rPr>
                <w:rFonts w:hint="eastAsia"/>
              </w:rPr>
              <w:t>含油污泥</w:t>
            </w:r>
          </w:p>
        </w:tc>
        <w:tc>
          <w:tcPr>
            <w:tcW w:w="1701" w:type="dxa"/>
            <w:noWrap w:val="0"/>
            <w:vAlign w:val="center"/>
          </w:tcPr>
          <w:p>
            <w:pPr>
              <w:jc w:val="center"/>
            </w:pPr>
            <w:r>
              <w:rPr>
                <w:rFonts w:hint="eastAsia"/>
              </w:rPr>
              <w:t>0.6t/a</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rPr>
                <w:rFonts w:hint="default" w:eastAsia="宋体"/>
                <w:lang w:val="en-US" w:eastAsia="zh-CN"/>
              </w:rPr>
            </w:pPr>
            <w:r>
              <w:rPr>
                <w:rFonts w:hint="eastAsia"/>
              </w:rPr>
              <w:t>0</w:t>
            </w:r>
            <w:r>
              <w:rPr>
                <w:rFonts w:hint="eastAsia"/>
                <w:lang w:val="en-US" w:eastAsia="zh-CN"/>
              </w:rPr>
              <w:t>.6t/a</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int="eastAsia" w:hAnsi="宋体" w:cs="宋体"/>
                <w:snapToGrid w:val="0"/>
                <w:color w:val="000000"/>
                <w:kern w:val="21"/>
                <w:szCs w:val="21"/>
              </w:rPr>
            </w:pPr>
            <w:r>
              <w:rPr>
                <w:rFonts w:hint="eastAsia"/>
              </w:rPr>
              <w:t>0</w:t>
            </w:r>
            <w:r>
              <w:rPr>
                <w:rFonts w:hint="eastAsia"/>
                <w:lang w:val="en-US" w:eastAsia="zh-CN"/>
              </w:rPr>
              <w:t>.6t/a</w:t>
            </w:r>
          </w:p>
        </w:tc>
        <w:tc>
          <w:tcPr>
            <w:tcW w:w="1164" w:type="dxa"/>
            <w:noWrap w:val="0"/>
            <w:vAlign w:val="center"/>
          </w:tcPr>
          <w:p>
            <w:pPr>
              <w:jc w:val="center"/>
              <w:rPr>
                <w:rFonts w:hAnsi="宋体" w:cs="宋体"/>
                <w:snapToGrid w:val="0"/>
                <w:color w:val="000000"/>
                <w:kern w:val="21"/>
                <w:szCs w:val="21"/>
              </w:rPr>
            </w:pPr>
            <w:r>
              <w:rPr>
                <w:rFonts w:hint="eastAsi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eastAsia"/>
              </w:rPr>
            </w:pPr>
            <w:r>
              <w:rPr>
                <w:rFonts w:hint="eastAsia"/>
              </w:rPr>
              <w:t>含油抹布手套</w:t>
            </w:r>
          </w:p>
        </w:tc>
        <w:tc>
          <w:tcPr>
            <w:tcW w:w="1701" w:type="dxa"/>
            <w:noWrap w:val="0"/>
            <w:vAlign w:val="center"/>
          </w:tcPr>
          <w:p>
            <w:pPr>
              <w:jc w:val="center"/>
            </w:pPr>
            <w:r>
              <w:rPr>
                <w:rFonts w:hint="eastAsia"/>
              </w:rPr>
              <w:t>0.03t/a</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rPr>
                <w:rFonts w:hint="default" w:eastAsia="宋体"/>
                <w:lang w:val="en-US" w:eastAsia="zh-CN"/>
              </w:rPr>
            </w:pPr>
            <w:r>
              <w:rPr>
                <w:rFonts w:hint="eastAsia"/>
              </w:rPr>
              <w:t>0</w:t>
            </w:r>
            <w:r>
              <w:rPr>
                <w:rFonts w:hint="eastAsia"/>
                <w:lang w:val="en-US" w:eastAsia="zh-CN"/>
              </w:rPr>
              <w:t>.03t/a</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Ansi="宋体" w:cs="宋体"/>
                <w:snapToGrid w:val="0"/>
                <w:color w:val="000000"/>
                <w:kern w:val="21"/>
                <w:szCs w:val="21"/>
              </w:rPr>
            </w:pPr>
            <w:r>
              <w:rPr>
                <w:rFonts w:hint="eastAsia"/>
              </w:rPr>
              <w:t>0</w:t>
            </w:r>
            <w:r>
              <w:rPr>
                <w:rFonts w:hint="eastAsia"/>
                <w:lang w:val="en-US" w:eastAsia="zh-CN"/>
              </w:rPr>
              <w:t>.03t/a</w:t>
            </w:r>
          </w:p>
        </w:tc>
        <w:tc>
          <w:tcPr>
            <w:tcW w:w="1164" w:type="dxa"/>
            <w:noWrap w:val="0"/>
            <w:vAlign w:val="center"/>
          </w:tcPr>
          <w:p>
            <w:pPr>
              <w:jc w:val="center"/>
              <w:rPr>
                <w:rFonts w:hAnsi="宋体" w:cs="宋体"/>
                <w:snapToGrid w:val="0"/>
                <w:color w:val="000000"/>
                <w:kern w:val="21"/>
                <w:szCs w:val="21"/>
              </w:rPr>
            </w:pPr>
            <w:r>
              <w:rPr>
                <w:rFonts w:hint="eastAsi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eastAsia"/>
              </w:rPr>
            </w:pPr>
            <w:r>
              <w:rPr>
                <w:rFonts w:hint="eastAsia"/>
              </w:rPr>
              <w:t>废油渣</w:t>
            </w:r>
          </w:p>
        </w:tc>
        <w:tc>
          <w:tcPr>
            <w:tcW w:w="1701" w:type="dxa"/>
            <w:noWrap w:val="0"/>
            <w:vAlign w:val="center"/>
          </w:tcPr>
          <w:p>
            <w:pPr>
              <w:jc w:val="center"/>
            </w:pPr>
            <w:r>
              <w:rPr>
                <w:rFonts w:hint="eastAsia"/>
              </w:rPr>
              <w:t>0.36t/a</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pPr>
            <w:r>
              <w:rPr>
                <w:rFonts w:hint="eastAsia"/>
              </w:rPr>
              <w:t>0.2t/a</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Ansi="宋体" w:cs="宋体"/>
                <w:snapToGrid w:val="0"/>
                <w:color w:val="000000"/>
                <w:kern w:val="21"/>
                <w:szCs w:val="21"/>
              </w:rPr>
            </w:pPr>
            <w:r>
              <w:rPr>
                <w:rFonts w:hint="eastAsia"/>
              </w:rPr>
              <w:t>0.</w:t>
            </w:r>
            <w:r>
              <w:rPr>
                <w:rFonts w:hint="eastAsia"/>
                <w:lang w:val="en-US" w:eastAsia="zh-CN"/>
              </w:rPr>
              <w:t>2</w:t>
            </w:r>
            <w:r>
              <w:rPr>
                <w:rFonts w:hint="eastAsia"/>
              </w:rPr>
              <w:t>t/a</w:t>
            </w:r>
          </w:p>
        </w:tc>
        <w:tc>
          <w:tcPr>
            <w:tcW w:w="1164" w:type="dxa"/>
            <w:noWrap w:val="0"/>
            <w:vAlign w:val="center"/>
          </w:tcPr>
          <w:p>
            <w:pPr>
              <w:jc w:val="center"/>
              <w:rPr>
                <w:rFonts w:hAnsi="宋体" w:cs="宋体"/>
                <w:snapToGrid w:val="0"/>
                <w:color w:val="000000"/>
                <w:kern w:val="21"/>
                <w:szCs w:val="21"/>
              </w:rPr>
            </w:pPr>
            <w:r>
              <w:rPr>
                <w:rFonts w:hint="eastAsia"/>
                <w:lang w:val="en-US" w:eastAsia="zh-CN"/>
              </w:rPr>
              <w:t>-</w:t>
            </w:r>
            <w:r>
              <w:rPr>
                <w:rFonts w:hint="eastAsia"/>
              </w:rPr>
              <w:t>0.</w:t>
            </w:r>
            <w:r>
              <w:rPr>
                <w:rFonts w:hint="eastAsia"/>
                <w:lang w:val="en-US" w:eastAsia="zh-CN"/>
              </w:rPr>
              <w:t>16</w:t>
            </w:r>
            <w:r>
              <w:rPr>
                <w:rFonts w:hint="eastAsi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6"/>
              <w:spacing w:beforeLines="0" w:afterLines="0" w:line="240" w:lineRule="auto"/>
              <w:ind w:left="420" w:hanging="420"/>
              <w:rPr>
                <w:rFonts w:hint="eastAsia" w:hAnsi="宋体" w:cs="宋体"/>
                <w:snapToGrid w:val="0"/>
                <w:color w:val="000000"/>
                <w:kern w:val="21"/>
                <w:szCs w:val="21"/>
              </w:rPr>
            </w:pPr>
          </w:p>
        </w:tc>
        <w:tc>
          <w:tcPr>
            <w:tcW w:w="1417" w:type="dxa"/>
            <w:noWrap w:val="0"/>
            <w:vAlign w:val="center"/>
          </w:tcPr>
          <w:p>
            <w:pPr>
              <w:jc w:val="center"/>
              <w:rPr>
                <w:rFonts w:hint="eastAsia"/>
              </w:rPr>
            </w:pPr>
            <w:r>
              <w:t>废</w:t>
            </w:r>
            <w:r>
              <w:rPr>
                <w:rFonts w:hint="eastAsia"/>
              </w:rPr>
              <w:t>机油</w:t>
            </w:r>
          </w:p>
        </w:tc>
        <w:tc>
          <w:tcPr>
            <w:tcW w:w="1701" w:type="dxa"/>
            <w:noWrap w:val="0"/>
            <w:vAlign w:val="center"/>
          </w:tcPr>
          <w:p>
            <w:pPr>
              <w:jc w:val="center"/>
            </w:pPr>
            <w:r>
              <w:rPr>
                <w:rFonts w:hint="eastAsia"/>
              </w:rPr>
              <w:t>0.02t/a</w:t>
            </w:r>
          </w:p>
        </w:tc>
        <w:tc>
          <w:tcPr>
            <w:tcW w:w="1276" w:type="dxa"/>
            <w:noWrap w:val="0"/>
            <w:vAlign w:val="center"/>
          </w:tcPr>
          <w:p>
            <w:pPr>
              <w:jc w:val="center"/>
            </w:pPr>
            <w:r>
              <w:rPr>
                <w:rFonts w:hint="eastAsia"/>
              </w:rPr>
              <w:t>/</w:t>
            </w:r>
          </w:p>
        </w:tc>
        <w:tc>
          <w:tcPr>
            <w:tcW w:w="1701" w:type="dxa"/>
            <w:noWrap w:val="0"/>
            <w:vAlign w:val="center"/>
          </w:tcPr>
          <w:p>
            <w:pPr>
              <w:jc w:val="center"/>
            </w:pPr>
            <w:r>
              <w:rPr>
                <w:rFonts w:hint="eastAsia"/>
              </w:rPr>
              <w:t>0</w:t>
            </w:r>
          </w:p>
        </w:tc>
        <w:tc>
          <w:tcPr>
            <w:tcW w:w="1559" w:type="dxa"/>
            <w:noWrap w:val="0"/>
            <w:vAlign w:val="center"/>
          </w:tcPr>
          <w:p>
            <w:pPr>
              <w:jc w:val="center"/>
              <w:rPr>
                <w:rFonts w:hint="default" w:eastAsia="宋体"/>
                <w:lang w:val="en-US" w:eastAsia="zh-CN"/>
              </w:rPr>
            </w:pPr>
            <w:r>
              <w:rPr>
                <w:rFonts w:hint="eastAsia"/>
              </w:rPr>
              <w:t>0</w:t>
            </w:r>
            <w:r>
              <w:rPr>
                <w:rFonts w:hint="eastAsia"/>
                <w:lang w:val="en-US" w:eastAsia="zh-CN"/>
              </w:rPr>
              <w:t>.02t/a</w:t>
            </w:r>
          </w:p>
        </w:tc>
        <w:tc>
          <w:tcPr>
            <w:tcW w:w="1761" w:type="dxa"/>
            <w:noWrap w:val="0"/>
            <w:vAlign w:val="center"/>
          </w:tcPr>
          <w:p>
            <w:pPr>
              <w:jc w:val="center"/>
              <w:rPr>
                <w:rFonts w:hAnsi="宋体" w:cs="宋体"/>
                <w:snapToGrid w:val="0"/>
                <w:color w:val="000000"/>
                <w:kern w:val="21"/>
                <w:szCs w:val="21"/>
              </w:rPr>
            </w:pPr>
            <w:r>
              <w:rPr>
                <w:rFonts w:hint="eastAsia"/>
              </w:rPr>
              <w:t>/</w:t>
            </w:r>
          </w:p>
        </w:tc>
        <w:tc>
          <w:tcPr>
            <w:tcW w:w="1621" w:type="dxa"/>
            <w:noWrap w:val="0"/>
            <w:vAlign w:val="center"/>
          </w:tcPr>
          <w:p>
            <w:pPr>
              <w:jc w:val="center"/>
              <w:rPr>
                <w:rFonts w:hAnsi="宋体" w:cs="宋体"/>
                <w:snapToGrid w:val="0"/>
                <w:color w:val="000000"/>
                <w:kern w:val="21"/>
                <w:szCs w:val="21"/>
              </w:rPr>
            </w:pPr>
            <w:r>
              <w:rPr>
                <w:rFonts w:hint="eastAsia"/>
              </w:rPr>
              <w:t>0.02t/a</w:t>
            </w:r>
          </w:p>
        </w:tc>
        <w:tc>
          <w:tcPr>
            <w:tcW w:w="1164" w:type="dxa"/>
            <w:noWrap w:val="0"/>
            <w:vAlign w:val="center"/>
          </w:tcPr>
          <w:p>
            <w:pPr>
              <w:jc w:val="center"/>
              <w:rPr>
                <w:rFonts w:hAnsi="宋体" w:cs="宋体"/>
                <w:snapToGrid w:val="0"/>
                <w:color w:val="000000"/>
                <w:kern w:val="21"/>
                <w:szCs w:val="21"/>
              </w:rPr>
            </w:pPr>
            <w:r>
              <w:rPr>
                <w:rFonts w:hint="eastAsia"/>
              </w:rPr>
              <w:t>0</w:t>
            </w:r>
          </w:p>
        </w:tc>
      </w:tr>
    </w:tbl>
    <w:p>
      <w:pPr>
        <w:pStyle w:val="46"/>
        <w:spacing w:before="192" w:beforeLines="80" w:after="24"/>
        <w:ind w:left="420" w:hanging="420"/>
        <w:jc w:val="left"/>
        <w:rPr>
          <w:rFonts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pStyle w:val="46"/>
        <w:spacing w:before="192" w:beforeLines="80" w:after="24"/>
        <w:ind w:left="396" w:hanging="396"/>
        <w:jc w:val="left"/>
        <w:rPr>
          <w:rFonts w:hAnsi="宋体"/>
          <w:snapToGrid w:val="0"/>
          <w:color w:val="000000"/>
          <w:spacing w:val="-6"/>
          <w:kern w:val="21"/>
          <w:szCs w:val="21"/>
        </w:rPr>
      </w:pPr>
    </w:p>
    <w:p>
      <w:pPr>
        <w:rPr>
          <w:rFonts w:hint="eastAsia" w:ascii="宋体" w:hAnsi="宋体" w:eastAsia="黑体"/>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default" w:eastAsia="黑体"/>
          <w:highlight w:val="none"/>
          <w:lang w:val="en-US" w:eastAsia="zh-CN"/>
          <w14:textFill>
            <w14:gradFill>
              <w14:gsLst>
                <w14:gs w14:pos="0">
                  <w14:srgbClr w14:val="FE4444"/>
                </w14:gs>
                <w14:gs w14:pos="100000">
                  <w14:srgbClr w14:val="832B2B"/>
                </w14:gs>
              </w14:gsLst>
              <w14:lin w14:scaled="0"/>
            </w14:gradFill>
          </w14:textFill>
        </w:rPr>
      </w:pPr>
      <w:bookmarkStart w:id="94" w:name="_Toc23793"/>
      <w:r>
        <w:rPr>
          <w:rFonts w:hint="eastAsia"/>
          <w:highlight w:val="none"/>
        </w:rPr>
        <w:t>附件一  环评委托书</w:t>
      </w:r>
      <w:bookmarkEnd w:id="94"/>
    </w:p>
    <w:p>
      <w:pPr>
        <w:rPr>
          <w:rFonts w:hint="eastAsia" w:ascii="宋体" w:hAnsi="宋体" w:cs="宋体"/>
          <w:b/>
          <w:bCs/>
          <w:sz w:val="32"/>
          <w:szCs w:val="22"/>
          <w:lang w:eastAsia="zh-CN"/>
        </w:rPr>
      </w:pPr>
      <w:r>
        <w:drawing>
          <wp:inline distT="0" distB="0" distL="114300" distR="114300">
            <wp:extent cx="5605780" cy="8040370"/>
            <wp:effectExtent l="0" t="0" r="13970" b="17780"/>
            <wp:docPr id="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7"/>
                    <pic:cNvPicPr>
                      <a:picLocks noChangeAspect="1"/>
                    </pic:cNvPicPr>
                  </pic:nvPicPr>
                  <pic:blipFill>
                    <a:blip r:embed="rId25"/>
                    <a:srcRect b="6499"/>
                    <a:stretch>
                      <a:fillRect/>
                    </a:stretch>
                  </pic:blipFill>
                  <pic:spPr>
                    <a:xfrm>
                      <a:off x="0" y="0"/>
                      <a:ext cx="5605780" cy="8040370"/>
                    </a:xfrm>
                    <a:prstGeom prst="rect">
                      <a:avLst/>
                    </a:prstGeom>
                    <a:noFill/>
                    <a:ln>
                      <a:noFill/>
                    </a:ln>
                  </pic:spPr>
                </pic:pic>
              </a:graphicData>
            </a:graphic>
          </wp:inline>
        </w:drawing>
      </w:r>
    </w:p>
    <w:p>
      <w:pPr>
        <w:rPr>
          <w:rFonts w:hint="eastAsia" w:ascii="宋体" w:hAnsi="宋体" w:eastAsia="宋体" w:cs="宋体"/>
          <w:b/>
          <w:bCs/>
          <w:sz w:val="32"/>
          <w:szCs w:val="22"/>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eastAsia"/>
        </w:rPr>
      </w:pPr>
      <w:bookmarkStart w:id="95" w:name="_Toc21099"/>
      <w:r>
        <w:rPr>
          <w:rFonts w:hint="eastAsia"/>
        </w:rPr>
        <w:t>附件二 营业执照</w:t>
      </w:r>
      <w:bookmarkEnd w:id="95"/>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237480" cy="7746365"/>
            <wp:effectExtent l="0" t="0" r="1270" b="6985"/>
            <wp:docPr id="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7"/>
                    <pic:cNvPicPr>
                      <a:picLocks noChangeAspect="1"/>
                    </pic:cNvPicPr>
                  </pic:nvPicPr>
                  <pic:blipFill>
                    <a:blip r:embed="rId26"/>
                    <a:stretch>
                      <a:fillRect/>
                    </a:stretch>
                  </pic:blipFill>
                  <pic:spPr>
                    <a:xfrm>
                      <a:off x="0" y="0"/>
                      <a:ext cx="5237480" cy="7746365"/>
                    </a:xfrm>
                    <a:prstGeom prst="rect">
                      <a:avLst/>
                    </a:prstGeom>
                    <a:noFill/>
                    <a:ln>
                      <a:noFill/>
                    </a:ln>
                  </pic:spPr>
                </pic:pic>
              </a:graphicData>
            </a:graphic>
          </wp:inline>
        </w:drawing>
      </w:r>
    </w:p>
    <w:p>
      <w:pPr>
        <w:pStyle w:val="4"/>
      </w:pPr>
      <w:bookmarkStart w:id="96" w:name="_Toc11470"/>
      <w:r>
        <w:rPr>
          <w:rFonts w:hint="eastAsia"/>
        </w:rPr>
        <w:t>附件三 项目扩建申报表</w:t>
      </w:r>
      <w:bookmarkEnd w:id="96"/>
    </w:p>
    <w:p>
      <w:pPr>
        <w:pStyle w:val="2"/>
        <w:ind w:left="0" w:leftChars="0" w:firstLineChars="0"/>
      </w:pPr>
      <w:r>
        <w:drawing>
          <wp:inline distT="0" distB="0" distL="114300" distR="114300">
            <wp:extent cx="5530215" cy="7681595"/>
            <wp:effectExtent l="0" t="0" r="13335" b="14605"/>
            <wp:docPr id="30" name="图片 48" descr="85d11f9b271c876760bcfe8847ea9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8" descr="85d11f9b271c876760bcfe8847ea9c5"/>
                    <pic:cNvPicPr>
                      <a:picLocks noChangeAspect="1"/>
                    </pic:cNvPicPr>
                  </pic:nvPicPr>
                  <pic:blipFill>
                    <a:blip r:embed="rId27"/>
                    <a:srcRect t="14566" b="21346"/>
                    <a:stretch>
                      <a:fillRect/>
                    </a:stretch>
                  </pic:blipFill>
                  <pic:spPr>
                    <a:xfrm>
                      <a:off x="0" y="0"/>
                      <a:ext cx="5530215" cy="7681595"/>
                    </a:xfrm>
                    <a:prstGeom prst="rect">
                      <a:avLst/>
                    </a:prstGeom>
                    <a:noFill/>
                    <a:ln>
                      <a:noFill/>
                    </a:ln>
                  </pic:spPr>
                </pic:pic>
              </a:graphicData>
            </a:graphic>
          </wp:inline>
        </w:drawing>
      </w:r>
    </w:p>
    <w:p>
      <w:pPr>
        <w:pStyle w:val="2"/>
        <w:ind w:firstLine="480"/>
      </w:pPr>
    </w:p>
    <w:p>
      <w:pPr>
        <w:pStyle w:val="4"/>
      </w:pPr>
      <w:bookmarkStart w:id="97" w:name="_Toc21603"/>
      <w:r>
        <w:rPr>
          <w:rFonts w:hint="eastAsia"/>
        </w:rPr>
        <w:t>附件四 项目现状检测报告</w:t>
      </w:r>
      <w:bookmarkEnd w:id="97"/>
    </w:p>
    <w:p>
      <w:pPr>
        <w:pStyle w:val="2"/>
        <w:ind w:left="0" w:leftChars="0" w:firstLine="0" w:firstLineChars="0"/>
      </w:pPr>
      <w:r>
        <w:drawing>
          <wp:inline distT="0" distB="0" distL="114300" distR="114300">
            <wp:extent cx="5614035" cy="7937500"/>
            <wp:effectExtent l="0" t="0" r="5715" b="6350"/>
            <wp:docPr id="31" name="图片 49" descr="202302123 临湘市恒太加油站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9" descr="202302123 临湘市恒太加油站有限公司_00"/>
                    <pic:cNvPicPr>
                      <a:picLocks noChangeAspect="1"/>
                    </pic:cNvPicPr>
                  </pic:nvPicPr>
                  <pic:blipFill>
                    <a:blip r:embed="rId28"/>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2" name="图片 50" descr="202302123 临湘市恒太加油站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0" descr="202302123 临湘市恒太加油站有限公司_01"/>
                    <pic:cNvPicPr>
                      <a:picLocks noChangeAspect="1"/>
                    </pic:cNvPicPr>
                  </pic:nvPicPr>
                  <pic:blipFill>
                    <a:blip r:embed="rId29"/>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3" name="图片 51" descr="202302123 临湘市恒太加油站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1" descr="202302123 临湘市恒太加油站有限公司_02"/>
                    <pic:cNvPicPr>
                      <a:picLocks noChangeAspect="1"/>
                    </pic:cNvPicPr>
                  </pic:nvPicPr>
                  <pic:blipFill>
                    <a:blip r:embed="rId30"/>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4" name="图片 52" descr="202302123 临湘市恒太加油站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2" descr="202302123 临湘市恒太加油站有限公司_03"/>
                    <pic:cNvPicPr>
                      <a:picLocks noChangeAspect="1"/>
                    </pic:cNvPicPr>
                  </pic:nvPicPr>
                  <pic:blipFill>
                    <a:blip r:embed="rId31"/>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5" name="图片 53" descr="202302123 临湘市恒太加油站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3" descr="202302123 临湘市恒太加油站有限公司_04"/>
                    <pic:cNvPicPr>
                      <a:picLocks noChangeAspect="1"/>
                    </pic:cNvPicPr>
                  </pic:nvPicPr>
                  <pic:blipFill>
                    <a:blip r:embed="rId32"/>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6" name="图片 54" descr="202302123 临湘市恒太加油站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4" descr="202302123 临湘市恒太加油站有限公司_05"/>
                    <pic:cNvPicPr>
                      <a:picLocks noChangeAspect="1"/>
                    </pic:cNvPicPr>
                  </pic:nvPicPr>
                  <pic:blipFill>
                    <a:blip r:embed="rId33"/>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7500"/>
            <wp:effectExtent l="0" t="0" r="5715" b="6350"/>
            <wp:docPr id="37" name="图片 55" descr="202302123 临湘市恒太加油站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5" descr="202302123 临湘市恒太加油站有限公司_06"/>
                    <pic:cNvPicPr>
                      <a:picLocks noChangeAspect="1"/>
                    </pic:cNvPicPr>
                  </pic:nvPicPr>
                  <pic:blipFill>
                    <a:blip r:embed="rId34"/>
                    <a:stretch>
                      <a:fillRect/>
                    </a:stretch>
                  </pic:blipFill>
                  <pic:spPr>
                    <a:xfrm>
                      <a:off x="0" y="0"/>
                      <a:ext cx="5614035" cy="793750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2420"/>
            <wp:effectExtent l="0" t="0" r="5715" b="11430"/>
            <wp:docPr id="38" name="图片 56" descr="YA202310047临湘市恒太加油站扩建项目噪声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6" descr="YA202310047临湘市恒太加油站扩建项目噪声检测_00"/>
                    <pic:cNvPicPr>
                      <a:picLocks noChangeAspect="1"/>
                    </pic:cNvPicPr>
                  </pic:nvPicPr>
                  <pic:blipFill>
                    <a:blip r:embed="rId35"/>
                    <a:stretch>
                      <a:fillRect/>
                    </a:stretch>
                  </pic:blipFill>
                  <pic:spPr>
                    <a:xfrm>
                      <a:off x="0" y="0"/>
                      <a:ext cx="5614035" cy="793242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4035" cy="7932420"/>
            <wp:effectExtent l="0" t="0" r="5715" b="11430"/>
            <wp:docPr id="39" name="图片 57" descr="YA202310047临湘市恒太加油站扩建项目噪声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7" descr="YA202310047临湘市恒太加油站扩建项目噪声检测_01"/>
                    <pic:cNvPicPr>
                      <a:picLocks noChangeAspect="1"/>
                    </pic:cNvPicPr>
                  </pic:nvPicPr>
                  <pic:blipFill>
                    <a:blip r:embed="rId36"/>
                    <a:stretch>
                      <a:fillRect/>
                    </a:stretch>
                  </pic:blipFill>
                  <pic:spPr>
                    <a:xfrm>
                      <a:off x="0" y="0"/>
                      <a:ext cx="5614035" cy="7932420"/>
                    </a:xfrm>
                    <a:prstGeom prst="rect">
                      <a:avLst/>
                    </a:prstGeom>
                    <a:noFill/>
                    <a:ln>
                      <a:noFill/>
                    </a:ln>
                  </pic:spPr>
                </pic:pic>
              </a:graphicData>
            </a:graphic>
          </wp:inline>
        </w:drawing>
      </w:r>
    </w:p>
    <w:p>
      <w:pPr>
        <w:pStyle w:val="2"/>
        <w:ind w:left="0" w:leftChars="0" w:firstLine="0" w:firstLineChars="0"/>
        <w:rPr>
          <w:rFonts w:hint="eastAsia"/>
        </w:rPr>
      </w:pPr>
      <w:r>
        <w:rPr>
          <w:rFonts w:hint="eastAsia"/>
        </w:rPr>
        <w:drawing>
          <wp:inline distT="0" distB="0" distL="114300" distR="114300">
            <wp:extent cx="5614035" cy="7932420"/>
            <wp:effectExtent l="0" t="0" r="5715" b="11430"/>
            <wp:docPr id="40" name="图片 58" descr="YA202310047临湘市恒太加油站扩建项目噪声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8" descr="YA202310047临湘市恒太加油站扩建项目噪声检测_02"/>
                    <pic:cNvPicPr>
                      <a:picLocks noChangeAspect="1"/>
                    </pic:cNvPicPr>
                  </pic:nvPicPr>
                  <pic:blipFill>
                    <a:blip r:embed="rId37"/>
                    <a:stretch>
                      <a:fillRect/>
                    </a:stretch>
                  </pic:blipFill>
                  <pic:spPr>
                    <a:xfrm>
                      <a:off x="0" y="0"/>
                      <a:ext cx="5614035" cy="7932420"/>
                    </a:xfrm>
                    <a:prstGeom prst="rect">
                      <a:avLst/>
                    </a:prstGeom>
                    <a:noFill/>
                    <a:ln>
                      <a:noFill/>
                    </a:ln>
                  </pic:spPr>
                </pic:pic>
              </a:graphicData>
            </a:graphic>
          </wp:inline>
        </w:drawing>
      </w:r>
    </w:p>
    <w:p>
      <w:pPr>
        <w:pStyle w:val="2"/>
        <w:ind w:left="0" w:leftChars="0" w:firstLine="0" w:firstLineChars="0"/>
        <w:rPr>
          <w:rFonts w:hint="eastAsia"/>
        </w:rPr>
      </w:pPr>
      <w:r>
        <w:rPr>
          <w:rFonts w:hint="eastAsia"/>
        </w:rPr>
        <w:drawing>
          <wp:inline distT="0" distB="0" distL="114300" distR="114300">
            <wp:extent cx="5614035" cy="7932420"/>
            <wp:effectExtent l="0" t="0" r="5715" b="11430"/>
            <wp:docPr id="41" name="图片 59" descr="YA202310047临湘市恒太加油站扩建项目噪声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9" descr="YA202310047临湘市恒太加油站扩建项目噪声检测_03"/>
                    <pic:cNvPicPr>
                      <a:picLocks noChangeAspect="1"/>
                    </pic:cNvPicPr>
                  </pic:nvPicPr>
                  <pic:blipFill>
                    <a:blip r:embed="rId38"/>
                    <a:stretch>
                      <a:fillRect/>
                    </a:stretch>
                  </pic:blipFill>
                  <pic:spPr>
                    <a:xfrm>
                      <a:off x="0" y="0"/>
                      <a:ext cx="5614035" cy="7932420"/>
                    </a:xfrm>
                    <a:prstGeom prst="rect">
                      <a:avLst/>
                    </a:prstGeom>
                    <a:noFill/>
                    <a:ln>
                      <a:noFill/>
                    </a:ln>
                  </pic:spPr>
                </pic:pic>
              </a:graphicData>
            </a:graphic>
          </wp:inline>
        </w:drawing>
      </w:r>
    </w:p>
    <w:p>
      <w:pPr>
        <w:pStyle w:val="2"/>
        <w:ind w:left="0" w:leftChars="0" w:firstLine="0" w:firstLineChars="0"/>
        <w:rPr>
          <w:rFonts w:hint="eastAsia"/>
        </w:rPr>
      </w:pPr>
      <w:r>
        <w:rPr>
          <w:rFonts w:hint="eastAsia"/>
        </w:rPr>
        <w:drawing>
          <wp:inline distT="0" distB="0" distL="114300" distR="114300">
            <wp:extent cx="5614035" cy="7932420"/>
            <wp:effectExtent l="0" t="0" r="5715" b="11430"/>
            <wp:docPr id="42" name="图片 60" descr="YA202310047临湘市恒太加油站扩建项目噪声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0" descr="YA202310047临湘市恒太加油站扩建项目噪声检测_04"/>
                    <pic:cNvPicPr>
                      <a:picLocks noChangeAspect="1"/>
                    </pic:cNvPicPr>
                  </pic:nvPicPr>
                  <pic:blipFill>
                    <a:blip r:embed="rId39"/>
                    <a:stretch>
                      <a:fillRect/>
                    </a:stretch>
                  </pic:blipFill>
                  <pic:spPr>
                    <a:xfrm>
                      <a:off x="0" y="0"/>
                      <a:ext cx="5614035" cy="7932420"/>
                    </a:xfrm>
                    <a:prstGeom prst="rect">
                      <a:avLst/>
                    </a:prstGeom>
                    <a:noFill/>
                    <a:ln>
                      <a:noFill/>
                    </a:ln>
                  </pic:spPr>
                </pic:pic>
              </a:graphicData>
            </a:graphic>
          </wp:inline>
        </w:drawing>
      </w:r>
    </w:p>
    <w:p>
      <w:pPr>
        <w:pStyle w:val="2"/>
        <w:ind w:left="0" w:leftChars="0" w:firstLine="0" w:firstLineChars="0"/>
        <w:rPr>
          <w:rFonts w:hint="eastAsia"/>
        </w:rPr>
      </w:pPr>
    </w:p>
    <w:p>
      <w:pPr>
        <w:pStyle w:val="2"/>
        <w:ind w:left="0" w:leftChars="0" w:firstLine="0" w:firstLineChars="0"/>
        <w:rPr>
          <w:rFonts w:hint="eastAsia"/>
        </w:rPr>
      </w:pPr>
    </w:p>
    <w:p>
      <w:pPr>
        <w:pStyle w:val="2"/>
        <w:ind w:left="0" w:leftChars="0" w:firstLine="0" w:firstLineChars="0"/>
        <w:rPr>
          <w:rFonts w:hint="eastAsia"/>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default" w:eastAsia="黑体"/>
          <w:lang w:val="en-US" w:eastAsia="zh-CN"/>
        </w:rPr>
      </w:pPr>
      <w:bookmarkStart w:id="98" w:name="_Toc17364"/>
      <w:r>
        <w:rPr>
          <w:rFonts w:hint="eastAsia"/>
        </w:rPr>
        <w:t>附件</w:t>
      </w:r>
      <w:r>
        <w:rPr>
          <w:rFonts w:hint="eastAsia"/>
          <w:lang w:val="en-US" w:eastAsia="zh-CN"/>
        </w:rPr>
        <w:t>五</w:t>
      </w:r>
      <w:r>
        <w:rPr>
          <w:rFonts w:hint="eastAsia"/>
        </w:rPr>
        <w:t xml:space="preserve"> </w:t>
      </w:r>
      <w:r>
        <w:rPr>
          <w:rFonts w:hint="eastAsia"/>
          <w:lang w:val="en-US" w:eastAsia="zh-CN"/>
        </w:rPr>
        <w:t>2009年环境影响评价登记表</w:t>
      </w:r>
      <w:bookmarkEnd w:id="98"/>
    </w:p>
    <w:p>
      <w:pPr>
        <w:rPr>
          <w:rFonts w:hint="eastAsia" w:eastAsia="宋体"/>
          <w:lang w:eastAsia="zh-CN"/>
        </w:rPr>
      </w:pPr>
      <w:r>
        <w:rPr>
          <w:rFonts w:hint="eastAsia" w:eastAsia="宋体"/>
          <w:lang w:eastAsia="zh-CN"/>
        </w:rPr>
        <w:drawing>
          <wp:inline distT="0" distB="0" distL="114300" distR="114300">
            <wp:extent cx="5614035" cy="7941945"/>
            <wp:effectExtent l="0" t="0" r="5715" b="1905"/>
            <wp:docPr id="43" name="图片 38" descr="建设项目环境影响登记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descr="建设项目环境影响登记表_00"/>
                    <pic:cNvPicPr>
                      <a:picLocks noChangeAspect="1"/>
                    </pic:cNvPicPr>
                  </pic:nvPicPr>
                  <pic:blipFill>
                    <a:blip r:embed="rId40"/>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4" name="图片 39" descr="建设项目环境影响登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descr="建设项目环境影响登记表_01"/>
                    <pic:cNvPicPr>
                      <a:picLocks noChangeAspect="1"/>
                    </pic:cNvPicPr>
                  </pic:nvPicPr>
                  <pic:blipFill>
                    <a:blip r:embed="rId41"/>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5" name="图片 40" descr="建设项目环境影响登记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descr="建设项目环境影响登记表_02"/>
                    <pic:cNvPicPr>
                      <a:picLocks noChangeAspect="1"/>
                    </pic:cNvPicPr>
                  </pic:nvPicPr>
                  <pic:blipFill>
                    <a:blip r:embed="rId42"/>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6" name="图片 41" descr="建设项目环境影响登记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descr="建设项目环境影响登记表_03"/>
                    <pic:cNvPicPr>
                      <a:picLocks noChangeAspect="1"/>
                    </pic:cNvPicPr>
                  </pic:nvPicPr>
                  <pic:blipFill>
                    <a:blip r:embed="rId43"/>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7" name="图片 42" descr="建设项目环境影响登记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2" descr="建设项目环境影响登记表_04"/>
                    <pic:cNvPicPr>
                      <a:picLocks noChangeAspect="1"/>
                    </pic:cNvPicPr>
                  </pic:nvPicPr>
                  <pic:blipFill>
                    <a:blip r:embed="rId44"/>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8" name="图片 43" descr="建设项目环境影响登记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descr="建设项目环境影响登记表_05"/>
                    <pic:cNvPicPr>
                      <a:picLocks noChangeAspect="1"/>
                    </pic:cNvPicPr>
                  </pic:nvPicPr>
                  <pic:blipFill>
                    <a:blip r:embed="rId45"/>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49" name="图片 44" descr="建设项目环境影响登记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4" descr="建设项目环境影响登记表_06"/>
                    <pic:cNvPicPr>
                      <a:picLocks noChangeAspect="1"/>
                    </pic:cNvPicPr>
                  </pic:nvPicPr>
                  <pic:blipFill>
                    <a:blip r:embed="rId46"/>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0" name="图片 45" descr="建设项目环境影响登记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5" descr="建设项目环境影响登记表_07"/>
                    <pic:cNvPicPr>
                      <a:picLocks noChangeAspect="1"/>
                    </pic:cNvPicPr>
                  </pic:nvPicPr>
                  <pic:blipFill>
                    <a:blip r:embed="rId47"/>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1" name="图片 46" descr="建设项目环境影响登记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6" descr="建设项目环境影响登记表_08"/>
                    <pic:cNvPicPr>
                      <a:picLocks noChangeAspect="1"/>
                    </pic:cNvPicPr>
                  </pic:nvPicPr>
                  <pic:blipFill>
                    <a:blip r:embed="rId48"/>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4"/>
        <w:rPr>
          <w:rFonts w:hint="default" w:eastAsia="黑体"/>
          <w:lang w:val="en-US" w:eastAsia="zh-CN"/>
        </w:rPr>
      </w:pPr>
      <w:bookmarkStart w:id="99" w:name="_Toc25504"/>
      <w:r>
        <w:rPr>
          <w:rFonts w:hint="eastAsia"/>
        </w:rPr>
        <w:t>附件</w:t>
      </w:r>
      <w:r>
        <w:rPr>
          <w:rFonts w:hint="eastAsia"/>
          <w:lang w:val="en-US" w:eastAsia="zh-CN"/>
        </w:rPr>
        <w:t>六</w:t>
      </w:r>
      <w:r>
        <w:rPr>
          <w:rFonts w:hint="eastAsia"/>
        </w:rPr>
        <w:t xml:space="preserve"> </w:t>
      </w:r>
      <w:r>
        <w:rPr>
          <w:rFonts w:hint="eastAsia"/>
          <w:lang w:val="en-US" w:eastAsia="zh-CN"/>
        </w:rPr>
        <w:t>危险废物处置协议</w:t>
      </w:r>
      <w:bookmarkEnd w:id="99"/>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2" name="图片 47" descr="危险废物处理处置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7" descr="危险废物处理处置合同_00"/>
                    <pic:cNvPicPr>
                      <a:picLocks noChangeAspect="1"/>
                    </pic:cNvPicPr>
                  </pic:nvPicPr>
                  <pic:blipFill>
                    <a:blip r:embed="rId49"/>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3" name="图片 48" descr="危险废物处理处置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8" descr="危险废物处理处置合同_01"/>
                    <pic:cNvPicPr>
                      <a:picLocks noChangeAspect="1"/>
                    </pic:cNvPicPr>
                  </pic:nvPicPr>
                  <pic:blipFill>
                    <a:blip r:embed="rId50"/>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default" w:eastAsia="黑体"/>
          <w:lang w:val="en-US" w:eastAsia="zh-CN"/>
        </w:rPr>
      </w:pPr>
      <w:bookmarkStart w:id="100" w:name="_Toc6097"/>
      <w:r>
        <w:rPr>
          <w:rFonts w:hint="eastAsia"/>
        </w:rPr>
        <w:t>附件</w:t>
      </w:r>
      <w:r>
        <w:rPr>
          <w:rFonts w:hint="eastAsia"/>
          <w:lang w:val="en-US" w:eastAsia="zh-CN"/>
        </w:rPr>
        <w:t>七</w:t>
      </w:r>
      <w:r>
        <w:rPr>
          <w:rFonts w:hint="eastAsia"/>
        </w:rPr>
        <w:t xml:space="preserve"> </w:t>
      </w:r>
      <w:r>
        <w:rPr>
          <w:rFonts w:hint="eastAsia"/>
          <w:lang w:val="en-US" w:eastAsia="zh-CN"/>
        </w:rPr>
        <w:t>排污口设置登记表</w:t>
      </w:r>
      <w:bookmarkEnd w:id="100"/>
    </w:p>
    <w:p>
      <w:pPr>
        <w:rPr>
          <w:rFonts w:hint="eastAsia"/>
          <w:lang w:eastAsia="zh-CN"/>
        </w:rPr>
      </w:pPr>
      <w:r>
        <w:rPr>
          <w:rFonts w:hint="eastAsia"/>
          <w:lang w:eastAsia="zh-CN"/>
        </w:rPr>
        <w:drawing>
          <wp:inline distT="0" distB="0" distL="114300" distR="114300">
            <wp:extent cx="5614035" cy="7941945"/>
            <wp:effectExtent l="0" t="0" r="5715" b="1905"/>
            <wp:docPr id="54" name="图片 66" descr="36b194f3c8d3f633122360503dae654b_f8d3fe1f5ec7a63e6ba6b47b63dbd5f2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6" descr="36b194f3c8d3f633122360503dae654b_f8d3fe1f5ec7a63e6ba6b47b63dbd5f2_8_00"/>
                    <pic:cNvPicPr>
                      <a:picLocks noChangeAspect="1"/>
                    </pic:cNvPicPr>
                  </pic:nvPicPr>
                  <pic:blipFill>
                    <a:blip r:embed="rId51"/>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5" name="图片 67" descr="36b194f3c8d3f633122360503dae654b_f8d3fe1f5ec7a63e6ba6b47b63dbd5f2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7" descr="36b194f3c8d3f633122360503dae654b_f8d3fe1f5ec7a63e6ba6b47b63dbd5f2_8_01"/>
                    <pic:cNvPicPr>
                      <a:picLocks noChangeAspect="1"/>
                    </pic:cNvPicPr>
                  </pic:nvPicPr>
                  <pic:blipFill>
                    <a:blip r:embed="rId52"/>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6" name="图片 68" descr="36b194f3c8d3f633122360503dae654b_f8d3fe1f5ec7a63e6ba6b47b63dbd5f2_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8" descr="36b194f3c8d3f633122360503dae654b_f8d3fe1f5ec7a63e6ba6b47b63dbd5f2_8_02"/>
                    <pic:cNvPicPr>
                      <a:picLocks noChangeAspect="1"/>
                    </pic:cNvPicPr>
                  </pic:nvPicPr>
                  <pic:blipFill>
                    <a:blip r:embed="rId53"/>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7" name="图片 69" descr="36b194f3c8d3f633122360503dae654b_f8d3fe1f5ec7a63e6ba6b47b63dbd5f2_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9" descr="36b194f3c8d3f633122360503dae654b_f8d3fe1f5ec7a63e6ba6b47b63dbd5f2_8_03"/>
                    <pic:cNvPicPr>
                      <a:picLocks noChangeAspect="1"/>
                    </pic:cNvPicPr>
                  </pic:nvPicPr>
                  <pic:blipFill>
                    <a:blip r:embed="rId54"/>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14035" cy="7941945"/>
            <wp:effectExtent l="0" t="0" r="5715" b="1905"/>
            <wp:docPr id="58" name="图片 70" descr="36b194f3c8d3f633122360503dae654b_f8d3fe1f5ec7a63e6ba6b47b63dbd5f2_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0" descr="36b194f3c8d3f633122360503dae654b_f8d3fe1f5ec7a63e6ba6b47b63dbd5f2_8_04"/>
                    <pic:cNvPicPr>
                      <a:picLocks noChangeAspect="1"/>
                    </pic:cNvPicPr>
                  </pic:nvPicPr>
                  <pic:blipFill>
                    <a:blip r:embed="rId55"/>
                    <a:stretch>
                      <a:fillRect/>
                    </a:stretch>
                  </pic:blipFill>
                  <pic:spPr>
                    <a:xfrm>
                      <a:off x="0" y="0"/>
                      <a:ext cx="5614035" cy="7941945"/>
                    </a:xfrm>
                    <a:prstGeom prst="rect">
                      <a:avLst/>
                    </a:prstGeom>
                    <a:noFill/>
                    <a:ln>
                      <a:noFill/>
                    </a:ln>
                  </pic:spPr>
                </pic:pic>
              </a:graphicData>
            </a:graphic>
          </wp:inline>
        </w:drawing>
      </w:r>
    </w:p>
    <w:p>
      <w:pPr>
        <w:pStyle w:val="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default" w:eastAsia="黑体"/>
          <w:lang w:val="en-US" w:eastAsia="zh-CN"/>
        </w:rPr>
      </w:pPr>
      <w:bookmarkStart w:id="101" w:name="_Toc26289"/>
      <w:r>
        <w:rPr>
          <w:rFonts w:hint="eastAsia"/>
        </w:rPr>
        <w:t>附件</w:t>
      </w:r>
      <w:r>
        <w:rPr>
          <w:rFonts w:hint="eastAsia"/>
          <w:lang w:val="en-US" w:eastAsia="zh-CN"/>
        </w:rPr>
        <w:t>八</w:t>
      </w:r>
      <w:r>
        <w:rPr>
          <w:rFonts w:hint="eastAsia"/>
        </w:rPr>
        <w:t xml:space="preserve"> </w:t>
      </w:r>
      <w:r>
        <w:rPr>
          <w:rFonts w:hint="eastAsia"/>
          <w:lang w:val="en-US" w:eastAsia="zh-CN"/>
        </w:rPr>
        <w:t>排污许可证</w:t>
      </w:r>
      <w:bookmarkEnd w:id="101"/>
    </w:p>
    <w:p>
      <w:pPr>
        <w:rPr>
          <w:rFonts w:hint="eastAsia"/>
          <w:lang w:eastAsia="zh-CN"/>
        </w:rPr>
      </w:pPr>
      <w:r>
        <w:rPr>
          <w:rFonts w:hint="eastAsia"/>
          <w:lang w:eastAsia="zh-CN"/>
        </w:rPr>
        <w:drawing>
          <wp:inline distT="0" distB="0" distL="114300" distR="114300">
            <wp:extent cx="5611495" cy="4210050"/>
            <wp:effectExtent l="0" t="0" r="8255" b="0"/>
            <wp:docPr id="59" name="图片 71" descr="5dc68bbde80033a0556d7288cee8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1" descr="5dc68bbde80033a0556d7288cee8ccc"/>
                    <pic:cNvPicPr>
                      <a:picLocks noChangeAspect="1"/>
                    </pic:cNvPicPr>
                  </pic:nvPicPr>
                  <pic:blipFill>
                    <a:blip r:embed="rId56"/>
                    <a:stretch>
                      <a:fillRect/>
                    </a:stretch>
                  </pic:blipFill>
                  <pic:spPr>
                    <a:xfrm>
                      <a:off x="0" y="0"/>
                      <a:ext cx="5611495" cy="4210050"/>
                    </a:xfrm>
                    <a:prstGeom prst="rect">
                      <a:avLst/>
                    </a:prstGeom>
                    <a:noFill/>
                    <a:ln>
                      <a:noFill/>
                    </a:ln>
                  </pic:spPr>
                </pic:pic>
              </a:graphicData>
            </a:graphic>
          </wp:inline>
        </w:drawing>
      </w:r>
    </w:p>
    <w:p>
      <w:pPr>
        <w:pStyle w:val="2"/>
        <w:ind w:left="0" w:leftChars="0" w:firstLine="0" w:firstLineChars="0"/>
        <w:rPr>
          <w:rFonts w:hint="eastAsia"/>
          <w:lang w:eastAsia="zh-CN"/>
        </w:rPr>
      </w:pPr>
    </w:p>
    <w:p>
      <w:pPr>
        <w:pStyle w:val="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default" w:ascii="Times New Roman" w:hAnsi="Times New Roman" w:cs="Times New Roman"/>
          <w:lang w:val="en-US" w:eastAsia="zh-CN"/>
        </w:rPr>
      </w:pPr>
      <w:bookmarkStart w:id="102" w:name="_Toc1317"/>
      <w:r>
        <w:rPr>
          <w:rFonts w:hint="eastAsia" w:ascii="Times New Roman" w:hAnsi="Times New Roman" w:cs="Times New Roman"/>
        </w:rPr>
        <w:t>附件</w:t>
      </w:r>
      <w:r>
        <w:rPr>
          <w:rFonts w:hint="eastAsia" w:ascii="Times New Roman" w:hAnsi="Times New Roman" w:cs="Times New Roman"/>
          <w:lang w:val="en-US" w:eastAsia="zh-CN"/>
        </w:rPr>
        <w:t>九</w:t>
      </w:r>
      <w:r>
        <w:rPr>
          <w:rFonts w:hint="eastAsia" w:ascii="Times New Roman" w:hAnsi="Times New Roman" w:cs="Times New Roman"/>
        </w:rPr>
        <w:t xml:space="preserve"> </w:t>
      </w:r>
      <w:r>
        <w:rPr>
          <w:rFonts w:hint="eastAsia" w:ascii="Times New Roman" w:hAnsi="Times New Roman" w:cs="Times New Roman"/>
          <w:lang w:val="en-US" w:eastAsia="zh-CN"/>
        </w:rPr>
        <w:t>《</w:t>
      </w:r>
      <w:r>
        <w:rPr>
          <w:rFonts w:hint="default" w:ascii="Times New Roman" w:hAnsi="Times New Roman" w:cs="Times New Roman"/>
          <w:lang w:val="en-US" w:eastAsia="zh-CN"/>
        </w:rPr>
        <w:t>岳阳市2022年度生态环境质量公报</w:t>
      </w:r>
      <w:r>
        <w:rPr>
          <w:rFonts w:hint="eastAsia" w:ascii="Times New Roman" w:hAnsi="Times New Roman" w:cs="Times New Roman"/>
          <w:lang w:val="en-US" w:eastAsia="zh-CN"/>
        </w:rPr>
        <w:t>》</w:t>
      </w:r>
      <w:bookmarkEnd w:id="102"/>
    </w:p>
    <w:p>
      <w:pPr>
        <w:rPr>
          <w:rFonts w:hint="eastAsia"/>
          <w:lang w:eastAsia="zh-CN"/>
        </w:rPr>
      </w:pPr>
      <w:r>
        <w:drawing>
          <wp:inline distT="0" distB="0" distL="114300" distR="114300">
            <wp:extent cx="5611495" cy="2592705"/>
            <wp:effectExtent l="0" t="0" r="8255" b="17145"/>
            <wp:docPr id="6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4"/>
                    <pic:cNvPicPr>
                      <a:picLocks noChangeAspect="1"/>
                    </pic:cNvPicPr>
                  </pic:nvPicPr>
                  <pic:blipFill>
                    <a:blip r:embed="rId57"/>
                    <a:stretch>
                      <a:fillRect/>
                    </a:stretch>
                  </pic:blipFill>
                  <pic:spPr>
                    <a:xfrm>
                      <a:off x="0" y="0"/>
                      <a:ext cx="5611495" cy="2592705"/>
                    </a:xfrm>
                    <a:prstGeom prst="rect">
                      <a:avLst/>
                    </a:prstGeom>
                    <a:noFill/>
                    <a:ln>
                      <a:noFill/>
                    </a:ln>
                  </pic:spPr>
                </pic:pic>
              </a:graphicData>
            </a:graphic>
          </wp:inline>
        </w:drawing>
      </w:r>
    </w:p>
    <w:p>
      <w:pPr>
        <w:pStyle w:val="2"/>
        <w:ind w:left="0" w:leftChars="0" w:firstLine="0" w:firstLineChars="0"/>
        <w:rPr>
          <w:rFonts w:hint="eastAsia"/>
          <w:lang w:eastAsia="zh-CN"/>
        </w:rPr>
      </w:pPr>
    </w:p>
    <w:p>
      <w:pPr>
        <w:pStyle w:val="2"/>
        <w:ind w:left="0" w:leftChars="0" w:firstLine="0" w:firstLineChars="0"/>
        <w:rPr>
          <w:rFonts w:hint="eastAsia" w:eastAsia="楷体_GB2312"/>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pPr>
      <w:bookmarkStart w:id="103" w:name="_Toc24642"/>
      <w:r>
        <w:rPr>
          <w:rFonts w:hint="eastAsia"/>
        </w:rPr>
        <w:t>附图一 地理位置图</w:t>
      </w:r>
      <w:bookmarkEnd w:id="103"/>
    </w:p>
    <w:p>
      <w:pPr>
        <w:pStyle w:val="2"/>
        <w:ind w:left="0" w:leftChars="0" w:firstLine="0" w:firstLineChars="0"/>
        <w:jc w:val="center"/>
        <w:rPr>
          <w:rFonts w:hint="eastAsia"/>
        </w:rPr>
      </w:pPr>
      <w:r>
        <w:drawing>
          <wp:anchor distT="0" distB="0" distL="114300" distR="114300" simplePos="0" relativeHeight="251664384" behindDoc="0" locked="0" layoutInCell="1" allowOverlap="1">
            <wp:simplePos x="0" y="0"/>
            <wp:positionH relativeFrom="column">
              <wp:posOffset>6723380</wp:posOffset>
            </wp:positionH>
            <wp:positionV relativeFrom="paragraph">
              <wp:posOffset>14605</wp:posOffset>
            </wp:positionV>
            <wp:extent cx="749300" cy="901700"/>
            <wp:effectExtent l="0" t="0" r="12700" b="12700"/>
            <wp:wrapNone/>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rPr>
        <w:drawing>
          <wp:inline distT="0" distB="0" distL="114300" distR="114300">
            <wp:extent cx="6461760" cy="5168265"/>
            <wp:effectExtent l="0" t="0" r="15240" b="13335"/>
            <wp:docPr id="61" name="图片 61" descr="附图一  地理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附图一  地理位置示意图"/>
                    <pic:cNvPicPr>
                      <a:picLocks noChangeAspect="1"/>
                    </pic:cNvPicPr>
                  </pic:nvPicPr>
                  <pic:blipFill>
                    <a:blip r:embed="rId59"/>
                    <a:stretch>
                      <a:fillRect/>
                    </a:stretch>
                  </pic:blipFill>
                  <pic:spPr>
                    <a:xfrm>
                      <a:off x="0" y="0"/>
                      <a:ext cx="6461760" cy="5168265"/>
                    </a:xfrm>
                    <a:prstGeom prst="rect">
                      <a:avLst/>
                    </a:prstGeom>
                    <a:noFill/>
                    <a:ln>
                      <a:noFill/>
                    </a:ln>
                  </pic:spPr>
                </pic:pic>
              </a:graphicData>
            </a:graphic>
          </wp:inline>
        </w:drawing>
      </w:r>
    </w:p>
    <w:p>
      <w:pPr>
        <w:pStyle w:val="4"/>
        <w:rPr>
          <w:rFonts w:hint="eastAsia" w:eastAsia="黑体"/>
          <w:color w:val="FF0000"/>
          <w:lang w:eastAsia="zh-CN"/>
        </w:rPr>
      </w:pPr>
      <w:bookmarkStart w:id="104" w:name="_Toc25709"/>
      <w:r>
        <w:rPr>
          <w:rFonts w:hint="eastAsia"/>
        </w:rPr>
        <w:t>附图二 平面布置图</w:t>
      </w:r>
      <w:bookmarkEnd w:id="104"/>
    </w:p>
    <w:p>
      <w:pPr>
        <w:pStyle w:val="2"/>
        <w:ind w:left="0" w:leftChars="0" w:firstLine="0" w:firstLineChars="0"/>
        <w:jc w:val="center"/>
        <w:rPr>
          <w:u w:val="single"/>
        </w:rPr>
      </w:pPr>
      <w:r>
        <w:rPr>
          <w:sz w:val="24"/>
        </w:rPr>
        <mc:AlternateContent>
          <mc:Choice Requires="wps">
            <w:drawing>
              <wp:anchor distT="0" distB="0" distL="114300" distR="114300" simplePos="0" relativeHeight="251676672" behindDoc="0" locked="0" layoutInCell="1" allowOverlap="1">
                <wp:simplePos x="0" y="0"/>
                <wp:positionH relativeFrom="column">
                  <wp:posOffset>607060</wp:posOffset>
                </wp:positionH>
                <wp:positionV relativeFrom="paragraph">
                  <wp:posOffset>1370965</wp:posOffset>
                </wp:positionV>
                <wp:extent cx="1520825" cy="1066165"/>
                <wp:effectExtent l="172720" t="332740" r="173355" b="340995"/>
                <wp:wrapNone/>
                <wp:docPr id="83" name="文本框 83"/>
                <wp:cNvGraphicFramePr/>
                <a:graphic xmlns:a="http://schemas.openxmlformats.org/drawingml/2006/main">
                  <a:graphicData uri="http://schemas.microsoft.com/office/word/2010/wordprocessingShape">
                    <wps:wsp>
                      <wps:cNvSpPr txBox="1"/>
                      <wps:spPr>
                        <a:xfrm rot="1980000">
                          <a:off x="2080895" y="2374900"/>
                          <a:ext cx="1520825" cy="10661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pt;margin-top:107.95pt;height:83.95pt;width:119.75pt;rotation:2162688f;z-index:251676672;mso-width-relative:page;mso-height-relative:page;" fillcolor="#FFFFFF [3201]" filled="t" stroked="t" coordsize="21600,21600" o:gfxdata="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nHRsn2AAAAAoBAAAPAAAAAAAAAAEAIAAAACIAAABkcnMvZG93bnJldi54&#10;bWxQSwECFAAUAAAACACHTuJAttZ6QWwCAADUBAAADgAAAAAAAAABACAAAAAnAQAAZHJzL2Uyb0Rv&#10;Yy54bWxQSwUGAAAAAAYABgBZAQAABQYAAAAA&#10;">
                <v:fill on="t" focussize="0,0"/>
                <v:stroke weight="0.5pt" color="#000000 [3204]" joinstyle="round"/>
                <v:imagedata o:title=""/>
                <o:lock v:ext="edit" aspectratio="f"/>
                <v:textbox>
                  <w:txbxContent>
                    <w:p/>
                  </w:txbxContent>
                </v:textbox>
              </v:shape>
            </w:pict>
          </mc:Fallback>
        </mc:AlternateContent>
      </w:r>
      <w:r>
        <w:drawing>
          <wp:anchor distT="0" distB="0" distL="114300" distR="114300" simplePos="0" relativeHeight="251674624" behindDoc="0" locked="0" layoutInCell="1" allowOverlap="1">
            <wp:simplePos x="0" y="0"/>
            <wp:positionH relativeFrom="column">
              <wp:posOffset>7505700</wp:posOffset>
            </wp:positionH>
            <wp:positionV relativeFrom="paragraph">
              <wp:posOffset>6350</wp:posOffset>
            </wp:positionV>
            <wp:extent cx="749300" cy="901700"/>
            <wp:effectExtent l="0" t="0" r="12700" b="12700"/>
            <wp:wrapNone/>
            <wp:docPr id="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2"/>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drawing>
          <wp:inline distT="0" distB="0" distL="114300" distR="114300">
            <wp:extent cx="8020685" cy="5016500"/>
            <wp:effectExtent l="0" t="0" r="18415" b="12700"/>
            <wp:docPr id="6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3"/>
                    <pic:cNvPicPr>
                      <a:picLocks noChangeAspect="1"/>
                    </pic:cNvPicPr>
                  </pic:nvPicPr>
                  <pic:blipFill>
                    <a:blip r:embed="rId60"/>
                    <a:srcRect t="3870"/>
                    <a:stretch>
                      <a:fillRect/>
                    </a:stretch>
                  </pic:blipFill>
                  <pic:spPr>
                    <a:xfrm>
                      <a:off x="0" y="0"/>
                      <a:ext cx="8020685" cy="5016500"/>
                    </a:xfrm>
                    <a:prstGeom prst="rect">
                      <a:avLst/>
                    </a:prstGeom>
                    <a:noFill/>
                    <a:ln>
                      <a:noFill/>
                    </a:ln>
                  </pic:spPr>
                </pic:pic>
              </a:graphicData>
            </a:graphic>
          </wp:inline>
        </w:drawing>
      </w:r>
    </w:p>
    <w:p>
      <w:pPr>
        <w:pStyle w:val="4"/>
      </w:pPr>
      <w:bookmarkStart w:id="105" w:name="_Toc11410"/>
      <w:r>
        <w:rPr>
          <w:rFonts w:hint="eastAsia"/>
        </w:rPr>
        <w:t>附图三 大气环境保护示意图</w:t>
      </w:r>
      <w:bookmarkEnd w:id="105"/>
    </w:p>
    <w:p>
      <w:pPr>
        <w:pStyle w:val="2"/>
        <w:ind w:left="0" w:leftChars="0" w:firstLine="0" w:firstLineChars="0"/>
        <w:jc w:val="center"/>
        <w:rPr>
          <w:rFonts w:hint="eastAsia"/>
          <w:u w:val="single"/>
        </w:rPr>
      </w:pPr>
      <w:r>
        <w:drawing>
          <wp:anchor distT="0" distB="0" distL="114300" distR="114300" simplePos="0" relativeHeight="251665408" behindDoc="0" locked="0" layoutInCell="1" allowOverlap="1">
            <wp:simplePos x="0" y="0"/>
            <wp:positionH relativeFrom="column">
              <wp:posOffset>6442710</wp:posOffset>
            </wp:positionH>
            <wp:positionV relativeFrom="paragraph">
              <wp:posOffset>45720</wp:posOffset>
            </wp:positionV>
            <wp:extent cx="749300" cy="901700"/>
            <wp:effectExtent l="0" t="0" r="12700" b="12700"/>
            <wp:wrapNone/>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u w:val="single"/>
        </w:rPr>
        <w:drawing>
          <wp:inline distT="0" distB="0" distL="114300" distR="114300">
            <wp:extent cx="6062345" cy="4846320"/>
            <wp:effectExtent l="0" t="0" r="14605" b="11430"/>
            <wp:docPr id="63" name="图片 63" descr="附图三 大气环境保护目标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附图三 大气环境保护目标示意图"/>
                    <pic:cNvPicPr>
                      <a:picLocks noChangeAspect="1"/>
                    </pic:cNvPicPr>
                  </pic:nvPicPr>
                  <pic:blipFill>
                    <a:blip r:embed="rId61"/>
                    <a:stretch>
                      <a:fillRect/>
                    </a:stretch>
                  </pic:blipFill>
                  <pic:spPr>
                    <a:xfrm>
                      <a:off x="0" y="0"/>
                      <a:ext cx="6062345" cy="4846320"/>
                    </a:xfrm>
                    <a:prstGeom prst="rect">
                      <a:avLst/>
                    </a:prstGeom>
                    <a:noFill/>
                    <a:ln>
                      <a:noFill/>
                    </a:ln>
                  </pic:spPr>
                </pic:pic>
              </a:graphicData>
            </a:graphic>
          </wp:inline>
        </w:drawing>
      </w:r>
    </w:p>
    <w:p>
      <w:pPr>
        <w:pStyle w:val="2"/>
        <w:ind w:left="0" w:leftChars="0" w:firstLine="0" w:firstLineChars="0"/>
        <w:rPr>
          <w:u w:val="single"/>
        </w:rPr>
      </w:pPr>
    </w:p>
    <w:p>
      <w:pPr>
        <w:pStyle w:val="4"/>
        <w:rPr>
          <w:rFonts w:hint="default" w:eastAsia="黑体"/>
          <w:color w:val="FF0000"/>
          <w:lang w:val="en-US" w:eastAsia="zh-CN"/>
        </w:rPr>
      </w:pPr>
      <w:bookmarkStart w:id="106" w:name="_Toc22179"/>
      <w:r>
        <w:rPr>
          <w:rFonts w:hint="eastAsia"/>
        </w:rPr>
        <w:t>附图四 声环境保护示意图</w:t>
      </w:r>
      <w:bookmarkEnd w:id="106"/>
      <w:r>
        <w:rPr>
          <w:rFonts w:hint="eastAsia"/>
          <w:lang w:val="en-US" w:eastAsia="zh-CN"/>
        </w:rPr>
        <w:t xml:space="preserve">  </w:t>
      </w:r>
      <w:r>
        <w:rPr>
          <w:rFonts w:hint="eastAsia"/>
          <w:color w:val="FF0000"/>
          <w:lang w:val="en-US" w:eastAsia="zh-CN"/>
        </w:rPr>
        <w:t xml:space="preserve"> 标识边界距离</w:t>
      </w:r>
    </w:p>
    <w:p>
      <w:pPr>
        <w:pStyle w:val="2"/>
        <w:ind w:left="0" w:leftChars="0" w:firstLine="0" w:firstLineChars="0"/>
        <w:jc w:val="center"/>
        <w:rPr>
          <w:rFonts w:hint="eastAsia"/>
          <w:u w:val="single"/>
        </w:rPr>
      </w:pPr>
      <w:r>
        <w:drawing>
          <wp:anchor distT="0" distB="0" distL="114300" distR="114300" simplePos="0" relativeHeight="251666432" behindDoc="0" locked="0" layoutInCell="1" allowOverlap="1">
            <wp:simplePos x="0" y="0"/>
            <wp:positionH relativeFrom="column">
              <wp:posOffset>6723380</wp:posOffset>
            </wp:positionH>
            <wp:positionV relativeFrom="paragraph">
              <wp:posOffset>14605</wp:posOffset>
            </wp:positionV>
            <wp:extent cx="749300" cy="901700"/>
            <wp:effectExtent l="0" t="0" r="12700" b="12700"/>
            <wp:wrapNone/>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u w:val="single"/>
        </w:rPr>
        <w:drawing>
          <wp:inline distT="0" distB="0" distL="114300" distR="114300">
            <wp:extent cx="6504305" cy="5193030"/>
            <wp:effectExtent l="0" t="0" r="10795" b="7620"/>
            <wp:docPr id="64" name="图片 64" descr="附图四 声环境保护目标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附图四 声环境保护目标示意图"/>
                    <pic:cNvPicPr>
                      <a:picLocks noChangeAspect="1"/>
                    </pic:cNvPicPr>
                  </pic:nvPicPr>
                  <pic:blipFill>
                    <a:blip r:embed="rId62"/>
                    <a:stretch>
                      <a:fillRect/>
                    </a:stretch>
                  </pic:blipFill>
                  <pic:spPr>
                    <a:xfrm>
                      <a:off x="0" y="0"/>
                      <a:ext cx="6504305" cy="5193030"/>
                    </a:xfrm>
                    <a:prstGeom prst="rect">
                      <a:avLst/>
                    </a:prstGeom>
                    <a:noFill/>
                    <a:ln>
                      <a:noFill/>
                    </a:ln>
                  </pic:spPr>
                </pic:pic>
              </a:graphicData>
            </a:graphic>
          </wp:inline>
        </w:drawing>
      </w:r>
    </w:p>
    <w:p>
      <w:pPr>
        <w:pStyle w:val="4"/>
        <w:rPr>
          <w:rFonts w:hint="default" w:eastAsia="黑体"/>
          <w:color w:val="FF0000"/>
          <w:lang w:val="en-US" w:eastAsia="zh-CN"/>
        </w:rPr>
      </w:pPr>
      <w:bookmarkStart w:id="107" w:name="_Toc4000"/>
      <w:r>
        <w:rPr>
          <w:rFonts w:hint="eastAsia"/>
        </w:rPr>
        <w:t>附图五 项目监测布点图</w:t>
      </w:r>
      <w:bookmarkEnd w:id="107"/>
    </w:p>
    <w:p>
      <w:pPr>
        <w:pStyle w:val="2"/>
        <w:ind w:left="0" w:leftChars="0" w:firstLine="0" w:firstLineChars="0"/>
        <w:jc w:val="center"/>
        <w:rPr>
          <w:rFonts w:hint="eastAsia"/>
          <w:u w:val="single"/>
        </w:rPr>
      </w:pPr>
      <w:r>
        <w:rPr>
          <w:sz w:val="24"/>
        </w:rPr>
        <mc:AlternateContent>
          <mc:Choice Requires="wps">
            <w:drawing>
              <wp:anchor distT="0" distB="0" distL="114300" distR="114300" simplePos="0" relativeHeight="251671552" behindDoc="0" locked="0" layoutInCell="1" allowOverlap="1">
                <wp:simplePos x="0" y="0"/>
                <wp:positionH relativeFrom="column">
                  <wp:posOffset>6318885</wp:posOffset>
                </wp:positionH>
                <wp:positionV relativeFrom="paragraph">
                  <wp:posOffset>3897630</wp:posOffset>
                </wp:positionV>
                <wp:extent cx="1319530" cy="304165"/>
                <wp:effectExtent l="4445" t="5080" r="9525" b="14605"/>
                <wp:wrapNone/>
                <wp:docPr id="13" name="文本框 19"/>
                <wp:cNvGraphicFramePr/>
                <a:graphic xmlns:a="http://schemas.openxmlformats.org/drawingml/2006/main">
                  <a:graphicData uri="http://schemas.microsoft.com/office/word/2010/wordprocessingShape">
                    <wps:wsp>
                      <wps:cNvSpPr txBox="1"/>
                      <wps:spPr>
                        <a:xfrm>
                          <a:off x="0" y="0"/>
                          <a:ext cx="1319530" cy="304165"/>
                        </a:xfrm>
                        <a:prstGeom prst="rect">
                          <a:avLst/>
                        </a:prstGeom>
                        <a:noFill/>
                        <a:ln w="9525" cap="flat" cmpd="sng">
                          <a:solidFill>
                            <a:srgbClr val="FFFFFF"/>
                          </a:solidFill>
                          <a:prstDash val="solid"/>
                          <a:miter/>
                          <a:headEnd type="none" w="med" len="med"/>
                          <a:tailEnd type="none" w="med" len="med"/>
                        </a:ln>
                      </wps:spPr>
                      <wps:txbx>
                        <w:txbxContent>
                          <w:p>
                            <w:pPr>
                              <w:rPr>
                                <w:rFonts w:hint="default" w:eastAsia="宋体"/>
                                <w:b/>
                                <w:bCs/>
                                <w:sz w:val="15"/>
                                <w:szCs w:val="18"/>
                                <w:lang w:val="en-US" w:eastAsia="zh-CN"/>
                              </w:rPr>
                            </w:pPr>
                            <w:r>
                              <w:rPr>
                                <w:rFonts w:hint="eastAsia"/>
                                <w:b/>
                                <w:bCs/>
                                <w:sz w:val="15"/>
                                <w:szCs w:val="18"/>
                                <w:lang w:val="en-US" w:eastAsia="zh-CN"/>
                              </w:rPr>
                              <w:t>敏感点噪声监测点</w:t>
                            </w:r>
                          </w:p>
                        </w:txbxContent>
                      </wps:txbx>
                      <wps:bodyPr vert="horz" wrap="square" anchor="t" anchorCtr="0" upright="1"/>
                    </wps:wsp>
                  </a:graphicData>
                </a:graphic>
              </wp:anchor>
            </w:drawing>
          </mc:Choice>
          <mc:Fallback>
            <w:pict>
              <v:shape id="文本框 19" o:spid="_x0000_s1026" o:spt="202" type="#_x0000_t202" style="position:absolute;left:0pt;margin-left:497.55pt;margin-top:306.9pt;height:23.95pt;width:103.9pt;z-index:251671552;mso-width-relative:page;mso-height-relative:page;" filled="f" stroked="t" coordsize="21600,21600" o:gfxdata="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1SdY22wAAAAwBAAAPAAAAAAAAAAEAIAAAACIAAABkcnMvZG93bnJldi54bWxQSwECFAAUAAAA&#10;CACHTuJAkwvWViQCAABCBAAADgAAAAAAAAABACAAAAAqAQAAZHJzL2Uyb0RvYy54bWxQSwUGAAAA&#10;AAYABgBZAQAAwAUAAAAA&#10;">
                <v:fill on="f" focussize="0,0"/>
                <v:stroke color="#FFFFFF" joinstyle="miter"/>
                <v:imagedata o:title=""/>
                <o:lock v:ext="edit" aspectratio="f"/>
                <v:textbox>
                  <w:txbxContent>
                    <w:p>
                      <w:pPr>
                        <w:rPr>
                          <w:rFonts w:hint="default" w:eastAsia="宋体"/>
                          <w:b/>
                          <w:bCs/>
                          <w:sz w:val="15"/>
                          <w:szCs w:val="18"/>
                          <w:lang w:val="en-US" w:eastAsia="zh-CN"/>
                        </w:rPr>
                      </w:pPr>
                      <w:r>
                        <w:rPr>
                          <w:rFonts w:hint="eastAsia"/>
                          <w:b/>
                          <w:bCs/>
                          <w:sz w:val="15"/>
                          <w:szCs w:val="18"/>
                          <w:lang w:val="en-US" w:eastAsia="zh-CN"/>
                        </w:rPr>
                        <w:t>敏感点噪声监测点</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6092825</wp:posOffset>
                </wp:positionH>
                <wp:positionV relativeFrom="paragraph">
                  <wp:posOffset>3961765</wp:posOffset>
                </wp:positionV>
                <wp:extent cx="80645" cy="99060"/>
                <wp:effectExtent l="6985" t="12700" r="7620" b="21590"/>
                <wp:wrapNone/>
                <wp:docPr id="12" name="自选图形 18"/>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18" o:spid="_x0000_s1026" o:spt="5" type="#_x0000_t5" style="position:absolute;left:0pt;margin-left:479.75pt;margin-top:311.95pt;height:7.8pt;width:6.35pt;z-index:251670528;mso-width-relative:page;mso-height-relative:page;" fillcolor="#FFFF00" filled="t" stroked="t" coordsize="21600,21600" o:gfxdata="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jlnC9kAAAALAQAADwAAAAAAAAABACAAAAAiAAAAZHJzL2Rvd25y&#10;ZXYueG1sUEsBAhQAFAAAAAgAh07iQJ1ke9k2AgAAhgQAAA4AAAAAAAAAAQAgAAAAKAEAAGRycy9l&#10;Mm9Eb2MueG1sUEsFBgAAAAAGAAYAWQEAANAFAAAAAA==&#10;" adj="10800">
                <v:fill on="t" focussize="0,0"/>
                <v:stroke color="#FFFF00" joinstyle="miter"/>
                <v:imagedata o:title=""/>
                <o:lock v:ext="edit" aspectratio="f"/>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3465830</wp:posOffset>
                </wp:positionH>
                <wp:positionV relativeFrom="paragraph">
                  <wp:posOffset>2673350</wp:posOffset>
                </wp:positionV>
                <wp:extent cx="80645" cy="99060"/>
                <wp:effectExtent l="6985" t="12700" r="7620" b="21590"/>
                <wp:wrapNone/>
                <wp:docPr id="4" name="自选图形 10"/>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10" o:spid="_x0000_s1026" o:spt="5" type="#_x0000_t5" style="position:absolute;left:0pt;margin-left:272.9pt;margin-top:210.5pt;height:7.8pt;width:6.35pt;z-index:251662336;mso-width-relative:page;mso-height-relative:page;" fillcolor="#FFFF00" filled="t" stroked="t" coordsize="21600,21600" o:gfxdata="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6rKHn2QAAAAsBAAAPAAAAAAAAAAEAIAAAACIAAABkcnMvZG93bnJl&#10;di54bWxQSwECFAAUAAAACACHTuJAlqa2sjUCAACFBAAADgAAAAAAAAABACAAAAAoAQAAZHJzL2Uy&#10;b0RvYy54bWxQSwUGAAAAAAYABgBZAQAAzwUAAAAA&#10;" adj="10800">
                <v:fill on="t" focussize="0,0"/>
                <v:stroke color="#FFFF00" joinstyle="miter"/>
                <v:imagedata o:title=""/>
                <o:lock v:ext="edit" aspectratio="f"/>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4483735</wp:posOffset>
                </wp:positionH>
                <wp:positionV relativeFrom="paragraph">
                  <wp:posOffset>3056255</wp:posOffset>
                </wp:positionV>
                <wp:extent cx="80645" cy="99060"/>
                <wp:effectExtent l="6985" t="12700" r="7620" b="21590"/>
                <wp:wrapNone/>
                <wp:docPr id="5" name="自选图形 11"/>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11" o:spid="_x0000_s1026" o:spt="5" type="#_x0000_t5" style="position:absolute;left:0pt;margin-left:353.05pt;margin-top:240.65pt;height:7.8pt;width:6.35pt;z-index:251663360;mso-width-relative:page;mso-height-relative:page;" fillcolor="#FFFF00" filled="t" stroked="t" coordsize="21600,21600" o:gfxdata="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RMy+LZAAAACwEAAA8AAAAAAAAAAQAgAAAAIgAAAGRycy9kb3ducmV2&#10;LnhtbFBLAQIUABQAAAAIAIdO4kBIe2SRNAIAAIUEAAAOAAAAAAAAAAEAIAAAACgBAABkcnMvZTJv&#10;RG9jLnhtbFBLBQYAAAAABgAGAFkBAADOBQAAAAA=&#10;" adj="10800">
                <v:fill on="t" focussize="0,0"/>
                <v:stroke color="#FFFF00" joinstyle="miter"/>
                <v:imagedata o:title=""/>
                <o:lock v:ext="edit" aspectratio="f"/>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4465320</wp:posOffset>
                </wp:positionH>
                <wp:positionV relativeFrom="paragraph">
                  <wp:posOffset>3255645</wp:posOffset>
                </wp:positionV>
                <wp:extent cx="80645" cy="99060"/>
                <wp:effectExtent l="6985" t="12700" r="7620" b="21590"/>
                <wp:wrapNone/>
                <wp:docPr id="2" name="自选图形 8"/>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8" o:spid="_x0000_s1026" o:spt="5" type="#_x0000_t5" style="position:absolute;left:0pt;margin-left:351.6pt;margin-top:256.35pt;height:7.8pt;width:6.35pt;z-index:251660288;mso-width-relative:page;mso-height-relative:page;" fillcolor="#FFFF00" filled="t" stroked="t" coordsize="21600,21600" o:gfxdata="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Bk+RjZAAAACwEAAA8AAAAAAAAAAQAgAAAAIgAAAGRycy9kb3ducmV2&#10;LnhtbFBLAQIUABQAAAAIAIdO4kDkBGrTNAIAAIQEAAAOAAAAAAAAAAEAIAAAACgBAABkcnMvZTJv&#10;RG9jLnhtbFBLBQYAAAAABgAGAFkBAADOBQAAAAA=&#10;" adj="10800">
                <v:fill on="t" focussize="0,0"/>
                <v:stroke color="#FFFF00" joinstyle="miter"/>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3771265</wp:posOffset>
                </wp:positionH>
                <wp:positionV relativeFrom="paragraph">
                  <wp:posOffset>2480310</wp:posOffset>
                </wp:positionV>
                <wp:extent cx="80645" cy="99060"/>
                <wp:effectExtent l="6985" t="12700" r="7620" b="21590"/>
                <wp:wrapNone/>
                <wp:docPr id="1" name="自选图形 7"/>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7" o:spid="_x0000_s1026" o:spt="5" type="#_x0000_t5" style="position:absolute;left:0pt;margin-left:296.95pt;margin-top:195.3pt;height:7.8pt;width:6.35pt;z-index:251659264;mso-width-relative:page;mso-height-relative:page;" fillcolor="#FFFF00" filled="t" stroked="t" coordsize="21600,21600" o:gfxdata="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jFbrHZAAAACwEAAA8AAAAAAAAAAQAgAAAAIgAAAGRycy9kb3ducmV2&#10;LnhtbFBLAQIUABQAAAAIAIdO4kBcMvYDNAIAAIQEAAAOAAAAAAAAAAEAIAAAACgBAABkcnMvZTJv&#10;RG9jLnhtbFBLBQYAAAAABgAGAFkBAADOBQAAAAA=&#10;" adj="10800">
                <v:fill on="t" focussize="0,0"/>
                <v:stroke color="#FFFF00" joinstyle="miter"/>
                <v:imagedata o:title=""/>
                <o:lock v:ext="edit" aspectratio="f"/>
              </v:shape>
            </w:pict>
          </mc:Fallback>
        </mc:AlternateContent>
      </w:r>
      <w:r>
        <w:drawing>
          <wp:anchor distT="0" distB="0" distL="114300" distR="114300" simplePos="0" relativeHeight="251667456" behindDoc="0" locked="0" layoutInCell="1" allowOverlap="1">
            <wp:simplePos x="0" y="0"/>
            <wp:positionH relativeFrom="column">
              <wp:posOffset>6723380</wp:posOffset>
            </wp:positionH>
            <wp:positionV relativeFrom="paragraph">
              <wp:posOffset>14605</wp:posOffset>
            </wp:positionV>
            <wp:extent cx="749300" cy="901700"/>
            <wp:effectExtent l="0" t="0" r="12700" b="12700"/>
            <wp:wrapNone/>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u w:val="single"/>
        </w:rPr>
        <w:drawing>
          <wp:inline distT="0" distB="0" distL="114300" distR="114300">
            <wp:extent cx="6473825" cy="5172075"/>
            <wp:effectExtent l="0" t="0" r="3175" b="9525"/>
            <wp:docPr id="65" name="图片 66" descr="附图五  检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6" descr="附图五  检测布点图"/>
                    <pic:cNvPicPr>
                      <a:picLocks noChangeAspect="1"/>
                    </pic:cNvPicPr>
                  </pic:nvPicPr>
                  <pic:blipFill>
                    <a:blip r:embed="rId63"/>
                    <a:stretch>
                      <a:fillRect/>
                    </a:stretch>
                  </pic:blipFill>
                  <pic:spPr>
                    <a:xfrm>
                      <a:off x="0" y="0"/>
                      <a:ext cx="6473825" cy="5172075"/>
                    </a:xfrm>
                    <a:prstGeom prst="rect">
                      <a:avLst/>
                    </a:prstGeom>
                    <a:noFill/>
                    <a:ln>
                      <a:noFill/>
                    </a:ln>
                  </pic:spPr>
                </pic:pic>
              </a:graphicData>
            </a:graphic>
          </wp:inline>
        </w:drawing>
      </w:r>
      <w:r>
        <mc:AlternateContent>
          <mc:Choice Requires="wps">
            <w:drawing>
              <wp:anchor distT="0" distB="0" distL="114300" distR="114300" simplePos="0" relativeHeight="251661312" behindDoc="0" locked="0" layoutInCell="1" allowOverlap="1">
                <wp:simplePos x="0" y="0"/>
                <wp:positionH relativeFrom="column">
                  <wp:posOffset>3776980</wp:posOffset>
                </wp:positionH>
                <wp:positionV relativeFrom="paragraph">
                  <wp:posOffset>2174875</wp:posOffset>
                </wp:positionV>
                <wp:extent cx="80645" cy="99060"/>
                <wp:effectExtent l="6985" t="12700" r="7620" b="21590"/>
                <wp:wrapNone/>
                <wp:docPr id="3" name="自选图形 9"/>
                <wp:cNvGraphicFramePr/>
                <a:graphic xmlns:a="http://schemas.openxmlformats.org/drawingml/2006/main">
                  <a:graphicData uri="http://schemas.microsoft.com/office/word/2010/wordprocessingShape">
                    <wps:wsp>
                      <wps:cNvSpPr/>
                      <wps:spPr>
                        <a:xfrm>
                          <a:off x="0" y="0"/>
                          <a:ext cx="80645" cy="9906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9" o:spid="_x0000_s1026" o:spt="5" type="#_x0000_t5" style="position:absolute;left:0pt;margin-left:297.4pt;margin-top:171.25pt;height:7.8pt;width:6.35pt;z-index:251661312;mso-width-relative:page;mso-height-relative:page;" fillcolor="#FFFF00" filled="t" stroked="t" coordsize="21600,21600" o:gfxdata="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3QyFNoAAAALAQAADwAAAAAAAAABACAAAAAiAAAAZHJzL2Rvd25y&#10;ZXYueG1sUEsBAhQAFAAAAAgAh07iQPvVOIU1AgAAhAQAAA4AAAAAAAAAAQAgAAAAKQEAAGRycy9l&#10;Mm9Eb2MueG1sUEsFBgAAAAAGAAYAWQEAANAFAAAAAA==&#10;" adj="10800">
                <v:fill on="t" focussize="0,0"/>
                <v:stroke color="#FFFF00" joinstyle="miter"/>
                <v:imagedata o:title=""/>
                <o:lock v:ext="edit" aspectratio="f"/>
              </v:shape>
            </w:pict>
          </mc:Fallback>
        </mc:AlternateContent>
      </w:r>
    </w:p>
    <w:p>
      <w:pPr>
        <w:pStyle w:val="4"/>
      </w:pPr>
      <w:bookmarkStart w:id="108" w:name="_Toc17161"/>
      <w:r>
        <w:rPr>
          <w:rFonts w:hint="eastAsia"/>
        </w:rPr>
        <w:t>附图六 环境质量现状监测布点图</w:t>
      </w:r>
      <w:bookmarkEnd w:id="108"/>
    </w:p>
    <w:p>
      <w:pPr>
        <w:pStyle w:val="2"/>
        <w:ind w:left="0" w:leftChars="0" w:firstLine="0" w:firstLineChars="0"/>
        <w:jc w:val="center"/>
        <w:rPr>
          <w:rFonts w:hint="eastAsia"/>
          <w:u w:val="single"/>
        </w:rPr>
      </w:pPr>
      <w:r>
        <w:drawing>
          <wp:anchor distT="0" distB="0" distL="114300" distR="114300" simplePos="0" relativeHeight="251668480" behindDoc="0" locked="0" layoutInCell="1" allowOverlap="1">
            <wp:simplePos x="0" y="0"/>
            <wp:positionH relativeFrom="column">
              <wp:posOffset>6723380</wp:posOffset>
            </wp:positionH>
            <wp:positionV relativeFrom="paragraph">
              <wp:posOffset>14605</wp:posOffset>
            </wp:positionV>
            <wp:extent cx="749300" cy="901700"/>
            <wp:effectExtent l="0" t="0" r="12700" b="12700"/>
            <wp:wrapNone/>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u w:val="single"/>
        </w:rPr>
        <w:drawing>
          <wp:inline distT="0" distB="0" distL="114300" distR="114300">
            <wp:extent cx="6363970" cy="5083175"/>
            <wp:effectExtent l="0" t="0" r="17780" b="3175"/>
            <wp:docPr id="66" name="图片 67" descr="附图六 环境质量现状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7" descr="附图六 环境质量现状监测布点图"/>
                    <pic:cNvPicPr>
                      <a:picLocks noChangeAspect="1"/>
                    </pic:cNvPicPr>
                  </pic:nvPicPr>
                  <pic:blipFill>
                    <a:blip r:embed="rId64"/>
                    <a:stretch>
                      <a:fillRect/>
                    </a:stretch>
                  </pic:blipFill>
                  <pic:spPr>
                    <a:xfrm>
                      <a:off x="0" y="0"/>
                      <a:ext cx="6363970" cy="5083175"/>
                    </a:xfrm>
                    <a:prstGeom prst="rect">
                      <a:avLst/>
                    </a:prstGeom>
                    <a:noFill/>
                    <a:ln>
                      <a:noFill/>
                    </a:ln>
                  </pic:spPr>
                </pic:pic>
              </a:graphicData>
            </a:graphic>
          </wp:inline>
        </w:drawing>
      </w:r>
    </w:p>
    <w:p>
      <w:pPr>
        <w:pStyle w:val="4"/>
      </w:pPr>
      <w:bookmarkStart w:id="109" w:name="_Toc16863"/>
      <w:r>
        <w:rPr>
          <w:rFonts w:hint="eastAsia"/>
        </w:rPr>
        <w:t>附图七 项目所在建成区位置图</w:t>
      </w:r>
      <w:bookmarkEnd w:id="109"/>
    </w:p>
    <w:p>
      <w:pPr>
        <w:pStyle w:val="2"/>
        <w:ind w:left="0" w:leftChars="0" w:firstLine="0" w:firstLineChars="0"/>
        <w:rPr>
          <w:rFonts w:hint="eastAsia"/>
          <w:u w:val="single"/>
        </w:rPr>
      </w:pPr>
      <w:r>
        <w:drawing>
          <wp:anchor distT="0" distB="0" distL="114300" distR="114300" simplePos="0" relativeHeight="251669504" behindDoc="0" locked="0" layoutInCell="1" allowOverlap="1">
            <wp:simplePos x="0" y="0"/>
            <wp:positionH relativeFrom="column">
              <wp:posOffset>7713345</wp:posOffset>
            </wp:positionH>
            <wp:positionV relativeFrom="paragraph">
              <wp:posOffset>40005</wp:posOffset>
            </wp:positionV>
            <wp:extent cx="749300" cy="901700"/>
            <wp:effectExtent l="0" t="0" r="12700" b="12700"/>
            <wp:wrapNone/>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58"/>
                    <a:stretch>
                      <a:fillRect/>
                    </a:stretch>
                  </pic:blipFill>
                  <pic:spPr>
                    <a:xfrm>
                      <a:off x="0" y="0"/>
                      <a:ext cx="749300" cy="901700"/>
                    </a:xfrm>
                    <a:prstGeom prst="rect">
                      <a:avLst/>
                    </a:prstGeom>
                    <a:noFill/>
                    <a:ln>
                      <a:noFill/>
                    </a:ln>
                  </pic:spPr>
                </pic:pic>
              </a:graphicData>
            </a:graphic>
          </wp:anchor>
        </w:drawing>
      </w:r>
      <w:r>
        <w:rPr>
          <w:rFonts w:hint="eastAsia"/>
          <w:u w:val="single"/>
        </w:rPr>
        <w:drawing>
          <wp:inline distT="0" distB="0" distL="114300" distR="114300">
            <wp:extent cx="8518525" cy="4027170"/>
            <wp:effectExtent l="0" t="0" r="15875" b="11430"/>
            <wp:docPr id="67" name="图片 68" descr="附图七、恒太加油站所在建成区位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8" descr="附图七、恒太加油站所在建成区位置_00"/>
                    <pic:cNvPicPr>
                      <a:picLocks noChangeAspect="1"/>
                    </pic:cNvPicPr>
                  </pic:nvPicPr>
                  <pic:blipFill>
                    <a:blip r:embed="rId65"/>
                    <a:srcRect l="9102" t="17563" r="8321" b="27208"/>
                    <a:stretch>
                      <a:fillRect/>
                    </a:stretch>
                  </pic:blipFill>
                  <pic:spPr>
                    <a:xfrm>
                      <a:off x="0" y="0"/>
                      <a:ext cx="8518525" cy="4027170"/>
                    </a:xfrm>
                    <a:prstGeom prst="rect">
                      <a:avLst/>
                    </a:prstGeom>
                    <a:noFill/>
                    <a:ln>
                      <a:noFill/>
                    </a:ln>
                  </pic:spPr>
                </pic:pic>
              </a:graphicData>
            </a:graphic>
          </wp:inline>
        </w:drawing>
      </w:r>
    </w:p>
    <w:p>
      <w:pPr>
        <w:pStyle w:val="2"/>
        <w:ind w:left="0" w:leftChars="0" w:firstLine="0" w:firstLineChars="0"/>
        <w:rPr>
          <w:rFonts w:hint="eastAsia"/>
          <w:u w:val="single"/>
        </w:rPr>
      </w:pPr>
    </w:p>
    <w:p>
      <w:pPr>
        <w:pStyle w:val="2"/>
        <w:ind w:left="0" w:leftChars="0" w:firstLine="0" w:firstLineChars="0"/>
        <w:rPr>
          <w:rFonts w:hint="eastAsia"/>
          <w:u w:val="single"/>
        </w:rPr>
      </w:pPr>
    </w:p>
    <w:p>
      <w:pPr>
        <w:pStyle w:val="2"/>
        <w:ind w:left="0" w:leftChars="0" w:firstLine="0" w:firstLineChars="0"/>
        <w:rPr>
          <w:rFonts w:hint="eastAsia"/>
          <w:u w:val="singl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4"/>
        <w:rPr>
          <w:rFonts w:hint="eastAsia" w:eastAsia="黑体"/>
          <w:color w:val="0000FF"/>
          <w:lang w:val="en-US" w:eastAsia="zh-CN"/>
        </w:rPr>
      </w:pPr>
      <w:bookmarkStart w:id="110" w:name="_Toc7576"/>
      <w:r>
        <w:rPr>
          <w:rFonts w:hint="eastAsia"/>
          <w:color w:val="0000FF"/>
        </w:rPr>
        <w:t>附图</w:t>
      </w:r>
      <w:r>
        <w:rPr>
          <w:rFonts w:hint="eastAsia"/>
          <w:color w:val="0000FF"/>
          <w:lang w:val="en-US" w:eastAsia="zh-CN"/>
        </w:rPr>
        <w:t>八</w:t>
      </w:r>
      <w:r>
        <w:rPr>
          <w:rFonts w:hint="eastAsia"/>
          <w:color w:val="0000FF"/>
        </w:rPr>
        <w:t xml:space="preserve"> 项目</w:t>
      </w:r>
      <w:r>
        <w:rPr>
          <w:rFonts w:hint="eastAsia"/>
          <w:color w:val="0000FF"/>
          <w:lang w:val="en-US" w:eastAsia="zh-CN"/>
        </w:rPr>
        <w:t>现有</w:t>
      </w:r>
      <w:r>
        <w:rPr>
          <w:rFonts w:hint="eastAsia" w:ascii="Times New Roman" w:hAnsi="Times New Roman" w:cs="Times New Roman"/>
          <w:color w:val="0000FF"/>
          <w:lang w:val="en-US" w:eastAsia="zh-CN"/>
        </w:rPr>
        <w:t>工程、污染防治设施照片</w:t>
      </w:r>
      <w:bookmarkEnd w:id="110"/>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3"/>
        <w:gridCol w:w="3413"/>
        <w:gridCol w:w="3413"/>
        <w:gridCol w:w="3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3"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eastAsia="楷体_GB2312"/>
                <w:u w:val="none"/>
                <w:vertAlign w:val="baseline"/>
                <w:lang w:eastAsia="zh-CN"/>
              </w:rPr>
            </w:pPr>
            <w:r>
              <w:rPr>
                <w:rFonts w:hint="eastAsia" w:eastAsia="楷体_GB2312"/>
                <w:u w:val="none"/>
                <w:vertAlign w:val="baseline"/>
                <w:lang w:eastAsia="zh-CN"/>
              </w:rPr>
              <w:drawing>
                <wp:inline distT="0" distB="0" distL="114300" distR="114300">
                  <wp:extent cx="2030095" cy="3608705"/>
                  <wp:effectExtent l="0" t="0" r="8255" b="10795"/>
                  <wp:docPr id="68" name="图片 53" descr="97b3a0ec3695db735605e64520293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3" descr="97b3a0ec3695db735605e64520293e3"/>
                          <pic:cNvPicPr>
                            <a:picLocks noChangeAspect="1"/>
                          </pic:cNvPicPr>
                        </pic:nvPicPr>
                        <pic:blipFill>
                          <a:blip r:embed="rId66"/>
                          <a:stretch>
                            <a:fillRect/>
                          </a:stretch>
                        </pic:blipFill>
                        <pic:spPr>
                          <a:xfrm>
                            <a:off x="0" y="0"/>
                            <a:ext cx="2030095" cy="3608705"/>
                          </a:xfrm>
                          <a:prstGeom prst="rect">
                            <a:avLst/>
                          </a:prstGeom>
                          <a:noFill/>
                          <a:ln>
                            <a:noFill/>
                          </a:ln>
                        </pic:spPr>
                      </pic:pic>
                    </a:graphicData>
                  </a:graphic>
                </wp:inline>
              </w:drawing>
            </w:r>
          </w:p>
        </w:tc>
        <w:tc>
          <w:tcPr>
            <w:tcW w:w="3412"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eastAsia="楷体_GB2312"/>
                <w:u w:val="none"/>
                <w:vertAlign w:val="baseline"/>
                <w:lang w:eastAsia="zh-CN"/>
              </w:rPr>
            </w:pPr>
            <w:r>
              <w:rPr>
                <w:rFonts w:hint="eastAsia" w:eastAsia="楷体_GB2312"/>
                <w:u w:val="none"/>
                <w:vertAlign w:val="baseline"/>
                <w:lang w:eastAsia="zh-CN"/>
              </w:rPr>
              <w:drawing>
                <wp:inline distT="0" distB="0" distL="114300" distR="114300">
                  <wp:extent cx="2028825" cy="3606800"/>
                  <wp:effectExtent l="0" t="0" r="9525" b="12700"/>
                  <wp:docPr id="69" name="图片 54" descr="3f9674ec19d6b5072cb79a062a10d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4" descr="3f9674ec19d6b5072cb79a062a10dc9"/>
                          <pic:cNvPicPr>
                            <a:picLocks noChangeAspect="1"/>
                          </pic:cNvPicPr>
                        </pic:nvPicPr>
                        <pic:blipFill>
                          <a:blip r:embed="rId67"/>
                          <a:stretch>
                            <a:fillRect/>
                          </a:stretch>
                        </pic:blipFill>
                        <pic:spPr>
                          <a:xfrm>
                            <a:off x="0" y="0"/>
                            <a:ext cx="2028825" cy="3606800"/>
                          </a:xfrm>
                          <a:prstGeom prst="rect">
                            <a:avLst/>
                          </a:prstGeom>
                          <a:noFill/>
                          <a:ln>
                            <a:noFill/>
                          </a:ln>
                        </pic:spPr>
                      </pic:pic>
                    </a:graphicData>
                  </a:graphic>
                </wp:inline>
              </w:drawing>
            </w:r>
          </w:p>
        </w:tc>
        <w:tc>
          <w:tcPr>
            <w:tcW w:w="3413"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eastAsia="楷体_GB2312"/>
                <w:u w:val="none"/>
                <w:vertAlign w:val="baseline"/>
                <w:lang w:eastAsia="zh-CN"/>
              </w:rPr>
            </w:pPr>
            <w:r>
              <w:rPr>
                <w:rFonts w:hint="eastAsia" w:eastAsia="楷体_GB2312"/>
                <w:u w:val="none"/>
                <w:vertAlign w:val="baseline"/>
                <w:lang w:eastAsia="zh-CN"/>
              </w:rPr>
              <w:drawing>
                <wp:inline distT="0" distB="0" distL="114300" distR="114300">
                  <wp:extent cx="2028825" cy="3606800"/>
                  <wp:effectExtent l="0" t="0" r="9525" b="12700"/>
                  <wp:docPr id="70" name="图片 55" descr="d6c98049ed63be1f957037e2386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5" descr="d6c98049ed63be1f957037e23865193"/>
                          <pic:cNvPicPr>
                            <a:picLocks noChangeAspect="1"/>
                          </pic:cNvPicPr>
                        </pic:nvPicPr>
                        <pic:blipFill>
                          <a:blip r:embed="rId68"/>
                          <a:stretch>
                            <a:fillRect/>
                          </a:stretch>
                        </pic:blipFill>
                        <pic:spPr>
                          <a:xfrm>
                            <a:off x="0" y="0"/>
                            <a:ext cx="2028825" cy="3606800"/>
                          </a:xfrm>
                          <a:prstGeom prst="rect">
                            <a:avLst/>
                          </a:prstGeom>
                          <a:noFill/>
                          <a:ln>
                            <a:noFill/>
                          </a:ln>
                        </pic:spPr>
                      </pic:pic>
                    </a:graphicData>
                  </a:graphic>
                </wp:inline>
              </w:drawing>
            </w:r>
          </w:p>
        </w:tc>
        <w:tc>
          <w:tcPr>
            <w:tcW w:w="3414"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eastAsia="楷体_GB2312"/>
                <w:u w:val="none"/>
                <w:vertAlign w:val="baseline"/>
                <w:lang w:eastAsia="zh-CN"/>
              </w:rPr>
            </w:pPr>
            <w:r>
              <w:rPr>
                <w:rFonts w:hint="eastAsia" w:eastAsia="楷体_GB2312"/>
                <w:u w:val="none"/>
                <w:vertAlign w:val="baseline"/>
                <w:lang w:eastAsia="zh-CN"/>
              </w:rPr>
              <w:drawing>
                <wp:inline distT="0" distB="0" distL="114300" distR="114300">
                  <wp:extent cx="2028825" cy="3606800"/>
                  <wp:effectExtent l="0" t="0" r="9525" b="12700"/>
                  <wp:docPr id="71" name="图片 72" descr="b9f434f78c9191242e022f4261d8823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2" descr="b9f434f78c9191242e022f4261d8823d_"/>
                          <pic:cNvPicPr>
                            <a:picLocks noChangeAspect="1"/>
                          </pic:cNvPicPr>
                        </pic:nvPicPr>
                        <pic:blipFill>
                          <a:blip r:embed="rId69"/>
                          <a:stretch>
                            <a:fillRect/>
                          </a:stretch>
                        </pic:blipFill>
                        <pic:spPr>
                          <a:xfrm>
                            <a:off x="0" y="0"/>
                            <a:ext cx="2028825" cy="3606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3"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eastAsia="楷体_GB2312"/>
                <w:color w:val="0000FF"/>
                <w:u w:val="none"/>
                <w:vertAlign w:val="baseline"/>
                <w:lang w:val="en-US" w:eastAsia="zh-CN"/>
              </w:rPr>
            </w:pPr>
            <w:r>
              <w:rPr>
                <w:rFonts w:hint="eastAsia"/>
                <w:color w:val="0000FF"/>
                <w:u w:val="none"/>
                <w:vertAlign w:val="baseline"/>
                <w:lang w:val="en-US" w:eastAsia="zh-CN"/>
              </w:rPr>
              <w:t>危废暂存间</w:t>
            </w:r>
          </w:p>
        </w:tc>
        <w:tc>
          <w:tcPr>
            <w:tcW w:w="6825" w:type="dxa"/>
            <w:gridSpan w:val="2"/>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0000FF"/>
                <w:u w:val="none"/>
                <w:vertAlign w:val="baseline"/>
                <w:lang w:val="en-US" w:eastAsia="zh-CN"/>
              </w:rPr>
            </w:pPr>
            <w:r>
              <w:rPr>
                <w:rFonts w:hint="eastAsia"/>
                <w:color w:val="0000FF"/>
                <w:u w:val="none"/>
                <w:vertAlign w:val="baseline"/>
                <w:lang w:val="en-US" w:eastAsia="zh-CN"/>
              </w:rPr>
              <w:t>化粪池</w:t>
            </w:r>
          </w:p>
        </w:tc>
        <w:tc>
          <w:tcPr>
            <w:tcW w:w="3414" w:type="dxa"/>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olor w:val="0000FF"/>
                <w:u w:val="none"/>
                <w:vertAlign w:val="baseline"/>
                <w:lang w:val="en-US" w:eastAsia="zh-CN"/>
              </w:rPr>
            </w:pPr>
            <w:r>
              <w:rPr>
                <w:rFonts w:hint="eastAsia"/>
                <w:color w:val="0000FF"/>
                <w:u w:val="none"/>
                <w:vertAlign w:val="baseline"/>
                <w:lang w:val="en-US" w:eastAsia="zh-CN"/>
              </w:rPr>
              <w:t>雨水排口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gridSpan w:val="4"/>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0000FF"/>
                <w:u w:val="none"/>
                <w:vertAlign w:val="baseline"/>
                <w:lang w:val="en-US" w:eastAsia="zh-CN"/>
              </w:rPr>
            </w:pPr>
            <w:r>
              <w:rPr>
                <w:rFonts w:hint="eastAsia"/>
                <w:color w:val="0000FF"/>
                <w:u w:val="none"/>
                <w:vertAlign w:val="baseline"/>
                <w:lang w:val="en-US" w:eastAsia="zh-CN"/>
              </w:rPr>
              <w:drawing>
                <wp:inline distT="0" distB="0" distL="114300" distR="114300">
                  <wp:extent cx="6548755" cy="4912360"/>
                  <wp:effectExtent l="0" t="0" r="4445" b="2540"/>
                  <wp:docPr id="72" name="图片 60" descr="8ddd134eae0752c8fa73a66d96f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0" descr="8ddd134eae0752c8fa73a66d96f6317"/>
                          <pic:cNvPicPr>
                            <a:picLocks noChangeAspect="1"/>
                          </pic:cNvPicPr>
                        </pic:nvPicPr>
                        <pic:blipFill>
                          <a:blip r:embed="rId70"/>
                          <a:stretch>
                            <a:fillRect/>
                          </a:stretch>
                        </pic:blipFill>
                        <pic:spPr>
                          <a:xfrm>
                            <a:off x="0" y="0"/>
                            <a:ext cx="6548755" cy="49123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gridSpan w:val="4"/>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olor w:val="0000FF"/>
                <w:u w:val="none"/>
                <w:vertAlign w:val="baseline"/>
                <w:lang w:val="en-US" w:eastAsia="zh-CN"/>
              </w:rPr>
            </w:pPr>
            <w:r>
              <w:rPr>
                <w:rFonts w:hint="default"/>
                <w:color w:val="0000FF"/>
                <w:u w:val="none"/>
                <w:vertAlign w:val="baseline"/>
                <w:lang w:val="en-US" w:eastAsia="zh-CN"/>
              </w:rPr>
              <w:drawing>
                <wp:inline distT="0" distB="0" distL="114300" distR="114300">
                  <wp:extent cx="5078095" cy="5088255"/>
                  <wp:effectExtent l="0" t="0" r="8255" b="17145"/>
                  <wp:docPr id="73" name="图片 65" descr="6f5a77b7c2ad62dea7dcdfeeac14f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5" descr="6f5a77b7c2ad62dea7dcdfeeac14f96"/>
                          <pic:cNvPicPr>
                            <a:picLocks noChangeAspect="1"/>
                          </pic:cNvPicPr>
                        </pic:nvPicPr>
                        <pic:blipFill>
                          <a:blip r:embed="rId71"/>
                          <a:stretch>
                            <a:fillRect/>
                          </a:stretch>
                        </pic:blipFill>
                        <pic:spPr>
                          <a:xfrm>
                            <a:off x="0" y="0"/>
                            <a:ext cx="5078095" cy="50882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gridSpan w:val="4"/>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0000FF"/>
                <w:u w:val="none"/>
                <w:vertAlign w:val="baseline"/>
                <w:lang w:val="en-US" w:eastAsia="zh-CN"/>
              </w:rPr>
            </w:pPr>
            <w:r>
              <w:rPr>
                <w:rFonts w:hint="eastAsia"/>
                <w:color w:val="0000FF"/>
                <w:u w:val="none"/>
                <w:vertAlign w:val="baseline"/>
                <w:lang w:val="en-US" w:eastAsia="zh-CN"/>
              </w:rPr>
              <w:t>加油站全貌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gridSpan w:val="4"/>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0000FF"/>
                <w:u w:val="none"/>
                <w:vertAlign w:val="baseline"/>
                <w:lang w:val="en-US" w:eastAsia="zh-CN"/>
              </w:rPr>
            </w:pPr>
            <w:r>
              <w:rPr>
                <w:rFonts w:hint="eastAsia"/>
                <w:color w:val="0000FF"/>
                <w:u w:val="none"/>
                <w:vertAlign w:val="baseline"/>
                <w:lang w:val="en-US" w:eastAsia="zh-CN"/>
              </w:rPr>
              <w:drawing>
                <wp:inline distT="0" distB="0" distL="114300" distR="114300">
                  <wp:extent cx="6650355" cy="4987925"/>
                  <wp:effectExtent l="0" t="0" r="4445" b="3175"/>
                  <wp:docPr id="84" name="图片 84" descr="b7d0490135eef2116e7740ea6fa3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b7d0490135eef2116e7740ea6fa318b"/>
                          <pic:cNvPicPr>
                            <a:picLocks noChangeAspect="1"/>
                          </pic:cNvPicPr>
                        </pic:nvPicPr>
                        <pic:blipFill>
                          <a:blip r:embed="rId72"/>
                          <a:stretch>
                            <a:fillRect/>
                          </a:stretch>
                        </pic:blipFill>
                        <pic:spPr>
                          <a:xfrm>
                            <a:off x="0" y="0"/>
                            <a:ext cx="6650355" cy="4987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gridSpan w:val="4"/>
            <w:noWrap w:val="0"/>
            <w:vAlign w:val="center"/>
          </w:tcPr>
          <w:p>
            <w:pPr>
              <w:pStyle w:val="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olor w:val="0000FF"/>
                <w:u w:val="none"/>
                <w:vertAlign w:val="baseline"/>
                <w:lang w:val="en-US" w:eastAsia="zh-CN"/>
              </w:rPr>
            </w:pPr>
            <w:r>
              <w:rPr>
                <w:rFonts w:hint="eastAsia"/>
                <w:color w:val="0000FF"/>
                <w:u w:val="none"/>
                <w:vertAlign w:val="baseline"/>
                <w:lang w:val="en-US" w:eastAsia="zh-CN"/>
              </w:rPr>
              <w:t>环评工程师现场踏勘照片</w:t>
            </w:r>
          </w:p>
        </w:tc>
      </w:tr>
    </w:tbl>
    <w:p>
      <w:pPr>
        <w:pStyle w:val="2"/>
        <w:ind w:left="0" w:leftChars="0" w:firstLine="0" w:firstLineChars="0"/>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spacing w:line="360" w:lineRule="auto"/>
        <w:rPr>
          <w:rFonts w:hint="eastAsia" w:eastAsia="宋体"/>
          <w:spacing w:val="4"/>
          <w:sz w:val="24"/>
          <w:lang w:eastAsia="zh-CN"/>
        </w:rPr>
      </w:pPr>
      <w:r>
        <w:rPr>
          <w:rFonts w:hint="eastAsia" w:eastAsia="宋体"/>
          <w:spacing w:val="4"/>
          <w:sz w:val="24"/>
          <w:lang w:eastAsia="zh-CN"/>
        </w:rPr>
        <w:drawing>
          <wp:inline distT="0" distB="0" distL="114300" distR="114300">
            <wp:extent cx="5727700" cy="8103235"/>
            <wp:effectExtent l="0" t="0" r="6350" b="12065"/>
            <wp:docPr id="74" name="图片 57" descr="20231103072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7" descr="202311030727_01"/>
                    <pic:cNvPicPr>
                      <a:picLocks noChangeAspect="1"/>
                    </pic:cNvPicPr>
                  </pic:nvPicPr>
                  <pic:blipFill>
                    <a:blip r:embed="rId73"/>
                    <a:stretch>
                      <a:fillRect/>
                    </a:stretch>
                  </pic:blipFill>
                  <pic:spPr>
                    <a:xfrm>
                      <a:off x="0" y="0"/>
                      <a:ext cx="5727700" cy="8103235"/>
                    </a:xfrm>
                    <a:prstGeom prst="rect">
                      <a:avLst/>
                    </a:prstGeom>
                    <a:noFill/>
                    <a:ln>
                      <a:noFill/>
                    </a:ln>
                  </pic:spPr>
                </pic:pic>
              </a:graphicData>
            </a:graphic>
          </wp:inline>
        </w:drawing>
      </w:r>
    </w:p>
    <w:p>
      <w:pPr>
        <w:spacing w:line="360" w:lineRule="auto"/>
        <w:rPr>
          <w:rFonts w:hint="eastAsia" w:eastAsia="宋体"/>
          <w:spacing w:val="4"/>
          <w:sz w:val="24"/>
          <w:lang w:eastAsia="zh-CN"/>
        </w:rPr>
      </w:pPr>
      <w:r>
        <w:rPr>
          <w:rFonts w:hint="eastAsia" w:eastAsia="宋体"/>
          <w:spacing w:val="4"/>
          <w:sz w:val="24"/>
          <w:lang w:eastAsia="zh-CN"/>
        </w:rPr>
        <w:drawing>
          <wp:inline distT="0" distB="0" distL="114300" distR="114300">
            <wp:extent cx="5727700" cy="8103235"/>
            <wp:effectExtent l="0" t="0" r="6350" b="12065"/>
            <wp:docPr id="75" name="图片 58" descr="20231103072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8" descr="202311030727_00"/>
                    <pic:cNvPicPr>
                      <a:picLocks noChangeAspect="1"/>
                    </pic:cNvPicPr>
                  </pic:nvPicPr>
                  <pic:blipFill>
                    <a:blip r:embed="rId74"/>
                    <a:stretch>
                      <a:fillRect/>
                    </a:stretch>
                  </pic:blipFill>
                  <pic:spPr>
                    <a:xfrm>
                      <a:off x="0" y="0"/>
                      <a:ext cx="5727700" cy="8103235"/>
                    </a:xfrm>
                    <a:prstGeom prst="rect">
                      <a:avLst/>
                    </a:prstGeom>
                    <a:noFill/>
                    <a:ln>
                      <a:noFill/>
                    </a:ln>
                  </pic:spPr>
                </pic:pic>
              </a:graphicData>
            </a:graphic>
          </wp:inline>
        </w:drawing>
      </w:r>
    </w:p>
    <w:p>
      <w:pPr>
        <w:spacing w:line="360" w:lineRule="auto"/>
        <w:rPr>
          <w:rFonts w:hint="eastAsia" w:eastAsia="宋体"/>
          <w:spacing w:val="4"/>
          <w:sz w:val="24"/>
          <w:lang w:eastAsia="zh-CN"/>
        </w:rPr>
      </w:pPr>
    </w:p>
    <w:p>
      <w:pPr>
        <w:sectPr>
          <w:headerReference r:id="rId8" w:type="default"/>
          <w:pgSz w:w="11906" w:h="16838"/>
          <w:pgMar w:top="1440" w:right="1440" w:bottom="1440"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2"/>
        <w:ind w:left="0" w:leftChars="0" w:firstLine="0" w:firstLineChars="0"/>
        <w:rPr>
          <w:rFonts w:hint="eastAsia" w:eastAsia="楷体_GB2312"/>
          <w:lang w:eastAsia="zh-CN"/>
        </w:rPr>
      </w:pPr>
      <w:r>
        <w:rPr>
          <w:rFonts w:hint="eastAsia" w:eastAsia="楷体_GB2312"/>
          <w:lang w:eastAsia="zh-CN"/>
        </w:rPr>
        <w:drawing>
          <wp:inline distT="0" distB="0" distL="114300" distR="114300">
            <wp:extent cx="6146800" cy="8978900"/>
            <wp:effectExtent l="0" t="0" r="12700" b="6350"/>
            <wp:docPr id="76" name="图片 52" descr="6b5d602f6158784589b8a76ff822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2" descr="6b5d602f6158784589b8a76ff82255d"/>
                    <pic:cNvPicPr>
                      <a:picLocks noChangeAspect="1"/>
                    </pic:cNvPicPr>
                  </pic:nvPicPr>
                  <pic:blipFill>
                    <a:blip r:embed="rId75"/>
                    <a:stretch>
                      <a:fillRect/>
                    </a:stretch>
                  </pic:blipFill>
                  <pic:spPr>
                    <a:xfrm rot="-5400000">
                      <a:off x="0" y="0"/>
                      <a:ext cx="6146800" cy="8978900"/>
                    </a:xfrm>
                    <a:prstGeom prst="rect">
                      <a:avLst/>
                    </a:prstGeom>
                    <a:noFill/>
                    <a:ln>
                      <a:noFill/>
                    </a:ln>
                  </pic:spPr>
                </pic:pic>
              </a:graphicData>
            </a:graphic>
          </wp:inline>
        </w:drawing>
      </w:r>
    </w:p>
    <w:sectPr>
      <w:pgSz w:w="16838" w:h="11906" w:orient="landscape"/>
      <w:pgMar w:top="1440" w:right="1440" w:bottom="1440" w:left="144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484EA322-3E91-49E4-8281-D0A4CE1911DE}"/>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05B66EDC-6E5C-45D1-A6F6-2675F20053A1}"/>
  </w:font>
  <w:font w:name="仿宋_GB2312">
    <w:altName w:val="仿宋"/>
    <w:panose1 w:val="00000000000000000000"/>
    <w:charset w:val="86"/>
    <w:family w:val="modern"/>
    <w:pitch w:val="default"/>
    <w:sig w:usb0="00000000" w:usb1="00000000" w:usb2="00000010" w:usb3="00000000" w:csb0="00040000" w:csb1="00000000"/>
    <w:embedRegular r:id="rId3" w:fontKey="{4F4BAAE2-92CC-4348-AEC5-C5F75FE219C8}"/>
  </w:font>
  <w:font w:name="楷体_GB2312">
    <w:altName w:val="楷体"/>
    <w:panose1 w:val="02010609030101010101"/>
    <w:charset w:val="86"/>
    <w:family w:val="modern"/>
    <w:pitch w:val="default"/>
    <w:sig w:usb0="00000000" w:usb1="00000000" w:usb2="00000010" w:usb3="00000000" w:csb0="00040000" w:csb1="00000000"/>
    <w:embedRegular r:id="rId4" w:fontKey="{F3F0BCD7-DDE2-4F8C-A769-2611163417D6}"/>
  </w:font>
  <w:font w:name="新宋体-18030">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embedRegular r:id="rId5" w:fontKey="{51C0AA46-DC70-4E6C-879A-DF8340848560}"/>
  </w:font>
  <w:font w:name="ArialMT">
    <w:altName w:val="Times New Roman"/>
    <w:panose1 w:val="00000000000000000000"/>
    <w:charset w:val="00"/>
    <w:family w:val="roman"/>
    <w:pitch w:val="default"/>
    <w:sig w:usb0="00000000" w:usb1="00000000" w:usb2="00000000" w:usb3="00000000" w:csb0="00040001" w:csb1="00000000"/>
  </w:font>
  <w:font w:name="新宋体">
    <w:panose1 w:val="02010609030101010101"/>
    <w:charset w:val="86"/>
    <w:family w:val="modern"/>
    <w:pitch w:val="default"/>
    <w:sig w:usb0="00000203" w:usb1="288F0000" w:usb2="00000006" w:usb3="00000000" w:csb0="00040001" w:csb1="00000000"/>
  </w:font>
  <w:font w:name="方正小标宋_GBK">
    <w:panose1 w:val="02000000000000000000"/>
    <w:charset w:val="86"/>
    <w:family w:val="roman"/>
    <w:pitch w:val="default"/>
    <w:sig w:usb0="A00002BF" w:usb1="38CF7CFA" w:usb2="00082016" w:usb3="00000000" w:csb0="00040001" w:csb1="00000000"/>
    <w:embedRegular r:id="rId6" w:fontKey="{0A7B92F3-F536-4007-9031-D3785B94EC48}"/>
  </w:font>
  <w:font w:name="华文仿宋">
    <w:panose1 w:val="02010600040101010101"/>
    <w:charset w:val="86"/>
    <w:family w:val="auto"/>
    <w:pitch w:val="default"/>
    <w:sig w:usb0="00000287" w:usb1="080F0000" w:usb2="00000000" w:usb3="00000000" w:csb0="0004009F" w:csb1="DFD70000"/>
    <w:embedRegular r:id="rId7" w:fontKey="{7C113328-402D-4191-AE0B-53C5AE914F76}"/>
  </w:font>
  <w:font w:name="楷体">
    <w:panose1 w:val="02010609060101010101"/>
    <w:charset w:val="86"/>
    <w:family w:val="modern"/>
    <w:pitch w:val="default"/>
    <w:sig w:usb0="800002BF" w:usb1="38CF7CFA" w:usb2="00000016" w:usb3="00000000" w:csb0="00040001" w:csb1="00000000"/>
    <w:embedRegular r:id="rId8" w:fontKey="{A0493297-D020-4A6A-9DC7-649B3E4AD79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yUkHezAEAAJ0DAAAOAAAAAAAAAAEAIAAAAB4BAABkcnMvZTJv&#10;RG9jLnhtbFBLBQYAAAAABgAGAFkBAABc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50825" cy="131445"/>
              <wp:effectExtent l="0" t="0" r="0" b="0"/>
              <wp:wrapNone/>
              <wp:docPr id="78" name="文本框 1031"/>
              <wp:cNvGraphicFramePr/>
              <a:graphic xmlns:a="http://schemas.openxmlformats.org/drawingml/2006/main">
                <a:graphicData uri="http://schemas.microsoft.com/office/word/2010/wordprocessingShape">
                  <wps:wsp>
                    <wps:cNvSpPr txBox="1"/>
                    <wps:spPr>
                      <a:xfrm>
                        <a:off x="0" y="0"/>
                        <a:ext cx="250825" cy="131445"/>
                      </a:xfrm>
                      <a:prstGeom prst="rect">
                        <a:avLst/>
                      </a:prstGeom>
                      <a:noFill/>
                      <a:ln>
                        <a:noFill/>
                      </a:ln>
                    </wps:spPr>
                    <wps:txbx>
                      <w:txbxContent>
                        <w:p>
                          <w:pPr>
                            <w:pStyle w:val="15"/>
                          </w:pPr>
                          <w:r>
                            <w:fldChar w:fldCharType="begin"/>
                          </w:r>
                          <w:r>
                            <w:instrText xml:space="preserve"> PAGE  \* MERGEFORMAT </w:instrText>
                          </w:r>
                          <w:r>
                            <w:fldChar w:fldCharType="separate"/>
                          </w:r>
                          <w:r>
                            <w:t>2</w:t>
                          </w:r>
                          <w:r>
                            <w:fldChar w:fldCharType="end"/>
                          </w:r>
                        </w:p>
                      </w:txbxContent>
                    </wps:txbx>
                    <wps:bodyPr wrap="square" lIns="0" tIns="0" rIns="0" bIns="0" upright="0">
                      <a:spAutoFit/>
                    </wps:bodyPr>
                  </wps:wsp>
                </a:graphicData>
              </a:graphic>
            </wp:anchor>
          </w:drawing>
        </mc:Choice>
        <mc:Fallback>
          <w:pict>
            <v:shape id="文本框 1031" o:spid="_x0000_s1026" o:spt="202" type="#_x0000_t202" style="position:absolute;left:0pt;margin-top:0pt;height:10.35pt;width:19.75pt;mso-position-horizontal:center;mso-position-horizontal-relative:margin;z-index:251660288;mso-width-relative:page;mso-height-relative:page;" filled="f" stroked="f" coordsize="21600,21600" o:gfxdata="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&#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gG86PSAAAAAwEAAA8AAAAAAAAAAQAgAAAAIgAAAGRy&#10;cy9kb3ducmV2LnhtbFBLAQIUABQAAAAIAIdO4kDMXwbv0gEAAJ0DAAAOAAAAAAAAAAEAIAAAACEB&#10;AABkcnMvZTJvRG9jLnhtbFBLBQYAAAAABgAGAFkBAABl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62</w:t>
                          </w:r>
                          <w:r>
                            <w:fldChar w:fldCharType="end"/>
                          </w:r>
                        </w:p>
                      </w:txbxContent>
                    </wps:txbx>
                    <wps:bodyPr wrap="none" lIns="0" tIns="0" rIns="0" bIns="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FczodzLAQAAnQMAAA4AAAAAAAAAAQAgAAAAHgEAAGRycy9lMm9E&#10;b2MueG1sUEsFBgAAAAAGAAYAWQEAAFsFA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62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0A4034"/>
    <w:multiLevelType w:val="singleLevel"/>
    <w:tmpl w:val="920A4034"/>
    <w:lvl w:ilvl="0" w:tentative="0">
      <w:start w:val="1"/>
      <w:numFmt w:val="lowerLetter"/>
      <w:suff w:val="space"/>
      <w:lvlText w:val="%1)"/>
      <w:lvlJc w:val="left"/>
    </w:lvl>
  </w:abstractNum>
  <w:abstractNum w:abstractNumId="1">
    <w:nsid w:val="A67CFB29"/>
    <w:multiLevelType w:val="singleLevel"/>
    <w:tmpl w:val="A67CFB29"/>
    <w:lvl w:ilvl="0" w:tentative="0">
      <w:start w:val="1"/>
      <w:numFmt w:val="upperLetter"/>
      <w:suff w:val="nothing"/>
      <w:lvlText w:val="%1、"/>
      <w:lvlJc w:val="left"/>
    </w:lvl>
  </w:abstractNum>
  <w:abstractNum w:abstractNumId="2">
    <w:nsid w:val="BDF56546"/>
    <w:multiLevelType w:val="singleLevel"/>
    <w:tmpl w:val="BDF56546"/>
    <w:lvl w:ilvl="0" w:tentative="0">
      <w:start w:val="1"/>
      <w:numFmt w:val="upperLetter"/>
      <w:suff w:val="nothing"/>
      <w:lvlText w:val="%1、"/>
      <w:lvlJc w:val="left"/>
    </w:lvl>
  </w:abstractNum>
  <w:abstractNum w:abstractNumId="3">
    <w:nsid w:val="BF2FAA11"/>
    <w:multiLevelType w:val="singleLevel"/>
    <w:tmpl w:val="BF2FAA11"/>
    <w:lvl w:ilvl="0" w:tentative="0">
      <w:start w:val="1"/>
      <w:numFmt w:val="decimal"/>
      <w:suff w:val="nothing"/>
      <w:lvlText w:val="%1、"/>
      <w:lvlJc w:val="left"/>
    </w:lvl>
  </w:abstractNum>
  <w:abstractNum w:abstractNumId="4">
    <w:nsid w:val="C0CA23A5"/>
    <w:multiLevelType w:val="singleLevel"/>
    <w:tmpl w:val="C0CA23A5"/>
    <w:lvl w:ilvl="0" w:tentative="0">
      <w:start w:val="1"/>
      <w:numFmt w:val="decimal"/>
      <w:suff w:val="nothing"/>
      <w:lvlText w:val="（%1）"/>
      <w:lvlJc w:val="left"/>
    </w:lvl>
  </w:abstractNum>
  <w:abstractNum w:abstractNumId="5">
    <w:nsid w:val="D0551700"/>
    <w:multiLevelType w:val="singleLevel"/>
    <w:tmpl w:val="D0551700"/>
    <w:lvl w:ilvl="0" w:tentative="0">
      <w:start w:val="1"/>
      <w:numFmt w:val="upperLetter"/>
      <w:suff w:val="nothing"/>
      <w:lvlText w:val="%1、"/>
      <w:lvlJc w:val="left"/>
    </w:lvl>
  </w:abstractNum>
  <w:abstractNum w:abstractNumId="6">
    <w:nsid w:val="10111F7F"/>
    <w:multiLevelType w:val="singleLevel"/>
    <w:tmpl w:val="10111F7F"/>
    <w:lvl w:ilvl="0" w:tentative="0">
      <w:start w:val="1"/>
      <w:numFmt w:val="upperLetter"/>
      <w:suff w:val="nothing"/>
      <w:lvlText w:val="%1、"/>
      <w:lvlJc w:val="left"/>
    </w:lvl>
  </w:abstractNum>
  <w:abstractNum w:abstractNumId="7">
    <w:nsid w:val="231D0159"/>
    <w:multiLevelType w:val="singleLevel"/>
    <w:tmpl w:val="231D0159"/>
    <w:lvl w:ilvl="0" w:tentative="0">
      <w:start w:val="2"/>
      <w:numFmt w:val="decimal"/>
      <w:suff w:val="nothing"/>
      <w:lvlText w:val="（%1）"/>
      <w:lvlJc w:val="left"/>
    </w:lvl>
  </w:abstractNum>
  <w:abstractNum w:abstractNumId="8">
    <w:nsid w:val="4FD3F777"/>
    <w:multiLevelType w:val="singleLevel"/>
    <w:tmpl w:val="4FD3F777"/>
    <w:lvl w:ilvl="0" w:tentative="0">
      <w:start w:val="1"/>
      <w:numFmt w:val="upperLetter"/>
      <w:suff w:val="nothing"/>
      <w:lvlText w:val="%1、"/>
      <w:lvlJc w:val="left"/>
    </w:lvl>
  </w:abstractNum>
  <w:num w:numId="1">
    <w:abstractNumId w:val="0"/>
  </w:num>
  <w:num w:numId="2">
    <w:abstractNumId w:val="3"/>
  </w:num>
  <w:num w:numId="3">
    <w:abstractNumId w:val="4"/>
  </w:num>
  <w:num w:numId="4">
    <w:abstractNumId w:val="7"/>
  </w:num>
  <w:num w:numId="5">
    <w:abstractNumId w:val="5"/>
  </w:num>
  <w:num w:numId="6">
    <w:abstractNumId w:val="2"/>
  </w:num>
  <w:num w:numId="7">
    <w:abstractNumId w:val="6"/>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A4MDEwOGExMzU5MmE5NDk0MTcwNjBlN2VjYjg4YTkifQ=="/>
  </w:docVars>
  <w:rsids>
    <w:rsidRoot w:val="00A14947"/>
    <w:rsid w:val="000060B3"/>
    <w:rsid w:val="000313EB"/>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422DB"/>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A750A"/>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2FA6"/>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1A54"/>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06C0A"/>
    <w:rsid w:val="00D109CB"/>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114E"/>
    <w:rsid w:val="00F74345"/>
    <w:rsid w:val="00F80A0A"/>
    <w:rsid w:val="00F82B19"/>
    <w:rsid w:val="00F9212D"/>
    <w:rsid w:val="00F965DA"/>
    <w:rsid w:val="00FA406A"/>
    <w:rsid w:val="00FB503A"/>
    <w:rsid w:val="00FB516C"/>
    <w:rsid w:val="00FD0236"/>
    <w:rsid w:val="00FD18F4"/>
    <w:rsid w:val="00FD54DB"/>
    <w:rsid w:val="00FD619F"/>
    <w:rsid w:val="0123234C"/>
    <w:rsid w:val="01290F7E"/>
    <w:rsid w:val="015D1E09"/>
    <w:rsid w:val="016838A9"/>
    <w:rsid w:val="016C7893"/>
    <w:rsid w:val="022E0BC8"/>
    <w:rsid w:val="02697903"/>
    <w:rsid w:val="02F96569"/>
    <w:rsid w:val="03EA7B21"/>
    <w:rsid w:val="049333CB"/>
    <w:rsid w:val="04B26FDB"/>
    <w:rsid w:val="04EF7EBB"/>
    <w:rsid w:val="050D45A4"/>
    <w:rsid w:val="058621EE"/>
    <w:rsid w:val="05932912"/>
    <w:rsid w:val="05F83EAE"/>
    <w:rsid w:val="063E7D85"/>
    <w:rsid w:val="07293586"/>
    <w:rsid w:val="07295285"/>
    <w:rsid w:val="0753231F"/>
    <w:rsid w:val="07636392"/>
    <w:rsid w:val="07770C56"/>
    <w:rsid w:val="07F11433"/>
    <w:rsid w:val="0803056A"/>
    <w:rsid w:val="080E251D"/>
    <w:rsid w:val="08365E74"/>
    <w:rsid w:val="092217DD"/>
    <w:rsid w:val="093A7294"/>
    <w:rsid w:val="0A263993"/>
    <w:rsid w:val="0A2D3AC2"/>
    <w:rsid w:val="0AA755DF"/>
    <w:rsid w:val="0AC36C1F"/>
    <w:rsid w:val="0B120D44"/>
    <w:rsid w:val="0BD27BF6"/>
    <w:rsid w:val="0C3B3C7D"/>
    <w:rsid w:val="0CAB2EAE"/>
    <w:rsid w:val="0CBF7BBF"/>
    <w:rsid w:val="0D316219"/>
    <w:rsid w:val="0D621C7D"/>
    <w:rsid w:val="0E73034D"/>
    <w:rsid w:val="0E9D7A6D"/>
    <w:rsid w:val="0F13775A"/>
    <w:rsid w:val="0F5F45FE"/>
    <w:rsid w:val="0F9A112B"/>
    <w:rsid w:val="106D2F64"/>
    <w:rsid w:val="10B63710"/>
    <w:rsid w:val="10F10820"/>
    <w:rsid w:val="111C2F7A"/>
    <w:rsid w:val="114B43D0"/>
    <w:rsid w:val="11665CA1"/>
    <w:rsid w:val="11A5116A"/>
    <w:rsid w:val="127C5721"/>
    <w:rsid w:val="13755690"/>
    <w:rsid w:val="13951726"/>
    <w:rsid w:val="13AD536B"/>
    <w:rsid w:val="14396509"/>
    <w:rsid w:val="145D5543"/>
    <w:rsid w:val="14DD2C3C"/>
    <w:rsid w:val="15886BFE"/>
    <w:rsid w:val="15937361"/>
    <w:rsid w:val="15C63490"/>
    <w:rsid w:val="16087E1D"/>
    <w:rsid w:val="16123859"/>
    <w:rsid w:val="16DC2A22"/>
    <w:rsid w:val="171F33FC"/>
    <w:rsid w:val="17701D14"/>
    <w:rsid w:val="17735226"/>
    <w:rsid w:val="17D00FC8"/>
    <w:rsid w:val="1803743F"/>
    <w:rsid w:val="184B3608"/>
    <w:rsid w:val="189F624C"/>
    <w:rsid w:val="19276AFB"/>
    <w:rsid w:val="19B07253"/>
    <w:rsid w:val="1A1C66C0"/>
    <w:rsid w:val="1A281C56"/>
    <w:rsid w:val="1A42393B"/>
    <w:rsid w:val="1AAD45DE"/>
    <w:rsid w:val="1B046F80"/>
    <w:rsid w:val="1B3267B5"/>
    <w:rsid w:val="1B40161D"/>
    <w:rsid w:val="1B441859"/>
    <w:rsid w:val="1B6606B1"/>
    <w:rsid w:val="1C261084"/>
    <w:rsid w:val="1C5E7925"/>
    <w:rsid w:val="1CFD070F"/>
    <w:rsid w:val="1D5F6196"/>
    <w:rsid w:val="1D6132A5"/>
    <w:rsid w:val="1D8E56D5"/>
    <w:rsid w:val="1E4652F2"/>
    <w:rsid w:val="1E7A43DA"/>
    <w:rsid w:val="1F79582C"/>
    <w:rsid w:val="1FE7539E"/>
    <w:rsid w:val="1FF54D1C"/>
    <w:rsid w:val="201113E5"/>
    <w:rsid w:val="203E7B55"/>
    <w:rsid w:val="20671BE0"/>
    <w:rsid w:val="20963CB8"/>
    <w:rsid w:val="20A81A1B"/>
    <w:rsid w:val="20B07FB6"/>
    <w:rsid w:val="20B646FB"/>
    <w:rsid w:val="213B74B1"/>
    <w:rsid w:val="215A2310"/>
    <w:rsid w:val="2161348D"/>
    <w:rsid w:val="21635422"/>
    <w:rsid w:val="21DE318A"/>
    <w:rsid w:val="21EF5B80"/>
    <w:rsid w:val="22576990"/>
    <w:rsid w:val="22F47480"/>
    <w:rsid w:val="234314B4"/>
    <w:rsid w:val="23926CD7"/>
    <w:rsid w:val="23DE1C48"/>
    <w:rsid w:val="240210CD"/>
    <w:rsid w:val="242B1D15"/>
    <w:rsid w:val="249457C3"/>
    <w:rsid w:val="24BF09F7"/>
    <w:rsid w:val="252D53FE"/>
    <w:rsid w:val="25D0767B"/>
    <w:rsid w:val="25EC2D81"/>
    <w:rsid w:val="26017E16"/>
    <w:rsid w:val="262C1454"/>
    <w:rsid w:val="277057A2"/>
    <w:rsid w:val="2829733C"/>
    <w:rsid w:val="29206EB8"/>
    <w:rsid w:val="29595666"/>
    <w:rsid w:val="29874881"/>
    <w:rsid w:val="29AA63E6"/>
    <w:rsid w:val="29E325E0"/>
    <w:rsid w:val="2A237791"/>
    <w:rsid w:val="2A452503"/>
    <w:rsid w:val="2BA936A8"/>
    <w:rsid w:val="2C315A5A"/>
    <w:rsid w:val="2C3542CD"/>
    <w:rsid w:val="2C4B1C25"/>
    <w:rsid w:val="2CDA1971"/>
    <w:rsid w:val="2D9E56F5"/>
    <w:rsid w:val="2E616B05"/>
    <w:rsid w:val="2E667F96"/>
    <w:rsid w:val="2E8226AB"/>
    <w:rsid w:val="2ECC3874"/>
    <w:rsid w:val="2FD065E6"/>
    <w:rsid w:val="2FD96870"/>
    <w:rsid w:val="30580BC9"/>
    <w:rsid w:val="311E2ED7"/>
    <w:rsid w:val="315619EE"/>
    <w:rsid w:val="315C449C"/>
    <w:rsid w:val="319B0ACF"/>
    <w:rsid w:val="31B82709"/>
    <w:rsid w:val="31D05482"/>
    <w:rsid w:val="32400B34"/>
    <w:rsid w:val="329E6876"/>
    <w:rsid w:val="333015F2"/>
    <w:rsid w:val="334B6320"/>
    <w:rsid w:val="33D934D4"/>
    <w:rsid w:val="33FE2F6A"/>
    <w:rsid w:val="340E07E5"/>
    <w:rsid w:val="34235BF7"/>
    <w:rsid w:val="34D15956"/>
    <w:rsid w:val="358C5FA8"/>
    <w:rsid w:val="35C15DF1"/>
    <w:rsid w:val="36074A7F"/>
    <w:rsid w:val="360E4605"/>
    <w:rsid w:val="36225E8C"/>
    <w:rsid w:val="36923549"/>
    <w:rsid w:val="36B75FBF"/>
    <w:rsid w:val="36BD0C45"/>
    <w:rsid w:val="36FD2AC5"/>
    <w:rsid w:val="37E00298"/>
    <w:rsid w:val="37FA6A1E"/>
    <w:rsid w:val="38B302F9"/>
    <w:rsid w:val="38F12CD3"/>
    <w:rsid w:val="38F94775"/>
    <w:rsid w:val="392971ED"/>
    <w:rsid w:val="39325651"/>
    <w:rsid w:val="39DE0F32"/>
    <w:rsid w:val="3A820CC2"/>
    <w:rsid w:val="3A872856"/>
    <w:rsid w:val="3AFA24D7"/>
    <w:rsid w:val="3B192B37"/>
    <w:rsid w:val="3B3763D1"/>
    <w:rsid w:val="3B692B06"/>
    <w:rsid w:val="3BED52EB"/>
    <w:rsid w:val="3C2F6E1E"/>
    <w:rsid w:val="3C4F64BA"/>
    <w:rsid w:val="3C5A1E40"/>
    <w:rsid w:val="3C714182"/>
    <w:rsid w:val="3CDA245A"/>
    <w:rsid w:val="3D1E06B7"/>
    <w:rsid w:val="3D440462"/>
    <w:rsid w:val="3D5B0E46"/>
    <w:rsid w:val="3E3B7E11"/>
    <w:rsid w:val="3EB307A8"/>
    <w:rsid w:val="3EB44B89"/>
    <w:rsid w:val="3EDA0523"/>
    <w:rsid w:val="3F1262D6"/>
    <w:rsid w:val="3F9139A8"/>
    <w:rsid w:val="3FD415EA"/>
    <w:rsid w:val="4030581E"/>
    <w:rsid w:val="407A6407"/>
    <w:rsid w:val="40ED4F53"/>
    <w:rsid w:val="41B50C42"/>
    <w:rsid w:val="41BB195A"/>
    <w:rsid w:val="4200449D"/>
    <w:rsid w:val="421B1223"/>
    <w:rsid w:val="423A3BCC"/>
    <w:rsid w:val="423B3B37"/>
    <w:rsid w:val="424E57D2"/>
    <w:rsid w:val="42B26C49"/>
    <w:rsid w:val="433A6FE6"/>
    <w:rsid w:val="43480868"/>
    <w:rsid w:val="4350713C"/>
    <w:rsid w:val="436653E0"/>
    <w:rsid w:val="438D4AB2"/>
    <w:rsid w:val="43C4431A"/>
    <w:rsid w:val="441506F9"/>
    <w:rsid w:val="44554B04"/>
    <w:rsid w:val="448434D9"/>
    <w:rsid w:val="44921B46"/>
    <w:rsid w:val="44B951CC"/>
    <w:rsid w:val="44CD14E0"/>
    <w:rsid w:val="44F20B0B"/>
    <w:rsid w:val="452E5F4C"/>
    <w:rsid w:val="45612018"/>
    <w:rsid w:val="458946E9"/>
    <w:rsid w:val="45A47C0E"/>
    <w:rsid w:val="46577FD6"/>
    <w:rsid w:val="46D955A7"/>
    <w:rsid w:val="47133957"/>
    <w:rsid w:val="47A07E0C"/>
    <w:rsid w:val="47BD0A66"/>
    <w:rsid w:val="4870272E"/>
    <w:rsid w:val="49706721"/>
    <w:rsid w:val="49B4697B"/>
    <w:rsid w:val="49DC7715"/>
    <w:rsid w:val="4A023139"/>
    <w:rsid w:val="4A57257B"/>
    <w:rsid w:val="4A7B576F"/>
    <w:rsid w:val="4AB4081C"/>
    <w:rsid w:val="4AF561A9"/>
    <w:rsid w:val="4BC85C9D"/>
    <w:rsid w:val="4C4A0649"/>
    <w:rsid w:val="4C7E5ECA"/>
    <w:rsid w:val="4C876AA5"/>
    <w:rsid w:val="4CEF5BAF"/>
    <w:rsid w:val="4D0E00FB"/>
    <w:rsid w:val="4D176606"/>
    <w:rsid w:val="4DEC4FB0"/>
    <w:rsid w:val="4E075D8A"/>
    <w:rsid w:val="4E4451BA"/>
    <w:rsid w:val="4EC00FAD"/>
    <w:rsid w:val="4F0E7103"/>
    <w:rsid w:val="4F343F62"/>
    <w:rsid w:val="4F9843DC"/>
    <w:rsid w:val="4FC62A8C"/>
    <w:rsid w:val="4FE20F0D"/>
    <w:rsid w:val="4FE51552"/>
    <w:rsid w:val="50504C4B"/>
    <w:rsid w:val="509C6E7C"/>
    <w:rsid w:val="5162104E"/>
    <w:rsid w:val="526B217C"/>
    <w:rsid w:val="53200437"/>
    <w:rsid w:val="53A039CC"/>
    <w:rsid w:val="53A1505A"/>
    <w:rsid w:val="53C863F2"/>
    <w:rsid w:val="54063E08"/>
    <w:rsid w:val="543437E8"/>
    <w:rsid w:val="545C2F22"/>
    <w:rsid w:val="5461617C"/>
    <w:rsid w:val="54F73313"/>
    <w:rsid w:val="54F80955"/>
    <w:rsid w:val="553E4107"/>
    <w:rsid w:val="555170A7"/>
    <w:rsid w:val="5587536D"/>
    <w:rsid w:val="559B174B"/>
    <w:rsid w:val="55CE0CF4"/>
    <w:rsid w:val="55DD0BCE"/>
    <w:rsid w:val="5625255A"/>
    <w:rsid w:val="56B22A9C"/>
    <w:rsid w:val="56D713C3"/>
    <w:rsid w:val="57B72A76"/>
    <w:rsid w:val="57C3426C"/>
    <w:rsid w:val="57CE1F93"/>
    <w:rsid w:val="588743D1"/>
    <w:rsid w:val="5887701A"/>
    <w:rsid w:val="589E7F2C"/>
    <w:rsid w:val="59240F8D"/>
    <w:rsid w:val="59C0439F"/>
    <w:rsid w:val="5A8958B5"/>
    <w:rsid w:val="5ABA09F3"/>
    <w:rsid w:val="5ABE2233"/>
    <w:rsid w:val="5AC37FEF"/>
    <w:rsid w:val="5ADA1E85"/>
    <w:rsid w:val="5BC7648E"/>
    <w:rsid w:val="5BDF5D95"/>
    <w:rsid w:val="5BFE7528"/>
    <w:rsid w:val="5CBA0686"/>
    <w:rsid w:val="5DA03063"/>
    <w:rsid w:val="5E2467F1"/>
    <w:rsid w:val="5F087D82"/>
    <w:rsid w:val="5F1A2B43"/>
    <w:rsid w:val="5FB837BB"/>
    <w:rsid w:val="60CA5369"/>
    <w:rsid w:val="60CC405A"/>
    <w:rsid w:val="60FD5E3B"/>
    <w:rsid w:val="61D87BE4"/>
    <w:rsid w:val="61E215D8"/>
    <w:rsid w:val="621B3775"/>
    <w:rsid w:val="62364782"/>
    <w:rsid w:val="637478FD"/>
    <w:rsid w:val="6394356A"/>
    <w:rsid w:val="63C61B2C"/>
    <w:rsid w:val="63D40BE9"/>
    <w:rsid w:val="64102431"/>
    <w:rsid w:val="642F55A7"/>
    <w:rsid w:val="64A5243A"/>
    <w:rsid w:val="64F531DE"/>
    <w:rsid w:val="65373578"/>
    <w:rsid w:val="66E272B2"/>
    <w:rsid w:val="670019A2"/>
    <w:rsid w:val="671F124A"/>
    <w:rsid w:val="676829E0"/>
    <w:rsid w:val="677A33C6"/>
    <w:rsid w:val="67DD64CD"/>
    <w:rsid w:val="67FF1F31"/>
    <w:rsid w:val="681F6961"/>
    <w:rsid w:val="68610A2F"/>
    <w:rsid w:val="68805514"/>
    <w:rsid w:val="69316E2F"/>
    <w:rsid w:val="69382A6E"/>
    <w:rsid w:val="694E2071"/>
    <w:rsid w:val="69766163"/>
    <w:rsid w:val="697A3B33"/>
    <w:rsid w:val="69D44760"/>
    <w:rsid w:val="6A520EC7"/>
    <w:rsid w:val="6A87454A"/>
    <w:rsid w:val="6ADC42D7"/>
    <w:rsid w:val="6AF87E20"/>
    <w:rsid w:val="6B322639"/>
    <w:rsid w:val="6C636C38"/>
    <w:rsid w:val="6DB34098"/>
    <w:rsid w:val="6DB545B6"/>
    <w:rsid w:val="6DE02FB4"/>
    <w:rsid w:val="6DFE53D4"/>
    <w:rsid w:val="6E514CED"/>
    <w:rsid w:val="6EB563D5"/>
    <w:rsid w:val="6ED92677"/>
    <w:rsid w:val="6F225983"/>
    <w:rsid w:val="6FC308B4"/>
    <w:rsid w:val="6FF70D8E"/>
    <w:rsid w:val="6FFC5590"/>
    <w:rsid w:val="70414087"/>
    <w:rsid w:val="706D1DD0"/>
    <w:rsid w:val="70856B87"/>
    <w:rsid w:val="70901B45"/>
    <w:rsid w:val="70D527EE"/>
    <w:rsid w:val="715B5300"/>
    <w:rsid w:val="71D27F8A"/>
    <w:rsid w:val="72553024"/>
    <w:rsid w:val="726B6410"/>
    <w:rsid w:val="72890DE6"/>
    <w:rsid w:val="73122968"/>
    <w:rsid w:val="731F5D5E"/>
    <w:rsid w:val="73C51AD5"/>
    <w:rsid w:val="73E2692E"/>
    <w:rsid w:val="741E793C"/>
    <w:rsid w:val="745E3944"/>
    <w:rsid w:val="74D60586"/>
    <w:rsid w:val="75A8207C"/>
    <w:rsid w:val="75CA7DF8"/>
    <w:rsid w:val="75CF7829"/>
    <w:rsid w:val="7635099D"/>
    <w:rsid w:val="769B4BD9"/>
    <w:rsid w:val="76B425B7"/>
    <w:rsid w:val="77762421"/>
    <w:rsid w:val="77B56B1F"/>
    <w:rsid w:val="77CB03E7"/>
    <w:rsid w:val="780F09F4"/>
    <w:rsid w:val="7839186E"/>
    <w:rsid w:val="785B3192"/>
    <w:rsid w:val="78A90480"/>
    <w:rsid w:val="793260E3"/>
    <w:rsid w:val="7986193B"/>
    <w:rsid w:val="7A364017"/>
    <w:rsid w:val="7A8265E1"/>
    <w:rsid w:val="7A957158"/>
    <w:rsid w:val="7B0B44FC"/>
    <w:rsid w:val="7B686D42"/>
    <w:rsid w:val="7B7F0040"/>
    <w:rsid w:val="7B841746"/>
    <w:rsid w:val="7C6C5AC7"/>
    <w:rsid w:val="7CC6544B"/>
    <w:rsid w:val="7D0239FF"/>
    <w:rsid w:val="7D5E40CD"/>
    <w:rsid w:val="7DCD56F2"/>
    <w:rsid w:val="7E01062A"/>
    <w:rsid w:val="7F001CE7"/>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nhideWhenUsed="0" w:uiPriority="0" w:semiHidden="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iPriority="99" w:semiHidden="0" w:name="Body Text Indent 2" w:locked="1"/>
    <w:lsdException w:qFormat="1"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32"/>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keepNext/>
      <w:outlineLvl w:val="1"/>
    </w:pPr>
    <w:rPr>
      <w:rFonts w:ascii="宋体"/>
      <w:sz w:val="28"/>
    </w:rPr>
  </w:style>
  <w:style w:type="paragraph" w:styleId="6">
    <w:name w:val="heading 9"/>
    <w:basedOn w:val="1"/>
    <w:next w:val="1"/>
    <w:qFormat/>
    <w:locked/>
    <w:uiPriority w:val="0"/>
    <w:pPr>
      <w:keepNext/>
      <w:keepLines/>
      <w:overflowPunct w:val="0"/>
      <w:autoSpaceDE w:val="0"/>
      <w:autoSpaceDN w:val="0"/>
      <w:adjustRightInd w:val="0"/>
      <w:spacing w:line="360" w:lineRule="auto"/>
      <w:textAlignment w:val="baseline"/>
      <w:outlineLvl w:val="8"/>
    </w:pPr>
    <w:rPr>
      <w:rFonts w:ascii="Arial" w:hAnsi="Arial" w:eastAsia="仿宋_GB2312"/>
      <w:spacing w:val="-6"/>
      <w:kern w:val="20"/>
      <w:sz w:val="18"/>
    </w:rPr>
  </w:style>
  <w:style w:type="character" w:default="1" w:styleId="28">
    <w:name w:val="Default Paragraph Font"/>
    <w:semiHidden/>
    <w:qFormat/>
    <w:uiPriority w:val="0"/>
  </w:style>
  <w:style w:type="table" w:default="1" w:styleId="26">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locked/>
    <w:uiPriority w:val="0"/>
    <w:pPr>
      <w:spacing w:before="0" w:after="120" w:line="240" w:lineRule="auto"/>
      <w:ind w:left="420" w:leftChars="200" w:firstLine="420" w:firstLineChars="200"/>
    </w:pPr>
    <w:rPr>
      <w:rFonts w:eastAsia="楷体_GB2312"/>
    </w:rPr>
  </w:style>
  <w:style w:type="paragraph" w:styleId="3">
    <w:name w:val="Body Text Indent"/>
    <w:basedOn w:val="1"/>
    <w:next w:val="2"/>
    <w:link w:val="34"/>
    <w:qFormat/>
    <w:uiPriority w:val="0"/>
    <w:pPr>
      <w:spacing w:after="120"/>
      <w:ind w:left="420" w:leftChars="200"/>
    </w:pPr>
    <w:rPr>
      <w:kern w:val="0"/>
      <w:sz w:val="24"/>
      <w:szCs w:val="20"/>
    </w:rPr>
  </w:style>
  <w:style w:type="paragraph" w:styleId="7">
    <w:name w:val="Normal Indent"/>
    <w:basedOn w:val="1"/>
    <w:qFormat/>
    <w:locked/>
    <w:uiPriority w:val="0"/>
    <w:pPr>
      <w:ind w:firstLine="420" w:firstLineChars="200"/>
    </w:pPr>
    <w:rPr>
      <w:rFonts w:ascii="宋体" w:hAnsi="宋体" w:eastAsia="宋体"/>
      <w:kern w:val="2"/>
      <w:sz w:val="21"/>
      <w:lang w:val="en-US" w:eastAsia="zh-CN" w:bidi="ar-SA"/>
    </w:rPr>
  </w:style>
  <w:style w:type="paragraph" w:styleId="8">
    <w:name w:val="caption"/>
    <w:basedOn w:val="1"/>
    <w:next w:val="1"/>
    <w:qFormat/>
    <w:locked/>
    <w:uiPriority w:val="0"/>
    <w:pPr>
      <w:spacing w:line="360" w:lineRule="auto"/>
      <w:ind w:firstLine="200" w:firstLineChars="200"/>
    </w:pPr>
    <w:rPr>
      <w:rFonts w:ascii="Arial" w:hAnsi="Arial" w:eastAsia="黑体" w:cs="Arial"/>
      <w:sz w:val="20"/>
      <w:szCs w:val="20"/>
    </w:rPr>
  </w:style>
  <w:style w:type="paragraph" w:styleId="9">
    <w:name w:val="annotation text"/>
    <w:basedOn w:val="1"/>
    <w:link w:val="33"/>
    <w:semiHidden/>
    <w:qFormat/>
    <w:uiPriority w:val="0"/>
    <w:pPr>
      <w:jc w:val="left"/>
    </w:pPr>
    <w:rPr>
      <w:kern w:val="0"/>
      <w:sz w:val="24"/>
      <w:szCs w:val="20"/>
    </w:rPr>
  </w:style>
  <w:style w:type="paragraph" w:styleId="10">
    <w:name w:val="Body Text"/>
    <w:basedOn w:val="1"/>
    <w:next w:val="1"/>
    <w:link w:val="31"/>
    <w:qFormat/>
    <w:uiPriority w:val="0"/>
    <w:pPr>
      <w:widowControl/>
      <w:snapToGrid w:val="0"/>
      <w:spacing w:before="60" w:after="160" w:line="259" w:lineRule="auto"/>
      <w:ind w:right="113"/>
    </w:pPr>
    <w:rPr>
      <w:kern w:val="0"/>
      <w:sz w:val="18"/>
      <w:szCs w:val="20"/>
    </w:rPr>
  </w:style>
  <w:style w:type="paragraph" w:styleId="11">
    <w:name w:val="Plain Text"/>
    <w:basedOn w:val="1"/>
    <w:qFormat/>
    <w:locked/>
    <w:uiPriority w:val="0"/>
    <w:rPr>
      <w:rFonts w:ascii="宋体" w:hAnsi="Courier New" w:eastAsia="宋体"/>
      <w:kern w:val="2"/>
      <w:sz w:val="21"/>
      <w:lang w:val="en-US" w:eastAsia="zh-CN" w:bidi="ar-SA"/>
    </w:rPr>
  </w:style>
  <w:style w:type="paragraph" w:styleId="12">
    <w:name w:val="Date"/>
    <w:basedOn w:val="1"/>
    <w:next w:val="1"/>
    <w:link w:val="35"/>
    <w:qFormat/>
    <w:uiPriority w:val="0"/>
    <w:pPr>
      <w:ind w:left="100" w:leftChars="2500"/>
    </w:pPr>
    <w:rPr>
      <w:kern w:val="0"/>
      <w:sz w:val="24"/>
      <w:szCs w:val="20"/>
    </w:rPr>
  </w:style>
  <w:style w:type="paragraph" w:styleId="13">
    <w:name w:val="Body Text Indent 2"/>
    <w:basedOn w:val="1"/>
    <w:next w:val="1"/>
    <w:unhideWhenUsed/>
    <w:qFormat/>
    <w:locked/>
    <w:uiPriority w:val="99"/>
    <w:pPr>
      <w:spacing w:after="120" w:line="480" w:lineRule="auto"/>
      <w:ind w:left="420" w:leftChars="200"/>
    </w:pPr>
  </w:style>
  <w:style w:type="paragraph" w:styleId="14">
    <w:name w:val="Balloon Text"/>
    <w:basedOn w:val="1"/>
    <w:link w:val="36"/>
    <w:semiHidden/>
    <w:qFormat/>
    <w:uiPriority w:val="0"/>
    <w:rPr>
      <w:kern w:val="0"/>
      <w:sz w:val="18"/>
      <w:szCs w:val="20"/>
    </w:rPr>
  </w:style>
  <w:style w:type="paragraph" w:styleId="15">
    <w:name w:val="footer"/>
    <w:basedOn w:val="1"/>
    <w:link w:val="37"/>
    <w:qFormat/>
    <w:uiPriority w:val="99"/>
    <w:pPr>
      <w:tabs>
        <w:tab w:val="center" w:pos="4153"/>
        <w:tab w:val="right" w:pos="8306"/>
      </w:tabs>
      <w:snapToGrid w:val="0"/>
      <w:jc w:val="left"/>
    </w:pPr>
    <w:rPr>
      <w:kern w:val="0"/>
      <w:sz w:val="18"/>
      <w:szCs w:val="20"/>
    </w:rPr>
  </w:style>
  <w:style w:type="paragraph" w:styleId="16">
    <w:name w:val="header"/>
    <w:basedOn w:val="1"/>
    <w:link w:val="38"/>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1"/>
    <w:basedOn w:val="1"/>
    <w:next w:val="1"/>
    <w:qFormat/>
    <w:locked/>
    <w:uiPriority w:val="0"/>
  </w:style>
  <w:style w:type="paragraph" w:styleId="18">
    <w:name w:val="index heading"/>
    <w:basedOn w:val="1"/>
    <w:next w:val="19"/>
    <w:qFormat/>
    <w:locked/>
    <w:uiPriority w:val="0"/>
    <w:pPr>
      <w:tabs>
        <w:tab w:val="left" w:pos="1021"/>
      </w:tabs>
      <w:spacing w:line="480" w:lineRule="exact"/>
    </w:pPr>
    <w:rPr>
      <w:rFonts w:ascii="Arial" w:hAnsi="Arial" w:eastAsia="宋体" w:cs="Arial"/>
      <w:b/>
      <w:bCs/>
      <w:sz w:val="24"/>
      <w:szCs w:val="20"/>
    </w:rPr>
  </w:style>
  <w:style w:type="paragraph" w:styleId="19">
    <w:name w:val="index 1"/>
    <w:basedOn w:val="1"/>
    <w:next w:val="1"/>
    <w:qFormat/>
    <w:locked/>
    <w:uiPriority w:val="0"/>
    <w:pPr>
      <w:keepNext w:val="0"/>
      <w:keepLines w:val="0"/>
      <w:widowControl w:val="0"/>
      <w:suppressLineNumbers w:val="0"/>
      <w:tabs>
        <w:tab w:val="left" w:pos="5580"/>
      </w:tabs>
      <w:spacing w:before="0" w:beforeAutospacing="0" w:after="0" w:afterAutospacing="0" w:line="280" w:lineRule="exact"/>
      <w:ind w:left="0" w:right="0"/>
      <w:jc w:val="both"/>
    </w:pPr>
    <w:rPr>
      <w:rFonts w:hint="eastAsia" w:ascii="宋体" w:hAnsi="宋体" w:eastAsia="宋体" w:cs="Times New Roman"/>
      <w:spacing w:val="10"/>
      <w:kern w:val="2"/>
      <w:sz w:val="21"/>
      <w:szCs w:val="24"/>
      <w:lang w:val="en-US" w:eastAsia="zh-CN" w:bidi="ar"/>
    </w:rPr>
  </w:style>
  <w:style w:type="paragraph" w:styleId="20">
    <w:name w:val="List"/>
    <w:basedOn w:val="1"/>
    <w:qFormat/>
    <w:locked/>
    <w:uiPriority w:val="0"/>
    <w:pPr>
      <w:ind w:left="200" w:hanging="200" w:hangingChars="200"/>
      <w:jc w:val="center"/>
    </w:pPr>
  </w:style>
  <w:style w:type="paragraph" w:styleId="21">
    <w:name w:val="Body Text Indent 3"/>
    <w:basedOn w:val="1"/>
    <w:qFormat/>
    <w:locked/>
    <w:uiPriority w:val="0"/>
    <w:pPr>
      <w:spacing w:after="120"/>
      <w:ind w:left="420" w:leftChars="200"/>
    </w:pPr>
    <w:rPr>
      <w:sz w:val="16"/>
      <w:szCs w:val="16"/>
    </w:rPr>
  </w:style>
  <w:style w:type="paragraph" w:styleId="22">
    <w:name w:val="toc 2"/>
    <w:basedOn w:val="1"/>
    <w:next w:val="1"/>
    <w:qFormat/>
    <w:locked/>
    <w:uiPriority w:val="0"/>
    <w:pPr>
      <w:ind w:left="420" w:leftChars="200"/>
    </w:pPr>
    <w:rPr>
      <w:rFonts w:ascii="Times New Roman" w:hAnsi="Times New Roman" w:eastAsia="宋体" w:cs="Times New Roman"/>
      <w:szCs w:val="24"/>
    </w:rPr>
  </w:style>
  <w:style w:type="paragraph" w:styleId="23">
    <w:name w:val="Normal (Web)"/>
    <w:basedOn w:val="1"/>
    <w:link w:val="39"/>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9"/>
    <w:next w:val="9"/>
    <w:link w:val="40"/>
    <w:semiHidden/>
    <w:qFormat/>
    <w:uiPriority w:val="0"/>
    <w:rPr>
      <w:b/>
      <w:sz w:val="24"/>
      <w:szCs w:val="20"/>
    </w:rPr>
  </w:style>
  <w:style w:type="paragraph" w:styleId="25">
    <w:name w:val="Body Text First Indent"/>
    <w:basedOn w:val="10"/>
    <w:qFormat/>
    <w:locked/>
    <w:uiPriority w:val="0"/>
    <w:pPr>
      <w:spacing w:after="120" w:afterLines="0"/>
      <w:ind w:firstLine="420" w:firstLineChars="100"/>
      <w:jc w:val="both"/>
    </w:pPr>
    <w:rPr>
      <w:rFonts w:ascii="Times New Roman"/>
      <w:sz w:val="21"/>
      <w:szCs w:val="24"/>
    </w:rPr>
  </w:style>
  <w:style w:type="table" w:styleId="27">
    <w:name w:val="Table Grid"/>
    <w:basedOn w:val="2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qFormat/>
    <w:locked/>
    <w:uiPriority w:val="0"/>
  </w:style>
  <w:style w:type="character" w:styleId="30">
    <w:name w:val="annotation reference"/>
    <w:semiHidden/>
    <w:qFormat/>
    <w:uiPriority w:val="0"/>
    <w:rPr>
      <w:sz w:val="21"/>
    </w:rPr>
  </w:style>
  <w:style w:type="character" w:customStyle="1" w:styleId="31">
    <w:name w:val="正文文本 字符"/>
    <w:link w:val="10"/>
    <w:qFormat/>
    <w:locked/>
    <w:uiPriority w:val="0"/>
    <w:rPr>
      <w:sz w:val="18"/>
    </w:rPr>
  </w:style>
  <w:style w:type="character" w:customStyle="1" w:styleId="32">
    <w:name w:val="标题 1 字符"/>
    <w:link w:val="4"/>
    <w:qFormat/>
    <w:uiPriority w:val="99"/>
    <w:rPr>
      <w:rFonts w:eastAsia="黑体"/>
      <w:b/>
      <w:bCs/>
      <w:color w:val="000000"/>
      <w:kern w:val="44"/>
      <w:sz w:val="30"/>
      <w:szCs w:val="30"/>
    </w:rPr>
  </w:style>
  <w:style w:type="character" w:customStyle="1" w:styleId="33">
    <w:name w:val="批注文字 字符"/>
    <w:link w:val="9"/>
    <w:qFormat/>
    <w:locked/>
    <w:uiPriority w:val="0"/>
    <w:rPr>
      <w:rFonts w:ascii="Times New Roman" w:hAnsi="Times New Roman" w:eastAsia="宋体"/>
      <w:sz w:val="24"/>
    </w:rPr>
  </w:style>
  <w:style w:type="character" w:customStyle="1" w:styleId="34">
    <w:name w:val="正文文本缩进 字符"/>
    <w:link w:val="3"/>
    <w:semiHidden/>
    <w:qFormat/>
    <w:locked/>
    <w:uiPriority w:val="0"/>
    <w:rPr>
      <w:rFonts w:ascii="Times New Roman" w:hAnsi="Times New Roman" w:eastAsia="宋体"/>
      <w:sz w:val="24"/>
    </w:rPr>
  </w:style>
  <w:style w:type="character" w:customStyle="1" w:styleId="35">
    <w:name w:val="日期 字符1"/>
    <w:link w:val="12"/>
    <w:qFormat/>
    <w:locked/>
    <w:uiPriority w:val="0"/>
    <w:rPr>
      <w:rFonts w:ascii="Times New Roman" w:hAnsi="Times New Roman" w:eastAsia="宋体"/>
      <w:sz w:val="24"/>
    </w:rPr>
  </w:style>
  <w:style w:type="character" w:customStyle="1" w:styleId="36">
    <w:name w:val="批注框文本 字符"/>
    <w:link w:val="14"/>
    <w:semiHidden/>
    <w:qFormat/>
    <w:locked/>
    <w:uiPriority w:val="0"/>
    <w:rPr>
      <w:rFonts w:ascii="Times New Roman" w:hAnsi="Times New Roman" w:eastAsia="宋体"/>
      <w:sz w:val="18"/>
    </w:rPr>
  </w:style>
  <w:style w:type="character" w:customStyle="1" w:styleId="37">
    <w:name w:val="页脚 字符1"/>
    <w:link w:val="15"/>
    <w:qFormat/>
    <w:locked/>
    <w:uiPriority w:val="99"/>
    <w:rPr>
      <w:sz w:val="18"/>
    </w:rPr>
  </w:style>
  <w:style w:type="character" w:customStyle="1" w:styleId="38">
    <w:name w:val="页眉 字符"/>
    <w:link w:val="16"/>
    <w:qFormat/>
    <w:locked/>
    <w:uiPriority w:val="0"/>
    <w:rPr>
      <w:sz w:val="18"/>
    </w:rPr>
  </w:style>
  <w:style w:type="character" w:customStyle="1" w:styleId="39">
    <w:name w:val="普通(网站) 字符"/>
    <w:link w:val="23"/>
    <w:qFormat/>
    <w:locked/>
    <w:uiPriority w:val="0"/>
    <w:rPr>
      <w:rFonts w:ascii="宋体" w:hAnsi="宋体" w:eastAsia="宋体"/>
      <w:sz w:val="24"/>
    </w:rPr>
  </w:style>
  <w:style w:type="character" w:customStyle="1" w:styleId="40">
    <w:name w:val="批注主题 字符"/>
    <w:link w:val="24"/>
    <w:semiHidden/>
    <w:qFormat/>
    <w:locked/>
    <w:uiPriority w:val="0"/>
    <w:rPr>
      <w:rFonts w:ascii="Times New Roman" w:hAnsi="Times New Roman" w:eastAsia="宋体"/>
      <w:b/>
      <w:kern w:val="2"/>
      <w:sz w:val="24"/>
    </w:rPr>
  </w:style>
  <w:style w:type="paragraph" w:customStyle="1" w:styleId="41">
    <w:name w:val="xl27"/>
    <w:basedOn w:val="1"/>
    <w:next w:val="13"/>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42">
    <w:name w:val="lh-正文-报告表"/>
    <w:basedOn w:val="1"/>
    <w:qFormat/>
    <w:uiPriority w:val="0"/>
    <w:pPr>
      <w:spacing w:line="360" w:lineRule="auto"/>
      <w:ind w:firstLine="480" w:firstLineChars="200"/>
    </w:pPr>
    <w:rPr>
      <w:rFonts w:ascii="Times New Roman" w:hAnsi="Times New Roman" w:eastAsia="宋体"/>
      <w:kern w:val="0"/>
      <w:sz w:val="24"/>
    </w:rPr>
  </w:style>
  <w:style w:type="character" w:customStyle="1" w:styleId="43">
    <w:name w:val="页脚 字符"/>
    <w:qFormat/>
    <w:uiPriority w:val="99"/>
  </w:style>
  <w:style w:type="character" w:customStyle="1" w:styleId="44">
    <w:name w:val="正文文本 字符1"/>
    <w:semiHidden/>
    <w:qFormat/>
    <w:uiPriority w:val="0"/>
    <w:rPr>
      <w:rFonts w:ascii="Times New Roman" w:hAnsi="Times New Roman" w:eastAsia="宋体"/>
      <w:sz w:val="24"/>
    </w:rPr>
  </w:style>
  <w:style w:type="character" w:customStyle="1" w:styleId="45">
    <w:name w:val="表格 Char"/>
    <w:link w:val="46"/>
    <w:qFormat/>
    <w:locked/>
    <w:uiPriority w:val="0"/>
    <w:rPr>
      <w:rFonts w:ascii="宋体"/>
      <w:sz w:val="21"/>
    </w:rPr>
  </w:style>
  <w:style w:type="paragraph" w:customStyle="1" w:styleId="46">
    <w:name w:val="表格"/>
    <w:basedOn w:val="20"/>
    <w:next w:val="1"/>
    <w:link w:val="45"/>
    <w:qFormat/>
    <w:uiPriority w:val="0"/>
    <w:pPr>
      <w:adjustRightInd w:val="0"/>
      <w:snapToGrid w:val="0"/>
      <w:spacing w:beforeLines="10" w:afterLines="10" w:line="259" w:lineRule="auto"/>
      <w:jc w:val="center"/>
    </w:pPr>
    <w:rPr>
      <w:rFonts w:ascii="宋体"/>
      <w:kern w:val="0"/>
      <w:szCs w:val="20"/>
    </w:rPr>
  </w:style>
  <w:style w:type="character" w:customStyle="1" w:styleId="47">
    <w:name w:val="日期 字符"/>
    <w:semiHidden/>
    <w:qFormat/>
    <w:uiPriority w:val="0"/>
    <w:rPr>
      <w:rFonts w:ascii="Times New Roman" w:hAnsi="Times New Roman" w:eastAsia="宋体"/>
      <w:sz w:val="24"/>
    </w:rPr>
  </w:style>
  <w:style w:type="character" w:customStyle="1" w:styleId="48">
    <w:name w:val="批注文字 字符1"/>
    <w:semiHidden/>
    <w:qFormat/>
    <w:uiPriority w:val="0"/>
    <w:rPr>
      <w:rFonts w:ascii="Times New Roman" w:hAnsi="Times New Roman" w:eastAsia="宋体"/>
      <w:sz w:val="24"/>
    </w:rPr>
  </w:style>
  <w:style w:type="paragraph" w:customStyle="1" w:styleId="4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1">
    <w:name w:val="Table Paragraph"/>
    <w:basedOn w:val="1"/>
    <w:unhideWhenUsed/>
    <w:qFormat/>
    <w:uiPriority w:val="1"/>
    <w:pPr>
      <w:spacing w:beforeLines="0" w:afterLines="0"/>
    </w:pPr>
    <w:rPr>
      <w:rFonts w:hint="eastAsia" w:ascii="仿宋" w:hAnsi="仿宋" w:eastAsia="仿宋"/>
      <w:sz w:val="24"/>
    </w:rPr>
  </w:style>
  <w:style w:type="paragraph" w:customStyle="1" w:styleId="52">
    <w:name w:val="Default"/>
    <w:basedOn w:val="10"/>
    <w:next w:val="20"/>
    <w:qFormat/>
    <w:uiPriority w:val="0"/>
    <w:pPr>
      <w:widowControl w:val="0"/>
      <w:autoSpaceDE w:val="0"/>
      <w:autoSpaceDN w:val="0"/>
      <w:adjustRightInd w:val="0"/>
    </w:pPr>
    <w:rPr>
      <w:rFonts w:ascii="仿宋_GB2312" w:hAnsi="Times New Roman" w:eastAsia="仿宋_GB2312" w:cs="Times New Roman"/>
      <w:color w:val="000000"/>
      <w:sz w:val="24"/>
      <w:szCs w:val="22"/>
      <w:lang w:val="en-US" w:eastAsia="zh-CN" w:bidi="ar-SA"/>
    </w:rPr>
  </w:style>
  <w:style w:type="paragraph" w:customStyle="1" w:styleId="53">
    <w:name w:val="纯文本1"/>
    <w:basedOn w:val="1"/>
    <w:qFormat/>
    <w:uiPriority w:val="0"/>
    <w:rPr>
      <w:rFonts w:hint="eastAsia" w:ascii="宋体" w:hAnsi="Courier New"/>
    </w:rPr>
  </w:style>
  <w:style w:type="paragraph" w:customStyle="1" w:styleId="54">
    <w:name w:val="样式 (符号) 宋体 小四 行距: 1.5 倍行距"/>
    <w:basedOn w:val="1"/>
    <w:qFormat/>
    <w:uiPriority w:val="0"/>
    <w:pPr>
      <w:spacing w:line="360" w:lineRule="auto"/>
      <w:ind w:firstLine="480" w:firstLineChars="200"/>
    </w:pPr>
    <w:rPr>
      <w:rFonts w:hAnsi="宋体" w:cs="宋体"/>
      <w:sz w:val="24"/>
    </w:rPr>
  </w:style>
  <w:style w:type="paragraph" w:customStyle="1" w:styleId="55">
    <w:name w:val="样式 行距: 最小值 30 磅"/>
    <w:basedOn w:val="1"/>
    <w:qFormat/>
    <w:uiPriority w:val="0"/>
    <w:pPr>
      <w:adjustRightInd w:val="0"/>
      <w:spacing w:line="360" w:lineRule="auto"/>
      <w:textAlignment w:val="baseline"/>
    </w:pPr>
    <w:rPr>
      <w:rFonts w:ascii="宋体" w:cs="宋体"/>
      <w:kern w:val="0"/>
      <w:sz w:val="28"/>
      <w:szCs w:val="20"/>
    </w:rPr>
  </w:style>
  <w:style w:type="paragraph" w:customStyle="1" w:styleId="56">
    <w:name w:val="表格文字"/>
    <w:basedOn w:val="25"/>
    <w:next w:val="1"/>
    <w:qFormat/>
    <w:uiPriority w:val="0"/>
    <w:pPr>
      <w:adjustRightInd w:val="0"/>
      <w:snapToGrid w:val="0"/>
      <w:jc w:val="center"/>
    </w:pPr>
    <w:rPr>
      <w:rFonts w:ascii="宋体" w:hAnsi="宋体" w:eastAsia="宋体"/>
      <w:kern w:val="2"/>
      <w:sz w:val="21"/>
      <w:lang w:val="en-US" w:eastAsia="zh-CN" w:bidi="ar-SA"/>
    </w:rPr>
  </w:style>
  <w:style w:type="paragraph" w:customStyle="1" w:styleId="57">
    <w:name w:val="常用原表字体"/>
    <w:basedOn w:val="58"/>
    <w:next w:val="58"/>
    <w:qFormat/>
    <w:uiPriority w:val="0"/>
    <w:pPr>
      <w:jc w:val="left"/>
    </w:pPr>
    <w:rPr>
      <w:rFonts w:ascii="宋体" w:hAnsi="宋体" w:cs="宋体"/>
      <w:b/>
      <w:bCs w:val="0"/>
      <w:kern w:val="28"/>
      <w:sz w:val="24"/>
    </w:rPr>
  </w:style>
  <w:style w:type="paragraph" w:customStyle="1" w:styleId="58">
    <w:name w:val="常用正文样式"/>
    <w:basedOn w:val="1"/>
    <w:qFormat/>
    <w:uiPriority w:val="0"/>
    <w:pPr>
      <w:spacing w:line="360" w:lineRule="auto"/>
      <w:ind w:firstLine="480" w:firstLineChars="200"/>
    </w:pPr>
    <w:rPr>
      <w:rFonts w:ascii="宋体" w:hAnsi="宋体" w:cs="宋体"/>
      <w:bCs/>
      <w:kern w:val="28"/>
      <w:sz w:val="24"/>
      <w:szCs w:val="20"/>
    </w:rPr>
  </w:style>
  <w:style w:type="paragraph" w:customStyle="1" w:styleId="59">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0">
    <w:name w:val="表格内文字"/>
    <w:basedOn w:val="1"/>
    <w:next w:val="1"/>
    <w:qFormat/>
    <w:uiPriority w:val="0"/>
    <w:pPr>
      <w:tabs>
        <w:tab w:val="left" w:pos="0"/>
      </w:tabs>
      <w:adjustRightInd w:val="0"/>
      <w:snapToGrid w:val="0"/>
      <w:jc w:val="center"/>
    </w:pPr>
    <w:rPr>
      <w:rFonts w:eastAsia="仿宋_GB2312"/>
      <w:sz w:val="24"/>
      <w:szCs w:val="28"/>
    </w:rPr>
  </w:style>
  <w:style w:type="paragraph" w:styleId="61">
    <w:name w:val="List Paragraph"/>
    <w:basedOn w:val="1"/>
    <w:qFormat/>
    <w:uiPriority w:val="34"/>
    <w:pPr>
      <w:ind w:firstLine="420" w:firstLineChars="200"/>
    </w:pPr>
  </w:style>
  <w:style w:type="paragraph" w:customStyle="1" w:styleId="62">
    <w:name w:val="列表1"/>
    <w:basedOn w:val="1"/>
    <w:qFormat/>
    <w:uiPriority w:val="0"/>
    <w:pPr>
      <w:spacing w:line="400" w:lineRule="exact"/>
      <w:jc w:val="center"/>
    </w:pPr>
    <w:rPr>
      <w:rFonts w:ascii="宋体" w:hAnsi="宋体"/>
      <w:sz w:val="24"/>
      <w:szCs w:val="20"/>
    </w:rPr>
  </w:style>
  <w:style w:type="character" w:customStyle="1" w:styleId="63">
    <w:name w:val="16"/>
    <w:qFormat/>
    <w:uiPriority w:val="0"/>
    <w:rPr>
      <w:rFonts w:hint="eastAsia" w:ascii="宋体" w:hAnsi="宋体" w:eastAsia="宋体"/>
      <w:color w:val="0000FF"/>
      <w:sz w:val="16"/>
      <w:szCs w:val="16"/>
    </w:rPr>
  </w:style>
  <w:style w:type="character" w:customStyle="1" w:styleId="64">
    <w:name w:val="15"/>
    <w:qFormat/>
    <w:uiPriority w:val="0"/>
    <w:rPr>
      <w:rFonts w:hint="default" w:ascii="ArialMT" w:hAnsi="ArialMT"/>
      <w:color w:val="000000"/>
      <w:sz w:val="16"/>
      <w:szCs w:val="16"/>
    </w:rPr>
  </w:style>
  <w:style w:type="paragraph" w:customStyle="1" w:styleId="65">
    <w:name w:val="_cyj_正文"/>
    <w:basedOn w:val="1"/>
    <w:qFormat/>
    <w:uiPriority w:val="0"/>
    <w:pPr>
      <w:spacing w:line="480" w:lineRule="exact"/>
      <w:ind w:firstLine="200" w:firstLineChars="200"/>
    </w:pPr>
    <w:rPr>
      <w:rFonts w:hAnsi="宋体" w:eastAsia="宋体"/>
      <w:kern w:val="2"/>
      <w:sz w:val="24"/>
      <w:szCs w:val="24"/>
      <w:lang w:val="en-US" w:eastAsia="zh-CN" w:bidi="ar-SA"/>
    </w:rPr>
  </w:style>
  <w:style w:type="paragraph" w:customStyle="1" w:styleId="66">
    <w:name w:val="Normal"/>
    <w:qFormat/>
    <w:uiPriority w:val="0"/>
    <w:pPr>
      <w:jc w:val="both"/>
    </w:pPr>
    <w:rPr>
      <w:rFonts w:ascii="Times New Roman" w:hAnsi="Times New Roman" w:eastAsia="宋体" w:cs="Times New Roman"/>
      <w:kern w:val="2"/>
      <w:sz w:val="21"/>
      <w:szCs w:val="21"/>
      <w:lang w:val="en-US" w:eastAsia="zh-CN" w:bidi="ar-SA"/>
    </w:rPr>
  </w:style>
  <w:style w:type="character" w:customStyle="1" w:styleId="67">
    <w:name w:val="font31"/>
    <w:qFormat/>
    <w:uiPriority w:val="0"/>
    <w:rPr>
      <w:rFonts w:hint="eastAsia" w:ascii="宋体" w:hAnsi="宋体" w:eastAsia="宋体" w:cs="宋体"/>
      <w:color w:val="000000"/>
      <w:sz w:val="20"/>
      <w:szCs w:val="20"/>
      <w:u w:val="none"/>
    </w:rPr>
  </w:style>
  <w:style w:type="character" w:customStyle="1" w:styleId="68">
    <w:name w:val="font01"/>
    <w:qFormat/>
    <w:uiPriority w:val="0"/>
    <w:rPr>
      <w:rFonts w:ascii="Calibri" w:hAnsi="Calibri" w:cs="Calibri"/>
      <w:color w:val="000000"/>
      <w:sz w:val="20"/>
      <w:szCs w:val="20"/>
      <w:u w:val="none"/>
    </w:rPr>
  </w:style>
  <w:style w:type="character" w:customStyle="1" w:styleId="69">
    <w:name w:val="fontstyle01"/>
    <w:qFormat/>
    <w:uiPriority w:val="0"/>
    <w:rPr>
      <w:rFonts w:hint="eastAsia" w:ascii="宋体" w:hAnsi="宋体" w:eastAsia="宋体"/>
      <w:color w:val="000000"/>
      <w:sz w:val="24"/>
      <w:szCs w:val="24"/>
    </w:rPr>
  </w:style>
  <w:style w:type="paragraph" w:customStyle="1" w:styleId="70">
    <w:name w:val="样式 小四 行距: 1.5 倍行距"/>
    <w:basedOn w:val="1"/>
    <w:qFormat/>
    <w:uiPriority w:val="0"/>
    <w:pPr>
      <w:spacing w:line="360" w:lineRule="auto"/>
      <w:ind w:firstLine="480" w:firstLineChars="200"/>
    </w:pPr>
    <w:rPr>
      <w:rFonts w:cs="宋体"/>
      <w:sz w:val="24"/>
    </w:rPr>
  </w:style>
  <w:style w:type="paragraph" w:customStyle="1" w:styleId="71">
    <w:name w:val="标准正文"/>
    <w:basedOn w:val="1"/>
    <w:qFormat/>
    <w:uiPriority w:val="0"/>
    <w:pPr>
      <w:widowControl/>
      <w:spacing w:line="360" w:lineRule="auto"/>
      <w:ind w:firstLine="200" w:firstLineChars="200"/>
    </w:pPr>
    <w:rPr>
      <w:sz w:val="24"/>
      <w:szCs w:val="20"/>
    </w:rPr>
  </w:style>
  <w:style w:type="paragraph" w:customStyle="1" w:styleId="72">
    <w:name w:val="标准表内文字"/>
    <w:basedOn w:val="1"/>
    <w:qFormat/>
    <w:uiPriority w:val="0"/>
    <w:pPr>
      <w:adjustRightInd w:val="0"/>
      <w:snapToGrid w:val="0"/>
      <w:jc w:val="center"/>
    </w:pPr>
    <w:rPr>
      <w:bCs/>
      <w:color w:val="000000"/>
      <w:kern w:val="18"/>
      <w:szCs w:val="20"/>
    </w:rPr>
  </w:style>
  <w:style w:type="paragraph" w:customStyle="1" w:styleId="73">
    <w:name w:val="正文格式"/>
    <w:basedOn w:val="1"/>
    <w:qFormat/>
    <w:uiPriority w:val="0"/>
    <w:pPr>
      <w:spacing w:line="360" w:lineRule="auto"/>
      <w:ind w:firstLine="200" w:firstLineChars="200"/>
      <w:jc w:val="left"/>
    </w:pPr>
    <w:rPr>
      <w:rFonts w:ascii="Times New Roman" w:hAnsi="Times New Roman" w:eastAsia="宋体" w:cs="Times New Roman"/>
      <w:sz w:val="24"/>
      <w:szCs w:val="22"/>
    </w:rPr>
  </w:style>
  <w:style w:type="paragraph" w:customStyle="1" w:styleId="74">
    <w:name w:val="样式 五号 居中 行距: 单倍行距"/>
    <w:basedOn w:val="1"/>
    <w:qFormat/>
    <w:uiPriority w:val="0"/>
    <w:pPr>
      <w:snapToGrid w:val="0"/>
      <w:jc w:val="center"/>
    </w:pPr>
    <w:rPr>
      <w:rFonts w:ascii="Times New Roman" w:hAnsi="Times New Roman" w:cs="宋体"/>
      <w:kern w:val="10"/>
      <w:szCs w:val="20"/>
    </w:rPr>
  </w:style>
  <w:style w:type="paragraph" w:customStyle="1" w:styleId="75">
    <w:name w:val="报告书正文 Char Char Char"/>
    <w:basedOn w:val="1"/>
    <w:qFormat/>
    <w:uiPriority w:val="0"/>
    <w:pPr>
      <w:spacing w:line="300" w:lineRule="auto"/>
      <w:ind w:firstLine="480" w:firstLineChars="200"/>
    </w:pPr>
    <w:rPr>
      <w:rFonts w:ascii="宋体" w:hAnsi="宋体"/>
      <w:sz w:val="24"/>
      <w:szCs w:val="20"/>
    </w:rPr>
  </w:style>
  <w:style w:type="paragraph" w:customStyle="1" w:styleId="76">
    <w:name w:val="表格内容"/>
    <w:basedOn w:val="46"/>
    <w:next w:val="1"/>
    <w:qFormat/>
    <w:uiPriority w:val="0"/>
    <w:pPr>
      <w:spacing w:before="0" w:beforeAutospacing="0" w:after="0" w:afterAutospacing="0"/>
      <w:ind w:left="0"/>
      <w:jc w:val="center"/>
    </w:pPr>
    <w:rPr>
      <w:rFonts w:ascii="Times New Roman" w:hAnsi="Times New Roman" w:cs="宋体"/>
      <w:spacing w:val="0"/>
      <w:szCs w:val="20"/>
    </w:rPr>
  </w:style>
  <w:style w:type="paragraph" w:customStyle="1" w:styleId="77">
    <w:name w:val="表正文"/>
    <w:basedOn w:val="1"/>
    <w:qFormat/>
    <w:uiPriority w:val="0"/>
    <w:pPr>
      <w:spacing w:line="240" w:lineRule="auto"/>
      <w:ind w:firstLine="0" w:firstLineChars="0"/>
      <w:jc w:val="center"/>
    </w:pPr>
    <w:rPr>
      <w:rFonts w:ascii="Times New Roman" w:hAnsi="Times New Roman" w:eastAsia="宋体" w:cs="Times New Roman"/>
      <w:sz w:val="21"/>
      <w:szCs w:val="21"/>
    </w:rPr>
  </w:style>
  <w:style w:type="paragraph" w:customStyle="1" w:styleId="78">
    <w:name w:val="表格标题"/>
    <w:basedOn w:val="8"/>
    <w:qFormat/>
    <w:uiPriority w:val="0"/>
    <w:pPr>
      <w:spacing w:line="360" w:lineRule="auto"/>
      <w:jc w:val="center"/>
    </w:pPr>
    <w:rPr>
      <w:rFonts w:ascii="Arial" w:hAnsi="Arial" w:eastAsia="新宋体"/>
      <w:szCs w:val="21"/>
    </w:rPr>
  </w:style>
  <w:style w:type="table" w:customStyle="1" w:styleId="79">
    <w:name w:val="Table Normal"/>
    <w:unhideWhenUsed/>
    <w:qFormat/>
    <w:uiPriority w:val="0"/>
    <w:rPr>
      <w:lang w:val="en-US" w:eastAsia="zh-CN" w:bidi="ar-SA"/>
    </w:rPr>
    <w:tblPr>
      <w:tblCellMar>
        <w:top w:w="0" w:type="dxa"/>
        <w:left w:w="0" w:type="dxa"/>
        <w:bottom w:w="0" w:type="dxa"/>
        <w:right w:w="0" w:type="dxa"/>
      </w:tblCellMar>
    </w:tblPr>
  </w:style>
  <w:style w:type="paragraph" w:customStyle="1" w:styleId="80">
    <w:name w:val="WPSOffice手动目录 1"/>
    <w:qFormat/>
    <w:uiPriority w:val="0"/>
    <w:rPr>
      <w:rFonts w:ascii="Times New Roman" w:hAnsi="Times New Roman" w:eastAsia="宋体" w:cs="Times New Roman"/>
      <w:lang w:val="en-US" w:eastAsia="zh-CN" w:bidi="ar-SA"/>
    </w:rPr>
  </w:style>
  <w:style w:type="paragraph" w:customStyle="1" w:styleId="81">
    <w:name w:val="正文 首行缩进:  2 字符"/>
    <w:basedOn w:val="1"/>
    <w:qFormat/>
    <w:uiPriority w:val="0"/>
    <w:pPr>
      <w:ind w:firstLine="579" w:firstLineChars="200"/>
    </w:pPr>
    <w:rPr>
      <w:sz w:val="28"/>
      <w:szCs w:val="20"/>
    </w:rPr>
  </w:style>
  <w:style w:type="paragraph" w:customStyle="1" w:styleId="82">
    <w:name w:val="_Style 81"/>
    <w:unhideWhenUsed/>
    <w:qFormat/>
    <w:uiPriority w:val="99"/>
    <w:rPr>
      <w:rFonts w:ascii="Times New Roman" w:hAnsi="Times New Roman" w:eastAsia="宋体" w:cs="Times New Roman"/>
      <w:kern w:val="2"/>
      <w:sz w:val="21"/>
      <w:szCs w:val="24"/>
      <w:lang w:val="en-US" w:eastAsia="zh-CN" w:bidi="ar-SA"/>
    </w:rPr>
  </w:style>
  <w:style w:type="paragraph" w:customStyle="1" w:styleId="83">
    <w:name w:val="标题二级"/>
    <w:basedOn w:val="1"/>
    <w:qFormat/>
    <w:uiPriority w:val="0"/>
    <w:pPr>
      <w:spacing w:line="360" w:lineRule="auto"/>
      <w:ind w:firstLine="720" w:firstLineChars="200"/>
      <w:jc w:val="left"/>
    </w:pPr>
    <w:rPr>
      <w:b/>
      <w:sz w:val="24"/>
      <w:szCs w:val="24"/>
    </w:rPr>
  </w:style>
  <w:style w:type="paragraph" w:customStyle="1" w:styleId="84">
    <w:name w:val="中文报告书样式"/>
    <w:basedOn w:val="1"/>
    <w:qFormat/>
    <w:uiPriority w:val="0"/>
    <w:pPr>
      <w:adjustRightInd w:val="0"/>
      <w:spacing w:line="480" w:lineRule="atLeast"/>
      <w:ind w:firstLine="482"/>
    </w:pPr>
    <w:rPr>
      <w:rFonts w:ascii="宋体" w:hAnsi="宋体"/>
      <w:kern w:val="24"/>
      <w:sz w:val="24"/>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4.jpe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5.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jpe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oleObject" Target="embeddings/oleObject2.bin"/><Relationship Id="rId17" Type="http://schemas.openxmlformats.org/officeDocument/2006/relationships/image" Target="media/image7.wmf"/><Relationship Id="rId16" Type="http://schemas.openxmlformats.org/officeDocument/2006/relationships/oleObject" Target="embeddings/oleObject1.bin"/><Relationship Id="rId15" Type="http://schemas.openxmlformats.org/officeDocument/2006/relationships/image" Target="media/image6.jpe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92</Pages>
  <Words>6713</Words>
  <Characters>38269</Characters>
  <Lines>318</Lines>
  <Paragraphs>89</Paragraphs>
  <TotalTime>14</TotalTime>
  <ScaleCrop>false</ScaleCrop>
  <LinksUpToDate>false</LinksUpToDate>
  <CharactersWithSpaces>44893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17</cp:lastModifiedBy>
  <cp:lastPrinted>2020-12-29T02:43:00Z</cp:lastPrinted>
  <dcterms:modified xsi:type="dcterms:W3CDTF">2023-11-14T17:19:52Z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5781B15CC43445DE86E045B4B5CA0B17_13</vt:lpwstr>
  </property>
</Properties>
</file>