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default" w:ascii="宋体" w:hAnsi="宋体" w:eastAsia="宋体" w:cs="宋体"/>
          <w:b/>
          <w:bCs/>
          <w:color w:val="C00000"/>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w:t>
      </w:r>
      <w:r>
        <w:rPr>
          <w:rFonts w:hint="eastAsia" w:ascii="宋体" w:hAnsi="宋体" w:cs="宋体"/>
          <w:b/>
          <w:bCs/>
          <w:color w:val="auto"/>
          <w:sz w:val="30"/>
          <w:szCs w:val="30"/>
          <w:highlight w:val="none"/>
          <w:lang w:val="en-US" w:eastAsia="zh-CN"/>
        </w:rPr>
        <w:t>4</w:t>
      </w:r>
      <w:r>
        <w:rPr>
          <w:rFonts w:hint="eastAsia" w:ascii="宋体" w:hAnsi="宋体" w:eastAsia="宋体" w:cs="宋体"/>
          <w:b/>
          <w:bCs/>
          <w:color w:val="auto"/>
          <w:sz w:val="30"/>
          <w:szCs w:val="30"/>
          <w:highlight w:val="none"/>
          <w:lang w:val="en-US" w:eastAsia="zh-CN"/>
        </w:rPr>
        <w:t>]</w:t>
      </w:r>
      <w:r>
        <w:rPr>
          <w:rFonts w:hint="eastAsia" w:ascii="宋体" w:hAnsi="宋体" w:cs="宋体"/>
          <w:b/>
          <w:bCs/>
          <w:color w:val="auto"/>
          <w:sz w:val="30"/>
          <w:szCs w:val="30"/>
          <w:highlight w:val="none"/>
          <w:lang w:val="en-US" w:eastAsia="zh-CN"/>
        </w:rPr>
        <w:t>1号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关于临湘市鸿元建材有限责任公司年产60万立方商品混凝土搅拌站项目环境影响报告表的</w:t>
      </w:r>
      <w:r>
        <w:rPr>
          <w:rFonts w:hint="eastAsia" w:ascii="宋体" w:hAnsi="宋体" w:eastAsia="宋体" w:cs="宋体"/>
          <w:b/>
          <w:bCs/>
          <w:sz w:val="44"/>
          <w:szCs w:val="44"/>
          <w:lang w:val="en-US" w:eastAsia="zh-CN"/>
        </w:rPr>
        <w:t>批复</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临湘市鸿元建材有限责任公司: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你公司《临湘市鸿元建材有限责任公司年产60万立方商品混凝土搅拌站项目环境影响报告表报批申请书》《临湘市鸿元建材有限责任公司年产60万立方商品混凝土搅拌站项目环境影响报告表》和相关附件及临湘生态环境事务中心出具的《临湘市鸿元建材有限责任公司年产60万立方商品混凝土搅拌站项目环境影响报告表技术评估报告》</w:t>
      </w:r>
      <w:r>
        <w:rPr>
          <w:rFonts w:hint="eastAsia" w:ascii="仿宋" w:hAnsi="仿宋" w:eastAsia="仿宋" w:cs="仿宋"/>
          <w:color w:val="auto"/>
          <w:sz w:val="32"/>
          <w:szCs w:val="32"/>
          <w:highlight w:val="none"/>
          <w:lang w:val="en-US" w:eastAsia="zh-CN"/>
        </w:rPr>
        <w:t>（临环事评估[2023]14号）收悉,经研究，批复如下: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sectPr>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color w:val="auto"/>
          <w:sz w:val="32"/>
          <w:szCs w:val="32"/>
          <w:lang w:val="en-US" w:eastAsia="zh-CN"/>
        </w:rPr>
        <w:t>一、项目位于</w:t>
      </w:r>
      <w:r>
        <w:rPr>
          <w:rFonts w:hint="eastAsia" w:ascii="仿宋" w:hAnsi="仿宋" w:eastAsia="仿宋" w:cs="仿宋"/>
          <w:color w:val="000000"/>
          <w:sz w:val="32"/>
          <w:szCs w:val="32"/>
        </w:rPr>
        <w:t>湖南省临湘市坦渡镇晓阳村宋湾组</w:t>
      </w:r>
      <w:r>
        <w:rPr>
          <w:rFonts w:hint="eastAsia" w:ascii="仿宋" w:hAnsi="仿宋" w:eastAsia="仿宋" w:cs="仿宋"/>
          <w:color w:val="auto"/>
          <w:sz w:val="32"/>
          <w:szCs w:val="32"/>
          <w:lang w:val="en-US" w:eastAsia="zh-CN"/>
        </w:rPr>
        <w:t>，总用地面积</w:t>
      </w:r>
      <w:r>
        <w:rPr>
          <w:rFonts w:hint="eastAsia" w:ascii="仿宋" w:hAnsi="仿宋" w:eastAsia="仿宋" w:cs="仿宋"/>
          <w:color w:val="000000"/>
          <w:sz w:val="32"/>
          <w:szCs w:val="32"/>
        </w:rPr>
        <w:t>13438</w:t>
      </w:r>
      <w:r>
        <w:rPr>
          <w:rFonts w:hint="eastAsia" w:ascii="仿宋" w:hAnsi="仿宋" w:eastAsia="仿宋" w:cs="仿宋"/>
          <w:color w:val="auto"/>
          <w:sz w:val="32"/>
          <w:szCs w:val="32"/>
          <w:lang w:val="en-US" w:eastAsia="zh-CN"/>
        </w:rPr>
        <w:t>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，总投资2000万元，</w:t>
      </w:r>
      <w:r>
        <w:rPr>
          <w:rFonts w:hint="eastAsia" w:ascii="仿宋" w:hAnsi="仿宋" w:eastAsia="仿宋" w:cs="仿宋"/>
          <w:color w:val="000000"/>
          <w:sz w:val="32"/>
          <w:szCs w:val="32"/>
        </w:rPr>
        <w:t>其中环保投资82.5万元</w:t>
      </w:r>
      <w:r>
        <w:rPr>
          <w:rFonts w:hint="eastAsia" w:ascii="仿宋" w:hAnsi="仿宋" w:eastAsia="仿宋" w:cs="仿宋"/>
          <w:color w:val="000000"/>
          <w:sz w:val="32"/>
          <w:szCs w:val="32"/>
          <w:lang w:eastAsia="zh-CN"/>
        </w:rPr>
        <w:t>。项目</w:t>
      </w:r>
      <w:r>
        <w:rPr>
          <w:rFonts w:hint="eastAsia" w:ascii="仿宋" w:hAnsi="仿宋" w:eastAsia="仿宋" w:cs="仿宋"/>
          <w:color w:val="auto"/>
          <w:sz w:val="32"/>
          <w:szCs w:val="32"/>
          <w:lang w:val="en-US" w:eastAsia="zh-CN"/>
        </w:rPr>
        <w:t>主要建设两条180m</w:t>
      </w:r>
      <w:r>
        <w:rPr>
          <w:rFonts w:hint="eastAsia" w:ascii="仿宋" w:hAnsi="仿宋" w:eastAsia="仿宋" w:cs="仿宋"/>
          <w:color w:val="auto"/>
          <w:sz w:val="32"/>
          <w:szCs w:val="32"/>
          <w:vertAlign w:val="superscript"/>
          <w:lang w:val="en-US" w:eastAsia="zh-CN"/>
        </w:rPr>
        <w:t>3</w:t>
      </w:r>
      <w:r>
        <w:rPr>
          <w:rFonts w:hint="eastAsia" w:ascii="仿宋" w:hAnsi="仿宋" w:eastAsia="仿宋" w:cs="仿宋"/>
          <w:color w:val="auto"/>
          <w:sz w:val="32"/>
          <w:szCs w:val="32"/>
          <w:lang w:val="en-US" w:eastAsia="zh-CN"/>
        </w:rPr>
        <w:t>/h混凝土生产线，配套建设搅拌楼、砂石堆场、骨料仓及公用、环保设施等。主要原料为砂、碎石、水泥、粉煤灰、矿粉、膨胀剂、外加剂等，不使用沥青。主要生产工艺为配料－搅拌－混凝土搅拌车送工地。根据项目环境影响报告表的内容、结论和技术评估、专家评</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审意见，从环境保护角度考虑，我局原则同意你公司环境影响报告表所列性质、地点、规模、工艺和环境保护对策措施。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二、项目在建设和运营中，必须全面落实《报告表》提出的各项污染防治设施和措施，严格执行环保“三同时”制度，并着重做好以下几方面的工作：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落实施工期各项污染防治和生态保护措施。采用先进的施工设备，合理作业时间、施工方式，科学开挖，按要求做好土石方平衡，落实扬尘防治要求，加强对车辆运输、物料堆存等管理，设置车辆进出冲洗平台，合理收集回用施工废水，及时洒水降尘，防止噪声、施工废水、弃（渣）土、扬尘等污染周边环境；落实水土保持措施，做好区域周边截排水沟、护坡、植被恢复等工作。</w:t>
      </w:r>
    </w:p>
    <w:p>
      <w:pPr>
        <w:pStyle w:val="2"/>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color w:val="000000"/>
          <w:kern w:val="2"/>
          <w:sz w:val="32"/>
          <w:szCs w:val="32"/>
          <w:lang w:val="en-US" w:eastAsia="zh-CN" w:bidi="ar-SA"/>
        </w:rPr>
        <w:t>、废气污染防治。</w:t>
      </w:r>
      <w:r>
        <w:rPr>
          <w:rFonts w:hint="eastAsia" w:ascii="仿宋" w:hAnsi="仿宋" w:eastAsia="仿宋" w:cs="仿宋"/>
          <w:color w:val="auto"/>
          <w:sz w:val="32"/>
          <w:szCs w:val="32"/>
          <w:lang w:val="en-US" w:eastAsia="zh-CN"/>
        </w:rPr>
        <w:t>建设封闭式的</w:t>
      </w:r>
      <w:r>
        <w:rPr>
          <w:rFonts w:hint="eastAsia" w:ascii="仿宋" w:hAnsi="仿宋" w:eastAsia="仿宋" w:cs="仿宋"/>
          <w:color w:val="auto"/>
          <w:sz w:val="32"/>
          <w:szCs w:val="32"/>
        </w:rPr>
        <w:t>砂石</w:t>
      </w:r>
      <w:r>
        <w:rPr>
          <w:rFonts w:hint="eastAsia" w:ascii="仿宋" w:hAnsi="仿宋" w:eastAsia="仿宋" w:cs="仿宋"/>
          <w:color w:val="auto"/>
          <w:sz w:val="32"/>
          <w:szCs w:val="32"/>
          <w:lang w:val="en-US" w:eastAsia="zh-CN"/>
        </w:rPr>
        <w:t>堆场、储库，</w:t>
      </w:r>
      <w:r>
        <w:rPr>
          <w:rFonts w:hint="eastAsia" w:ascii="仿宋" w:hAnsi="仿宋" w:eastAsia="仿宋" w:cs="仿宋"/>
          <w:color w:val="000000"/>
          <w:kern w:val="2"/>
          <w:sz w:val="32"/>
          <w:szCs w:val="32"/>
          <w:lang w:val="en-US" w:eastAsia="zh-CN" w:bidi="ar-SA"/>
        </w:rPr>
        <w:t>外加剂采用专用管道、</w:t>
      </w:r>
      <w:r>
        <w:rPr>
          <w:rFonts w:hint="eastAsia" w:ascii="仿宋" w:hAnsi="仿宋" w:eastAsia="仿宋" w:cs="仿宋"/>
          <w:sz w:val="32"/>
          <w:szCs w:val="32"/>
          <w:lang w:eastAsia="zh-CN"/>
        </w:rPr>
        <w:t>易产尘物料采用</w:t>
      </w:r>
      <w:r>
        <w:rPr>
          <w:rFonts w:hint="eastAsia" w:ascii="仿宋" w:hAnsi="仿宋" w:eastAsia="仿宋" w:cs="仿宋"/>
          <w:sz w:val="32"/>
          <w:szCs w:val="32"/>
        </w:rPr>
        <w:t>全封闭皮带</w:t>
      </w:r>
      <w:r>
        <w:rPr>
          <w:rFonts w:hint="eastAsia" w:ascii="仿宋" w:hAnsi="仿宋" w:eastAsia="仿宋" w:cs="仿宋"/>
          <w:sz w:val="32"/>
          <w:szCs w:val="32"/>
          <w:lang w:eastAsia="zh-CN"/>
        </w:rPr>
        <w:t>输送</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水泥、矿粉、粉煤灰、</w:t>
      </w:r>
      <w:r>
        <w:rPr>
          <w:rFonts w:hint="eastAsia" w:ascii="仿宋" w:hAnsi="仿宋" w:eastAsia="仿宋" w:cs="仿宋"/>
          <w:color w:val="auto"/>
          <w:sz w:val="32"/>
          <w:szCs w:val="32"/>
          <w:lang w:eastAsia="zh-CN"/>
        </w:rPr>
        <w:t>膨胀剂</w:t>
      </w:r>
      <w:r>
        <w:rPr>
          <w:rFonts w:hint="eastAsia" w:ascii="仿宋" w:hAnsi="仿宋" w:eastAsia="仿宋" w:cs="仿宋"/>
          <w:color w:val="auto"/>
          <w:sz w:val="32"/>
          <w:szCs w:val="32"/>
          <w:lang w:val="en-US" w:eastAsia="zh-CN"/>
        </w:rPr>
        <w:t>等粉料采用罐车运输、封闭输送、筒仓存放并</w:t>
      </w:r>
      <w:r>
        <w:rPr>
          <w:rFonts w:hint="eastAsia" w:ascii="仿宋" w:hAnsi="仿宋" w:eastAsia="仿宋" w:cs="仿宋"/>
          <w:sz w:val="32"/>
          <w:szCs w:val="32"/>
          <w:lang w:eastAsia="zh-CN"/>
        </w:rPr>
        <w:t>配置布袋除尘设施；</w:t>
      </w:r>
      <w:r>
        <w:rPr>
          <w:rFonts w:hint="eastAsia" w:ascii="仿宋" w:hAnsi="仿宋" w:eastAsia="仿宋" w:cs="仿宋"/>
          <w:color w:val="auto"/>
          <w:sz w:val="32"/>
          <w:szCs w:val="32"/>
          <w:lang w:val="en-US" w:eastAsia="zh-CN"/>
        </w:rPr>
        <w:t>砂</w:t>
      </w:r>
      <w:r>
        <w:rPr>
          <w:rFonts w:hint="eastAsia" w:ascii="仿宋" w:hAnsi="仿宋" w:eastAsia="仿宋" w:cs="仿宋"/>
          <w:sz w:val="32"/>
          <w:szCs w:val="32"/>
          <w:lang w:eastAsia="zh-CN"/>
        </w:rPr>
        <w:t>石</w:t>
      </w:r>
      <w:r>
        <w:rPr>
          <w:rFonts w:hint="eastAsia" w:ascii="仿宋" w:hAnsi="仿宋" w:eastAsia="仿宋" w:cs="仿宋"/>
          <w:sz w:val="32"/>
          <w:szCs w:val="32"/>
        </w:rPr>
        <w:t>料装卸</w:t>
      </w:r>
      <w:r>
        <w:rPr>
          <w:rFonts w:hint="eastAsia" w:ascii="仿宋" w:hAnsi="仿宋" w:eastAsia="仿宋" w:cs="仿宋"/>
          <w:sz w:val="32"/>
          <w:szCs w:val="32"/>
          <w:lang w:eastAsia="zh-CN"/>
        </w:rPr>
        <w:t>、</w:t>
      </w:r>
      <w:r>
        <w:rPr>
          <w:rFonts w:hint="eastAsia" w:ascii="仿宋" w:hAnsi="仿宋" w:eastAsia="仿宋" w:cs="仿宋"/>
          <w:sz w:val="32"/>
          <w:szCs w:val="32"/>
        </w:rPr>
        <w:t>堆存、</w:t>
      </w:r>
      <w:r>
        <w:rPr>
          <w:rFonts w:hint="eastAsia" w:ascii="仿宋" w:hAnsi="仿宋" w:eastAsia="仿宋" w:cs="仿宋"/>
          <w:sz w:val="32"/>
          <w:szCs w:val="32"/>
          <w:lang w:eastAsia="zh-CN"/>
        </w:rPr>
        <w:t>转运</w:t>
      </w:r>
      <w:r>
        <w:rPr>
          <w:rFonts w:hint="eastAsia" w:ascii="仿宋" w:hAnsi="仿宋" w:eastAsia="仿宋" w:cs="仿宋"/>
          <w:sz w:val="32"/>
          <w:szCs w:val="32"/>
        </w:rPr>
        <w:t>等易产尘的环节</w:t>
      </w:r>
      <w:r>
        <w:rPr>
          <w:rFonts w:hint="eastAsia" w:ascii="仿宋" w:hAnsi="仿宋" w:eastAsia="仿宋" w:cs="仿宋"/>
          <w:sz w:val="32"/>
          <w:szCs w:val="32"/>
          <w:lang w:eastAsia="zh-CN"/>
        </w:rPr>
        <w:t>及</w:t>
      </w:r>
      <w:r>
        <w:rPr>
          <w:rFonts w:hint="eastAsia" w:ascii="仿宋" w:hAnsi="仿宋" w:eastAsia="仿宋" w:cs="仿宋"/>
          <w:color w:val="auto"/>
          <w:sz w:val="32"/>
          <w:szCs w:val="32"/>
          <w:lang w:eastAsia="zh-CN"/>
        </w:rPr>
        <w:t>拌料主机均</w:t>
      </w:r>
      <w:r>
        <w:rPr>
          <w:rFonts w:hint="eastAsia" w:ascii="仿宋" w:hAnsi="仿宋" w:eastAsia="仿宋" w:cs="仿宋"/>
          <w:sz w:val="32"/>
          <w:szCs w:val="32"/>
        </w:rPr>
        <w:t>应设置</w:t>
      </w:r>
      <w:r>
        <w:rPr>
          <w:rFonts w:hint="eastAsia" w:ascii="仿宋" w:hAnsi="仿宋" w:eastAsia="仿宋" w:cs="仿宋"/>
          <w:sz w:val="32"/>
          <w:szCs w:val="32"/>
          <w:lang w:eastAsia="zh-CN"/>
        </w:rPr>
        <w:t>高效除尘装置。</w:t>
      </w:r>
      <w:r>
        <w:rPr>
          <w:rFonts w:hint="eastAsia" w:ascii="仿宋" w:hAnsi="仿宋" w:eastAsia="仿宋" w:cs="仿宋"/>
          <w:color w:val="auto"/>
          <w:sz w:val="32"/>
          <w:szCs w:val="32"/>
          <w:lang w:val="en-US" w:eastAsia="zh-CN"/>
        </w:rPr>
        <w:t>加强厂区绿化和运输管理，对厂区道路、物料堆放、转运、生产区等地面均应进行硬化，及时清扫、洒水降尘，</w:t>
      </w:r>
      <w:r>
        <w:rPr>
          <w:rFonts w:hint="eastAsia" w:ascii="仿宋" w:hAnsi="仿宋" w:eastAsia="仿宋" w:cs="仿宋"/>
          <w:sz w:val="32"/>
          <w:szCs w:val="32"/>
        </w:rPr>
        <w:t>运输散料的车辆应进行覆盖</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进出车辆设置洗车平台。厂界无组织粉尘须达到《水泥工业大气污染物排放标准》(GB 4915-2013)中表3 大气污染物无组织排放限值要求；食堂油烟经油烟净化器处理后由通风管道引至屋顶排放，满足《饮食业油烟排放标准（试行）》（GB18483-2001）中限值要求。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3、水污染防治。实行雨污分流，污污分流，建设完善的区域截（排）水沟、雨污水管网、废水收集回用系统。设备清洗废水、罐车清洗废水、出入车辆冲洗废水、地面及道路冲洗废水等经砂石分离机+三级沉淀处理后回用，不外排；初期冲刷雨水经沉淀后用于厂区绿化或降尘；生活污水经隔油、化粪池处理后回用于周边菜地施肥；做好危废间、药剂罐、污水处理设施等部位的防渗工作，确保</w:t>
      </w:r>
      <w:r>
        <w:rPr>
          <w:rFonts w:hint="eastAsia" w:ascii="仿宋" w:hAnsi="仿宋" w:eastAsia="仿宋" w:cs="仿宋"/>
          <w:color w:val="000000"/>
          <w:sz w:val="32"/>
          <w:szCs w:val="32"/>
        </w:rPr>
        <w:t>土壤</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地下水</w:t>
      </w:r>
      <w:r>
        <w:rPr>
          <w:rFonts w:hint="eastAsia" w:ascii="仿宋" w:hAnsi="仿宋" w:eastAsia="仿宋" w:cs="仿宋"/>
          <w:bCs/>
          <w:color w:val="000000"/>
          <w:sz w:val="32"/>
          <w:szCs w:val="32"/>
          <w:lang w:val="en-US" w:eastAsia="zh-CN"/>
        </w:rPr>
        <w:t>环境</w:t>
      </w:r>
      <w:r>
        <w:rPr>
          <w:rFonts w:hint="eastAsia" w:ascii="仿宋" w:hAnsi="仿宋" w:eastAsia="仿宋" w:cs="仿宋"/>
          <w:color w:val="000000"/>
          <w:sz w:val="32"/>
          <w:szCs w:val="32"/>
          <w:lang w:val="en-US" w:eastAsia="zh-CN"/>
        </w:rPr>
        <w:t>安全。</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4、固体废物管理。严格按《一般工业固体废物贮存和填埋污染控制标准》（GB 18599-2020）、《危险废物贮存污染控制标准》（GB 18597-2023）要求建设规范的暂存场所和管理台帐，落实各项管理要求。除尘粉尘、废砂石料、沉淀池沉渣、试验废渣等分类收集、综合利用或合理处置，废矿物油及废矿物油桶、含油抹布等危险废物，交有资质单位安全处置并落实转移联单制度，生活垃圾交环卫部门日产日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5、噪声污染防治。</w:t>
      </w:r>
      <w:r>
        <w:rPr>
          <w:rFonts w:hint="eastAsia" w:ascii="仿宋" w:hAnsi="仿宋" w:eastAsia="仿宋" w:cs="仿宋"/>
          <w:kern w:val="0"/>
          <w:sz w:val="32"/>
          <w:szCs w:val="32"/>
          <w:highlight w:val="none"/>
        </w:rPr>
        <w:t>优先选用低噪声设备</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采取封闭</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减震、优化布局、加强设备维修保养等降噪措施</w:t>
      </w:r>
      <w:r>
        <w:rPr>
          <w:rFonts w:hint="eastAsia" w:ascii="仿宋" w:hAnsi="仿宋" w:eastAsia="仿宋" w:cs="仿宋"/>
          <w:color w:val="auto"/>
          <w:sz w:val="32"/>
          <w:szCs w:val="32"/>
          <w:lang w:val="en-US" w:eastAsia="zh-CN"/>
        </w:rPr>
        <w:t>，确保噪声满足《工业企业厂界环境噪声排放标准》（GB12348-2008）2类标准要求。同时，加强物料运输车辆管理，合理安排运输时间，途经声敏感目标处采取禁鸣、限速等措施，不得扰民。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环境管理。设置环保机构和专职人员，建立健全的环境管理制度；做好非正常工况下的污染防治措施，确保设施正常稳定运行；落实企业自行监测、排污许可等要求；制订环境风险应急预案、落实各项风险防范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三、项目建成后应按规定程序实施竣工环境保护验收。由岳阳市临湘生态环境保护综合行政执法大队负责该项目的日常现场监管。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bookmarkStart w:id="0" w:name="_GoBack"/>
      <w:bookmarkEnd w:id="0"/>
      <w:r>
        <w:rPr>
          <w:rFonts w:hint="eastAsia" w:ascii="仿宋" w:hAnsi="仿宋" w:eastAsia="仿宋" w:cs="仿宋"/>
          <w:color w:val="auto"/>
          <w:sz w:val="32"/>
          <w:szCs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2024年1月2日</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orbel">
    <w:panose1 w:val="020B0503020204020204"/>
    <w:charset w:val="00"/>
    <w:family w:val="swiss"/>
    <w:pitch w:val="default"/>
    <w:sig w:usb0="A00002EF" w:usb1="4000A44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F034B0"/>
    <w:rsid w:val="016917D0"/>
    <w:rsid w:val="02094A42"/>
    <w:rsid w:val="02201D8C"/>
    <w:rsid w:val="02B052A9"/>
    <w:rsid w:val="033C2BF5"/>
    <w:rsid w:val="04543BD9"/>
    <w:rsid w:val="04EF637A"/>
    <w:rsid w:val="050A7828"/>
    <w:rsid w:val="055A37CE"/>
    <w:rsid w:val="05882122"/>
    <w:rsid w:val="063432E0"/>
    <w:rsid w:val="06356E85"/>
    <w:rsid w:val="0720217B"/>
    <w:rsid w:val="07B860D2"/>
    <w:rsid w:val="088157B3"/>
    <w:rsid w:val="09372C1B"/>
    <w:rsid w:val="0A7003AD"/>
    <w:rsid w:val="0B843220"/>
    <w:rsid w:val="0D5277EA"/>
    <w:rsid w:val="0D783CF0"/>
    <w:rsid w:val="0F2B7CF7"/>
    <w:rsid w:val="0FFB0A97"/>
    <w:rsid w:val="105B45EA"/>
    <w:rsid w:val="119E3C43"/>
    <w:rsid w:val="12386C7D"/>
    <w:rsid w:val="145E1773"/>
    <w:rsid w:val="146F4846"/>
    <w:rsid w:val="15C670F1"/>
    <w:rsid w:val="16295162"/>
    <w:rsid w:val="176D58E3"/>
    <w:rsid w:val="182D216E"/>
    <w:rsid w:val="1B542D7A"/>
    <w:rsid w:val="1C2753DD"/>
    <w:rsid w:val="1C8970B8"/>
    <w:rsid w:val="1CDD6D9F"/>
    <w:rsid w:val="1D885F8D"/>
    <w:rsid w:val="1DE5159F"/>
    <w:rsid w:val="1EAC29A2"/>
    <w:rsid w:val="209049BA"/>
    <w:rsid w:val="20D2125C"/>
    <w:rsid w:val="21BC716B"/>
    <w:rsid w:val="21F20C55"/>
    <w:rsid w:val="229323DA"/>
    <w:rsid w:val="22B32480"/>
    <w:rsid w:val="23FE1AD5"/>
    <w:rsid w:val="241166F8"/>
    <w:rsid w:val="257A162F"/>
    <w:rsid w:val="2A0C73EE"/>
    <w:rsid w:val="2B281665"/>
    <w:rsid w:val="2B5D0E8F"/>
    <w:rsid w:val="2C450698"/>
    <w:rsid w:val="2D263666"/>
    <w:rsid w:val="2D632669"/>
    <w:rsid w:val="2DBD030B"/>
    <w:rsid w:val="2E7678C0"/>
    <w:rsid w:val="2ED1787F"/>
    <w:rsid w:val="2FC812C3"/>
    <w:rsid w:val="301E705B"/>
    <w:rsid w:val="308D25B3"/>
    <w:rsid w:val="31B072CE"/>
    <w:rsid w:val="32566F80"/>
    <w:rsid w:val="337D00C3"/>
    <w:rsid w:val="33BA2B77"/>
    <w:rsid w:val="343B422E"/>
    <w:rsid w:val="34693BB9"/>
    <w:rsid w:val="34F82570"/>
    <w:rsid w:val="36164A44"/>
    <w:rsid w:val="368F480F"/>
    <w:rsid w:val="36D031AF"/>
    <w:rsid w:val="38D24EFB"/>
    <w:rsid w:val="39137979"/>
    <w:rsid w:val="39AC1B82"/>
    <w:rsid w:val="39B7021F"/>
    <w:rsid w:val="3A6C1A43"/>
    <w:rsid w:val="3AE0324A"/>
    <w:rsid w:val="3B8457E6"/>
    <w:rsid w:val="3BB43299"/>
    <w:rsid w:val="3BB9694D"/>
    <w:rsid w:val="3D0B7FB1"/>
    <w:rsid w:val="3E366126"/>
    <w:rsid w:val="3F6237E0"/>
    <w:rsid w:val="404B58F8"/>
    <w:rsid w:val="425F20D3"/>
    <w:rsid w:val="427B09B6"/>
    <w:rsid w:val="448D37DB"/>
    <w:rsid w:val="44A302AB"/>
    <w:rsid w:val="45BB2CC5"/>
    <w:rsid w:val="4635035D"/>
    <w:rsid w:val="46450513"/>
    <w:rsid w:val="4A0044FF"/>
    <w:rsid w:val="4B0101DB"/>
    <w:rsid w:val="4B105AC6"/>
    <w:rsid w:val="4BB91646"/>
    <w:rsid w:val="4CAC5CC3"/>
    <w:rsid w:val="4D1D271C"/>
    <w:rsid w:val="4FB85C1B"/>
    <w:rsid w:val="501F1CD6"/>
    <w:rsid w:val="512B1415"/>
    <w:rsid w:val="525168F3"/>
    <w:rsid w:val="52724BEA"/>
    <w:rsid w:val="52B84708"/>
    <w:rsid w:val="53647824"/>
    <w:rsid w:val="53DA3115"/>
    <w:rsid w:val="5429442D"/>
    <w:rsid w:val="54CE3AA7"/>
    <w:rsid w:val="55747599"/>
    <w:rsid w:val="570D1EFB"/>
    <w:rsid w:val="57A24699"/>
    <w:rsid w:val="57B28357"/>
    <w:rsid w:val="57C92524"/>
    <w:rsid w:val="57D460CD"/>
    <w:rsid w:val="58F540EC"/>
    <w:rsid w:val="5A225816"/>
    <w:rsid w:val="5AAD149A"/>
    <w:rsid w:val="5BC53E99"/>
    <w:rsid w:val="5DB55401"/>
    <w:rsid w:val="5F7F3E00"/>
    <w:rsid w:val="5FD215C4"/>
    <w:rsid w:val="61377DF9"/>
    <w:rsid w:val="615838CB"/>
    <w:rsid w:val="619954AC"/>
    <w:rsid w:val="628C5F22"/>
    <w:rsid w:val="63533FCE"/>
    <w:rsid w:val="63BE20DB"/>
    <w:rsid w:val="63BF2AC1"/>
    <w:rsid w:val="65181DFC"/>
    <w:rsid w:val="668D2465"/>
    <w:rsid w:val="671C08F5"/>
    <w:rsid w:val="677A5ED1"/>
    <w:rsid w:val="6818677F"/>
    <w:rsid w:val="693D7F76"/>
    <w:rsid w:val="6A612865"/>
    <w:rsid w:val="6B8D38E9"/>
    <w:rsid w:val="6BC73521"/>
    <w:rsid w:val="6BC93D43"/>
    <w:rsid w:val="6CD81D64"/>
    <w:rsid w:val="6D1475D1"/>
    <w:rsid w:val="6D547741"/>
    <w:rsid w:val="6E3F5E0E"/>
    <w:rsid w:val="6ED01808"/>
    <w:rsid w:val="6FA348AB"/>
    <w:rsid w:val="6FD853B1"/>
    <w:rsid w:val="703260F9"/>
    <w:rsid w:val="715F1F17"/>
    <w:rsid w:val="74D55507"/>
    <w:rsid w:val="75660855"/>
    <w:rsid w:val="75D8466B"/>
    <w:rsid w:val="766074A2"/>
    <w:rsid w:val="775F7269"/>
    <w:rsid w:val="776F496F"/>
    <w:rsid w:val="790E0FE8"/>
    <w:rsid w:val="79BF727F"/>
    <w:rsid w:val="7A54790D"/>
    <w:rsid w:val="7A90282B"/>
    <w:rsid w:val="7C0F0541"/>
    <w:rsid w:val="7C3C67E8"/>
    <w:rsid w:val="7CA73C2D"/>
    <w:rsid w:val="7CF35AE3"/>
    <w:rsid w:val="7D1735C6"/>
    <w:rsid w:val="7DC27C61"/>
    <w:rsid w:val="8F34AA43"/>
    <w:rsid w:val="9E2E1BCA"/>
    <w:rsid w:val="E8A3CC75"/>
    <w:rsid w:val="F578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9">
    <w:name w:val="heading 3"/>
    <w:basedOn w:val="1"/>
    <w:next w:val="1"/>
    <w:autoRedefine/>
    <w:qFormat/>
    <w:uiPriority w:val="0"/>
    <w:pPr>
      <w:adjustRightInd w:val="0"/>
      <w:spacing w:line="460" w:lineRule="exact"/>
      <w:jc w:val="left"/>
      <w:textAlignment w:val="baseline"/>
      <w:outlineLvl w:val="2"/>
    </w:pPr>
    <w:rPr>
      <w:kern w:val="0"/>
      <w:sz w:val="24"/>
      <w:szCs w:val="20"/>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6"/>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Body Text"/>
    <w:basedOn w:val="1"/>
    <w:next w:val="4"/>
    <w:autoRedefine/>
    <w:unhideWhenUsed/>
    <w:qFormat/>
    <w:uiPriority w:val="0"/>
    <w:pPr>
      <w:spacing w:after="120"/>
    </w:pPr>
  </w:style>
  <w:style w:type="paragraph" w:customStyle="1" w:styleId="4">
    <w:name w:val="xl27"/>
    <w:basedOn w:val="1"/>
    <w:next w:val="5"/>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5">
    <w:name w:val="Body Text Indent 2"/>
    <w:basedOn w:val="1"/>
    <w:next w:val="1"/>
    <w:autoRedefine/>
    <w:qFormat/>
    <w:uiPriority w:val="0"/>
    <w:pPr>
      <w:spacing w:after="120" w:afterLines="0" w:line="480" w:lineRule="auto"/>
      <w:ind w:left="420" w:leftChars="200"/>
    </w:pPr>
  </w:style>
  <w:style w:type="paragraph" w:styleId="6">
    <w:name w:val="List"/>
    <w:basedOn w:val="1"/>
    <w:autoRedefine/>
    <w:qFormat/>
    <w:uiPriority w:val="0"/>
    <w:pPr>
      <w:spacing w:line="360" w:lineRule="exact"/>
      <w:ind w:firstLine="38" w:firstLineChars="18"/>
      <w:jc w:val="left"/>
    </w:pPr>
    <w:rPr>
      <w:rFonts w:ascii="宋体"/>
      <w:szCs w:val="21"/>
    </w:rPr>
  </w:style>
  <w:style w:type="paragraph" w:styleId="10">
    <w:name w:val="Body Text Indent"/>
    <w:basedOn w:val="1"/>
    <w:next w:val="11"/>
    <w:autoRedefine/>
    <w:qFormat/>
    <w:uiPriority w:val="0"/>
    <w:pPr>
      <w:spacing w:line="360" w:lineRule="auto"/>
      <w:ind w:firstLine="570"/>
    </w:pPr>
    <w:rPr>
      <w:rFonts w:eastAsia="仿宋_GB2312"/>
      <w:sz w:val="28"/>
      <w:szCs w:val="20"/>
    </w:rPr>
  </w:style>
  <w:style w:type="paragraph" w:styleId="11">
    <w:name w:val="Body Text First Indent"/>
    <w:basedOn w:val="3"/>
    <w:next w:val="1"/>
    <w:autoRedefine/>
    <w:unhideWhenUsed/>
    <w:qFormat/>
    <w:uiPriority w:val="99"/>
    <w:pPr>
      <w:adjustRightInd w:val="0"/>
      <w:snapToGrid w:val="0"/>
      <w:spacing w:after="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39"/>
  </w:style>
  <w:style w:type="paragraph" w:styleId="15">
    <w:name w:val="Body Text Indent 3"/>
    <w:basedOn w:val="1"/>
    <w:autoRedefine/>
    <w:qFormat/>
    <w:uiPriority w:val="0"/>
    <w:pPr>
      <w:spacing w:after="120"/>
      <w:ind w:left="420" w:leftChars="200"/>
    </w:pPr>
    <w:rPr>
      <w:sz w:val="16"/>
      <w:szCs w:val="16"/>
    </w:rPr>
  </w:style>
  <w:style w:type="paragraph" w:styleId="16">
    <w:name w:val="Title"/>
    <w:basedOn w:val="1"/>
    <w:next w:val="1"/>
    <w:autoRedefine/>
    <w:qFormat/>
    <w:uiPriority w:val="0"/>
    <w:pPr>
      <w:spacing w:before="240" w:after="60"/>
      <w:jc w:val="left"/>
      <w:outlineLvl w:val="0"/>
    </w:pPr>
    <w:rPr>
      <w:rFonts w:ascii="Arial" w:hAnsi="Arial"/>
      <w:b/>
      <w:sz w:val="32"/>
    </w:rPr>
  </w:style>
  <w:style w:type="paragraph" w:styleId="17">
    <w:name w:val="Body Text First Indent 2"/>
    <w:basedOn w:val="10"/>
    <w:next w:val="1"/>
    <w:autoRedefine/>
    <w:qFormat/>
    <w:uiPriority w:val="0"/>
    <w:pPr>
      <w:spacing w:after="120" w:line="240" w:lineRule="auto"/>
      <w:ind w:left="420" w:leftChars="200" w:firstLine="420" w:firstLineChars="200"/>
    </w:pPr>
    <w:rPr>
      <w:rFonts w:ascii="Corbel" w:hAnsi="Corbel"/>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纯文本1"/>
    <w:basedOn w:val="1"/>
    <w:autoRedefine/>
    <w:qFormat/>
    <w:uiPriority w:val="0"/>
    <w:rPr>
      <w:rFonts w:ascii="宋体" w:hAnsi="Courier New"/>
      <w:szCs w:val="20"/>
    </w:rPr>
  </w:style>
  <w:style w:type="paragraph" w:customStyle="1" w:styleId="23">
    <w:name w:val="样式 样式 首行缩进:  2 字符 + 首行缩进:  2 字符"/>
    <w:basedOn w:val="1"/>
    <w:next w:val="14"/>
    <w:autoRedefine/>
    <w:qFormat/>
    <w:uiPriority w:val="0"/>
    <w:pPr>
      <w:snapToGrid w:val="0"/>
      <w:spacing w:line="360" w:lineRule="auto"/>
      <w:ind w:firstLine="560" w:firstLineChars="200"/>
    </w:pPr>
    <w:rPr>
      <w:spacing w:val="0"/>
      <w:sz w:val="28"/>
    </w:rPr>
  </w:style>
  <w:style w:type="paragraph" w:customStyle="1" w:styleId="24">
    <w:name w:val="样式 正文文本缩进 + 行距: 1.5 倍行距"/>
    <w:basedOn w:val="10"/>
    <w:autoRedefine/>
    <w:qFormat/>
    <w:uiPriority w:val="0"/>
    <w:pPr>
      <w:spacing w:before="0" w:after="120"/>
      <w:ind w:left="90" w:leftChars="32" w:firstLine="560" w:firstLineChars="200"/>
    </w:pPr>
    <w:rPr>
      <w:rFonts w:ascii="Times New Roman" w:cs="宋体"/>
    </w:rPr>
  </w:style>
  <w:style w:type="paragraph" w:customStyle="1" w:styleId="25">
    <w:name w:val="文本"/>
    <w:basedOn w:val="1"/>
    <w:next w:val="1"/>
    <w:autoRedefine/>
    <w:qFormat/>
    <w:uiPriority w:val="0"/>
    <w:pPr>
      <w:autoSpaceDE w:val="0"/>
      <w:autoSpaceDN w:val="0"/>
      <w:ind w:firstLine="480"/>
    </w:pPr>
    <w:rPr>
      <w:rFonts w:cs="Times New Roman"/>
      <w:szCs w:val="24"/>
      <w:lang w:val="zh-CN"/>
    </w:rPr>
  </w:style>
  <w:style w:type="character" w:customStyle="1" w:styleId="26">
    <w:name w:val="报告正文 Char Char"/>
    <w:autoRedefine/>
    <w:qFormat/>
    <w:uiPriority w:val="0"/>
    <w:rPr>
      <w:rFonts w:ascii="Times New Roman" w:hAnsi="Times New Roman" w:eastAsia="宋体" w:cs="Times New Roman"/>
      <w:color w:val="000000"/>
      <w:sz w:val="24"/>
      <w:szCs w:val="24"/>
    </w:rPr>
  </w:style>
  <w:style w:type="paragraph" w:customStyle="1" w:styleId="27">
    <w:name w:val="C正文"/>
    <w:basedOn w:val="1"/>
    <w:autoRedefine/>
    <w:qFormat/>
    <w:uiPriority w:val="0"/>
    <w:pPr>
      <w:wordWrap w:val="0"/>
      <w:ind w:firstLine="480"/>
    </w:pPr>
    <w:rPr>
      <w:rFonts w:ascii="Times New Roman" w:hAnsi="Times New Roman"/>
    </w:rPr>
  </w:style>
  <w:style w:type="paragraph" w:customStyle="1" w:styleId="28">
    <w:name w:val="正文1"/>
    <w:next w:val="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29">
    <w:name w:val="正文 首行缩进"/>
    <w:basedOn w:val="1"/>
    <w:qFormat/>
    <w:uiPriority w:val="0"/>
    <w:pPr>
      <w:spacing w:line="360" w:lineRule="auto"/>
      <w:ind w:firstLine="200" w:firstLineChars="200"/>
    </w:pPr>
    <w:rPr>
      <w:rFonts w:cs="宋体"/>
      <w:kern w:val="0"/>
      <w:szCs w:val="20"/>
    </w:rPr>
  </w:style>
  <w:style w:type="paragraph" w:customStyle="1" w:styleId="30">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1">
    <w:name w:val="表格文字"/>
    <w:basedOn w:val="1"/>
    <w:autoRedefine/>
    <w:qFormat/>
    <w:uiPriority w:val="0"/>
    <w:pPr>
      <w:adjustRightInd w:val="0"/>
      <w:snapToGrid w:val="0"/>
      <w:jc w:val="center"/>
    </w:pPr>
    <w:rPr>
      <w:rFonts w:ascii="宋体" w:hAnsi="宋体"/>
      <w:szCs w:val="20"/>
    </w:rPr>
  </w:style>
  <w:style w:type="paragraph" w:customStyle="1" w:styleId="32">
    <w:name w:val="Default2"/>
    <w:next w:val="33"/>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3">
    <w:name w:val="目录 91662"/>
    <w:next w:val="1"/>
    <w:autoRedefine/>
    <w:qFormat/>
    <w:uiPriority w:val="0"/>
    <w:pPr>
      <w:wordWrap w:val="0"/>
      <w:ind w:left="2975"/>
      <w:jc w:val="both"/>
    </w:pPr>
    <w:rPr>
      <w:rFonts w:ascii="Times New Roman"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1495</Words>
  <Characters>1598</Characters>
  <Lines>0</Lines>
  <Paragraphs>0</Paragraphs>
  <TotalTime>12</TotalTime>
  <ScaleCrop>false</ScaleCrop>
  <LinksUpToDate>false</LinksUpToDate>
  <CharactersWithSpaces>1611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2022-01-29T00:36:00Z</dcterms:created>
  <dc:creator>lenovo</dc:creator>
  <cp:lastModifiedBy>无语</cp:lastModifiedBy>
  <cp:lastPrinted>2023-10-28T00:48:00Z</cp:lastPrinted>
  <dcterms:modified xsi:type="dcterms:W3CDTF">2023-12-29T07:12:14Z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A3BE4E80826E4E448D22C89DCB3E70FD</vt:lpwstr>
  </property>
</Properties>
</file>