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岳临环评[202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]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号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临湘海螺水泥有限责任公司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水泥窑综合利用一般固废70万t/a调整改造项目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环境影响报告表的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临湘海螺水泥有限责任公司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你公司《关于申请办理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临湘海螺水泥有限责任公司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水泥窑综合利用一般固废70万t/a调整改造项目环境影响评价审批手续的报告》《水泥窑综合利用一般固废70万t/a调整改造项目环境影响报告表》和相关附件及临湘生态环境事务中心出具的《临湘海螺水泥有限责任公司水泥窑综合利用一般固废70万t/a调整改造项目环境影响报告表技术评估报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（临环事评估[2023]16号）收悉,经研究，批复如下: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你公司依托现有的4500t/d水泥熟料生产线，拟在原址上对现有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水泥窑综合利用一般固废70万t/a项目进行调整改造，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总投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120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vertAlign w:val="baseline"/>
          <w:lang w:val="en-US" w:eastAsia="zh-CN"/>
        </w:rPr>
        <w:t>其中环保投资15万元。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主要调整改造内容为：一是调整一般固废种类：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取消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铁粉、采矿选矿粉末、铁矿采矿粉末、建筑垃圾、煤矸石、黄磷渣、石灰石粉末、混合石膏、硬石膏、二水石膏、电炉渣、电石渣、铁合金炉渣、柠檬渣、烧页岩、重矿渣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等16种一般固废，新增选矿废渣（尾砂）和好氧污泥2种一般固废，保留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砂岩粉末、有色金属灰渣、铜尾渣、治炼废渣、粉煤灰、碱渣（白泥）、脱硫石膏、磷石膏、矿渣、炉渣、煤渣、燃煤炉渣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等12种一般固废，同时对保留的12种一般固废物的利用量进行调整,调整后，一般固废利用总规模（70万吨）保持不变，原料利用类别发生变化，其中熟料原料从22万吨调整到35万吨，水泥原料从48万吨调整到35万吨；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新建1座粉煤灰库；三是完善配套环保设施。其他主体工程、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储运工程、公用工程、环保工程、辅助工程等均依托现有，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现有产品、规模、生产工艺、地点等均不发生变化，固废外收集与运输不在本项目范围内。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根据项目环境影响报告表的内容、结论和技术评估、专家评审意见，从环境保护角度考虑，我局原则同意你公司环境影响报告表所列性质、地点、规模、工艺和环境保护对策措施。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二、项目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必须全面落实各项污染防治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措施和风险防范措施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严格执行环保“三同时”制度，确保外排污染物稳定达标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排放，环境风险可控，并着重做好以下工作：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1、严格按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en-US" w:eastAsia="zh-CN"/>
        </w:rPr>
        <w:t>《水泥窑协同处置固体废物环境保护技术规范》（HJ662-2013）、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《水泥窑协同处置固体废物污染控制标准》（GB30485-2013）、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en-US" w:eastAsia="zh-CN"/>
        </w:rPr>
        <w:t>《水泥窑协同处置固体废物技术规范》（GB30760-2014）、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zh-CN" w:eastAsia="zh-CN"/>
        </w:rPr>
        <w:t>《水泥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en-US" w:eastAsia="zh-CN"/>
        </w:rPr>
        <w:t>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zh-CN" w:eastAsia="zh-CN"/>
        </w:rPr>
        <w:t>协同处置固体废物污染防治技术政策》（环保部公告2016年第72号）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en-US" w:eastAsia="zh-CN"/>
        </w:rPr>
        <w:t>等规定落实原料准入、运输、贮存、转运、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zh-CN"/>
        </w:rPr>
        <w:t>入窑协同利用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en-US" w:eastAsia="zh-CN"/>
        </w:rPr>
        <w:t>等各项污染防治、风险防范措施和管理要求。尾砂、污泥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baseline"/>
          <w:lang w:val="zh-CN" w:eastAsia="zh-CN"/>
        </w:rPr>
        <w:t>来源应确保其稳定性、合法性，须严格按报告表所列范围、种类、数量、属性准入，不得擅自改变。本项目综合利用的固废调整不得影响水泥的正常生产和产品质量。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2、加强大气污染防治。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产尘物料储存、输送、转运应采取密闭或封闭措施；建设封闭式粉煤灰仓库，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废气经布袋收尘达到《水泥工业大气污染物排放标准》（GB4915-2013）中表2特别排放限值要求后经31米高排气筒排放；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窑尾废气经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分级燃烧+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低氮燃烧+SNCR-SCR+高效布袋除尘器处置后经90米高窑尾烟囱（DA021）排放，NOx应满足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《湖南省工业炉窑污染综合治理实施方案》（湘环发〔2020〕6号）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限值要求，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颗粒物、二氧化硫、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、氟化物、氨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满足《水泥工业大气污染物排放标准》（GB4915-2013）中表2特别排放限值要求，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氯化氢、氟化氢、汞及其化合物（以Hg计），铊、镉、铅、砷及其化合物（以Tl+Cd+Pb+As计），铍、铬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、锡、锑、铜、钴、锰、镍、钒及其化合物（Be+Cr+Sn+Sb+Cu+Co+Mn+Ni+V计）、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TOC、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二噁英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满足《水泥窑协同处置固体废物污染物控制标准》（GB30485-2013）中表1限值要求；建设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密闭式联合储库，废气经抽风系统+水泥窑焚烧处置，非正常工况下（停窑），废气经抽风系统+活性炭+27m高排气筒处理后达标排放，硫化氢、氨、臭气浓度应满足《恶臭污染物排放标准》（GB14554-93）表2中限值要求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厂界无组织排放颗粒物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、氨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应满足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《水泥工业大气污染物排放标准》（GB4915-2013）中表3无组织排放限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要求，硫化氢、臭气浓度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满足《恶臭污染物排放标准》（GB14554-93）表1中二级标准限值要求；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厂内运输车辆、非道路移动机械应按国家相关政策的时限要求进行升级或替换；严格落实大气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特护期间各项管控要求。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zh-CN"/>
        </w:rPr>
        <w:t>完善联合储库建设。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照《一般工业固体废物贮存和填埋污染控制标准》（GB18599-2020）中相关要求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做好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联合储库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等设施的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防渗；设置地下水监控井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、土壤跟踪监测点，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制定地下水风险事故应急响应预案，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确保土壤及地下安全。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4、总量控制。项目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改建后新增主要污染物总量控制指标Pb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.1kg/a、As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1.1kg/a、Cd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kg/a ，指标来源于临湘海创环保科技有限责任公司已取得的排污许可权。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5、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zh-CN"/>
        </w:rPr>
        <w:t>进一步加强管理。完善各项环境管理制度和管理台账，严格操作规程，落实企业自行监测、排污许可要求，完善环境风险应急预案、落实风险防范措施，做好非正常工况下的污染防治措施，确保周边环境安全。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其余仍执行湘环评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[2008]181号、湘环评〔2020〕1号、岳临环评〔2022〕26号、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临环审批[2021]12号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中的相关要求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环保责任界定见报告表内容（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附件10）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岳阳市临湘生态环境保护综合行政执法大队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负责该项目的日常现场监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2024年1月9日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RjY2EwOTMwZTNhZDdjNzExOTY4Yzg1MGNmYWQifQ=="/>
  </w:docVars>
  <w:rsids>
    <w:rsidRoot w:val="00000000"/>
    <w:rsid w:val="00F034B0"/>
    <w:rsid w:val="016917D0"/>
    <w:rsid w:val="02094A42"/>
    <w:rsid w:val="02201D8C"/>
    <w:rsid w:val="02B052A9"/>
    <w:rsid w:val="033C2BF5"/>
    <w:rsid w:val="04543BD9"/>
    <w:rsid w:val="050A7828"/>
    <w:rsid w:val="055A37CE"/>
    <w:rsid w:val="05882122"/>
    <w:rsid w:val="063432E0"/>
    <w:rsid w:val="06356E85"/>
    <w:rsid w:val="0720217B"/>
    <w:rsid w:val="07B860D2"/>
    <w:rsid w:val="088157B3"/>
    <w:rsid w:val="09372C1B"/>
    <w:rsid w:val="0A7003AD"/>
    <w:rsid w:val="0B843220"/>
    <w:rsid w:val="0C7B478E"/>
    <w:rsid w:val="0D5277EA"/>
    <w:rsid w:val="0D783CF0"/>
    <w:rsid w:val="0F2B7CF7"/>
    <w:rsid w:val="0F5E21E9"/>
    <w:rsid w:val="0FFB0A97"/>
    <w:rsid w:val="105B45EA"/>
    <w:rsid w:val="119E3C43"/>
    <w:rsid w:val="12386C7D"/>
    <w:rsid w:val="145E1773"/>
    <w:rsid w:val="146F4846"/>
    <w:rsid w:val="15C670F1"/>
    <w:rsid w:val="16295162"/>
    <w:rsid w:val="176D58E3"/>
    <w:rsid w:val="182D216E"/>
    <w:rsid w:val="1B542D7A"/>
    <w:rsid w:val="1C2753DD"/>
    <w:rsid w:val="1C8970B8"/>
    <w:rsid w:val="1CDD6D9F"/>
    <w:rsid w:val="1D885F8D"/>
    <w:rsid w:val="1DE5159F"/>
    <w:rsid w:val="1EAC29A2"/>
    <w:rsid w:val="209049BA"/>
    <w:rsid w:val="20D2125C"/>
    <w:rsid w:val="213752CF"/>
    <w:rsid w:val="21BC716B"/>
    <w:rsid w:val="21F20C55"/>
    <w:rsid w:val="229323DA"/>
    <w:rsid w:val="22B32480"/>
    <w:rsid w:val="23FE1AD5"/>
    <w:rsid w:val="241166F8"/>
    <w:rsid w:val="257A162F"/>
    <w:rsid w:val="268D4214"/>
    <w:rsid w:val="269E1DE4"/>
    <w:rsid w:val="27000148"/>
    <w:rsid w:val="2A0C73EE"/>
    <w:rsid w:val="2B281665"/>
    <w:rsid w:val="2B5D0E8F"/>
    <w:rsid w:val="2BF04EF6"/>
    <w:rsid w:val="2C450698"/>
    <w:rsid w:val="2D263666"/>
    <w:rsid w:val="2D632669"/>
    <w:rsid w:val="2DBD030B"/>
    <w:rsid w:val="2E7678C0"/>
    <w:rsid w:val="2ED1787F"/>
    <w:rsid w:val="2FC812C3"/>
    <w:rsid w:val="301E705B"/>
    <w:rsid w:val="308D25B3"/>
    <w:rsid w:val="31B072CE"/>
    <w:rsid w:val="32566F80"/>
    <w:rsid w:val="337D00C3"/>
    <w:rsid w:val="33BA2B77"/>
    <w:rsid w:val="343B422E"/>
    <w:rsid w:val="34693BB9"/>
    <w:rsid w:val="34F82570"/>
    <w:rsid w:val="36164A44"/>
    <w:rsid w:val="368F480F"/>
    <w:rsid w:val="36D031AF"/>
    <w:rsid w:val="38D24EFB"/>
    <w:rsid w:val="39137979"/>
    <w:rsid w:val="39AC1B82"/>
    <w:rsid w:val="39B7021F"/>
    <w:rsid w:val="3A6C1A43"/>
    <w:rsid w:val="3AE0324A"/>
    <w:rsid w:val="3B8457E6"/>
    <w:rsid w:val="3BB43299"/>
    <w:rsid w:val="3BB9694D"/>
    <w:rsid w:val="3D0B7FB1"/>
    <w:rsid w:val="3E366126"/>
    <w:rsid w:val="3F6237E0"/>
    <w:rsid w:val="404B58F8"/>
    <w:rsid w:val="41717EF0"/>
    <w:rsid w:val="425F20D3"/>
    <w:rsid w:val="427B09B6"/>
    <w:rsid w:val="448D37DB"/>
    <w:rsid w:val="44A302AB"/>
    <w:rsid w:val="45BB2CC5"/>
    <w:rsid w:val="4635035D"/>
    <w:rsid w:val="46450513"/>
    <w:rsid w:val="4A0044FF"/>
    <w:rsid w:val="4B0101DB"/>
    <w:rsid w:val="4B105AC6"/>
    <w:rsid w:val="4B7A1C47"/>
    <w:rsid w:val="4BB91646"/>
    <w:rsid w:val="4CAC5CC3"/>
    <w:rsid w:val="4D1D271C"/>
    <w:rsid w:val="4FB85C1B"/>
    <w:rsid w:val="501F1CD6"/>
    <w:rsid w:val="512B1415"/>
    <w:rsid w:val="525168F3"/>
    <w:rsid w:val="52724BEA"/>
    <w:rsid w:val="52B84708"/>
    <w:rsid w:val="53647824"/>
    <w:rsid w:val="53DA3115"/>
    <w:rsid w:val="5429442D"/>
    <w:rsid w:val="54CE3AA7"/>
    <w:rsid w:val="55747599"/>
    <w:rsid w:val="56407754"/>
    <w:rsid w:val="570D1EFB"/>
    <w:rsid w:val="57A24699"/>
    <w:rsid w:val="57B28357"/>
    <w:rsid w:val="57C92524"/>
    <w:rsid w:val="57D460CD"/>
    <w:rsid w:val="58F540EC"/>
    <w:rsid w:val="5A225816"/>
    <w:rsid w:val="5AAD149A"/>
    <w:rsid w:val="5BC53E99"/>
    <w:rsid w:val="5DB55401"/>
    <w:rsid w:val="5F7F3E00"/>
    <w:rsid w:val="5FD215C4"/>
    <w:rsid w:val="61377DF9"/>
    <w:rsid w:val="615838CB"/>
    <w:rsid w:val="619954AC"/>
    <w:rsid w:val="628C5F22"/>
    <w:rsid w:val="63533FCE"/>
    <w:rsid w:val="63BE20DB"/>
    <w:rsid w:val="63BF2AC1"/>
    <w:rsid w:val="65181DFC"/>
    <w:rsid w:val="668D2465"/>
    <w:rsid w:val="671C08F5"/>
    <w:rsid w:val="677A5ED1"/>
    <w:rsid w:val="6818677F"/>
    <w:rsid w:val="693D7F76"/>
    <w:rsid w:val="6A612865"/>
    <w:rsid w:val="6B8D38E9"/>
    <w:rsid w:val="6BC73521"/>
    <w:rsid w:val="6BC93D43"/>
    <w:rsid w:val="6CD81D64"/>
    <w:rsid w:val="6D1475D1"/>
    <w:rsid w:val="6D547741"/>
    <w:rsid w:val="6E3F5E0E"/>
    <w:rsid w:val="6ED01808"/>
    <w:rsid w:val="6FA348AB"/>
    <w:rsid w:val="6FD853B1"/>
    <w:rsid w:val="6FE372A6"/>
    <w:rsid w:val="703260F9"/>
    <w:rsid w:val="715F1F17"/>
    <w:rsid w:val="74D55507"/>
    <w:rsid w:val="75660855"/>
    <w:rsid w:val="75D8466B"/>
    <w:rsid w:val="766074A2"/>
    <w:rsid w:val="775F7269"/>
    <w:rsid w:val="776F496F"/>
    <w:rsid w:val="790E0FE8"/>
    <w:rsid w:val="79BF727F"/>
    <w:rsid w:val="7A54790D"/>
    <w:rsid w:val="7A90282B"/>
    <w:rsid w:val="7C0F0541"/>
    <w:rsid w:val="7C3C67E8"/>
    <w:rsid w:val="7CA73C2D"/>
    <w:rsid w:val="7CF35AE3"/>
    <w:rsid w:val="7D1735C6"/>
    <w:rsid w:val="7D7FA4C7"/>
    <w:rsid w:val="7DC27C61"/>
    <w:rsid w:val="7F8C4F44"/>
    <w:rsid w:val="8F34AA43"/>
    <w:rsid w:val="8F7B1491"/>
    <w:rsid w:val="9E2E1BCA"/>
    <w:rsid w:val="BCDE03F9"/>
    <w:rsid w:val="E8A3CC75"/>
    <w:rsid w:val="F57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4">
    <w:name w:val="heading 3"/>
    <w:basedOn w:val="1"/>
    <w:next w:val="1"/>
    <w:autoRedefine/>
    <w:qFormat/>
    <w:uiPriority w:val="0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7">
    <w:name w:val="Body Text Indent 2"/>
    <w:basedOn w:val="1"/>
    <w:next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39"/>
  </w:style>
  <w:style w:type="paragraph" w:styleId="11">
    <w:name w:val="List"/>
    <w:basedOn w:val="1"/>
    <w:autoRedefine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2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14">
    <w:name w:val="Title"/>
    <w:basedOn w:val="1"/>
    <w:next w:val="1"/>
    <w:autoRedefine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5">
    <w:name w:val="Body Text First Indent"/>
    <w:basedOn w:val="1"/>
    <w:next w:val="1"/>
    <w:autoRedefine/>
    <w:unhideWhenUsed/>
    <w:qFormat/>
    <w:uiPriority w:val="99"/>
    <w:pPr>
      <w:adjustRightInd w:val="0"/>
      <w:snapToGrid w:val="0"/>
      <w:spacing w:after="0"/>
    </w:pPr>
  </w:style>
  <w:style w:type="paragraph" w:styleId="16">
    <w:name w:val="Body Text First Indent 2"/>
    <w:basedOn w:val="6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1">
    <w:name w:val="Default"/>
    <w:basedOn w:val="5"/>
    <w:next w:val="1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2">
    <w:name w:val="xl27"/>
    <w:basedOn w:val="1"/>
    <w:next w:val="7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23">
    <w:name w:val="纯文本1"/>
    <w:basedOn w:val="1"/>
    <w:autoRedefine/>
    <w:qFormat/>
    <w:uiPriority w:val="0"/>
    <w:rPr>
      <w:rFonts w:ascii="宋体" w:hAnsi="Courier New"/>
      <w:szCs w:val="20"/>
    </w:rPr>
  </w:style>
  <w:style w:type="paragraph" w:customStyle="1" w:styleId="24">
    <w:name w:val="样式 样式 首行缩进:  2 字符 + 首行缩进:  2 字符"/>
    <w:basedOn w:val="1"/>
    <w:next w:val="10"/>
    <w:autoRedefine/>
    <w:qFormat/>
    <w:uiPriority w:val="0"/>
    <w:pPr>
      <w:snapToGrid w:val="0"/>
      <w:spacing w:line="360" w:lineRule="auto"/>
      <w:ind w:firstLine="560" w:firstLineChars="200"/>
    </w:pPr>
    <w:rPr>
      <w:spacing w:val="0"/>
      <w:sz w:val="28"/>
    </w:rPr>
  </w:style>
  <w:style w:type="paragraph" w:customStyle="1" w:styleId="25">
    <w:name w:val="样式 正文文本缩进 + 行距: 1.5 倍行距"/>
    <w:basedOn w:val="6"/>
    <w:autoRedefine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26">
    <w:name w:val="文本"/>
    <w:basedOn w:val="1"/>
    <w:next w:val="1"/>
    <w:autoRedefine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7">
    <w:name w:val="报告正文 Char Char"/>
    <w:autoRedefine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8">
    <w:name w:val="C正文"/>
    <w:basedOn w:val="1"/>
    <w:autoRedefine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9">
    <w:name w:val="正文1"/>
    <w:next w:val="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30">
    <w:name w:val="正文 首行缩进"/>
    <w:basedOn w:val="1"/>
    <w:autoRedefine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31">
    <w:name w:val="表格正文"/>
    <w:basedOn w:val="1"/>
    <w:next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32">
    <w:name w:val="表格文字"/>
    <w:basedOn w:val="1"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  <w:style w:type="paragraph" w:customStyle="1" w:styleId="33">
    <w:name w:val="Default2"/>
    <w:next w:val="34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Times New Roman" w:cs="黑体"/>
      <w:color w:val="000000"/>
      <w:kern w:val="0"/>
      <w:sz w:val="24"/>
      <w:szCs w:val="24"/>
      <w:lang w:val="en-US" w:eastAsia="zh-TW" w:bidi="ar-SA"/>
    </w:rPr>
  </w:style>
  <w:style w:type="paragraph" w:customStyle="1" w:styleId="34">
    <w:name w:val="目录 91662"/>
    <w:next w:val="1"/>
    <w:autoRedefine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1495</Words>
  <Characters>1598</Characters>
  <Lines>0</Lines>
  <Paragraphs>0</Paragraphs>
  <TotalTime>4</TotalTime>
  <ScaleCrop>false</ScaleCrop>
  <LinksUpToDate>false</LinksUpToDate>
  <CharactersWithSpaces>1611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2022-01-30T08:36:00Z</dcterms:created>
  <dc:creator>lenovo</dc:creator>
  <cp:lastModifiedBy>无语</cp:lastModifiedBy>
  <cp:lastPrinted>2023-10-29T08:48:00Z</cp:lastPrinted>
  <dcterms:modified xsi:type="dcterms:W3CDTF">2024-01-04T08:38:45Z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A3BE4E80826E4E448D22C89DCB3E70FD</vt:lpwstr>
  </property>
</Properties>
</file>