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jc w:val="center"/>
        <w:rPr>
          <w:rFonts w:ascii="仿宋" w:hAnsi="仿宋" w:eastAsia="仿宋" w:cs="仿宋"/>
          <w:b/>
          <w:bCs/>
          <w:color w:val="auto"/>
          <w:sz w:val="72"/>
          <w:szCs w:val="72"/>
        </w:rPr>
      </w:pPr>
      <w:bookmarkStart w:id="0" w:name="_Toc12607"/>
      <w:r>
        <w:rPr>
          <w:rFonts w:hint="eastAsia" w:ascii="仿宋" w:hAnsi="仿宋" w:eastAsia="仿宋" w:cs="仿宋"/>
          <w:b/>
          <w:bCs/>
          <w:color w:val="auto"/>
          <w:sz w:val="72"/>
          <w:szCs w:val="72"/>
        </w:rPr>
        <w:t>建设项目环境影响报告表</w:t>
      </w:r>
      <w:bookmarkEnd w:id="0"/>
    </w:p>
    <w:p>
      <w:pPr>
        <w:adjustRightInd w:val="0"/>
        <w:snapToGrid w:val="0"/>
        <w:spacing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rPr>
          <w:color w:val="auto"/>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ind w:firstLine="602" w:firstLineChars="200"/>
        <w:jc w:val="center"/>
        <w:rPr>
          <w:rFonts w:ascii="仿宋_GB2312" w:eastAsia="仿宋_GB2312"/>
          <w:b/>
          <w:bCs/>
          <w:color w:val="auto"/>
          <w:sz w:val="30"/>
          <w:szCs w:val="30"/>
          <w:u w:val="single"/>
        </w:rPr>
      </w:pPr>
      <w:r>
        <w:rPr>
          <w:rFonts w:hint="eastAsia" w:ascii="仿宋_GB2312" w:eastAsia="仿宋_GB2312"/>
          <w:b/>
          <w:bCs/>
          <w:color w:val="auto"/>
          <w:sz w:val="30"/>
          <w:szCs w:val="30"/>
        </w:rPr>
        <w:t>项目名称：</w:t>
      </w:r>
      <w:r>
        <w:rPr>
          <w:rFonts w:hint="eastAsia" w:ascii="仿宋_GB2312" w:eastAsia="仿宋_GB2312"/>
          <w:b/>
          <w:bCs/>
          <w:color w:val="auto"/>
          <w:sz w:val="30"/>
          <w:szCs w:val="30"/>
          <w:u w:val="single"/>
          <w:lang w:eastAsia="zh-CN"/>
        </w:rPr>
        <w:t>临湘市五里牌街道社区卫生服务中心（临湘市五里牌街道妇幼保健计划生育服务站）</w:t>
      </w:r>
      <w:r>
        <w:rPr>
          <w:rFonts w:hint="eastAsia" w:ascii="仿宋_GB2312" w:eastAsia="仿宋_GB2312"/>
          <w:b/>
          <w:bCs/>
          <w:color w:val="auto"/>
          <w:sz w:val="30"/>
          <w:szCs w:val="30"/>
          <w:u w:val="single"/>
        </w:rPr>
        <w:t>建设项目</w:t>
      </w:r>
    </w:p>
    <w:p>
      <w:pPr>
        <w:adjustRightInd w:val="0"/>
        <w:snapToGrid w:val="0"/>
        <w:jc w:val="center"/>
        <w:rPr>
          <w:rFonts w:ascii="仿宋_GB2312" w:eastAsia="仿宋_GB2312"/>
          <w:b/>
          <w:bCs/>
          <w:color w:val="auto"/>
          <w:sz w:val="36"/>
          <w:szCs w:val="36"/>
          <w:u w:val="single"/>
        </w:rPr>
      </w:pPr>
      <w:r>
        <w:rPr>
          <w:rFonts w:hint="eastAsia" w:ascii="仿宋_GB2312" w:eastAsia="仿宋_GB2312"/>
          <w:b/>
          <w:bCs/>
          <w:color w:val="auto"/>
          <w:sz w:val="30"/>
          <w:szCs w:val="30"/>
        </w:rPr>
        <w:t>建设单位（盖章）：</w:t>
      </w:r>
      <w:r>
        <w:rPr>
          <w:rFonts w:hint="eastAsia" w:ascii="仿宋_GB2312" w:eastAsia="仿宋_GB2312"/>
          <w:b/>
          <w:bCs/>
          <w:color w:val="auto"/>
          <w:sz w:val="30"/>
          <w:szCs w:val="30"/>
          <w:u w:val="single"/>
          <w:lang w:eastAsia="zh-CN"/>
        </w:rPr>
        <w:t>临湘市五里牌街道社区卫生服务中心（临湘市五里牌街道妇幼保健计划生育服务站）</w:t>
      </w:r>
    </w:p>
    <w:p>
      <w:pPr>
        <w:pStyle w:val="13"/>
        <w:rPr>
          <w:rFonts w:ascii="仿宋_GB2312" w:eastAsia="仿宋_GB2312"/>
          <w:b/>
          <w:bCs/>
          <w:color w:val="auto"/>
          <w:sz w:val="36"/>
          <w:szCs w:val="36"/>
        </w:rPr>
      </w:pPr>
      <w:bookmarkStart w:id="1" w:name="_Hlk57884087"/>
    </w:p>
    <w:p>
      <w:pPr>
        <w:pStyle w:val="30"/>
        <w:ind w:firstLine="241"/>
        <w:rPr>
          <w:b/>
          <w:bCs/>
          <w:color w:val="auto"/>
        </w:rPr>
      </w:pPr>
    </w:p>
    <w:bookmarkEnd w:id="1"/>
    <w:p>
      <w:pPr>
        <w:adjustRightInd w:val="0"/>
        <w:snapToGrid w:val="0"/>
        <w:spacing w:line="288" w:lineRule="auto"/>
        <w:jc w:val="center"/>
        <w:rPr>
          <w:rFonts w:ascii="楷体_GB2312" w:eastAsia="楷体_GB2312"/>
          <w:b/>
          <w:bCs/>
          <w:color w:val="auto"/>
          <w:sz w:val="36"/>
          <w:szCs w:val="36"/>
        </w:rPr>
      </w:pPr>
      <w:r>
        <w:rPr>
          <w:rFonts w:hint="eastAsia" w:ascii="楷体_GB2312" w:eastAsia="楷体_GB2312"/>
          <w:b/>
          <w:bCs/>
          <w:color w:val="auto"/>
          <w:sz w:val="36"/>
          <w:szCs w:val="36"/>
        </w:rPr>
        <w:t>中华人民共和国生态环境部制</w:t>
      </w:r>
    </w:p>
    <w:p>
      <w:pPr>
        <w:pStyle w:val="13"/>
        <w:jc w:val="center"/>
        <w:rPr>
          <w:rFonts w:ascii="仿宋_GB2312" w:eastAsia="仿宋_GB2312"/>
          <w:color w:val="auto"/>
          <w:sz w:val="36"/>
          <w:szCs w:val="36"/>
        </w:rPr>
      </w:pPr>
      <w:r>
        <w:rPr>
          <w:rFonts w:hint="eastAsia" w:ascii="楷体_GB2312" w:eastAsia="楷体_GB2312"/>
          <w:b/>
          <w:bCs/>
          <w:color w:val="auto"/>
          <w:kern w:val="2"/>
          <w:sz w:val="36"/>
          <w:szCs w:val="36"/>
        </w:rPr>
        <w:t>二零</w:t>
      </w:r>
      <w:r>
        <w:rPr>
          <w:rFonts w:hint="eastAsia" w:ascii="楷体_GB2312" w:eastAsia="楷体_GB2312"/>
          <w:b/>
          <w:bCs/>
          <w:color w:val="auto"/>
          <w:kern w:val="2"/>
          <w:sz w:val="36"/>
          <w:szCs w:val="36"/>
          <w:lang w:val="en-US" w:eastAsia="zh-CN"/>
        </w:rPr>
        <w:t>二四</w:t>
      </w:r>
      <w:r>
        <w:rPr>
          <w:rFonts w:hint="eastAsia" w:ascii="楷体_GB2312" w:eastAsia="楷体_GB2312"/>
          <w:b/>
          <w:bCs/>
          <w:color w:val="auto"/>
          <w:kern w:val="2"/>
          <w:sz w:val="36"/>
          <w:szCs w:val="36"/>
        </w:rPr>
        <w:t>年</w:t>
      </w:r>
      <w:r>
        <w:rPr>
          <w:rFonts w:hint="eastAsia" w:ascii="楷体_GB2312" w:eastAsia="楷体_GB2312"/>
          <w:b/>
          <w:bCs/>
          <w:color w:val="auto"/>
          <w:kern w:val="2"/>
          <w:sz w:val="36"/>
          <w:szCs w:val="36"/>
          <w:lang w:val="en-US" w:eastAsia="zh-CN"/>
        </w:rPr>
        <w:t>三</w:t>
      </w:r>
      <w:r>
        <w:rPr>
          <w:rFonts w:hint="eastAsia" w:ascii="楷体_GB2312" w:eastAsia="楷体_GB2312"/>
          <w:b/>
          <w:bCs/>
          <w:color w:val="auto"/>
          <w:kern w:val="2"/>
          <w:sz w:val="36"/>
          <w:szCs w:val="36"/>
        </w:rPr>
        <w:t>月</w:t>
      </w:r>
    </w:p>
    <w:p>
      <w:pPr>
        <w:pStyle w:val="25"/>
        <w:ind w:left="480"/>
        <w:rPr>
          <w:rFonts w:ascii="仿宋_GB2312" w:eastAsia="仿宋_GB2312"/>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jc w:val="center"/>
        <w:rPr>
          <w:color w:val="auto"/>
        </w:rPr>
      </w:pPr>
      <w:r>
        <w:rPr>
          <w:rFonts w:hint="eastAsia"/>
          <w:b/>
          <w:bCs/>
          <w:color w:val="auto"/>
          <w:sz w:val="32"/>
          <w:szCs w:val="32"/>
        </w:rPr>
        <w:t>目录</w:t>
      </w:r>
    </w:p>
    <w:p>
      <w:pPr>
        <w:pStyle w:val="21"/>
        <w:tabs>
          <w:tab w:val="right" w:leader="dot" w:pos="8844"/>
        </w:tabs>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"_Toc15883" </w:instrText>
      </w:r>
      <w:r>
        <w:rPr>
          <w:color w:val="auto"/>
        </w:rPr>
        <w:fldChar w:fldCharType="separate"/>
      </w:r>
      <w:r>
        <w:rPr>
          <w:rFonts w:hint="eastAsia"/>
          <w:color w:val="auto"/>
        </w:rPr>
        <w:t>一、建设项目基本情况</w:t>
      </w:r>
      <w:r>
        <w:rPr>
          <w:color w:val="auto"/>
        </w:rPr>
        <w:tab/>
      </w:r>
      <w:r>
        <w:rPr>
          <w:color w:val="auto"/>
        </w:rPr>
        <w:fldChar w:fldCharType="begin"/>
      </w:r>
      <w:r>
        <w:rPr>
          <w:color w:val="auto"/>
        </w:rPr>
        <w:instrText xml:space="preserve"> PAGEREF _Toc15883 \h </w:instrText>
      </w:r>
      <w:r>
        <w:rPr>
          <w:color w:val="auto"/>
        </w:rPr>
        <w:fldChar w:fldCharType="separate"/>
      </w:r>
      <w:r>
        <w:rPr>
          <w:color w:val="auto"/>
        </w:rPr>
        <w:t>2</w:t>
      </w:r>
      <w:r>
        <w:rPr>
          <w:color w:val="auto"/>
        </w:rPr>
        <w:fldChar w:fldCharType="end"/>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"_Toc2540" </w:instrText>
      </w:r>
      <w:r>
        <w:rPr>
          <w:color w:val="auto"/>
        </w:rPr>
        <w:fldChar w:fldCharType="separate"/>
      </w:r>
      <w:r>
        <w:rPr>
          <w:rFonts w:hint="eastAsia"/>
          <w:color w:val="auto"/>
        </w:rPr>
        <w:t>二、建设项目工程分析</w:t>
      </w:r>
      <w:r>
        <w:rPr>
          <w:color w:val="auto"/>
        </w:rPr>
        <w:tab/>
      </w:r>
      <w:r>
        <w:rPr>
          <w:color w:val="auto"/>
        </w:rPr>
        <w:fldChar w:fldCharType="begin"/>
      </w:r>
      <w:r>
        <w:rPr>
          <w:color w:val="auto"/>
        </w:rPr>
        <w:instrText xml:space="preserve"> PAGEREF _Toc2540 \h </w:instrText>
      </w:r>
      <w:r>
        <w:rPr>
          <w:color w:val="auto"/>
        </w:rPr>
        <w:fldChar w:fldCharType="separate"/>
      </w:r>
      <w:r>
        <w:rPr>
          <w:color w:val="auto"/>
        </w:rPr>
        <w:t>12</w:t>
      </w:r>
      <w:r>
        <w:rPr>
          <w:color w:val="auto"/>
        </w:rPr>
        <w:fldChar w:fldCharType="end"/>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"_Toc4412" </w:instrText>
      </w:r>
      <w:r>
        <w:rPr>
          <w:color w:val="auto"/>
        </w:rPr>
        <w:fldChar w:fldCharType="separate"/>
      </w:r>
      <w:r>
        <w:rPr>
          <w:rFonts w:hint="eastAsia"/>
          <w:color w:val="auto"/>
        </w:rPr>
        <w:t>三、区域环境质量现状、环境保护目标及评价标准</w:t>
      </w:r>
      <w:r>
        <w:rPr>
          <w:color w:val="auto"/>
        </w:rPr>
        <w:tab/>
      </w:r>
      <w:r>
        <w:rPr>
          <w:color w:val="auto"/>
        </w:rPr>
        <w:fldChar w:fldCharType="begin"/>
      </w:r>
      <w:r>
        <w:rPr>
          <w:color w:val="auto"/>
        </w:rPr>
        <w:instrText xml:space="preserve"> PAGEREF _Toc4412 \h </w:instrText>
      </w:r>
      <w:r>
        <w:rPr>
          <w:color w:val="auto"/>
        </w:rPr>
        <w:fldChar w:fldCharType="separate"/>
      </w:r>
      <w:r>
        <w:rPr>
          <w:color w:val="auto"/>
        </w:rPr>
        <w:t>27</w:t>
      </w:r>
      <w:r>
        <w:rPr>
          <w:color w:val="auto"/>
        </w:rPr>
        <w:fldChar w:fldCharType="end"/>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"_Toc13348" </w:instrText>
      </w:r>
      <w:r>
        <w:rPr>
          <w:color w:val="auto"/>
        </w:rPr>
        <w:fldChar w:fldCharType="separate"/>
      </w:r>
      <w:r>
        <w:rPr>
          <w:rFonts w:hint="eastAsia"/>
          <w:color w:val="auto"/>
        </w:rPr>
        <w:t>四、主要环境影响和保护措施</w:t>
      </w:r>
      <w:r>
        <w:rPr>
          <w:color w:val="auto"/>
        </w:rPr>
        <w:tab/>
      </w:r>
      <w:r>
        <w:rPr>
          <w:color w:val="auto"/>
        </w:rPr>
        <w:fldChar w:fldCharType="begin"/>
      </w:r>
      <w:r>
        <w:rPr>
          <w:color w:val="auto"/>
        </w:rPr>
        <w:instrText xml:space="preserve"> PAGEREF _Toc13348 \h </w:instrText>
      </w:r>
      <w:r>
        <w:rPr>
          <w:color w:val="auto"/>
        </w:rPr>
        <w:fldChar w:fldCharType="separate"/>
      </w:r>
      <w:r>
        <w:rPr>
          <w:color w:val="auto"/>
        </w:rPr>
        <w:t>33</w:t>
      </w:r>
      <w:r>
        <w:rPr>
          <w:color w:val="auto"/>
        </w:rPr>
        <w:fldChar w:fldCharType="end"/>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"_Toc29652" </w:instrText>
      </w:r>
      <w:r>
        <w:rPr>
          <w:color w:val="auto"/>
        </w:rPr>
        <w:fldChar w:fldCharType="separate"/>
      </w:r>
      <w:r>
        <w:rPr>
          <w:rFonts w:hint="eastAsia"/>
          <w:color w:val="auto"/>
        </w:rPr>
        <w:t>五、环境保护措施监督检查清单</w:t>
      </w:r>
      <w:r>
        <w:rPr>
          <w:color w:val="auto"/>
        </w:rPr>
        <w:tab/>
      </w:r>
      <w:r>
        <w:rPr>
          <w:color w:val="auto"/>
        </w:rPr>
        <w:fldChar w:fldCharType="begin"/>
      </w:r>
      <w:r>
        <w:rPr>
          <w:color w:val="auto"/>
        </w:rPr>
        <w:instrText xml:space="preserve"> PAGEREF _Toc29652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"_Toc700" </w:instrText>
      </w:r>
      <w:r>
        <w:rPr>
          <w:color w:val="auto"/>
        </w:rPr>
        <w:fldChar w:fldCharType="separate"/>
      </w:r>
      <w:r>
        <w:rPr>
          <w:rFonts w:hint="eastAsia"/>
          <w:color w:val="auto"/>
        </w:rPr>
        <w:t>六、结论</w:t>
      </w:r>
      <w:r>
        <w:rPr>
          <w:color w:val="auto"/>
        </w:rPr>
        <w:tab/>
      </w:r>
      <w:r>
        <w:rPr>
          <w:color w:val="auto"/>
        </w:rPr>
        <w:fldChar w:fldCharType="begin"/>
      </w:r>
      <w:r>
        <w:rPr>
          <w:color w:val="auto"/>
        </w:rPr>
        <w:instrText xml:space="preserve"> PAGEREF _Toc700 \h </w:instrText>
      </w:r>
      <w:r>
        <w:rPr>
          <w:color w:val="auto"/>
        </w:rPr>
        <w:fldChar w:fldCharType="separate"/>
      </w:r>
      <w:r>
        <w:rPr>
          <w:color w:val="auto"/>
        </w:rPr>
        <w:t>58</w:t>
      </w:r>
      <w:r>
        <w:rPr>
          <w:color w:val="auto"/>
        </w:rPr>
        <w:fldChar w:fldCharType="end"/>
      </w:r>
      <w:r>
        <w:rPr>
          <w:color w:val="auto"/>
        </w:rPr>
        <w:fldChar w:fldCharType="end"/>
      </w:r>
    </w:p>
    <w:p>
      <w:pPr>
        <w:pStyle w:val="25"/>
        <w:tabs>
          <w:tab w:val="right" w:leader="dot" w:pos="8844"/>
        </w:tabs>
        <w:ind w:left="480"/>
        <w:rPr>
          <w:color w:val="auto"/>
        </w:rPr>
      </w:pPr>
    </w:p>
    <w:p>
      <w:pPr>
        <w:pStyle w:val="21"/>
        <w:tabs>
          <w:tab w:val="right" w:leader="dot" w:pos="8844"/>
        </w:tabs>
        <w:rPr>
          <w:color w:val="auto"/>
        </w:rPr>
      </w:pPr>
      <w:r>
        <w:rPr>
          <w:color w:val="auto"/>
        </w:rPr>
        <w:fldChar w:fldCharType="begin"/>
      </w:r>
      <w:r>
        <w:rPr>
          <w:color w:val="auto"/>
        </w:rPr>
        <w:instrText xml:space="preserve"> HYPERLINK \l "_Toc23089" </w:instrText>
      </w:r>
      <w:r>
        <w:rPr>
          <w:color w:val="auto"/>
        </w:rPr>
        <w:fldChar w:fldCharType="separate"/>
      </w:r>
      <w:r>
        <w:rPr>
          <w:rFonts w:hint="eastAsia"/>
          <w:bCs/>
          <w:color w:val="auto"/>
          <w:szCs w:val="28"/>
        </w:rPr>
        <w:t>附件</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"_Toc4081" </w:instrText>
      </w:r>
      <w:r>
        <w:rPr>
          <w:color w:val="auto"/>
        </w:rPr>
        <w:fldChar w:fldCharType="separate"/>
      </w:r>
      <w:r>
        <w:rPr>
          <w:rFonts w:hint="eastAsia" w:eastAsia="黑体"/>
          <w:snapToGrid w:val="0"/>
          <w:color w:val="auto"/>
          <w:szCs w:val="32"/>
        </w:rPr>
        <w:t>附件1：委托书</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"_Toc13020" </w:instrText>
      </w:r>
      <w:r>
        <w:rPr>
          <w:color w:val="auto"/>
        </w:rPr>
        <w:fldChar w:fldCharType="separate"/>
      </w:r>
      <w:r>
        <w:rPr>
          <w:rFonts w:hint="eastAsia" w:eastAsia="黑体"/>
          <w:snapToGrid w:val="0"/>
          <w:color w:val="auto"/>
          <w:szCs w:val="32"/>
        </w:rPr>
        <w:t>附件2：事业单位法人证书</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"_Toc11013" </w:instrText>
      </w:r>
      <w:r>
        <w:rPr>
          <w:color w:val="auto"/>
        </w:rPr>
        <w:fldChar w:fldCharType="separate"/>
      </w:r>
      <w:r>
        <w:rPr>
          <w:rFonts w:hint="eastAsia" w:eastAsia="黑体"/>
          <w:snapToGrid w:val="0"/>
          <w:color w:val="auto"/>
          <w:szCs w:val="32"/>
        </w:rPr>
        <w:t>附件3：医疗机构许可证</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"_Toc22395" </w:instrText>
      </w:r>
      <w:r>
        <w:rPr>
          <w:color w:val="auto"/>
        </w:rPr>
        <w:fldChar w:fldCharType="separate"/>
      </w:r>
      <w:r>
        <w:rPr>
          <w:rFonts w:hint="eastAsia" w:eastAsia="黑体"/>
          <w:snapToGrid w:val="0"/>
          <w:color w:val="auto"/>
          <w:szCs w:val="32"/>
        </w:rPr>
        <w:t>附件4：危险废物处置合同</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"_Toc11317" </w:instrText>
      </w:r>
      <w:r>
        <w:rPr>
          <w:color w:val="auto"/>
        </w:rPr>
        <w:fldChar w:fldCharType="separate"/>
      </w:r>
      <w:r>
        <w:rPr>
          <w:rFonts w:hint="eastAsia" w:eastAsia="黑体"/>
          <w:snapToGrid w:val="0"/>
          <w:color w:val="auto"/>
          <w:szCs w:val="32"/>
        </w:rPr>
        <w:t>附件5：检测报告</w:t>
      </w:r>
      <w:r>
        <w:rPr>
          <w:color w:val="auto"/>
        </w:rPr>
        <w:fldChar w:fldCharType="end"/>
      </w:r>
    </w:p>
    <w:p>
      <w:pPr>
        <w:rPr>
          <w:rFonts w:hint="default" w:eastAsia="黑体"/>
          <w:lang w:val="en-US" w:eastAsia="zh-CN"/>
        </w:rPr>
      </w:pPr>
      <w:r>
        <w:rPr>
          <w:rFonts w:hint="eastAsia" w:eastAsia="黑体"/>
          <w:snapToGrid w:val="0"/>
          <w:color w:val="auto"/>
          <w:szCs w:val="32"/>
        </w:rPr>
        <w:t>附件6：</w:t>
      </w:r>
      <w:r>
        <w:rPr>
          <w:rFonts w:hint="eastAsia" w:eastAsia="黑体"/>
          <w:snapToGrid w:val="0"/>
          <w:color w:val="auto"/>
          <w:szCs w:val="32"/>
          <w:lang w:val="en-US" w:eastAsia="zh-CN"/>
        </w:rPr>
        <w:t>辐射安全许可证</w:t>
      </w:r>
    </w:p>
    <w:p>
      <w:pPr>
        <w:pStyle w:val="21"/>
        <w:tabs>
          <w:tab w:val="right" w:leader="dot" w:pos="8844"/>
        </w:tabs>
        <w:rPr>
          <w:color w:val="auto"/>
        </w:rPr>
      </w:pPr>
      <w:r>
        <w:rPr>
          <w:color w:val="auto"/>
        </w:rPr>
        <w:fldChar w:fldCharType="begin"/>
      </w:r>
      <w:r>
        <w:rPr>
          <w:color w:val="auto"/>
        </w:rPr>
        <w:instrText xml:space="preserve"> HYPERLINK \l "_Toc5348" </w:instrText>
      </w:r>
      <w:r>
        <w:rPr>
          <w:color w:val="auto"/>
        </w:rPr>
        <w:fldChar w:fldCharType="separate"/>
      </w:r>
      <w:r>
        <w:rPr>
          <w:rFonts w:hint="eastAsia" w:eastAsia="黑体"/>
          <w:snapToGrid w:val="0"/>
          <w:color w:val="auto"/>
          <w:szCs w:val="32"/>
        </w:rPr>
        <w:t>附件</w:t>
      </w:r>
      <w:r>
        <w:rPr>
          <w:rFonts w:hint="eastAsia" w:eastAsia="黑体"/>
          <w:snapToGrid w:val="0"/>
          <w:color w:val="auto"/>
          <w:szCs w:val="32"/>
          <w:lang w:val="en-US" w:eastAsia="zh-CN"/>
        </w:rPr>
        <w:t>7</w:t>
      </w:r>
      <w:r>
        <w:rPr>
          <w:rFonts w:hint="eastAsia" w:eastAsia="黑体"/>
          <w:snapToGrid w:val="0"/>
          <w:color w:val="auto"/>
          <w:szCs w:val="32"/>
        </w:rPr>
        <w:t>：危废收集单位营业执照、经营许可证</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"_Toc1710" </w:instrText>
      </w:r>
      <w:r>
        <w:rPr>
          <w:color w:val="auto"/>
        </w:rPr>
        <w:fldChar w:fldCharType="separate"/>
      </w:r>
      <w:r>
        <w:rPr>
          <w:rFonts w:hint="eastAsia" w:eastAsia="黑体"/>
          <w:snapToGrid w:val="0"/>
          <w:color w:val="auto"/>
          <w:szCs w:val="32"/>
        </w:rPr>
        <w:t>附件</w:t>
      </w:r>
      <w:r>
        <w:rPr>
          <w:rFonts w:hint="eastAsia" w:eastAsia="黑体"/>
          <w:snapToGrid w:val="0"/>
          <w:color w:val="auto"/>
          <w:szCs w:val="32"/>
          <w:lang w:val="en-US" w:eastAsia="zh-CN"/>
        </w:rPr>
        <w:t>8</w:t>
      </w:r>
      <w:r>
        <w:rPr>
          <w:rFonts w:hint="eastAsia" w:eastAsia="黑体"/>
          <w:snapToGrid w:val="0"/>
          <w:color w:val="auto"/>
          <w:szCs w:val="32"/>
        </w:rPr>
        <w:t>：湖南省卫生健康委、湖南省生态环境厅《关于做好一级医疗机构污水处理问题排查整治工作的通知》(湘卫函 (2023) 60号)</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"_Toc19577" </w:instrText>
      </w:r>
      <w:r>
        <w:rPr>
          <w:color w:val="auto"/>
        </w:rPr>
        <w:fldChar w:fldCharType="separate"/>
      </w:r>
      <w:r>
        <w:rPr>
          <w:rFonts w:hint="eastAsia" w:eastAsia="黑体"/>
          <w:snapToGrid w:val="0"/>
          <w:color w:val="auto"/>
          <w:szCs w:val="32"/>
        </w:rPr>
        <w:t>附件</w:t>
      </w:r>
      <w:r>
        <w:rPr>
          <w:rFonts w:hint="eastAsia" w:eastAsia="黑体"/>
          <w:snapToGrid w:val="0"/>
          <w:color w:val="auto"/>
          <w:szCs w:val="32"/>
          <w:lang w:val="en-US" w:eastAsia="zh-CN"/>
        </w:rPr>
        <w:t>9</w:t>
      </w:r>
      <w:r>
        <w:rPr>
          <w:rFonts w:hint="eastAsia" w:eastAsia="黑体"/>
          <w:snapToGrid w:val="0"/>
          <w:color w:val="auto"/>
          <w:szCs w:val="32"/>
        </w:rPr>
        <w:t>：《岳阳市卫生健康委、岳阳市生态环境局关于做好一级医疗机构污水处理问题排查整治工作内容的通知》</w:t>
      </w:r>
      <w:r>
        <w:rPr>
          <w:color w:val="auto"/>
        </w:rPr>
        <w:fldChar w:fldCharType="end"/>
      </w:r>
    </w:p>
    <w:p>
      <w:pPr>
        <w:rPr>
          <w:rFonts w:hint="eastAsia" w:eastAsia="宋体"/>
          <w:lang w:val="en-US" w:eastAsia="zh-CN"/>
        </w:rPr>
      </w:pPr>
      <w:r>
        <w:rPr>
          <w:rFonts w:hint="eastAsia" w:eastAsia="黑体"/>
          <w:snapToGrid w:val="0"/>
          <w:color w:val="auto"/>
          <w:szCs w:val="32"/>
        </w:rPr>
        <w:t>附件</w:t>
      </w:r>
      <w:r>
        <w:rPr>
          <w:rFonts w:hint="eastAsia" w:eastAsia="黑体"/>
          <w:snapToGrid w:val="0"/>
          <w:color w:val="auto"/>
          <w:szCs w:val="32"/>
          <w:lang w:val="en-US" w:eastAsia="zh-CN"/>
        </w:rPr>
        <w:t>10</w:t>
      </w:r>
      <w:r>
        <w:rPr>
          <w:rFonts w:hint="eastAsia" w:eastAsia="黑体"/>
          <w:snapToGrid w:val="0"/>
          <w:color w:val="auto"/>
          <w:szCs w:val="32"/>
        </w:rPr>
        <w:t>：专家意见及签到表</w:t>
      </w:r>
    </w:p>
    <w:p>
      <w:pPr>
        <w:rPr>
          <w:rFonts w:hint="eastAsia"/>
          <w:b/>
          <w:bCs/>
          <w:color w:val="auto"/>
          <w:lang w:val="en-US" w:eastAsia="zh-CN"/>
        </w:rPr>
      </w:pPr>
      <w:r>
        <w:rPr>
          <w:rFonts w:hint="eastAsia"/>
          <w:b/>
          <w:bCs/>
          <w:color w:val="auto"/>
          <w:lang w:val="en-US" w:eastAsia="zh-CN"/>
        </w:rPr>
        <w:t>附件11：申请补办环评手续审批报告</w:t>
      </w:r>
    </w:p>
    <w:p>
      <w:pPr>
        <w:rPr>
          <w:rFonts w:hint="default"/>
          <w:b/>
          <w:bCs/>
          <w:color w:val="auto"/>
          <w:lang w:val="en-US" w:eastAsia="zh-CN"/>
        </w:rPr>
      </w:pPr>
      <w:r>
        <w:rPr>
          <w:rFonts w:hint="eastAsia"/>
          <w:b/>
          <w:bCs/>
          <w:color w:val="auto"/>
          <w:lang w:val="en-US" w:eastAsia="zh-CN"/>
        </w:rPr>
        <w:t>附件12：卫生院选址说明</w:t>
      </w:r>
    </w:p>
    <w:p>
      <w:pPr>
        <w:pStyle w:val="21"/>
        <w:tabs>
          <w:tab w:val="right" w:leader="dot" w:pos="8844"/>
        </w:tabs>
        <w:rPr>
          <w:color w:val="auto"/>
        </w:rPr>
      </w:pPr>
      <w:r>
        <w:rPr>
          <w:color w:val="auto"/>
        </w:rPr>
        <w:fldChar w:fldCharType="begin"/>
      </w:r>
      <w:r>
        <w:rPr>
          <w:color w:val="auto"/>
        </w:rPr>
        <w:instrText xml:space="preserve"> HYPERLINK \l "_Toc10005" </w:instrText>
      </w:r>
      <w:r>
        <w:rPr>
          <w:color w:val="auto"/>
        </w:rPr>
        <w:fldChar w:fldCharType="separate"/>
      </w:r>
      <w:r>
        <w:rPr>
          <w:rFonts w:hint="eastAsia"/>
          <w:bCs/>
          <w:color w:val="auto"/>
          <w:szCs w:val="32"/>
        </w:rPr>
        <w:t>附图</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"_Toc18328" </w:instrText>
      </w:r>
      <w:r>
        <w:rPr>
          <w:color w:val="auto"/>
        </w:rPr>
        <w:fldChar w:fldCharType="separate"/>
      </w:r>
      <w:r>
        <w:rPr>
          <w:rFonts w:hint="eastAsia" w:eastAsia="黑体"/>
          <w:snapToGrid w:val="0"/>
          <w:color w:val="auto"/>
          <w:szCs w:val="32"/>
        </w:rPr>
        <w:t>附图1：项目地理位置图</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"_Toc21642" </w:instrText>
      </w:r>
      <w:r>
        <w:rPr>
          <w:color w:val="auto"/>
        </w:rPr>
        <w:fldChar w:fldCharType="separate"/>
      </w:r>
      <w:r>
        <w:rPr>
          <w:rFonts w:hint="eastAsia" w:eastAsia="黑体"/>
          <w:snapToGrid w:val="0"/>
          <w:color w:val="auto"/>
          <w:szCs w:val="32"/>
        </w:rPr>
        <w:t>附图2：项目总平面布置图</w:t>
      </w:r>
      <w:r>
        <w:rPr>
          <w:color w:val="auto"/>
        </w:rPr>
        <w:fldChar w:fldCharType="end"/>
      </w:r>
    </w:p>
    <w:p>
      <w:pPr>
        <w:pStyle w:val="21"/>
        <w:tabs>
          <w:tab w:val="right" w:leader="dot" w:pos="8844"/>
        </w:tabs>
        <w:rPr>
          <w:color w:val="auto"/>
        </w:rPr>
      </w:pPr>
      <w:r>
        <w:rPr>
          <w:color w:val="auto"/>
        </w:rPr>
        <w:fldChar w:fldCharType="begin"/>
      </w:r>
      <w:r>
        <w:rPr>
          <w:color w:val="auto"/>
        </w:rPr>
        <w:instrText xml:space="preserve"> HYPERLINK \l "_Toc307" </w:instrText>
      </w:r>
      <w:r>
        <w:rPr>
          <w:color w:val="auto"/>
        </w:rPr>
        <w:fldChar w:fldCharType="separate"/>
      </w:r>
      <w:r>
        <w:rPr>
          <w:rFonts w:hint="eastAsia" w:eastAsia="黑体"/>
          <w:snapToGrid w:val="0"/>
          <w:color w:val="auto"/>
          <w:szCs w:val="32"/>
        </w:rPr>
        <w:t>附图3：环境保护目标示意图</w:t>
      </w:r>
      <w:r>
        <w:rPr>
          <w:color w:val="auto"/>
        </w:rPr>
        <w:fldChar w:fldCharType="end"/>
      </w:r>
    </w:p>
    <w:p>
      <w:pPr>
        <w:pStyle w:val="21"/>
        <w:tabs>
          <w:tab w:val="right" w:leader="dot" w:pos="8844"/>
        </w:tabs>
        <w:rPr>
          <w:rFonts w:hint="eastAsia" w:eastAsia="黑体"/>
          <w:snapToGrid w:val="0"/>
          <w:color w:val="auto"/>
          <w:szCs w:val="32"/>
        </w:rPr>
      </w:pPr>
      <w:r>
        <w:rPr>
          <w:rFonts w:hint="eastAsia" w:eastAsia="黑体"/>
          <w:snapToGrid w:val="0"/>
          <w:color w:val="auto"/>
          <w:szCs w:val="32"/>
        </w:rPr>
        <w:fldChar w:fldCharType="begin"/>
      </w:r>
      <w:r>
        <w:rPr>
          <w:rFonts w:hint="eastAsia" w:eastAsia="黑体"/>
          <w:snapToGrid w:val="0"/>
          <w:color w:val="auto"/>
          <w:szCs w:val="32"/>
        </w:rPr>
        <w:instrText xml:space="preserve"> HYPERLINK \l "_Toc25578" </w:instrText>
      </w:r>
      <w:r>
        <w:rPr>
          <w:rFonts w:hint="eastAsia" w:eastAsia="黑体"/>
          <w:snapToGrid w:val="0"/>
          <w:color w:val="auto"/>
          <w:szCs w:val="32"/>
        </w:rPr>
        <w:fldChar w:fldCharType="separate"/>
      </w:r>
      <w:r>
        <w:rPr>
          <w:rFonts w:hint="eastAsia" w:eastAsia="黑体"/>
          <w:snapToGrid w:val="0"/>
          <w:color w:val="auto"/>
          <w:szCs w:val="32"/>
        </w:rPr>
        <w:t>附图4：项目检测布点示意图</w:t>
      </w:r>
      <w:r>
        <w:rPr>
          <w:rFonts w:hint="eastAsia" w:eastAsia="黑体"/>
          <w:snapToGrid w:val="0"/>
          <w:color w:val="auto"/>
          <w:szCs w:val="32"/>
        </w:rPr>
        <w:fldChar w:fldCharType="end"/>
      </w:r>
    </w:p>
    <w:p>
      <w:pPr>
        <w:pStyle w:val="21"/>
        <w:tabs>
          <w:tab w:val="right" w:leader="dot" w:pos="8844"/>
        </w:tabs>
        <w:rPr>
          <w:rFonts w:hint="default" w:eastAsia="黑体"/>
          <w:snapToGrid w:val="0"/>
          <w:color w:val="auto"/>
          <w:szCs w:val="32"/>
          <w:lang w:val="en-US"/>
        </w:rPr>
      </w:pPr>
      <w:r>
        <w:rPr>
          <w:rFonts w:hint="eastAsia" w:eastAsia="黑体"/>
          <w:snapToGrid w:val="0"/>
          <w:color w:val="auto"/>
          <w:szCs w:val="32"/>
          <w:lang w:val="en-US" w:eastAsia="zh-CN"/>
        </w:rPr>
        <w:t>附图5：雨污管网图</w:t>
      </w:r>
    </w:p>
    <w:p>
      <w:pPr>
        <w:rPr>
          <w:b/>
          <w:bCs/>
          <w:color w:val="auto"/>
        </w:rPr>
      </w:pPr>
      <w:r>
        <w:rPr>
          <w:color w:val="auto"/>
        </w:rPr>
        <w:fldChar w:fldCharType="end"/>
      </w:r>
    </w:p>
    <w:p>
      <w:pPr>
        <w:pStyle w:val="2"/>
        <w:rPr>
          <w:color w:val="auto"/>
        </w:rPr>
      </w:pPr>
      <w:bookmarkStart w:id="2" w:name="_Toc15883"/>
      <w:bookmarkStart w:id="3" w:name="_Toc31226"/>
      <w:bookmarkStart w:id="4" w:name="_Toc6224"/>
      <w:bookmarkStart w:id="5" w:name="_Toc27553"/>
      <w:bookmarkStart w:id="6" w:name="_Toc2005"/>
      <w:bookmarkStart w:id="7" w:name="_Toc24905"/>
      <w:bookmarkStart w:id="8" w:name="_Toc9278"/>
      <w:bookmarkStart w:id="9" w:name="_Toc4694"/>
      <w:bookmarkStart w:id="10" w:name="_Toc1767"/>
      <w:bookmarkStart w:id="11" w:name="_Toc11215"/>
      <w:bookmarkStart w:id="12" w:name="_Toc3076"/>
      <w:bookmarkStart w:id="13" w:name="_Toc14919"/>
      <w:bookmarkStart w:id="14" w:name="_Toc16553"/>
      <w:bookmarkStart w:id="15" w:name="_Toc7515"/>
      <w:r>
        <w:rPr>
          <w:rFonts w:hint="eastAsia"/>
          <w:color w:val="auto"/>
        </w:rPr>
        <w:t>一、建设项目基本情况</w:t>
      </w:r>
      <w:bookmarkEnd w:id="2"/>
      <w:bookmarkEnd w:id="3"/>
      <w:bookmarkEnd w:id="4"/>
      <w:bookmarkEnd w:id="5"/>
      <w:bookmarkEnd w:id="6"/>
      <w:bookmarkEnd w:id="7"/>
      <w:bookmarkEnd w:id="8"/>
      <w:bookmarkEnd w:id="9"/>
      <w:bookmarkEnd w:id="10"/>
      <w:bookmarkEnd w:id="11"/>
      <w:bookmarkEnd w:id="12"/>
      <w:bookmarkEnd w:id="13"/>
      <w:bookmarkEnd w:id="14"/>
      <w:bookmarkEnd w:id="15"/>
    </w:p>
    <w:tbl>
      <w:tblPr>
        <w:tblStyle w:val="31"/>
        <w:tblW w:w="8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0"/>
        <w:gridCol w:w="2022"/>
        <w:gridCol w:w="1556"/>
        <w:gridCol w:w="29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建设项目名称</w:t>
            </w:r>
          </w:p>
        </w:tc>
        <w:tc>
          <w:tcPr>
            <w:tcW w:w="6523" w:type="dxa"/>
            <w:gridSpan w:val="3"/>
            <w:noWrap/>
            <w:vAlign w:val="center"/>
          </w:tcPr>
          <w:p>
            <w:pPr>
              <w:jc w:val="center"/>
              <w:rPr>
                <w:color w:val="auto"/>
              </w:rPr>
            </w:pPr>
            <w:r>
              <w:rPr>
                <w:rFonts w:hint="eastAsia"/>
                <w:color w:val="auto"/>
                <w:lang w:eastAsia="zh-CN"/>
              </w:rPr>
              <w:t>临湘市五里牌街道社区卫生服务中心（临湘市五里牌街道妇幼保健计划生育服务站）</w:t>
            </w:r>
            <w:r>
              <w:rPr>
                <w:rFonts w:hint="eastAsia"/>
                <w:color w:val="auto"/>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项目代码</w:t>
            </w:r>
          </w:p>
        </w:tc>
        <w:tc>
          <w:tcPr>
            <w:tcW w:w="6523" w:type="dxa"/>
            <w:gridSpan w:val="3"/>
            <w:noWrap/>
            <w:vAlign w:val="center"/>
          </w:tcPr>
          <w:p>
            <w:pPr>
              <w:adjustRightInd w:val="0"/>
              <w:snapToGrid w:val="0"/>
              <w:jc w:val="center"/>
              <w:rPr>
                <w:rFonts w:hint="eastAsia" w:eastAsia="宋体"/>
                <w:color w:val="auto"/>
                <w:lang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建设单位联系人</w:t>
            </w:r>
          </w:p>
        </w:tc>
        <w:tc>
          <w:tcPr>
            <w:tcW w:w="2022" w:type="dxa"/>
            <w:noWrap/>
            <w:vAlign w:val="center"/>
          </w:tcPr>
          <w:p>
            <w:pPr>
              <w:jc w:val="center"/>
              <w:rPr>
                <w:color w:val="auto"/>
              </w:rPr>
            </w:pPr>
            <w:r>
              <w:rPr>
                <w:rFonts w:hint="eastAsia"/>
                <w:color w:val="auto"/>
                <w:lang w:eastAsia="zh-CN"/>
              </w:rPr>
              <w:t>闾炯</w:t>
            </w:r>
          </w:p>
        </w:tc>
        <w:tc>
          <w:tcPr>
            <w:tcW w:w="1556" w:type="dxa"/>
            <w:noWrap/>
            <w:vAlign w:val="center"/>
          </w:tcPr>
          <w:p>
            <w:pPr>
              <w:jc w:val="center"/>
              <w:rPr>
                <w:color w:val="auto"/>
              </w:rPr>
            </w:pPr>
            <w:r>
              <w:rPr>
                <w:color w:val="auto"/>
              </w:rPr>
              <w:t>联系方式</w:t>
            </w:r>
          </w:p>
        </w:tc>
        <w:tc>
          <w:tcPr>
            <w:tcW w:w="2945" w:type="dxa"/>
            <w:noWrap/>
            <w:vAlign w:val="center"/>
          </w:tcPr>
          <w:p>
            <w:pPr>
              <w:jc w:val="center"/>
              <w:rPr>
                <w:color w:val="auto"/>
              </w:rPr>
            </w:pPr>
            <w:r>
              <w:rPr>
                <w:rFonts w:hint="eastAsia"/>
                <w:color w:val="auto"/>
                <w:lang w:val="en-US" w:eastAsia="zh-CN"/>
              </w:rPr>
              <w:t>13638407142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建设地点</w:t>
            </w:r>
          </w:p>
        </w:tc>
        <w:tc>
          <w:tcPr>
            <w:tcW w:w="6523" w:type="dxa"/>
            <w:gridSpan w:val="3"/>
            <w:noWrap/>
            <w:vAlign w:val="center"/>
          </w:tcPr>
          <w:p>
            <w:pPr>
              <w:jc w:val="center"/>
              <w:rPr>
                <w:rFonts w:hint="eastAsia" w:eastAsia="宋体"/>
                <w:color w:val="auto"/>
                <w:lang w:eastAsia="zh-CN"/>
              </w:rPr>
            </w:pPr>
            <w:r>
              <w:rPr>
                <w:rFonts w:hint="eastAsia"/>
                <w:color w:val="auto"/>
                <w:lang w:eastAsia="zh-CN"/>
              </w:rPr>
              <w:t>临湘市长安东路106号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地理坐标</w:t>
            </w:r>
          </w:p>
        </w:tc>
        <w:tc>
          <w:tcPr>
            <w:tcW w:w="6523" w:type="dxa"/>
            <w:gridSpan w:val="3"/>
            <w:noWrap/>
            <w:vAlign w:val="center"/>
          </w:tcPr>
          <w:p>
            <w:pPr>
              <w:jc w:val="center"/>
              <w:rPr>
                <w:color w:val="auto"/>
              </w:rPr>
            </w:pPr>
            <w:r>
              <w:rPr>
                <w:rFonts w:hint="default" w:ascii="Times New Roman" w:hAnsi="Times New Roman" w:cs="Times New Roman"/>
                <w:color w:val="auto"/>
                <w:u w:val="none"/>
                <w:lang w:val="en-US" w:eastAsia="zh-CN"/>
              </w:rPr>
              <w:t>（东经：113度</w:t>
            </w:r>
            <w:r>
              <w:rPr>
                <w:rFonts w:hint="eastAsia" w:ascii="Times New Roman" w:hAnsi="Times New Roman" w:eastAsia="宋体" w:cs="Times New Roman"/>
                <w:color w:val="auto"/>
                <w:highlight w:val="none"/>
                <w:lang w:val="en-US" w:eastAsia="zh-CN"/>
              </w:rPr>
              <w:t>29</w:t>
            </w:r>
            <w:r>
              <w:rPr>
                <w:rFonts w:hint="default" w:ascii="Times New Roman" w:hAnsi="Times New Roman" w:cs="Times New Roman"/>
                <w:color w:val="auto"/>
                <w:u w:val="none"/>
                <w:lang w:val="en-US" w:eastAsia="zh-CN"/>
              </w:rPr>
              <w:t>分29.990秒，北纬：2</w:t>
            </w:r>
            <w:r>
              <w:rPr>
                <w:rFonts w:hint="eastAsia" w:cs="Times New Roman"/>
                <w:color w:val="auto"/>
                <w:u w:val="none"/>
                <w:lang w:val="en-US" w:eastAsia="zh-CN"/>
              </w:rPr>
              <w:t>9</w:t>
            </w:r>
            <w:r>
              <w:rPr>
                <w:rFonts w:hint="default" w:ascii="Times New Roman" w:hAnsi="Times New Roman" w:cs="Times New Roman"/>
                <w:color w:val="auto"/>
                <w:u w:val="none"/>
                <w:lang w:val="en-US" w:eastAsia="zh-CN"/>
              </w:rPr>
              <w:t>度</w:t>
            </w:r>
            <w:r>
              <w:rPr>
                <w:rFonts w:hint="eastAsia"/>
                <w:color w:val="auto"/>
              </w:rPr>
              <w:t>28</w:t>
            </w:r>
            <w:r>
              <w:rPr>
                <w:rFonts w:hint="default" w:ascii="Times New Roman" w:hAnsi="Times New Roman" w:cs="Times New Roman"/>
                <w:color w:val="auto"/>
                <w:u w:val="none"/>
                <w:lang w:val="en-US" w:eastAsia="zh-CN"/>
              </w:rPr>
              <w:t>分32.065秒）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国民经济</w:t>
            </w:r>
          </w:p>
          <w:p>
            <w:pPr>
              <w:adjustRightInd w:val="0"/>
              <w:snapToGrid w:val="0"/>
              <w:jc w:val="center"/>
              <w:rPr>
                <w:color w:val="auto"/>
              </w:rPr>
            </w:pPr>
            <w:r>
              <w:rPr>
                <w:color w:val="auto"/>
              </w:rPr>
              <w:t>行业类别</w:t>
            </w:r>
          </w:p>
        </w:tc>
        <w:tc>
          <w:tcPr>
            <w:tcW w:w="2022" w:type="dxa"/>
            <w:noWrap/>
            <w:vAlign w:val="center"/>
          </w:tcPr>
          <w:p>
            <w:pPr>
              <w:jc w:val="center"/>
              <w:rPr>
                <w:color w:val="auto"/>
              </w:rPr>
            </w:pPr>
            <w:r>
              <w:rPr>
                <w:rFonts w:hint="eastAsia"/>
                <w:color w:val="auto"/>
              </w:rPr>
              <w:t>8423</w:t>
            </w:r>
            <w:r>
              <w:rPr>
                <w:rFonts w:hint="default" w:eastAsia="宋体"/>
                <w:color w:val="auto"/>
                <w:highlight w:val="none"/>
                <w:lang w:val="en-US" w:eastAsia="zh-CN"/>
              </w:rPr>
              <w:t xml:space="preserve"> 社区卫生服务中心(站)</w:t>
            </w:r>
          </w:p>
        </w:tc>
        <w:tc>
          <w:tcPr>
            <w:tcW w:w="1556" w:type="dxa"/>
            <w:noWrap/>
            <w:vAlign w:val="center"/>
          </w:tcPr>
          <w:p>
            <w:pPr>
              <w:jc w:val="center"/>
              <w:rPr>
                <w:color w:val="auto"/>
              </w:rPr>
            </w:pPr>
            <w:bookmarkStart w:id="16" w:name="_Hlk49843745"/>
            <w:r>
              <w:rPr>
                <w:color w:val="auto"/>
              </w:rPr>
              <w:t>建设项目</w:t>
            </w:r>
          </w:p>
          <w:p>
            <w:pPr>
              <w:jc w:val="center"/>
              <w:rPr>
                <w:color w:val="auto"/>
              </w:rPr>
            </w:pPr>
            <w:r>
              <w:rPr>
                <w:color w:val="auto"/>
              </w:rPr>
              <w:t>行业类别</w:t>
            </w:r>
            <w:bookmarkEnd w:id="16"/>
          </w:p>
        </w:tc>
        <w:tc>
          <w:tcPr>
            <w:tcW w:w="2945" w:type="dxa"/>
            <w:noWrap/>
            <w:vAlign w:val="center"/>
          </w:tcPr>
          <w:p>
            <w:pPr>
              <w:jc w:val="center"/>
              <w:rPr>
                <w:color w:val="auto"/>
              </w:rPr>
            </w:pPr>
            <w:r>
              <w:rPr>
                <w:rFonts w:hint="eastAsia"/>
                <w:color w:val="auto"/>
              </w:rPr>
              <w:t>“四十九 卫生”</w:t>
            </w:r>
            <w:r>
              <w:rPr>
                <w:color w:val="auto"/>
              </w:rPr>
              <w:t>中</w:t>
            </w:r>
            <w:r>
              <w:rPr>
                <w:rFonts w:hint="eastAsia"/>
                <w:color w:val="auto"/>
              </w:rPr>
              <w:t>“</w:t>
            </w:r>
            <w:r>
              <w:rPr>
                <w:color w:val="auto"/>
              </w:rPr>
              <w:t>108</w:t>
            </w:r>
            <w:r>
              <w:rPr>
                <w:rFonts w:hint="eastAsia"/>
                <w:color w:val="auto"/>
              </w:rPr>
              <w:t>基层医疗卫生服务</w:t>
            </w:r>
            <w:r>
              <w:rPr>
                <w:color w:val="auto"/>
              </w:rPr>
              <w:t>84</w:t>
            </w:r>
            <w:r>
              <w:rPr>
                <w:rFonts w:hint="eastAsia"/>
                <w:color w:val="auto"/>
              </w:rPr>
              <w:t>2</w:t>
            </w:r>
            <w:r>
              <w:rPr>
                <w:color w:val="auto"/>
              </w:rPr>
              <w:t>-其他（住院床位20张以下的除</w:t>
            </w:r>
            <w:r>
              <w:rPr>
                <w:rFonts w:hint="eastAsia"/>
                <w:color w:val="auto"/>
              </w:rPr>
              <w:t>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建设性质</w:t>
            </w:r>
          </w:p>
        </w:tc>
        <w:tc>
          <w:tcPr>
            <w:tcW w:w="2022" w:type="dxa"/>
            <w:noWrap/>
            <w:vAlign w:val="center"/>
          </w:tcPr>
          <w:p>
            <w:pPr>
              <w:rPr>
                <w:color w:val="auto"/>
              </w:rPr>
            </w:pPr>
            <w:r>
              <w:rPr>
                <w:rFonts w:hint="eastAsia"/>
                <w:color w:val="auto"/>
                <w:szCs w:val="21"/>
              </w:rPr>
              <w:t>☑</w:t>
            </w:r>
            <w:r>
              <w:rPr>
                <w:color w:val="auto"/>
              </w:rPr>
              <w:t>新建（补办环评）</w:t>
            </w:r>
          </w:p>
          <w:p>
            <w:pPr>
              <w:rPr>
                <w:color w:val="auto"/>
              </w:rPr>
            </w:pPr>
            <w:r>
              <w:rPr>
                <w:rFonts w:hint="eastAsia"/>
                <w:color w:val="auto"/>
              </w:rPr>
              <w:t>□</w:t>
            </w:r>
            <w:r>
              <w:rPr>
                <w:color w:val="auto"/>
              </w:rPr>
              <w:t>改建</w:t>
            </w:r>
          </w:p>
          <w:p>
            <w:pPr>
              <w:rPr>
                <w:color w:val="auto"/>
              </w:rPr>
            </w:pPr>
            <w:r>
              <w:rPr>
                <w:rFonts w:hint="eastAsia"/>
                <w:color w:val="auto"/>
                <w:lang w:eastAsia="zh-CN"/>
              </w:rPr>
              <w:t>□</w:t>
            </w:r>
            <w:r>
              <w:rPr>
                <w:color w:val="auto"/>
              </w:rPr>
              <w:t>扩建</w:t>
            </w:r>
          </w:p>
          <w:p>
            <w:pPr>
              <w:rPr>
                <w:color w:val="auto"/>
              </w:rPr>
            </w:pPr>
            <w:r>
              <w:rPr>
                <w:rFonts w:hint="eastAsia"/>
                <w:color w:val="auto"/>
              </w:rPr>
              <w:t>□</w:t>
            </w:r>
            <w:r>
              <w:rPr>
                <w:color w:val="auto"/>
              </w:rPr>
              <w:t>技术改造</w:t>
            </w:r>
          </w:p>
        </w:tc>
        <w:tc>
          <w:tcPr>
            <w:tcW w:w="1556" w:type="dxa"/>
            <w:noWrap/>
            <w:vAlign w:val="center"/>
          </w:tcPr>
          <w:p>
            <w:pPr>
              <w:adjustRightInd w:val="0"/>
              <w:snapToGrid w:val="0"/>
              <w:jc w:val="center"/>
              <w:rPr>
                <w:color w:val="auto"/>
              </w:rPr>
            </w:pPr>
            <w:r>
              <w:rPr>
                <w:color w:val="auto"/>
              </w:rPr>
              <w:t>建设项目</w:t>
            </w:r>
          </w:p>
          <w:p>
            <w:pPr>
              <w:adjustRightInd w:val="0"/>
              <w:snapToGrid w:val="0"/>
              <w:jc w:val="center"/>
              <w:rPr>
                <w:color w:val="auto"/>
              </w:rPr>
            </w:pPr>
            <w:r>
              <w:rPr>
                <w:color w:val="auto"/>
              </w:rPr>
              <w:t>申报情形</w:t>
            </w:r>
          </w:p>
        </w:tc>
        <w:tc>
          <w:tcPr>
            <w:tcW w:w="2945" w:type="dxa"/>
            <w:noWrap/>
            <w:vAlign w:val="center"/>
          </w:tcPr>
          <w:p>
            <w:pPr>
              <w:rPr>
                <w:color w:val="auto"/>
              </w:rPr>
            </w:pPr>
            <w:r>
              <w:rPr>
                <w:rFonts w:hint="eastAsia"/>
                <w:color w:val="auto"/>
                <w:szCs w:val="21"/>
              </w:rPr>
              <w:t>☑</w:t>
            </w:r>
            <w:r>
              <w:rPr>
                <w:color w:val="auto"/>
              </w:rPr>
              <w:t xml:space="preserve">首次申报项目             </w:t>
            </w:r>
          </w:p>
          <w:p>
            <w:pPr>
              <w:rPr>
                <w:color w:val="auto"/>
              </w:rPr>
            </w:pPr>
            <w:r>
              <w:rPr>
                <w:rFonts w:hint="eastAsia"/>
                <w:color w:val="auto"/>
              </w:rPr>
              <w:t>□</w:t>
            </w:r>
            <w:r>
              <w:rPr>
                <w:color w:val="auto"/>
              </w:rPr>
              <w:t>不予批准后再次申报项目</w:t>
            </w:r>
          </w:p>
          <w:p>
            <w:pPr>
              <w:rPr>
                <w:color w:val="auto"/>
              </w:rPr>
            </w:pPr>
            <w:r>
              <w:rPr>
                <w:rFonts w:hint="eastAsia"/>
                <w:color w:val="auto"/>
                <w:szCs w:val="21"/>
              </w:rPr>
              <w:t>□</w:t>
            </w:r>
            <w:r>
              <w:rPr>
                <w:color w:val="auto"/>
              </w:rPr>
              <w:t xml:space="preserve">超五年重新审核项目     </w:t>
            </w:r>
          </w:p>
          <w:p>
            <w:pPr>
              <w:rPr>
                <w:color w:val="auto"/>
              </w:rPr>
            </w:pPr>
            <w:r>
              <w:rPr>
                <w:rFonts w:hint="eastAsia"/>
                <w:color w:val="auto"/>
              </w:rPr>
              <w:t>□</w:t>
            </w:r>
            <w:r>
              <w:rPr>
                <w:color w:val="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项目审批（核准/备案）部门（选填）</w:t>
            </w:r>
          </w:p>
        </w:tc>
        <w:tc>
          <w:tcPr>
            <w:tcW w:w="2022" w:type="dxa"/>
            <w:noWrap/>
            <w:vAlign w:val="center"/>
          </w:tcPr>
          <w:p>
            <w:pPr>
              <w:adjustRightInd w:val="0"/>
              <w:snapToGrid w:val="0"/>
              <w:jc w:val="center"/>
              <w:rPr>
                <w:color w:val="auto"/>
              </w:rPr>
            </w:pPr>
            <w:r>
              <w:rPr>
                <w:rFonts w:hint="eastAsia"/>
                <w:color w:val="auto"/>
              </w:rPr>
              <w:t>无</w:t>
            </w:r>
          </w:p>
        </w:tc>
        <w:tc>
          <w:tcPr>
            <w:tcW w:w="1556" w:type="dxa"/>
            <w:noWrap/>
            <w:vAlign w:val="center"/>
          </w:tcPr>
          <w:p>
            <w:pPr>
              <w:adjustRightInd w:val="0"/>
              <w:snapToGrid w:val="0"/>
              <w:jc w:val="center"/>
              <w:rPr>
                <w:color w:val="auto"/>
              </w:rPr>
            </w:pPr>
            <w:r>
              <w:rPr>
                <w:color w:val="auto"/>
              </w:rPr>
              <w:t>项目审批（核准/备案）文号（选填）</w:t>
            </w:r>
          </w:p>
        </w:tc>
        <w:tc>
          <w:tcPr>
            <w:tcW w:w="2945" w:type="dxa"/>
            <w:noWrap/>
            <w:vAlign w:val="center"/>
          </w:tcPr>
          <w:p>
            <w:pPr>
              <w:adjustRightInd w:val="0"/>
              <w:snapToGrid w:val="0"/>
              <w:jc w:val="center"/>
              <w:rPr>
                <w:color w:val="auto"/>
              </w:rPr>
            </w:pPr>
            <w:r>
              <w:rPr>
                <w:rFonts w:hint="eastAsia"/>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总投资（万元）</w:t>
            </w:r>
          </w:p>
        </w:tc>
        <w:tc>
          <w:tcPr>
            <w:tcW w:w="2022" w:type="dxa"/>
            <w:noWrap/>
            <w:vAlign w:val="center"/>
          </w:tcPr>
          <w:p>
            <w:pPr>
              <w:jc w:val="center"/>
              <w:rPr>
                <w:rFonts w:hint="default" w:eastAsia="宋体"/>
                <w:color w:val="auto"/>
                <w:lang w:val="en-US" w:eastAsia="zh-CN"/>
              </w:rPr>
            </w:pPr>
            <w:r>
              <w:rPr>
                <w:rFonts w:hint="eastAsia"/>
                <w:color w:val="auto"/>
                <w:lang w:val="en-US" w:eastAsia="zh-CN"/>
              </w:rPr>
              <w:t>452</w:t>
            </w:r>
          </w:p>
        </w:tc>
        <w:tc>
          <w:tcPr>
            <w:tcW w:w="1556" w:type="dxa"/>
            <w:noWrap/>
            <w:tcMar>
              <w:top w:w="16" w:type="dxa"/>
              <w:left w:w="16" w:type="dxa"/>
              <w:right w:w="16" w:type="dxa"/>
            </w:tcMar>
            <w:vAlign w:val="center"/>
          </w:tcPr>
          <w:p>
            <w:pPr>
              <w:jc w:val="center"/>
              <w:rPr>
                <w:color w:val="auto"/>
              </w:rPr>
            </w:pPr>
            <w:r>
              <w:rPr>
                <w:color w:val="auto"/>
              </w:rPr>
              <w:t>环保投资（万元）</w:t>
            </w:r>
          </w:p>
        </w:tc>
        <w:tc>
          <w:tcPr>
            <w:tcW w:w="2945" w:type="dxa"/>
            <w:noWrap/>
            <w:vAlign w:val="center"/>
          </w:tcPr>
          <w:p>
            <w:pPr>
              <w:jc w:val="center"/>
              <w:rPr>
                <w:rFonts w:hint="default" w:eastAsia="宋体"/>
                <w:color w:val="auto"/>
                <w:lang w:val="en-US" w:eastAsia="zh-CN"/>
              </w:rPr>
            </w:pPr>
            <w:r>
              <w:rPr>
                <w:rFonts w:hint="eastAsia"/>
                <w:color w:val="auto"/>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环保投资占比（%）</w:t>
            </w:r>
          </w:p>
        </w:tc>
        <w:tc>
          <w:tcPr>
            <w:tcW w:w="2022" w:type="dxa"/>
            <w:noWrap/>
            <w:vAlign w:val="center"/>
          </w:tcPr>
          <w:p>
            <w:pPr>
              <w:adjustRightInd w:val="0"/>
              <w:snapToGrid w:val="0"/>
              <w:jc w:val="center"/>
              <w:rPr>
                <w:rFonts w:hint="default" w:eastAsia="宋体"/>
                <w:color w:val="auto"/>
                <w:lang w:val="en-US" w:eastAsia="zh-CN"/>
              </w:rPr>
            </w:pPr>
            <w:r>
              <w:rPr>
                <w:rFonts w:hint="eastAsia"/>
                <w:color w:val="auto"/>
                <w:lang w:val="en-US" w:eastAsia="zh-CN"/>
              </w:rPr>
              <w:t>4.87</w:t>
            </w:r>
          </w:p>
        </w:tc>
        <w:tc>
          <w:tcPr>
            <w:tcW w:w="1556" w:type="dxa"/>
            <w:noWrap/>
            <w:tcMar>
              <w:top w:w="16" w:type="dxa"/>
              <w:left w:w="16" w:type="dxa"/>
              <w:right w:w="16" w:type="dxa"/>
            </w:tcMar>
            <w:vAlign w:val="center"/>
          </w:tcPr>
          <w:p>
            <w:pPr>
              <w:adjustRightInd w:val="0"/>
              <w:snapToGrid w:val="0"/>
              <w:jc w:val="center"/>
              <w:rPr>
                <w:color w:val="auto"/>
              </w:rPr>
            </w:pPr>
            <w:r>
              <w:rPr>
                <w:color w:val="auto"/>
              </w:rPr>
              <w:t>施工工期</w:t>
            </w:r>
          </w:p>
        </w:tc>
        <w:tc>
          <w:tcPr>
            <w:tcW w:w="2945" w:type="dxa"/>
            <w:noWrap/>
            <w:vAlign w:val="center"/>
          </w:tcPr>
          <w:p>
            <w:pPr>
              <w:adjustRightInd w:val="0"/>
              <w:snapToGrid w:val="0"/>
              <w:jc w:val="center"/>
              <w:rPr>
                <w:rFonts w:hint="eastAsia" w:eastAsia="宋体"/>
                <w:color w:val="auto"/>
                <w:lang w:val="en-US"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rPr>
            </w:pPr>
            <w:r>
              <w:rPr>
                <w:color w:val="auto"/>
              </w:rPr>
              <w:t>是否开工建设</w:t>
            </w:r>
          </w:p>
        </w:tc>
        <w:tc>
          <w:tcPr>
            <w:tcW w:w="2022" w:type="dxa"/>
            <w:noWrap/>
            <w:vAlign w:val="center"/>
          </w:tcPr>
          <w:p>
            <w:pPr>
              <w:adjustRightInd w:val="0"/>
              <w:snapToGrid w:val="0"/>
              <w:rPr>
                <w:color w:val="auto"/>
              </w:rPr>
            </w:pPr>
            <w:r>
              <w:rPr>
                <w:rFonts w:hint="eastAsia"/>
                <w:color w:val="auto"/>
                <w:szCs w:val="21"/>
              </w:rPr>
              <w:t>□</w:t>
            </w:r>
            <w:r>
              <w:rPr>
                <w:color w:val="auto"/>
              </w:rPr>
              <w:t>否</w:t>
            </w:r>
          </w:p>
          <w:p>
            <w:pPr>
              <w:adjustRightInd w:val="0"/>
              <w:snapToGrid w:val="0"/>
              <w:rPr>
                <w:color w:val="auto"/>
              </w:rPr>
            </w:pPr>
            <w:r>
              <w:rPr>
                <w:rFonts w:hint="eastAsia"/>
                <w:color w:val="auto"/>
                <w:szCs w:val="21"/>
              </w:rPr>
              <w:t>☑</w:t>
            </w:r>
            <w:r>
              <w:rPr>
                <w:color w:val="auto"/>
              </w:rPr>
              <w:t>是</w:t>
            </w:r>
          </w:p>
        </w:tc>
        <w:tc>
          <w:tcPr>
            <w:tcW w:w="1556" w:type="dxa"/>
            <w:noWrap/>
            <w:tcMar>
              <w:top w:w="16" w:type="dxa"/>
              <w:left w:w="16" w:type="dxa"/>
              <w:right w:w="16" w:type="dxa"/>
            </w:tcMar>
            <w:vAlign w:val="center"/>
          </w:tcPr>
          <w:p>
            <w:pPr>
              <w:adjustRightInd w:val="0"/>
              <w:snapToGrid w:val="0"/>
              <w:jc w:val="center"/>
              <w:rPr>
                <w:color w:val="auto"/>
                <w:spacing w:val="-6"/>
              </w:rPr>
            </w:pPr>
            <w:r>
              <w:rPr>
                <w:color w:val="auto"/>
                <w:spacing w:val="-6"/>
              </w:rPr>
              <w:t>用地面积</w:t>
            </w:r>
          </w:p>
          <w:p>
            <w:pPr>
              <w:adjustRightInd w:val="0"/>
              <w:snapToGrid w:val="0"/>
              <w:jc w:val="center"/>
              <w:rPr>
                <w:color w:val="auto"/>
              </w:rPr>
            </w:pPr>
            <w:r>
              <w:rPr>
                <w:color w:val="auto"/>
                <w:spacing w:val="-6"/>
              </w:rPr>
              <w:t>（m</w:t>
            </w:r>
            <w:r>
              <w:rPr>
                <w:color w:val="auto"/>
                <w:spacing w:val="-6"/>
                <w:vertAlign w:val="superscript"/>
              </w:rPr>
              <w:t>2</w:t>
            </w:r>
            <w:r>
              <w:rPr>
                <w:color w:val="auto"/>
                <w:spacing w:val="-6"/>
              </w:rPr>
              <w:t>）</w:t>
            </w:r>
          </w:p>
        </w:tc>
        <w:tc>
          <w:tcPr>
            <w:tcW w:w="2945" w:type="dxa"/>
            <w:noWrap/>
            <w:vAlign w:val="center"/>
          </w:tcPr>
          <w:p>
            <w:pPr>
              <w:adjustRightInd w:val="0"/>
              <w:snapToGrid w:val="0"/>
              <w:jc w:val="center"/>
              <w:rPr>
                <w:rFonts w:hint="default" w:eastAsia="宋体"/>
                <w:color w:val="auto"/>
                <w:lang w:val="en-US" w:eastAsia="zh-CN"/>
              </w:rPr>
            </w:pPr>
            <w:r>
              <w:rPr>
                <w:rFonts w:hint="eastAsia"/>
                <w:color w:val="auto"/>
                <w:spacing w:val="-16"/>
                <w:sz w:val="24"/>
                <w:lang w:val="en-US" w:eastAsia="zh-CN"/>
              </w:rPr>
              <w:t>6080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0" w:type="dxa"/>
            <w:noWrap/>
            <w:vAlign w:val="center"/>
          </w:tcPr>
          <w:p>
            <w:pPr>
              <w:autoSpaceDE w:val="0"/>
              <w:autoSpaceDN w:val="0"/>
              <w:adjustRightInd w:val="0"/>
              <w:snapToGrid w:val="0"/>
              <w:jc w:val="center"/>
              <w:rPr>
                <w:color w:val="auto"/>
                <w:kern w:val="0"/>
              </w:rPr>
            </w:pPr>
            <w:r>
              <w:rPr>
                <w:color w:val="auto"/>
                <w:kern w:val="0"/>
              </w:rPr>
              <w:t>专项评价设置情况</w:t>
            </w:r>
          </w:p>
        </w:tc>
        <w:tc>
          <w:tcPr>
            <w:tcW w:w="6523" w:type="dxa"/>
            <w:gridSpan w:val="3"/>
            <w:noWrap/>
            <w:vAlign w:val="center"/>
          </w:tcPr>
          <w:p>
            <w:pPr>
              <w:jc w:val="center"/>
              <w:rPr>
                <w:rFonts w:hint="eastAsia" w:ascii="Times New Roman" w:hAnsi="Times New Roman" w:eastAsia="宋体" w:cs="Times New Roman"/>
                <w:color w:val="auto"/>
                <w:szCs w:val="32"/>
                <w:lang w:val="en-US" w:eastAsia="zh-CN"/>
              </w:rPr>
            </w:pPr>
            <w:r>
              <w:rPr>
                <w:rFonts w:hint="eastAsia" w:ascii="Times New Roman" w:hAnsi="Times New Roman" w:eastAsia="宋体" w:cs="Times New Roman"/>
                <w:color w:val="auto"/>
                <w:szCs w:val="32"/>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auto"/>
                <w:kern w:val="0"/>
                <w:szCs w:val="21"/>
              </w:rPr>
            </w:pPr>
            <w:r>
              <w:rPr>
                <w:color w:val="auto"/>
              </w:rPr>
              <w:t>规划情况</w:t>
            </w:r>
          </w:p>
        </w:tc>
        <w:tc>
          <w:tcPr>
            <w:tcW w:w="6523" w:type="dxa"/>
            <w:gridSpan w:val="3"/>
            <w:noWrap/>
            <w:vAlign w:val="center"/>
          </w:tcPr>
          <w:p>
            <w:pPr>
              <w:jc w:val="center"/>
              <w:rPr>
                <w:rFonts w:hint="eastAsia" w:ascii="Times New Roman" w:hAnsi="Times New Roman" w:eastAsia="宋体" w:cs="Times New Roman"/>
                <w:color w:val="auto"/>
                <w:szCs w:val="32"/>
              </w:rPr>
            </w:pPr>
            <w:r>
              <w:rPr>
                <w:rFonts w:hint="eastAsia" w:ascii="Times New Roman" w:hAnsi="Times New Roman" w:eastAsia="宋体" w:cs="Times New Roman"/>
                <w:color w:val="auto"/>
                <w:szCs w:val="32"/>
              </w:rPr>
              <w:t>《岳阳市区域卫生规划》（2016-2030）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djustRightInd w:val="0"/>
              <w:snapToGrid w:val="0"/>
              <w:jc w:val="center"/>
              <w:rPr>
                <w:color w:val="auto"/>
              </w:rPr>
            </w:pPr>
            <w:r>
              <w:rPr>
                <w:color w:val="auto"/>
              </w:rPr>
              <w:t>规划环境影响</w:t>
            </w:r>
          </w:p>
          <w:p>
            <w:pPr>
              <w:adjustRightInd w:val="0"/>
              <w:snapToGrid w:val="0"/>
              <w:jc w:val="center"/>
              <w:rPr>
                <w:color w:val="auto"/>
                <w:kern w:val="0"/>
              </w:rPr>
            </w:pPr>
            <w:r>
              <w:rPr>
                <w:color w:val="auto"/>
              </w:rPr>
              <w:t>评价情况</w:t>
            </w:r>
          </w:p>
        </w:tc>
        <w:tc>
          <w:tcPr>
            <w:tcW w:w="6523" w:type="dxa"/>
            <w:gridSpan w:val="3"/>
            <w:noWrap/>
            <w:vAlign w:val="center"/>
          </w:tcPr>
          <w:p>
            <w:pPr>
              <w:jc w:val="center"/>
              <w:rPr>
                <w:color w:val="auto"/>
              </w:rPr>
            </w:pPr>
            <w:r>
              <w:rPr>
                <w:rFonts w:hint="eastAsia"/>
                <w:color w:val="auto"/>
                <w:szCs w:val="32"/>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auto"/>
                <w:kern w:val="0"/>
                <w:szCs w:val="21"/>
              </w:rPr>
            </w:pPr>
            <w:r>
              <w:rPr>
                <w:color w:val="auto"/>
                <w:kern w:val="0"/>
              </w:rPr>
              <w:t>规划及规划环境影响评价符合性分析</w:t>
            </w:r>
          </w:p>
        </w:tc>
        <w:tc>
          <w:tcPr>
            <w:tcW w:w="6523" w:type="dxa"/>
            <w:gridSpan w:val="3"/>
            <w:noWrap/>
            <w:vAlign w:val="center"/>
          </w:tcPr>
          <w:p>
            <w:pPr>
              <w:pStyle w:val="13"/>
              <w:jc w:val="left"/>
              <w:rPr>
                <w:rFonts w:hint="eastAsia"/>
                <w:color w:val="auto"/>
              </w:rPr>
            </w:pPr>
            <w:r>
              <w:rPr>
                <w:rFonts w:hint="eastAsia"/>
                <w:color w:val="auto"/>
              </w:rPr>
              <w:t xml:space="preserve">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 </w:t>
            </w:r>
          </w:p>
          <w:p>
            <w:pPr>
              <w:pStyle w:val="13"/>
              <w:jc w:val="left"/>
              <w:rPr>
                <w:rFonts w:hint="eastAsia"/>
                <w:color w:val="auto"/>
              </w:rPr>
            </w:pPr>
            <w:r>
              <w:rPr>
                <w:rFonts w:hint="eastAsia"/>
                <w:color w:val="auto"/>
              </w:rPr>
              <w:t>②乡镇卫生院按照乡镇行政区划或一定服务人口进行设置，到2020年，全市域实现每个乡镇办好1所标准化建设的乡镇卫生院。全面提升乡镇卫生院服务能力和水平，综合考虑城镇化、地理位置、人口聚集程度等因素，可以选择1/3左右的乡镇卫生院提升服务能力和水平，建设中心乡镇卫生院。改制合并剩下的可以与建制乡镇卫生院完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pPr>
              <w:pStyle w:val="13"/>
              <w:jc w:val="left"/>
              <w:rPr>
                <w:rFonts w:hint="eastAsia"/>
                <w:color w:val="auto"/>
              </w:rPr>
            </w:pPr>
            <w:r>
              <w:rPr>
                <w:rFonts w:hint="eastAsia"/>
                <w:color w:val="auto"/>
              </w:rPr>
              <w:t>③村卫生室配置数量和布局，原则上每个行政村应当设置1个村卫生室。行政村撤并后，对服务人口较多、服务面积较大的行政村（如超过3000人）可在建制村卫生室下设1-3个医疗卫生服务点。</w:t>
            </w:r>
          </w:p>
          <w:p>
            <w:pPr>
              <w:pStyle w:val="13"/>
              <w:jc w:val="left"/>
              <w:rPr>
                <w:rFonts w:hint="eastAsia"/>
                <w:color w:val="auto"/>
              </w:rPr>
            </w:pPr>
            <w:r>
              <w:rPr>
                <w:rFonts w:hint="eastAsia"/>
                <w:color w:val="auto"/>
              </w:rPr>
              <w:t>④到2020年，全市建设标准化乡镇卫生院应达到150-160个，乡镇中心卫生院50-60个，到2030年力争50%的中心乡镇卫生院达到二级医院水平。</w:t>
            </w:r>
          </w:p>
          <w:p>
            <w:pPr>
              <w:pStyle w:val="13"/>
              <w:jc w:val="left"/>
              <w:rPr>
                <w:color w:val="auto"/>
              </w:rPr>
            </w:pPr>
            <w:r>
              <w:rPr>
                <w:rFonts w:hint="eastAsia"/>
                <w:color w:val="auto"/>
              </w:rPr>
              <w:t>本项目建设符合乡镇卫生院的建设要求。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FF0000"/>
                <w:kern w:val="0"/>
                <w:szCs w:val="21"/>
              </w:rPr>
            </w:pPr>
            <w:r>
              <w:rPr>
                <w:color w:val="auto"/>
                <w:kern w:val="0"/>
              </w:rPr>
              <w:t>其他符合性分析</w:t>
            </w:r>
          </w:p>
        </w:tc>
        <w:tc>
          <w:tcPr>
            <w:tcW w:w="6523" w:type="dxa"/>
            <w:gridSpan w:val="3"/>
            <w:noWrap/>
            <w:vAlign w:val="center"/>
          </w:tcPr>
          <w:p>
            <w:pPr>
              <w:pStyle w:val="7"/>
              <w:numPr>
                <w:ilvl w:val="0"/>
                <w:numId w:val="2"/>
              </w:numPr>
              <w:ind w:firstLine="480"/>
              <w:rPr>
                <w:color w:val="auto"/>
              </w:rPr>
            </w:pPr>
            <w:r>
              <w:rPr>
                <w:color w:val="auto"/>
              </w:rPr>
              <w:t>与“三线一单”符合性分析</w:t>
            </w:r>
          </w:p>
          <w:p>
            <w:pPr>
              <w:autoSpaceDE w:val="0"/>
              <w:autoSpaceDN w:val="0"/>
              <w:adjustRightInd w:val="0"/>
              <w:snapToGrid w:val="0"/>
              <w:spacing w:line="360" w:lineRule="auto"/>
              <w:ind w:firstLine="480" w:firstLineChars="200"/>
              <w:jc w:val="both"/>
              <w:rPr>
                <w:rFonts w:hint="default" w:ascii="Times New Roman" w:hAnsi="Times New Roman" w:cs="Times New Roman"/>
                <w:u w:val="none"/>
              </w:rPr>
            </w:pPr>
            <w:r>
              <w:rPr>
                <w:rFonts w:hint="default" w:ascii="Times New Roman" w:hAnsi="Times New Roman" w:cs="Times New Roman"/>
                <w:u w:val="none"/>
              </w:rPr>
              <w:t>“三线一单”即生态保护红线、环境质量底线、资源利用上线和生态环境准入清单。</w:t>
            </w:r>
          </w:p>
          <w:p>
            <w:pPr>
              <w:autoSpaceDE w:val="0"/>
              <w:autoSpaceDN w:val="0"/>
              <w:adjustRightInd w:val="0"/>
              <w:snapToGrid w:val="0"/>
              <w:spacing w:line="360" w:lineRule="auto"/>
              <w:ind w:firstLine="480" w:firstLineChars="200"/>
              <w:jc w:val="both"/>
              <w:rPr>
                <w:rFonts w:hint="default" w:ascii="Times New Roman" w:hAnsi="Times New Roman" w:cs="Times New Roman"/>
                <w:u w:val="none"/>
              </w:rPr>
            </w:pPr>
            <w:r>
              <w:rPr>
                <w:rFonts w:hint="default" w:ascii="Times New Roman" w:hAnsi="Times New Roman" w:cs="Times New Roman"/>
                <w:u w:val="none"/>
              </w:rPr>
              <w:t>（1）生态保护红线</w:t>
            </w:r>
          </w:p>
          <w:p>
            <w:pPr>
              <w:autoSpaceDE w:val="0"/>
              <w:autoSpaceDN w:val="0"/>
              <w:adjustRightInd w:val="0"/>
              <w:snapToGrid w:val="0"/>
              <w:spacing w:line="360" w:lineRule="auto"/>
              <w:ind w:firstLine="480" w:firstLineChars="200"/>
              <w:jc w:val="both"/>
              <w:rPr>
                <w:rFonts w:hint="default" w:ascii="Times New Roman" w:hAnsi="Times New Roman" w:cs="Times New Roman"/>
                <w:u w:val="none"/>
              </w:rPr>
            </w:pPr>
            <w:r>
              <w:rPr>
                <w:rFonts w:hint="default" w:ascii="Times New Roman" w:hAnsi="Times New Roman" w:cs="Times New Roman"/>
                <w:u w:val="none"/>
              </w:rPr>
              <w:t>本项目位于临湘市长安东路106号，</w:t>
            </w:r>
            <w:r>
              <w:rPr>
                <w:rFonts w:hint="default" w:ascii="Times New Roman" w:hAnsi="Times New Roman" w:eastAsia="宋体" w:cs="Times New Roman"/>
                <w:sz w:val="24"/>
                <w:szCs w:val="24"/>
                <w:highlight w:val="none"/>
              </w:rPr>
              <w:t>根据《湖南省生态保护红线》（湘政发〔2018〕20号）中生态红线区范围，</w:t>
            </w:r>
            <w:r>
              <w:rPr>
                <w:rFonts w:hint="default" w:ascii="Times New Roman" w:hAnsi="Times New Roman" w:eastAsia="宋体" w:cs="Times New Roman"/>
                <w:sz w:val="24"/>
                <w:szCs w:val="24"/>
              </w:rPr>
              <w:t>本项目</w:t>
            </w:r>
            <w:r>
              <w:rPr>
                <w:rFonts w:hint="default" w:ascii="Times New Roman" w:hAnsi="Times New Roman" w:cs="Times New Roman"/>
                <w:u w:val="none"/>
              </w:rPr>
              <w:t>不在生态红线范围内，且不位于自然保护区、风景名胜区、饮用水源保护地和其他需要特别保护等法律法规禁止开发建设的区域。因此，项目建设符合生态红线控制要求。</w:t>
            </w:r>
          </w:p>
          <w:p>
            <w:pPr>
              <w:autoSpaceDE w:val="0"/>
              <w:autoSpaceDN w:val="0"/>
              <w:adjustRightInd w:val="0"/>
              <w:snapToGrid w:val="0"/>
              <w:spacing w:line="360" w:lineRule="auto"/>
              <w:ind w:firstLine="480" w:firstLineChars="200"/>
              <w:jc w:val="both"/>
              <w:rPr>
                <w:rFonts w:hint="default" w:ascii="Times New Roman" w:hAnsi="Times New Roman" w:cs="Times New Roman"/>
                <w:u w:val="none"/>
              </w:rPr>
            </w:pPr>
            <w:r>
              <w:rPr>
                <w:rFonts w:hint="default" w:ascii="Times New Roman" w:hAnsi="Times New Roman" w:cs="Times New Roman"/>
                <w:u w:val="none"/>
              </w:rPr>
              <w:t>（2）环境质量底线</w:t>
            </w:r>
          </w:p>
          <w:p>
            <w:pPr>
              <w:spacing w:line="360" w:lineRule="auto"/>
              <w:ind w:firstLine="480" w:firstLineChars="200"/>
              <w:jc w:val="both"/>
              <w:rPr>
                <w:rFonts w:hint="default" w:ascii="Times New Roman" w:hAnsi="Times New Roman" w:cs="Times New Roman"/>
                <w:u w:val="none"/>
              </w:rPr>
            </w:pPr>
            <w:r>
              <w:rPr>
                <w:rFonts w:hint="default" w:ascii="Times New Roman" w:hAnsi="Times New Roman" w:cs="Times New Roman"/>
                <w:u w:val="none"/>
              </w:rPr>
              <w:t>项目所在地环境空气质量</w:t>
            </w:r>
            <w:r>
              <w:rPr>
                <w:rFonts w:hint="default" w:ascii="Times New Roman" w:hAnsi="Times New Roman" w:cs="Times New Roman"/>
                <w:u w:val="none"/>
                <w:lang w:val="en-US" w:eastAsia="zh-CN"/>
              </w:rPr>
              <w:t>执行</w:t>
            </w:r>
            <w:r>
              <w:rPr>
                <w:rFonts w:hint="default" w:ascii="Times New Roman" w:hAnsi="Times New Roman" w:cs="Times New Roman"/>
                <w:u w:val="none"/>
              </w:rPr>
              <w:t>《环境空气质量标准》（GB3095-2012）及其修改单二级标准。地表水环境质量</w:t>
            </w:r>
            <w:r>
              <w:rPr>
                <w:rFonts w:hint="default" w:ascii="Times New Roman" w:hAnsi="Times New Roman" w:cs="Times New Roman"/>
                <w:u w:val="none"/>
                <w:lang w:val="en-US" w:eastAsia="zh-CN"/>
              </w:rPr>
              <w:t>执行</w:t>
            </w:r>
            <w:r>
              <w:rPr>
                <w:rFonts w:hint="default" w:ascii="Times New Roman" w:hAnsi="Times New Roman" w:cs="Times New Roman"/>
                <w:u w:val="none"/>
              </w:rPr>
              <w:t>《地表水环境质量标准》（GB3838-2002）Ⅲ类标准。声环境质量</w:t>
            </w:r>
            <w:r>
              <w:rPr>
                <w:rFonts w:hint="default" w:ascii="Times New Roman" w:hAnsi="Times New Roman" w:cs="Times New Roman"/>
                <w:u w:val="none"/>
                <w:lang w:val="en-US" w:eastAsia="zh-CN"/>
              </w:rPr>
              <w:t>执行</w:t>
            </w:r>
            <w:r>
              <w:rPr>
                <w:rFonts w:hint="default" w:ascii="Times New Roman" w:hAnsi="Times New Roman" w:cs="Times New Roman"/>
                <w:u w:val="none"/>
              </w:rPr>
              <w:t>《声环境质量标准》(GB3096-2008)</w:t>
            </w:r>
            <w:r>
              <w:rPr>
                <w:rFonts w:hint="default" w:ascii="Times New Roman" w:hAnsi="Times New Roman" w:cs="Times New Roman"/>
                <w:u w:val="none"/>
                <w:lang w:val="en-US" w:eastAsia="zh-CN"/>
              </w:rPr>
              <w:t>2</w:t>
            </w:r>
            <w:r>
              <w:rPr>
                <w:rFonts w:hint="default" w:ascii="Times New Roman" w:hAnsi="Times New Roman" w:cs="Times New Roman"/>
                <w:u w:val="none"/>
              </w:rPr>
              <w:t>类标准。</w:t>
            </w:r>
          </w:p>
          <w:p>
            <w:pPr>
              <w:autoSpaceDN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根据</w:t>
            </w:r>
            <w:r>
              <w:rPr>
                <w:rFonts w:hint="default" w:ascii="Times New Roman" w:hAnsi="Times New Roman" w:cs="Times New Roman"/>
                <w:highlight w:val="none"/>
                <w:u w:val="none"/>
                <w:lang w:val="en-US" w:eastAsia="zh-CN"/>
              </w:rPr>
              <w:t>临湘市</w:t>
            </w:r>
            <w:r>
              <w:rPr>
                <w:rFonts w:hint="default" w:ascii="Times New Roman" w:hAnsi="Times New Roman" w:cs="Times New Roman"/>
                <w:highlight w:val="none"/>
                <w:u w:val="none"/>
              </w:rPr>
              <w:t>202</w:t>
            </w:r>
            <w:r>
              <w:rPr>
                <w:rFonts w:hint="default" w:ascii="Times New Roman" w:hAnsi="Times New Roman" w:cs="Times New Roman"/>
                <w:highlight w:val="none"/>
                <w:u w:val="none"/>
                <w:lang w:val="en-US" w:eastAsia="zh-CN"/>
              </w:rPr>
              <w:t>2</w:t>
            </w:r>
            <w:r>
              <w:rPr>
                <w:rFonts w:hint="default" w:ascii="Times New Roman" w:hAnsi="Times New Roman" w:cs="Times New Roman"/>
                <w:highlight w:val="none"/>
                <w:u w:val="none"/>
              </w:rPr>
              <w:t>年环境空气现状监测统计结果，</w:t>
            </w:r>
            <w:r>
              <w:rPr>
                <w:rFonts w:hint="default" w:ascii="Times New Roman" w:hAnsi="Times New Roman" w:cs="Times New Roman"/>
                <w:highlight w:val="none"/>
                <w:u w:val="none"/>
                <w:lang w:val="en-US" w:eastAsia="zh-CN"/>
              </w:rPr>
              <w:t>临湘市</w:t>
            </w:r>
            <w:r>
              <w:rPr>
                <w:rFonts w:hint="default" w:ascii="Times New Roman" w:hAnsi="Times New Roman" w:cs="Times New Roman"/>
                <w:highlight w:val="none"/>
                <w:u w:val="none"/>
              </w:rPr>
              <w:t>环境空气常规监测点各监测因子均达到《环境空气质量标准》（GB3095-2012）二级标准要求，属于达标区。</w:t>
            </w:r>
          </w:p>
          <w:p>
            <w:pPr>
              <w:autoSpaceDN w:val="0"/>
              <w:spacing w:line="360" w:lineRule="auto"/>
              <w:ind w:firstLine="480" w:firstLineChars="2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医院废水进入院内污水处理系统后</w:t>
            </w:r>
            <w:r>
              <w:rPr>
                <w:rFonts w:hint="default" w:ascii="Times New Roman" w:hAnsi="Times New Roman" w:cs="Times New Roman"/>
                <w:color w:val="auto"/>
                <w:highlight w:val="none"/>
                <w:u w:val="none"/>
              </w:rPr>
              <w:t>进入</w:t>
            </w:r>
            <w:r>
              <w:rPr>
                <w:rFonts w:hint="eastAsia" w:ascii="Times New Roman" w:hAnsi="Times New Roman" w:cs="Times New Roman"/>
                <w:color w:val="auto"/>
                <w:highlight w:val="none"/>
                <w:u w:val="none"/>
                <w:lang w:eastAsia="zh-CN"/>
              </w:rPr>
              <w:t>临湘市污水净化中心</w:t>
            </w:r>
            <w:r>
              <w:rPr>
                <w:rFonts w:hint="default" w:ascii="Times New Roman" w:hAnsi="Times New Roman" w:cs="Times New Roman"/>
                <w:color w:val="auto"/>
                <w:highlight w:val="none"/>
                <w:u w:val="none"/>
              </w:rPr>
              <w:t>处理达标后最终排入</w:t>
            </w:r>
            <w:r>
              <w:rPr>
                <w:rFonts w:hint="eastAsia" w:ascii="Times New Roman" w:hAnsi="Times New Roman" w:cs="Times New Roman"/>
                <w:color w:val="auto"/>
                <w:highlight w:val="none"/>
                <w:u w:val="none"/>
                <w:lang w:val="en-US" w:eastAsia="zh-CN"/>
              </w:rPr>
              <w:t>长安</w:t>
            </w:r>
            <w:r>
              <w:rPr>
                <w:rFonts w:hint="default" w:ascii="Times New Roman" w:hAnsi="Times New Roman" w:cs="Times New Roman"/>
                <w:color w:val="auto"/>
                <w:highlight w:val="none"/>
                <w:u w:val="none"/>
                <w:lang w:eastAsia="zh-CN"/>
              </w:rPr>
              <w:t>河</w:t>
            </w:r>
            <w:r>
              <w:rPr>
                <w:rFonts w:hint="default" w:ascii="Times New Roman" w:hAnsi="Times New Roman" w:cs="Times New Roman"/>
                <w:color w:val="auto"/>
                <w:highlight w:val="none"/>
                <w:u w:val="none"/>
              </w:rPr>
              <w:t>。</w:t>
            </w:r>
            <w:r>
              <w:rPr>
                <w:rFonts w:hint="eastAsia" w:ascii="Times New Roman" w:hAnsi="Times New Roman" w:cs="Times New Roman"/>
                <w:color w:val="auto"/>
                <w:highlight w:val="none"/>
                <w:u w:val="none"/>
                <w:lang w:eastAsia="zh-CN"/>
              </w:rPr>
              <w:t>长安河</w:t>
            </w:r>
            <w:r>
              <w:rPr>
                <w:rFonts w:hint="default" w:ascii="Times New Roman" w:hAnsi="Times New Roman" w:cs="Times New Roman"/>
                <w:color w:val="auto"/>
                <w:highlight w:val="none"/>
                <w:u w:val="none"/>
              </w:rPr>
              <w:t>水质指标均能满足《地表水环境质量标准》（GB3838-2002）中的Ⅲ类标准要求。</w:t>
            </w:r>
          </w:p>
          <w:p>
            <w:pPr>
              <w:autoSpaceDE w:val="0"/>
              <w:autoSpaceDN w:val="0"/>
              <w:adjustRightInd w:val="0"/>
              <w:snapToGrid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根据以上分析，评价范围内地表水、环境空气等现状监测指标基本满足相应的标准限值，总体环境现状符合环境功能区要求。</w:t>
            </w:r>
            <w:r>
              <w:rPr>
                <w:rFonts w:hint="default" w:ascii="Times New Roman" w:hAnsi="Times New Roman" w:cs="Times New Roman"/>
                <w:highlight w:val="none"/>
                <w:u w:val="none"/>
                <w:lang w:val="en-US" w:eastAsia="zh-CN"/>
              </w:rPr>
              <w:t>项目新增水污染物、大气污染物排放量较少，</w:t>
            </w:r>
            <w:r>
              <w:rPr>
                <w:rFonts w:hint="default" w:ascii="Times New Roman" w:hAnsi="Times New Roman" w:cs="Times New Roman"/>
                <w:highlight w:val="none"/>
                <w:u w:val="none"/>
              </w:rPr>
              <w:t>因此，在落实本环评提出的相关环保措施后，本项目污染物排放不会对区域环境质量底线造成冲击。</w:t>
            </w:r>
          </w:p>
          <w:p>
            <w:pPr>
              <w:autoSpaceDE w:val="0"/>
              <w:autoSpaceDN w:val="0"/>
              <w:adjustRightInd w:val="0"/>
              <w:snapToGrid w:val="0"/>
              <w:spacing w:line="360" w:lineRule="auto"/>
              <w:ind w:firstLine="480" w:firstLineChars="200"/>
              <w:jc w:val="left"/>
              <w:rPr>
                <w:rFonts w:hint="default" w:ascii="Times New Roman" w:hAnsi="Times New Roman" w:cs="Times New Roman"/>
                <w:u w:val="none"/>
              </w:rPr>
            </w:pPr>
            <w:r>
              <w:rPr>
                <w:rFonts w:hint="default" w:ascii="Times New Roman" w:hAnsi="Times New Roman" w:cs="Times New Roman"/>
                <w:u w:val="none"/>
              </w:rPr>
              <w:t>（3）资源利用上线</w:t>
            </w:r>
          </w:p>
          <w:p>
            <w:pPr>
              <w:autoSpaceDE w:val="0"/>
              <w:autoSpaceDN w:val="0"/>
              <w:adjustRightInd w:val="0"/>
              <w:snapToGrid w:val="0"/>
              <w:spacing w:line="360" w:lineRule="auto"/>
              <w:ind w:firstLine="480" w:firstLineChars="200"/>
              <w:jc w:val="left"/>
              <w:rPr>
                <w:rFonts w:hint="default" w:ascii="Times New Roman" w:hAnsi="Times New Roman" w:cs="Times New Roman"/>
                <w:u w:val="none"/>
              </w:rPr>
            </w:pPr>
            <w:r>
              <w:rPr>
                <w:rFonts w:hint="default" w:ascii="Times New Roman" w:hAnsi="Times New Roman" w:cs="Times New Roman"/>
                <w:u w:val="none"/>
              </w:rPr>
              <w:t>资源是环境的载体，资源利用上线是各地区能源、水、土地等资源消耗不得突破的“天花板”。本项目运营过程中不可避免会消耗一定量的电源、水资源，但本项目资源能源消耗量相对区域资源利用总量较少，符合资源利用上限要求。</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（4）环境准入清单</w:t>
            </w:r>
          </w:p>
          <w:p>
            <w:pPr>
              <w:pStyle w:val="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rPr>
            </w:pPr>
            <w:r>
              <w:rPr>
                <w:rFonts w:hint="default" w:ascii="Times New Roman" w:hAnsi="Times New Roman" w:eastAsia="宋体" w:cs="Times New Roman"/>
                <w:u w:val="none"/>
                <w:lang w:val="en-US" w:eastAsia="zh-CN"/>
              </w:rPr>
              <w:t>根据《关于实施岳阳市“三线一单”生态环境分区管控的意见》 岳政发</w:t>
            </w:r>
            <w:r>
              <w:rPr>
                <w:rFonts w:hint="eastAsia" w:cs="Times New Roman"/>
                <w:u w:val="none"/>
                <w:lang w:val="en-US" w:eastAsia="zh-CN"/>
              </w:rPr>
              <w:t>（</w:t>
            </w:r>
            <w:r>
              <w:rPr>
                <w:rFonts w:hint="default" w:ascii="Times New Roman" w:hAnsi="Times New Roman" w:eastAsia="宋体" w:cs="Times New Roman"/>
                <w:u w:val="none"/>
                <w:lang w:val="en-US" w:eastAsia="zh-CN"/>
              </w:rPr>
              <w:t>2021</w:t>
            </w:r>
            <w:r>
              <w:rPr>
                <w:rFonts w:hint="eastAsia" w:cs="Times New Roman"/>
                <w:u w:val="none"/>
                <w:lang w:val="en-US" w:eastAsia="zh-CN"/>
              </w:rPr>
              <w:t>）</w:t>
            </w:r>
            <w:r>
              <w:rPr>
                <w:rFonts w:hint="default" w:ascii="Times New Roman" w:hAnsi="Times New Roman" w:eastAsia="宋体" w:cs="Times New Roman"/>
                <w:u w:val="none"/>
                <w:lang w:val="en-US" w:eastAsia="zh-CN"/>
              </w:rPr>
              <w:t>2 号》，项</w:t>
            </w:r>
            <w:r>
              <w:rPr>
                <w:rFonts w:hint="default" w:ascii="Times New Roman" w:hAnsi="Times New Roman" w:eastAsia="宋体" w:cs="Times New Roman"/>
                <w:color w:val="000000" w:themeColor="text1"/>
                <w:u w:val="none"/>
                <w:lang w:val="en-US" w:eastAsia="zh-CN"/>
              </w:rPr>
              <w:t>目所在临湘市</w:t>
            </w:r>
            <w:r>
              <w:rPr>
                <w:rFonts w:hint="eastAsia" w:ascii="Times New Roman" w:hAnsi="Times New Roman" w:eastAsia="宋体" w:cs="Times New Roman"/>
                <w:color w:val="000000" w:themeColor="text1"/>
                <w:u w:val="none"/>
                <w:lang w:val="en-US" w:eastAsia="zh-CN"/>
              </w:rPr>
              <w:t>五里街道</w:t>
            </w:r>
            <w:r>
              <w:rPr>
                <w:rFonts w:hint="default" w:ascii="Times New Roman" w:hAnsi="Times New Roman" w:eastAsia="宋体" w:cs="Times New Roman"/>
                <w:color w:val="000000" w:themeColor="text1"/>
                <w:u w:val="none"/>
                <w:lang w:val="en-US" w:eastAsia="zh-CN"/>
              </w:rPr>
              <w:t>为一般管控单元，单元编码</w:t>
            </w:r>
            <w:r>
              <w:rPr>
                <w:rFonts w:hint="eastAsia"/>
                <w:color w:val="000000" w:themeColor="text1"/>
              </w:rPr>
              <w:t>ZH43068220002</w:t>
            </w:r>
            <w:r>
              <w:rPr>
                <w:rFonts w:hint="default" w:ascii="Times New Roman" w:hAnsi="Times New Roman" w:eastAsia="宋体" w:cs="Times New Roman"/>
                <w:color w:val="000000" w:themeColor="text1"/>
                <w:u w:val="none"/>
                <w:lang w:val="en-US" w:eastAsia="zh-CN"/>
              </w:rPr>
              <w:t>。</w:t>
            </w:r>
            <w:r>
              <w:rPr>
                <w:rFonts w:hint="default" w:ascii="Times New Roman" w:hAnsi="Times New Roman" w:eastAsia="宋体" w:cs="Times New Roman"/>
                <w:u w:val="none"/>
                <w:lang w:val="en-US" w:eastAsia="zh-CN"/>
              </w:rPr>
              <w:t>本项目与区域生态环境准入清单的符合性分析如下表</w:t>
            </w:r>
            <w:r>
              <w:rPr>
                <w:rFonts w:hint="default" w:ascii="Times New Roman" w:hAnsi="Times New Roman" w:cs="Times New Roman"/>
                <w:u w:val="none"/>
                <w:lang w:val="en-US" w:eastAsia="zh-CN"/>
              </w:rPr>
              <w:t>。</w:t>
            </w:r>
          </w:p>
          <w:p>
            <w:pPr>
              <w:spacing w:line="240" w:lineRule="auto"/>
              <w:jc w:val="center"/>
              <w:rPr>
                <w:b/>
                <w:bCs/>
                <w:color w:val="000000" w:themeColor="text1"/>
              </w:rPr>
            </w:pPr>
            <w:r>
              <w:rPr>
                <w:b/>
                <w:bCs/>
                <w:color w:val="000000" w:themeColor="text1"/>
              </w:rPr>
              <w:t>表1-</w:t>
            </w:r>
            <w:r>
              <w:rPr>
                <w:rFonts w:hint="eastAsia"/>
                <w:b/>
                <w:bCs/>
                <w:color w:val="000000" w:themeColor="text1"/>
                <w:lang w:val="en-US" w:eastAsia="zh-CN"/>
              </w:rPr>
              <w:t>1</w:t>
            </w:r>
            <w:r>
              <w:rPr>
                <w:b/>
                <w:bCs/>
                <w:color w:val="000000" w:themeColor="text1"/>
              </w:rPr>
              <w:t xml:space="preserve">  </w:t>
            </w:r>
            <w:r>
              <w:rPr>
                <w:rFonts w:hint="eastAsia"/>
                <w:b/>
                <w:bCs/>
                <w:color w:val="000000" w:themeColor="text1"/>
              </w:rPr>
              <w:t>本项目涉及内容与“三线一单”管控要求符合性分析</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4455"/>
              <w:gridCol w:w="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6" w:type="dxa"/>
                  <w:vAlign w:val="center"/>
                </w:tcPr>
                <w:p>
                  <w:pPr>
                    <w:pStyle w:val="45"/>
                    <w:rPr>
                      <w:color w:val="000000" w:themeColor="text1"/>
                      <w:sz w:val="21"/>
                      <w:szCs w:val="21"/>
                    </w:rPr>
                  </w:pPr>
                  <w:r>
                    <w:rPr>
                      <w:rFonts w:hint="eastAsia"/>
                      <w:color w:val="000000" w:themeColor="text1"/>
                    </w:rPr>
                    <w:t>管控维度</w:t>
                  </w:r>
                </w:p>
              </w:tc>
              <w:tc>
                <w:tcPr>
                  <w:tcW w:w="4455" w:type="dxa"/>
                  <w:vAlign w:val="center"/>
                </w:tcPr>
                <w:p>
                  <w:pPr>
                    <w:pStyle w:val="45"/>
                    <w:rPr>
                      <w:color w:val="000000" w:themeColor="text1"/>
                      <w:sz w:val="21"/>
                      <w:szCs w:val="21"/>
                    </w:rPr>
                  </w:pPr>
                  <w:r>
                    <w:rPr>
                      <w:rFonts w:hint="eastAsia"/>
                      <w:color w:val="000000" w:themeColor="text1"/>
                    </w:rPr>
                    <w:t>管控要求</w:t>
                  </w:r>
                </w:p>
              </w:tc>
              <w:tc>
                <w:tcPr>
                  <w:tcW w:w="873" w:type="dxa"/>
                  <w:vAlign w:val="center"/>
                </w:tcPr>
                <w:p>
                  <w:pPr>
                    <w:pStyle w:val="45"/>
                    <w:rPr>
                      <w:color w:val="000000" w:themeColor="text1"/>
                      <w:sz w:val="21"/>
                      <w:szCs w:val="21"/>
                    </w:rPr>
                  </w:pPr>
                  <w:r>
                    <w:rPr>
                      <w:rFonts w:hint="eastAsia"/>
                      <w:color w:val="000000" w:themeColor="text1"/>
                    </w:rP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空间布局约束</w:t>
                  </w:r>
                </w:p>
              </w:tc>
              <w:tc>
                <w:tcPr>
                  <w:tcW w:w="3549" w:type="pct"/>
                  <w:vAlign w:val="center"/>
                </w:tcPr>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1.1 按照“关闭一批，整合一批，提高一批”的原则，对不具备安全生产条件，破坏生态，污染环境的违规开采矿山，实行关停整顿，整合重组。</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1.2 对辖区内规模小，污染大，安全系数低，效率不高的采矿企业，坚决关停，对违法盗采行为要依法予以严厉打击。</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1.3 在国家、省绿色矿山开发和国家相关法律法规要求的前置条件下，对各矿种的年开采量和投入实现门槛准入。</w:t>
                  </w:r>
                </w:p>
                <w:p>
                  <w:pPr>
                    <w:adjustRightInd w:val="0"/>
                    <w:snapToGrid w:val="0"/>
                    <w:spacing w:line="276" w:lineRule="auto"/>
                    <w:jc w:val="both"/>
                    <w:rPr>
                      <w:color w:val="000000" w:themeColor="text1"/>
                      <w:sz w:val="21"/>
                      <w:szCs w:val="21"/>
                    </w:rPr>
                  </w:pPr>
                  <w:r>
                    <w:rPr>
                      <w:rFonts w:hint="eastAsia"/>
                      <w:color w:val="000000" w:themeColor="text1"/>
                      <w:sz w:val="21"/>
                      <w:szCs w:val="21"/>
                    </w:rPr>
                    <w:t>1.4 桃林铅锌矿片区需紧紧围绕“矿区转型”，以循环经济理念和生态工业理论为指导，以特色农业和旅游资源为支撑，发展以文化旅游、农产品加工、节能环保为主，萤石加工、商贸流通为辅的产业结构，构建桃矿地区“3+2”产业体系，将桃矿建设成为“生态经济示范区”；桃矿独立工矿区产业发展以经济转型为主线，形成一个集矿产品深加工、工业物流园区、旅游风景区、商业生活区多功能于一体的新型独立矿区。</w:t>
                  </w:r>
                </w:p>
              </w:tc>
              <w:tc>
                <w:tcPr>
                  <w:tcW w:w="695" w:type="pct"/>
                  <w:vAlign w:val="center"/>
                </w:tcPr>
                <w:p>
                  <w:pPr>
                    <w:keepNext w:val="0"/>
                    <w:keepLines w:val="0"/>
                    <w:widowControl/>
                    <w:suppressLineNumbers w:val="0"/>
                    <w:jc w:val="left"/>
                    <w:rPr>
                      <w:color w:val="000000" w:themeColor="text1"/>
                      <w:sz w:val="21"/>
                      <w:szCs w:val="21"/>
                    </w:rPr>
                  </w:pPr>
                  <w:r>
                    <w:rPr>
                      <w:rFonts w:hint="eastAsia" w:ascii="宋体" w:hAnsi="宋体" w:eastAsia="宋体" w:cs="宋体"/>
                      <w:color w:val="000000" w:themeColor="text1"/>
                      <w:kern w:val="0"/>
                      <w:sz w:val="20"/>
                      <w:szCs w:val="20"/>
                      <w:lang w:val="en-US" w:eastAsia="zh-CN" w:bidi="ar"/>
                    </w:rPr>
                    <w:t>本项目不属于采矿业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color w:val="000000" w:themeColor="text1"/>
                      <w:sz w:val="21"/>
                      <w:szCs w:val="21"/>
                    </w:rPr>
                  </w:pPr>
                  <w:r>
                    <w:rPr>
                      <w:rFonts w:hint="eastAsia"/>
                      <w:color w:val="000000" w:themeColor="text1"/>
                      <w:sz w:val="21"/>
                      <w:szCs w:val="21"/>
                    </w:rPr>
                    <w:t>污染物排放管控</w:t>
                  </w:r>
                </w:p>
              </w:tc>
              <w:tc>
                <w:tcPr>
                  <w:tcW w:w="3549" w:type="pct"/>
                  <w:vAlign w:val="center"/>
                </w:tcPr>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2.1 污水处理达到一级 A 排放标准，城区基本实现污水全收集、全处理，基本无生活污水直排口；实施乡镇污水处理设施建设专项行动计划，实现全市乡镇污水处理设施全覆盖，配套管网基本完善。</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2.2 加强畜禽养殖企业（专业户）配套污染防治设施建设，规模养殖场粪污处理设施装备配套率达到 95%以上（大型规模养殖场达到 100%），实现养殖企业污染物达标排放。</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2.3 加大涉重金属企业治污设施升级与清洁生产改造力度，严厉打击超标排放与偷排漏排，规范企业无组织排放与无组织堆存堆放固体废物、物料，稳步推进重金属减排。在矿产资源开发利用活动集中的区域，执行重点污染物特别排放限值。</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2.4 对易产生无组织排放扬尘的粉状、粒状物料、燃料的储存、运输采取密闭方式；对块状物料采用入棚入仓或建设防风抑尘网等方式进行存储，并设抑尘措施。</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2.5 石化生产存贮销售企业和工业园区、矿山开采区、垃圾填埋场等区域应进行必要的防处理。</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2.6 持续深化工业炉窑大气污染专项治理，按照《湖南省工业炉窑大气污染综合治理实施方案》要求，重点推进水泥、有色、陶瓷、无机化工等行业炉窑深度治理，进一步加强烧制砖瓦行业综合整治。鼓励实施燃气锅炉低氮改造</w:t>
                  </w:r>
                </w:p>
              </w:tc>
              <w:tc>
                <w:tcPr>
                  <w:tcW w:w="695" w:type="pct"/>
                  <w:vAlign w:val="center"/>
                </w:tcPr>
                <w:p>
                  <w:pPr>
                    <w:adjustRightInd w:val="0"/>
                    <w:snapToGrid w:val="0"/>
                    <w:spacing w:line="276" w:lineRule="auto"/>
                    <w:jc w:val="center"/>
                    <w:rPr>
                      <w:color w:val="000000" w:themeColor="text1"/>
                      <w:sz w:val="21"/>
                      <w:szCs w:val="21"/>
                    </w:rPr>
                  </w:pPr>
                  <w:r>
                    <w:rPr>
                      <w:rFonts w:hint="eastAsia"/>
                      <w:color w:val="000000" w:themeColor="text1"/>
                      <w:sz w:val="21"/>
                      <w:szCs w:val="21"/>
                    </w:rPr>
                    <w:t>本项目不属于畜禽养殖业及涉重金属企业，本项目废水经污水处理站预处理达标后排放至市政污水管网，进入临湘市污水净化中心处理达到一级 A排放标准排放。不涉及工业炉窑。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环境风险防控</w:t>
                  </w:r>
                </w:p>
              </w:tc>
              <w:tc>
                <w:tcPr>
                  <w:tcW w:w="3549" w:type="pct"/>
                  <w:vAlign w:val="center"/>
                </w:tcPr>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3.1 分阶段、分区域、按类别解决历史遗留污染问题，对关闭矿山，加快推进矿山生态环境修复治理及矿井涌水整治。</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3.2 针对建设用地污染风险重点管控区的管控要求。严格建设用地土壤污染风险管控。加强建设用地土壤污染风险管控和修复名录管理，实现污染地块安全利用率 90%以上；加强全国土壤环境信息化管理平台管理与使用，及时动态更新污染地块目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p>
                <w:p>
                  <w:pPr>
                    <w:adjustRightInd w:val="0"/>
                    <w:snapToGrid w:val="0"/>
                    <w:spacing w:line="276" w:lineRule="auto"/>
                    <w:jc w:val="both"/>
                    <w:rPr>
                      <w:color w:val="000000" w:themeColor="text1"/>
                      <w:sz w:val="21"/>
                      <w:szCs w:val="21"/>
                    </w:rPr>
                  </w:pPr>
                  <w:r>
                    <w:rPr>
                      <w:rFonts w:hint="eastAsia"/>
                      <w:color w:val="000000" w:themeColor="text1"/>
                      <w:sz w:val="21"/>
                      <w:szCs w:val="21"/>
                    </w:rPr>
                    <w:t>3.3 临湘桃矿独立工矿区：对矿区内银孔山及上塘冲塌陷区 10 平方公里范围内采空区进行治理，对因洞采及露天开采导致植被、水系、地质等破坏，极易发生地质灾害，进行地质灾害隐患治理；对矿区内 1.5万平方公里被污染土壤进行有效管控，部分土壤采用污染土壤的原位修复、污染土壤的清理、污染土壤的异位稳定化固化处理，对污染土壤进行修复；对桃林河重金属污染实施二期治理，对 8 公里河道多处进行疏浚，包括施工围堵和边坡护砌，并对沿河道路进行维修和绿化种植；根据水体污染程度的差异以及水资源对居民生活的影响程度的差异，划分出重点治理区域，通过饮用水源保护、河道清淤、护砌工程、人工浮岛实施治理。</w:t>
                  </w:r>
                </w:p>
              </w:tc>
              <w:tc>
                <w:tcPr>
                  <w:tcW w:w="695" w:type="pct"/>
                  <w:vAlign w:val="center"/>
                </w:tcPr>
                <w:p>
                  <w:pPr>
                    <w:adjustRightInd w:val="0"/>
                    <w:snapToGrid w:val="0"/>
                    <w:spacing w:line="276" w:lineRule="auto"/>
                    <w:jc w:val="center"/>
                    <w:rPr>
                      <w:rFonts w:hint="eastAsia"/>
                      <w:color w:val="000000" w:themeColor="text1"/>
                      <w:sz w:val="21"/>
                      <w:szCs w:val="21"/>
                    </w:rPr>
                  </w:pPr>
                  <w:r>
                    <w:rPr>
                      <w:rFonts w:hint="eastAsia"/>
                      <w:color w:val="000000" w:themeColor="text1"/>
                      <w:sz w:val="21"/>
                      <w:szCs w:val="21"/>
                    </w:rPr>
                    <w:t>本项目建设地为临湘市长安街道不涉及临</w:t>
                  </w:r>
                </w:p>
                <w:p>
                  <w:pPr>
                    <w:adjustRightInd w:val="0"/>
                    <w:snapToGrid w:val="0"/>
                    <w:spacing w:line="276" w:lineRule="auto"/>
                    <w:jc w:val="center"/>
                    <w:rPr>
                      <w:color w:val="000000" w:themeColor="text1"/>
                      <w:sz w:val="21"/>
                      <w:szCs w:val="21"/>
                    </w:rPr>
                  </w:pPr>
                  <w:r>
                    <w:rPr>
                      <w:rFonts w:hint="eastAsia"/>
                      <w:color w:val="000000" w:themeColor="text1"/>
                      <w:sz w:val="21"/>
                      <w:szCs w:val="21"/>
                    </w:rPr>
                    <w:t>湘桃矿独立工矿区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color w:val="000000" w:themeColor="text1"/>
                      <w:sz w:val="21"/>
                      <w:szCs w:val="21"/>
                    </w:rPr>
                  </w:pPr>
                  <w:r>
                    <w:rPr>
                      <w:rFonts w:hint="eastAsia"/>
                      <w:color w:val="000000" w:themeColor="text1"/>
                      <w:sz w:val="21"/>
                      <w:szCs w:val="21"/>
                    </w:rPr>
                    <w:t>资源开发效率要求</w:t>
                  </w:r>
                </w:p>
              </w:tc>
              <w:tc>
                <w:tcPr>
                  <w:tcW w:w="3549" w:type="pct"/>
                  <w:vAlign w:val="center"/>
                </w:tcPr>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4.1 积极推进农业节水，完成高效节水灌溉年度任务；推进循环发展，将再生水、雨水、矿井水等非常规水源纳入区域水资源统一配置。</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4.2 水资源：临湘市万元国内生产总值用水量104m3/万元，万元工业增加值用水量 31m3/万元，农田灌溉水有效利用系数 0.55。</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4.3 能源：临湘市“十三五”能耗强度降低目标 18.5%，“十三五”能耗控制目标 17.5 万吨标准煤。</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4.4 土地资源：</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忠防镇（含桃矿街道）：城镇工矿用地建设规模为181.57 公顷，耕地保有量 1756.22 公顷，建设用地总规模达到 896.95 公顷。</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桃林镇：城镇工矿用地建设规模为 258.12 公顷，耕地保有量 3274.85 公顷，建设用地总规模达到 1336.32公顷。</w:t>
                  </w:r>
                </w:p>
                <w:p>
                  <w:pPr>
                    <w:adjustRightInd w:val="0"/>
                    <w:snapToGrid w:val="0"/>
                    <w:spacing w:line="276" w:lineRule="auto"/>
                    <w:jc w:val="both"/>
                    <w:rPr>
                      <w:rFonts w:hint="eastAsia"/>
                      <w:color w:val="000000" w:themeColor="text1"/>
                      <w:sz w:val="21"/>
                      <w:szCs w:val="21"/>
                    </w:rPr>
                  </w:pPr>
                  <w:r>
                    <w:rPr>
                      <w:rFonts w:hint="eastAsia"/>
                      <w:color w:val="000000" w:themeColor="text1"/>
                      <w:sz w:val="21"/>
                      <w:szCs w:val="21"/>
                    </w:rPr>
                    <w:t>长安街道：城镇工矿用地建设规模为 1668.09 公顷，耕地保有量 2021.79 公顷，建设用地总规模达到2390.47 公顷。</w:t>
                  </w:r>
                </w:p>
                <w:p>
                  <w:pPr>
                    <w:adjustRightInd w:val="0"/>
                    <w:snapToGrid w:val="0"/>
                    <w:spacing w:line="276" w:lineRule="auto"/>
                    <w:jc w:val="both"/>
                    <w:rPr>
                      <w:color w:val="000000" w:themeColor="text1"/>
                      <w:sz w:val="21"/>
                      <w:szCs w:val="21"/>
                    </w:rPr>
                  </w:pPr>
                  <w:r>
                    <w:rPr>
                      <w:rFonts w:hint="eastAsia"/>
                      <w:color w:val="000000" w:themeColor="text1"/>
                      <w:sz w:val="21"/>
                      <w:szCs w:val="21"/>
                    </w:rPr>
                    <w:t>五里牌街道：城镇工矿用地建设规模为 744.24 公顷，耕地保有量 2261.21 公顷，建设用地总规模达到1430.22 公顷。</w:t>
                  </w:r>
                </w:p>
              </w:tc>
              <w:tc>
                <w:tcPr>
                  <w:tcW w:w="695" w:type="pct"/>
                  <w:vAlign w:val="center"/>
                </w:tcPr>
                <w:p>
                  <w:pPr>
                    <w:adjustRightInd w:val="0"/>
                    <w:snapToGrid w:val="0"/>
                    <w:spacing w:line="276" w:lineRule="auto"/>
                    <w:jc w:val="center"/>
                    <w:rPr>
                      <w:color w:val="000000" w:themeColor="text1"/>
                      <w:sz w:val="21"/>
                      <w:szCs w:val="21"/>
                    </w:rPr>
                  </w:pPr>
                  <w:r>
                    <w:rPr>
                      <w:rFonts w:hint="eastAsia"/>
                      <w:color w:val="000000" w:themeColor="text1"/>
                      <w:sz w:val="21"/>
                      <w:szCs w:val="21"/>
                    </w:rPr>
                    <w:t>本项目不属于高能耗项目，不涉及工矿及农耕，项目运营过程产生废水，经污水处理站处理达标后排放至市政污水管网，进入临湘市污水净化中心处理达到一级A 排放标准排放。</w:t>
                  </w:r>
                </w:p>
              </w:tc>
            </w:tr>
          </w:tbl>
          <w:p>
            <w:pPr>
              <w:pStyle w:val="7"/>
              <w:ind w:firstLine="480"/>
              <w:rPr>
                <w:color w:val="auto"/>
              </w:rPr>
            </w:pPr>
            <w:r>
              <w:rPr>
                <w:color w:val="auto"/>
              </w:rPr>
              <w:t>综上所述，本项目的建设符合《</w:t>
            </w:r>
            <w:r>
              <w:rPr>
                <w:rFonts w:hint="eastAsia"/>
                <w:color w:val="auto"/>
              </w:rPr>
              <w:t>岳阳市“三线一单”生态环境分区管控的意见</w:t>
            </w:r>
            <w:r>
              <w:rPr>
                <w:color w:val="auto"/>
              </w:rPr>
              <w:t>》相关要求。</w:t>
            </w:r>
          </w:p>
          <w:p>
            <w:pPr>
              <w:pStyle w:val="7"/>
              <w:ind w:firstLine="480"/>
              <w:rPr>
                <w:color w:val="auto"/>
              </w:rPr>
            </w:pPr>
            <w:r>
              <w:rPr>
                <w:rFonts w:hint="eastAsia"/>
                <w:color w:val="auto"/>
                <w:lang w:val="en-US" w:eastAsia="zh-CN"/>
              </w:rPr>
              <w:t>2</w:t>
            </w:r>
            <w:r>
              <w:rPr>
                <w:color w:val="auto"/>
              </w:rPr>
              <w:t>、产业政策符合性分析</w:t>
            </w:r>
          </w:p>
          <w:p>
            <w:pPr>
              <w:pStyle w:val="7"/>
              <w:ind w:firstLine="480"/>
              <w:rPr>
                <w:color w:val="auto"/>
              </w:rPr>
            </w:pPr>
            <w:r>
              <w:rPr>
                <w:color w:val="auto"/>
              </w:rPr>
              <w:t>经查询《产业结构调整指导目录（2019年本）》</w:t>
            </w:r>
            <w:r>
              <w:rPr>
                <w:rFonts w:hint="eastAsia"/>
                <w:color w:val="auto"/>
              </w:rPr>
              <w:t>（</w:t>
            </w:r>
            <w:r>
              <w:rPr>
                <w:color w:val="auto"/>
              </w:rPr>
              <w:t>20</w:t>
            </w:r>
            <w:r>
              <w:rPr>
                <w:rFonts w:hint="eastAsia"/>
                <w:color w:val="auto"/>
              </w:rPr>
              <w:t>21</w:t>
            </w:r>
            <w:r>
              <w:rPr>
                <w:color w:val="auto"/>
              </w:rPr>
              <w:t>年</w:t>
            </w:r>
            <w:r>
              <w:rPr>
                <w:rFonts w:hint="eastAsia"/>
                <w:color w:val="auto"/>
              </w:rPr>
              <w:t>修改，</w:t>
            </w:r>
            <w:r>
              <w:rPr>
                <w:color w:val="auto"/>
              </w:rPr>
              <w:t>国家发展改革委</w:t>
            </w:r>
            <w:r>
              <w:rPr>
                <w:rFonts w:hint="eastAsia"/>
                <w:color w:val="auto"/>
              </w:rPr>
              <w:t>令</w:t>
            </w:r>
            <w:r>
              <w:rPr>
                <w:color w:val="auto"/>
              </w:rPr>
              <w:t>第</w:t>
            </w:r>
            <w:r>
              <w:rPr>
                <w:rFonts w:hint="eastAsia"/>
                <w:color w:val="auto"/>
              </w:rPr>
              <w:t>4</w:t>
            </w:r>
            <w:r>
              <w:rPr>
                <w:color w:val="auto"/>
              </w:rPr>
              <w:t>9号），本项目为医疗服务行业，属于</w:t>
            </w:r>
            <w:r>
              <w:rPr>
                <w:rFonts w:hint="eastAsia"/>
                <w:color w:val="auto"/>
              </w:rPr>
              <w:t>“</w:t>
            </w:r>
            <w:r>
              <w:rPr>
                <w:color w:val="auto"/>
              </w:rPr>
              <w:t>鼓励类</w:t>
            </w:r>
            <w:r>
              <w:rPr>
                <w:rFonts w:hint="eastAsia"/>
                <w:color w:val="auto"/>
              </w:rPr>
              <w:t>”</w:t>
            </w:r>
            <w:r>
              <w:rPr>
                <w:color w:val="auto"/>
              </w:rPr>
              <w:t>中的第三十七项卫生健康第5条医疗卫生服务设施建设，因此本项目的建设符合国家产业政策。</w:t>
            </w:r>
          </w:p>
          <w:p>
            <w:pPr>
              <w:pStyle w:val="7"/>
              <w:ind w:firstLine="480"/>
              <w:rPr>
                <w:color w:val="auto"/>
              </w:rPr>
            </w:pPr>
            <w:r>
              <w:rPr>
                <w:rFonts w:hint="eastAsia"/>
                <w:color w:val="auto"/>
                <w:lang w:val="en-US" w:eastAsia="zh-CN"/>
              </w:rPr>
              <w:t>3</w:t>
            </w:r>
            <w:r>
              <w:rPr>
                <w:color w:val="auto"/>
              </w:rPr>
              <w:t>、选址合理性分析</w:t>
            </w:r>
          </w:p>
          <w:p>
            <w:pPr>
              <w:pStyle w:val="7"/>
              <w:ind w:firstLine="480"/>
              <w:rPr>
                <w:color w:val="FF0000"/>
              </w:rPr>
            </w:pPr>
            <w:r>
              <w:rPr>
                <w:color w:val="auto"/>
              </w:rPr>
              <w:t>根据《</w:t>
            </w:r>
            <w:r>
              <w:rPr>
                <w:rFonts w:hint="eastAsia"/>
                <w:color w:val="auto"/>
              </w:rPr>
              <w:t>乡镇卫生</w:t>
            </w:r>
            <w:r>
              <w:rPr>
                <w:color w:val="auto"/>
              </w:rPr>
              <w:t>院建</w:t>
            </w:r>
            <w:r>
              <w:rPr>
                <w:rFonts w:hint="eastAsia"/>
                <w:color w:val="auto"/>
              </w:rPr>
              <w:t>设标准（建标107-2008）</w:t>
            </w:r>
            <w:r>
              <w:rPr>
                <w:color w:val="auto"/>
              </w:rPr>
              <w:t>》，该</w:t>
            </w:r>
            <w:r>
              <w:rPr>
                <w:rFonts w:hint="eastAsia"/>
                <w:color w:val="auto"/>
              </w:rPr>
              <w:t>标准第十六条</w:t>
            </w:r>
            <w:r>
              <w:rPr>
                <w:color w:val="auto"/>
              </w:rPr>
              <w:t>中明确</w:t>
            </w:r>
            <w:r>
              <w:rPr>
                <w:rFonts w:hint="eastAsia"/>
                <w:color w:val="auto"/>
              </w:rPr>
              <w:t>乡镇卫生</w:t>
            </w:r>
            <w:r>
              <w:rPr>
                <w:color w:val="auto"/>
              </w:rPr>
              <w:t>院选址应</w:t>
            </w:r>
            <w:r>
              <w:rPr>
                <w:rFonts w:hint="eastAsia"/>
                <w:color w:val="auto"/>
              </w:rPr>
              <w:t>符合下列规定</w:t>
            </w:r>
            <w:r>
              <w:rPr>
                <w:color w:val="auto"/>
              </w:rPr>
              <w:t>：</w:t>
            </w:r>
          </w:p>
          <w:p>
            <w:pPr>
              <w:pStyle w:val="7"/>
              <w:ind w:firstLine="480"/>
              <w:rPr>
                <w:color w:val="auto"/>
              </w:rPr>
            </w:pPr>
            <w:r>
              <w:rPr>
                <w:rFonts w:hint="eastAsia"/>
                <w:color w:val="auto"/>
              </w:rPr>
              <w:t>①应具备较好的工程地质条件和水文地质条件。</w:t>
            </w:r>
          </w:p>
          <w:p>
            <w:pPr>
              <w:pStyle w:val="7"/>
              <w:ind w:firstLine="480"/>
              <w:rPr>
                <w:color w:val="auto"/>
              </w:rPr>
            </w:pPr>
            <w:r>
              <w:rPr>
                <w:rFonts w:hint="eastAsia"/>
                <w:color w:val="auto"/>
              </w:rPr>
              <w:t>②应方便群众，交通方便。</w:t>
            </w:r>
          </w:p>
          <w:p>
            <w:pPr>
              <w:pStyle w:val="7"/>
              <w:ind w:firstLine="480"/>
              <w:rPr>
                <w:color w:val="auto"/>
              </w:rPr>
            </w:pPr>
            <w:r>
              <w:rPr>
                <w:rFonts w:hint="eastAsia"/>
                <w:color w:val="auto"/>
              </w:rPr>
              <w:t>③周边宜有便利的水、电、路等公用基础设施。</w:t>
            </w:r>
          </w:p>
          <w:p>
            <w:pPr>
              <w:pStyle w:val="7"/>
              <w:ind w:firstLine="480"/>
              <w:rPr>
                <w:color w:val="auto"/>
              </w:rPr>
            </w:pPr>
            <w:r>
              <w:rPr>
                <w:rFonts w:hint="eastAsia"/>
                <w:color w:val="auto"/>
              </w:rPr>
              <w:t>④应环境安静、远离污染源，并与少年儿童活动密集场所有一定距离。</w:t>
            </w:r>
          </w:p>
          <w:p>
            <w:pPr>
              <w:pStyle w:val="7"/>
              <w:ind w:firstLine="480"/>
              <w:rPr>
                <w:color w:val="auto"/>
              </w:rPr>
            </w:pPr>
            <w:r>
              <w:rPr>
                <w:rFonts w:hint="eastAsia"/>
                <w:color w:val="auto"/>
              </w:rPr>
              <w:t>⑤应远离易燃、易爆物品的生产和贮存区，高压线路及其设施。</w:t>
            </w:r>
          </w:p>
          <w:p>
            <w:pPr>
              <w:pStyle w:val="7"/>
              <w:ind w:firstLine="480"/>
              <w:rPr>
                <w:color w:val="auto"/>
              </w:rPr>
            </w:pPr>
            <w:r>
              <w:rPr>
                <w:color w:val="auto"/>
              </w:rPr>
              <w:t>本项目场址</w:t>
            </w:r>
            <w:r>
              <w:rPr>
                <w:rFonts w:hint="eastAsia"/>
                <w:color w:val="auto"/>
                <w:lang w:eastAsia="zh-CN"/>
              </w:rPr>
              <w:t>临湘市长安东路106号</w:t>
            </w:r>
            <w:r>
              <w:rPr>
                <w:color w:val="auto"/>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布置；用地周边没有污染型企业、高压线路及其设施。</w:t>
            </w:r>
          </w:p>
          <w:p>
            <w:pPr>
              <w:pStyle w:val="7"/>
              <w:ind w:firstLine="48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根据</w:t>
            </w:r>
            <w:r>
              <w:rPr>
                <w:rFonts w:hint="default" w:ascii="Times New Roman" w:hAnsi="Times New Roman" w:eastAsia="宋体" w:cs="Times New Roman"/>
                <w:color w:val="auto"/>
              </w:rPr>
              <w:t>《临湘市“十四五”规划纲要》：第二十一章</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提高医疗卫生服务水平</w:t>
            </w:r>
            <w:r>
              <w:rPr>
                <w:rFonts w:hint="eastAsia" w:ascii="Times New Roman" w:hAnsi="Times New Roman" w:eastAsia="宋体" w:cs="Times New Roman"/>
                <w:color w:val="auto"/>
                <w:lang w:val="en-US" w:eastAsia="zh-CN"/>
              </w:rPr>
              <w:t>中提到</w:t>
            </w:r>
            <w:r>
              <w:rPr>
                <w:rFonts w:hint="default" w:ascii="Times New Roman" w:hAnsi="Times New Roman" w:eastAsia="宋体" w:cs="Times New Roman"/>
                <w:color w:val="auto"/>
              </w:rPr>
              <w:t>完善覆盖城乡的医疗资源供给，全面提高区域医疗设施的软硬件水平</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重点推进桃林、羊楼司、聂市、詹桥四个大型中心卫生院建设</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，加强公共卫生服务体系建设，提升突发公共卫生事件应急处置能力。构建面向全民、全生命周期的健康管理体系，稳步提高医疗卫生服务水平</w:t>
            </w:r>
            <w:r>
              <w:rPr>
                <w:rFonts w:hint="eastAsia" w:ascii="Times New Roman" w:hAnsi="Times New Roman" w:eastAsia="宋体" w:cs="Times New Roman"/>
                <w:color w:val="auto"/>
                <w:lang w:eastAsia="zh-CN"/>
              </w:rPr>
              <w:t>。</w:t>
            </w:r>
          </w:p>
          <w:p>
            <w:pPr>
              <w:pStyle w:val="7"/>
              <w:ind w:firstLine="480"/>
              <w:rPr>
                <w:color w:val="auto"/>
              </w:rPr>
            </w:pPr>
            <w:r>
              <w:rPr>
                <w:color w:val="auto"/>
              </w:rPr>
              <w:t>综上所述，项目选址符合</w:t>
            </w:r>
            <w:r>
              <w:rPr>
                <w:rFonts w:hint="eastAsia"/>
                <w:color w:val="auto"/>
              </w:rPr>
              <w:t>乡镇卫生</w:t>
            </w:r>
            <w:r>
              <w:rPr>
                <w:color w:val="auto"/>
              </w:rPr>
              <w:t>院的选址原则，选址是合理的。</w:t>
            </w:r>
          </w:p>
          <w:p>
            <w:pPr>
              <w:pStyle w:val="7"/>
              <w:ind w:firstLine="480"/>
              <w:rPr>
                <w:color w:val="auto"/>
                <w:highlight w:val="yellow"/>
              </w:rPr>
            </w:pPr>
            <w:r>
              <w:rPr>
                <w:rFonts w:hint="eastAsia"/>
                <w:color w:val="auto"/>
                <w:lang w:val="en-US" w:eastAsia="zh-CN"/>
              </w:rPr>
              <w:t>4</w:t>
            </w:r>
            <w:r>
              <w:rPr>
                <w:color w:val="auto"/>
              </w:rPr>
              <w:t>、平面布局合理性分析</w:t>
            </w:r>
          </w:p>
          <w:p>
            <w:pPr>
              <w:pStyle w:val="7"/>
              <w:ind w:firstLine="480"/>
              <w:rPr>
                <w:color w:val="FF0000"/>
              </w:rPr>
            </w:pPr>
            <w:r>
              <w:rPr>
                <w:rFonts w:hint="eastAsia"/>
                <w:color w:val="auto"/>
              </w:rPr>
              <w:t>项目为</w:t>
            </w:r>
            <w:r>
              <w:rPr>
                <w:rFonts w:hint="eastAsia"/>
                <w:color w:val="auto"/>
                <w:lang w:val="en-US" w:eastAsia="zh-CN"/>
              </w:rPr>
              <w:t>一栋公卫楼和一栋综合楼，</w:t>
            </w:r>
            <w:r>
              <w:rPr>
                <w:rFonts w:hint="eastAsia"/>
                <w:color w:val="auto"/>
              </w:rPr>
              <w:t>门诊住院</w:t>
            </w:r>
            <w:r>
              <w:rPr>
                <w:rFonts w:hint="eastAsia"/>
                <w:color w:val="auto"/>
                <w:lang w:val="en-US" w:eastAsia="zh-CN"/>
              </w:rPr>
              <w:t>办公位于综合楼，公卫楼为预防接种门诊、牙科、皮肤科以及公卫办</w:t>
            </w:r>
            <w:r>
              <w:rPr>
                <w:rFonts w:hint="eastAsia"/>
                <w:color w:val="auto"/>
              </w:rPr>
              <w:t>。</w:t>
            </w:r>
            <w:r>
              <w:rPr>
                <w:color w:val="auto"/>
              </w:rPr>
              <w:t>项目污水处理</w:t>
            </w:r>
            <w:r>
              <w:rPr>
                <w:rFonts w:hint="eastAsia"/>
                <w:color w:val="auto"/>
              </w:rPr>
              <w:t>设施</w:t>
            </w:r>
            <w:r>
              <w:rPr>
                <w:rFonts w:hint="eastAsia"/>
                <w:color w:val="auto"/>
                <w:lang w:val="en-US" w:eastAsia="zh-CN"/>
              </w:rPr>
              <w:t>采用</w:t>
            </w:r>
            <w:r>
              <w:rPr>
                <w:rFonts w:hint="eastAsia"/>
                <w:color w:val="auto"/>
                <w:lang w:eastAsia="zh-CN"/>
              </w:rPr>
              <w:t>“化粪池+格栅井+调节池+AO工艺+沉淀池+消毒”</w:t>
            </w:r>
            <w:r>
              <w:rPr>
                <w:rFonts w:hint="eastAsia"/>
                <w:color w:val="auto"/>
                <w:lang w:val="en-US" w:eastAsia="zh-CN"/>
              </w:rPr>
              <w:t>工艺</w:t>
            </w:r>
            <w:r>
              <w:rPr>
                <w:rFonts w:hint="eastAsia"/>
                <w:color w:val="auto"/>
              </w:rPr>
              <w:t>，布置于</w:t>
            </w:r>
            <w:r>
              <w:rPr>
                <w:rFonts w:hint="eastAsia"/>
                <w:color w:val="auto"/>
                <w:lang w:val="en-US" w:eastAsia="zh-CN"/>
              </w:rPr>
              <w:t>公卫楼一楼中部</w:t>
            </w:r>
            <w:r>
              <w:rPr>
                <w:color w:val="auto"/>
              </w:rPr>
              <w:t>；</w:t>
            </w:r>
            <w:r>
              <w:rPr>
                <w:rFonts w:hint="eastAsia"/>
                <w:color w:val="auto"/>
              </w:rPr>
              <w:t>产噪设备布置在房间内，生活垃圾收集在各层均有布置，</w:t>
            </w:r>
            <w:r>
              <w:rPr>
                <w:color w:val="auto"/>
              </w:rPr>
              <w:t>医疗垃圾暂存间</w:t>
            </w:r>
            <w:r>
              <w:rPr>
                <w:rFonts w:hint="eastAsia"/>
                <w:color w:val="auto"/>
              </w:rPr>
              <w:t>位于</w:t>
            </w:r>
            <w:r>
              <w:rPr>
                <w:rFonts w:hint="eastAsia"/>
                <w:color w:val="auto"/>
                <w:lang w:val="en-US" w:eastAsia="zh-CN"/>
              </w:rPr>
              <w:t>医院内</w:t>
            </w:r>
            <w:r>
              <w:rPr>
                <w:rFonts w:hint="eastAsia"/>
                <w:color w:val="auto"/>
              </w:rPr>
              <w:t>一楼的</w:t>
            </w:r>
            <w:r>
              <w:rPr>
                <w:rFonts w:hint="eastAsia"/>
                <w:color w:val="auto"/>
                <w:lang w:val="en-US" w:eastAsia="zh-CN"/>
              </w:rPr>
              <w:t>西北角</w:t>
            </w:r>
            <w:r>
              <w:rPr>
                <w:rFonts w:hint="eastAsia"/>
                <w:color w:val="auto"/>
              </w:rPr>
              <w:t>。</w:t>
            </w:r>
            <w:r>
              <w:rPr>
                <w:rFonts w:hint="eastAsia"/>
                <w:color w:val="000000" w:themeColor="text1"/>
              </w:rPr>
              <w:t>从平面布置分布情况可以看出，项目布局流畅、人流、物流畅通，区域功能区划较为合理。</w:t>
            </w:r>
          </w:p>
          <w:p>
            <w:pPr>
              <w:pStyle w:val="7"/>
              <w:ind w:firstLine="480"/>
              <w:rPr>
                <w:color w:val="000000" w:themeColor="text1"/>
              </w:rPr>
            </w:pPr>
            <w:r>
              <w:rPr>
                <w:color w:val="000000" w:themeColor="text1"/>
              </w:rPr>
              <w:t>同时配套建设绿化、消防、水电管网、污水处理系统等配套基础设施。</w:t>
            </w:r>
          </w:p>
          <w:p>
            <w:pPr>
              <w:pStyle w:val="7"/>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从平面布置和周边环境保护目标分布情况，结合项目布局及环评要求，项目污水处理站及医疗废物运输对周边环境保护目标影响较小，不会改变区域功能区划，布局及运输线路较为合理。</w:t>
            </w:r>
          </w:p>
          <w:p>
            <w:pPr>
              <w:pStyle w:val="7"/>
              <w:ind w:firstLine="480"/>
              <w:rPr>
                <w:color w:val="FF0000"/>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pPr>
              <w:pStyle w:val="7"/>
              <w:ind w:firstLine="480"/>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5、与《医疗废物管理条例》相符性分析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本项目与《医疗废物管理条例》相符性分析见下表</w:t>
            </w:r>
          </w:p>
          <w:p>
            <w:pPr>
              <w:pStyle w:val="13"/>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default" w:ascii="Times New Roman" w:hAnsi="Times New Roman" w:eastAsia="宋体" w:cs="Times New Roman"/>
                <w:u w:val="none"/>
                <w:vertAlign w:val="baseline"/>
                <w:lang w:val="en-US" w:eastAsia="zh-CN"/>
              </w:rPr>
            </w:pPr>
            <w:r>
              <w:rPr>
                <w:rFonts w:hint="default" w:ascii="Times New Roman" w:hAnsi="Times New Roman" w:eastAsia="宋体" w:cs="Times New Roman"/>
                <w:b/>
                <w:bCs/>
                <w:kern w:val="2"/>
                <w:sz w:val="21"/>
                <w:szCs w:val="16"/>
                <w:u w:val="none"/>
                <w:lang w:val="en-US" w:eastAsia="zh-CN" w:bidi="ar-SA"/>
              </w:rPr>
              <w:t>表1-</w:t>
            </w:r>
            <w:r>
              <w:rPr>
                <w:rFonts w:hint="eastAsia" w:ascii="Times New Roman" w:hAnsi="Times New Roman" w:eastAsia="宋体" w:cs="Times New Roman"/>
                <w:b/>
                <w:bCs/>
                <w:kern w:val="2"/>
                <w:sz w:val="21"/>
                <w:szCs w:val="16"/>
                <w:u w:val="none"/>
                <w:lang w:val="en-US" w:eastAsia="zh-CN" w:bidi="ar-SA"/>
              </w:rPr>
              <w:t>2</w:t>
            </w:r>
            <w:r>
              <w:rPr>
                <w:rFonts w:hint="default" w:ascii="Times New Roman" w:hAnsi="Times New Roman" w:eastAsia="宋体" w:cs="Times New Roman"/>
                <w:b/>
                <w:bCs/>
                <w:kern w:val="2"/>
                <w:sz w:val="21"/>
                <w:szCs w:val="16"/>
                <w:u w:val="none"/>
                <w:lang w:val="en-US" w:eastAsia="zh-CN" w:bidi="ar-SA"/>
              </w:rPr>
              <w:t xml:space="preserve">  </w:t>
            </w:r>
            <w:r>
              <w:rPr>
                <w:rFonts w:hint="eastAsia" w:ascii="Times New Roman" w:hAnsi="Times New Roman" w:eastAsia="宋体" w:cs="Times New Roman"/>
                <w:b/>
                <w:bCs/>
                <w:kern w:val="2"/>
                <w:sz w:val="21"/>
                <w:szCs w:val="16"/>
                <w:u w:val="none"/>
                <w:lang w:val="en-US" w:eastAsia="zh-CN" w:bidi="ar-SA"/>
              </w:rPr>
              <w:t>与《医疗废物管理条例》相符性分析一览表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2801"/>
              <w:gridCol w:w="7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u w:val="none"/>
                      <w:vertAlign w:val="baseline"/>
                      <w:lang w:val="en-US" w:eastAsia="zh-CN"/>
                    </w:rPr>
                  </w:pPr>
                  <w:r>
                    <w:rPr>
                      <w:rFonts w:hint="default" w:ascii="Times New Roman" w:hAnsi="Times New Roman" w:eastAsia="宋体" w:cs="Times New Roman"/>
                      <w:b/>
                      <w:bCs/>
                      <w:color w:val="000000"/>
                      <w:kern w:val="0"/>
                      <w:sz w:val="21"/>
                      <w:szCs w:val="21"/>
                      <w:lang w:val="en-US" w:eastAsia="zh-CN" w:bidi="ar"/>
                    </w:rPr>
                    <w:t>《医疗废物管理条例》中要求</w:t>
                  </w:r>
                </w:p>
              </w:tc>
              <w:tc>
                <w:tcPr>
                  <w:tcW w:w="3488"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sz w:val="21"/>
                      <w:szCs w:val="21"/>
                      <w:u w:val="none"/>
                      <w:vertAlign w:val="baseline"/>
                      <w:lang w:val="en-US" w:eastAsia="zh-CN"/>
                    </w:rPr>
                  </w:pPr>
                  <w:r>
                    <w:rPr>
                      <w:rFonts w:hint="default" w:ascii="Times New Roman" w:hAnsi="Times New Roman" w:eastAsia="宋体" w:cs="Times New Roman"/>
                      <w:b/>
                      <w:bCs/>
                      <w:sz w:val="21"/>
                      <w:szCs w:val="21"/>
                      <w:u w:val="none"/>
                      <w:vertAlign w:val="baseline"/>
                      <w:lang w:val="en-US" w:eastAsia="zh-CN"/>
                    </w:rPr>
                    <w:t>本项目情况</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sz w:val="21"/>
                      <w:szCs w:val="21"/>
                      <w:u w:val="none"/>
                      <w:vertAlign w:val="baseline"/>
                      <w:lang w:val="en-US" w:eastAsia="zh-CN"/>
                    </w:rPr>
                  </w:pPr>
                  <w:r>
                    <w:rPr>
                      <w:rFonts w:hint="default" w:ascii="Times New Roman" w:hAnsi="Times New Roman" w:eastAsia="宋体" w:cs="Times New Roman"/>
                      <w:b/>
                      <w:bCs/>
                      <w:sz w:val="21"/>
                      <w:szCs w:val="21"/>
                      <w:u w:val="none"/>
                      <w:vertAlign w:val="baseline"/>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第七条医疗卫生机构和医疗废物集中处置单位，应当建立、健全疗废物管理责任制，其法定代表人为第一责任人，切实履行职责，防止因医疗废物导致传染病传播和环境污染事故。</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医院建立有医疗废物管理责任制，确定法定代表人为第一责任人</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八条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医院制定有医疗废物全过程管理规章制度，制订医疗废物泄漏应急方案，设置医疗废物管理专（兼）职人员</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第九条医疗卫生机构和医疗废物集中处置单位，应当对本单位从事医疗废物收集、运送、贮存、处置等工作的人员和管理人员，进行相关法律和专业技术、安全防护以及紧急处理等知识的培训。</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医院对本院从事医疗废物收集、运送、贮存、处置等工作的人员和管理人员，定期进行相关法律和专业技术、安全防护以及紧急处理等知识的培训</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条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医院为从事医疗废物收集、运送、贮存、处置等工作的人员和管理人员，配备特制成套工作服，并定期进行健康检查</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第十一条医疗卫生机构和医疗废物集中处置单位，应当依照《中华人民共和国固体废物污染环境防治法》的规定，执行危险废物转移</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联单管理制度</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本项目执行危险废物转移联单管理制度</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医院实施医疗废物全过程管理登记制度，并系统存档</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第十三条医疗卫生机构和医疗废物集中处置单位，应当采取有效措施，防止医疗废物流失、泄漏、扩散</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医院对相关工作人员定期培训，制订操作规章，实行医疗废物全过程登记制度和医疗废物管理责任制，防止医疗废物流失、泄漏、扩散</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第十六条医疗卫生机构应当及时收集本单位产生的医疗废物，并按照类别分置于防渗漏、防锐器穿透的专用包装物或者密闭的容器内。医疗废物专用包装物、容器，应当有明显的警示标识和警示说明</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医院医疗废物包装袋和容器严格执行《医疗废物专用装物、容器标准和警示标识规定》。</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第十七条医疗卫生机构应当建立医疗废物的暂时贮存设施、设备，不得露天存放医疗废物；医疗废物暂时贮存的时间不得超过 2 天。医疗废物的暂时贮存设施、设备，应当远离医疗区、食品加工区和人员活动区以及生活垃圾存放场所，并设置明显的警示标识和防渗漏、防鼠、防蚊蝇、防蟑螂、防盗等安全措施。医疗废物的暂时贮存设施、设备应当定期消毒和清洁</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本项目医疗废物暂存间与疗区和办公区等区域严格分离。医疗废物清运后对暂存间进行消毒</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八条医疗卫生机构应当使用防渗漏、防遗撒的专用运送工具，按照本单位确定的内部医疗废物运送时间、路线，将医疗废物收集、运送至暂时贮存地点。运送工具使用后应当在医疗卫生机构内指定的地点及时消毒和清洁</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本项目医疗废物内部运送工具使用周转箱（桶），严格执行《医疗废物专用包装物、容器标准和警示标识规定》，按照制订的操作规章，于指定时间、指定污物路线，运送到医疗废物处置房，并每天下班前定时消毒和清洁</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第十九条医疗卫生机构应当根据就近集中处置的原则，及时将医疗废物交由医疗废物集中处置单位处置。医疗废物中病原体的培养基、标本和菌种、毒种保存液等高危险废物，在交医疗废物集中处置单位处置前应当就地消毒</w:t>
                  </w:r>
                </w:p>
              </w:tc>
              <w:tc>
                <w:tcPr>
                  <w:tcW w:w="34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本项目医疗废物委托岳阳市方向固废安全处置有限公司处理；由专职人员进行消毒后交由岳阳市方向固废安全处置有限公司进行处置。</w:t>
                  </w:r>
                </w:p>
              </w:tc>
              <w:tc>
                <w:tcPr>
                  <w:tcW w:w="85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bl>
          <w:p>
            <w:pPr>
              <w:pStyle w:val="7"/>
              <w:ind w:firstLine="48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6、与《医院污</w:t>
            </w:r>
            <w:r>
              <w:rPr>
                <w:rFonts w:hint="default" w:ascii="Times New Roman" w:hAnsi="Times New Roman" w:eastAsia="宋体" w:cs="Times New Roman"/>
                <w:color w:val="000000" w:themeColor="text1"/>
                <w:lang w:val="en-US" w:eastAsia="zh-CN"/>
              </w:rPr>
              <w:t>水处理工程技术规范》（HJ2029-2013）的符合性分析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本项目与《医院污水处理工程技术规范》（HJ2029-2013）的符合性分析见下表</w:t>
            </w:r>
          </w:p>
          <w:p>
            <w:pPr>
              <w:pStyle w:val="13"/>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default" w:ascii="Times New Roman" w:hAnsi="Times New Roman" w:eastAsia="宋体" w:cs="Times New Roman"/>
                <w:u w:val="none"/>
                <w:vertAlign w:val="baseline"/>
                <w:lang w:val="en-US" w:eastAsia="zh-CN"/>
              </w:rPr>
            </w:pPr>
            <w:r>
              <w:rPr>
                <w:rFonts w:hint="default" w:ascii="Times New Roman" w:hAnsi="Times New Roman" w:eastAsia="宋体" w:cs="Times New Roman"/>
                <w:b/>
                <w:bCs/>
                <w:kern w:val="2"/>
                <w:sz w:val="21"/>
                <w:szCs w:val="16"/>
                <w:u w:val="none"/>
                <w:lang w:val="en-US" w:eastAsia="zh-CN" w:bidi="ar-SA"/>
              </w:rPr>
              <w:t>表1-3  与《医院污水处</w:t>
            </w:r>
            <w:r>
              <w:rPr>
                <w:rFonts w:hint="eastAsia" w:ascii="Times New Roman" w:hAnsi="Times New Roman" w:eastAsia="宋体" w:cs="Times New Roman"/>
                <w:b/>
                <w:bCs/>
                <w:kern w:val="2"/>
                <w:sz w:val="21"/>
                <w:szCs w:val="16"/>
                <w:u w:val="none"/>
                <w:lang w:val="en-US" w:eastAsia="zh-CN" w:bidi="ar-SA"/>
              </w:rPr>
              <w:t>理工程技术规范》（</w:t>
            </w:r>
            <w:r>
              <w:rPr>
                <w:rFonts w:hint="default" w:ascii="Times New Roman" w:hAnsi="Times New Roman" w:eastAsia="宋体" w:cs="Times New Roman"/>
                <w:b/>
                <w:bCs/>
                <w:kern w:val="2"/>
                <w:sz w:val="21"/>
                <w:szCs w:val="16"/>
                <w:u w:val="none"/>
                <w:lang w:val="en-US" w:eastAsia="zh-CN" w:bidi="ar-SA"/>
              </w:rPr>
              <w:t>HJ2029-2013</w:t>
            </w:r>
            <w:r>
              <w:rPr>
                <w:rFonts w:hint="eastAsia" w:ascii="Times New Roman" w:hAnsi="Times New Roman" w:eastAsia="宋体" w:cs="Times New Roman"/>
                <w:b/>
                <w:bCs/>
                <w:kern w:val="2"/>
                <w:sz w:val="21"/>
                <w:szCs w:val="16"/>
                <w:u w:val="none"/>
                <w:lang w:val="en-US" w:eastAsia="zh-CN" w:bidi="ar-SA"/>
              </w:rPr>
              <w:t>）相符性分析一览表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73"/>
              <w:gridCol w:w="2875"/>
              <w:gridCol w:w="7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none"/>
                      <w:vertAlign w:val="baseline"/>
                      <w:lang w:val="en-US" w:eastAsia="zh-CN"/>
                    </w:rPr>
                  </w:pPr>
                  <w:r>
                    <w:rPr>
                      <w:rFonts w:hint="eastAsia" w:ascii="宋体" w:hAnsi="宋体" w:eastAsia="宋体" w:cs="宋体"/>
                      <w:b/>
                      <w:bCs/>
                      <w:color w:val="000000"/>
                      <w:kern w:val="0"/>
                      <w:sz w:val="21"/>
                      <w:szCs w:val="21"/>
                      <w:lang w:val="en-US" w:eastAsia="zh-CN" w:bidi="ar"/>
                    </w:rPr>
                    <w:t>《医院污水处理工程技术规范》</w:t>
                  </w:r>
                </w:p>
              </w:tc>
              <w:tc>
                <w:tcPr>
                  <w:tcW w:w="34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none"/>
                      <w:vertAlign w:val="baseline"/>
                      <w:lang w:val="en-US" w:eastAsia="zh-CN"/>
                    </w:rPr>
                  </w:pPr>
                  <w:r>
                    <w:rPr>
                      <w:rFonts w:hint="eastAsia" w:ascii="宋体" w:hAnsi="宋体" w:eastAsia="宋体" w:cs="宋体"/>
                      <w:b/>
                      <w:bCs/>
                      <w:color w:val="000000"/>
                      <w:kern w:val="0"/>
                      <w:sz w:val="21"/>
                      <w:szCs w:val="21"/>
                      <w:lang w:val="en-US" w:eastAsia="zh-CN" w:bidi="ar"/>
                    </w:rPr>
                    <w:t>本项目情况</w:t>
                  </w:r>
                </w:p>
              </w:tc>
              <w:tc>
                <w:tcPr>
                  <w:tcW w:w="878"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sz w:val="21"/>
                      <w:szCs w:val="21"/>
                      <w:u w:val="none"/>
                      <w:vertAlign w:val="baseline"/>
                      <w:lang w:val="en-US" w:eastAsia="zh-CN"/>
                    </w:rPr>
                  </w:pPr>
                  <w:r>
                    <w:rPr>
                      <w:rFonts w:hint="eastAsia" w:ascii="Times New Roman" w:hAnsi="Times New Roman" w:eastAsia="宋体" w:cs="Times New Roman"/>
                      <w:b/>
                      <w:bCs/>
                      <w:sz w:val="21"/>
                      <w:szCs w:val="21"/>
                      <w:u w:val="none"/>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宋体" w:hAnsi="宋体" w:eastAsia="宋体" w:cs="宋体"/>
                      <w:color w:val="000000"/>
                      <w:kern w:val="0"/>
                      <w:sz w:val="21"/>
                      <w:szCs w:val="21"/>
                      <w:lang w:val="en-US" w:eastAsia="zh-CN" w:bidi="ar"/>
                    </w:rPr>
                    <w:t>第</w:t>
                  </w:r>
                  <w:r>
                    <w:rPr>
                      <w:rFonts w:hint="default" w:ascii="Times New Roman" w:hAnsi="Times New Roman" w:eastAsia="宋体" w:cs="Times New Roman"/>
                      <w:color w:val="000000"/>
                      <w:kern w:val="0"/>
                      <w:sz w:val="21"/>
                      <w:szCs w:val="21"/>
                      <w:lang w:val="en-US" w:eastAsia="zh-CN" w:bidi="ar"/>
                    </w:rPr>
                    <w:t>4.1.2</w:t>
                  </w:r>
                  <w:r>
                    <w:rPr>
                      <w:rFonts w:hint="eastAsia" w:ascii="宋体" w:hAnsi="宋体" w:eastAsia="宋体" w:cs="宋体"/>
                      <w:color w:val="000000"/>
                      <w:kern w:val="0"/>
                      <w:sz w:val="21"/>
                      <w:szCs w:val="21"/>
                      <w:lang w:val="en-US" w:eastAsia="zh-CN" w:bidi="ar"/>
                    </w:rPr>
                    <w:t>条：新（改、扩）建医院，在设计医院污水处理系统时应考虑将医院病区、非病区、传染病房、非传染病房污水分别收集</w:t>
                  </w:r>
                </w:p>
              </w:tc>
              <w:tc>
                <w:tcPr>
                  <w:tcW w:w="34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宋体" w:hAnsi="宋体" w:eastAsia="宋体" w:cs="宋体"/>
                      <w:color w:val="000000"/>
                      <w:kern w:val="0"/>
                      <w:sz w:val="21"/>
                      <w:szCs w:val="21"/>
                      <w:lang w:val="en-US" w:eastAsia="zh-CN" w:bidi="ar"/>
                    </w:rPr>
                    <w:t>本项目不设置传染病房，医院病区和非病区污水分别收集</w:t>
                  </w:r>
                </w:p>
              </w:tc>
              <w:tc>
                <w:tcPr>
                  <w:tcW w:w="878"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宋体" w:hAnsi="宋体" w:eastAsia="宋体" w:cs="宋体"/>
                      <w:color w:val="000000"/>
                      <w:kern w:val="0"/>
                      <w:sz w:val="21"/>
                      <w:szCs w:val="21"/>
                      <w:lang w:val="en-US" w:eastAsia="zh-CN" w:bidi="ar"/>
                    </w:rPr>
                    <w:t>第</w:t>
                  </w:r>
                  <w:r>
                    <w:rPr>
                      <w:rFonts w:hint="default" w:ascii="Times New Roman" w:hAnsi="Times New Roman" w:eastAsia="宋体" w:cs="Times New Roman"/>
                      <w:color w:val="000000"/>
                      <w:kern w:val="0"/>
                      <w:sz w:val="21"/>
                      <w:szCs w:val="21"/>
                      <w:lang w:val="en-US" w:eastAsia="zh-CN" w:bidi="ar"/>
                    </w:rPr>
                    <w:t>5.1.6</w:t>
                  </w:r>
                  <w:r>
                    <w:rPr>
                      <w:rFonts w:hint="eastAsia" w:ascii="宋体" w:hAnsi="宋体" w:eastAsia="宋体" w:cs="宋体"/>
                      <w:color w:val="000000"/>
                      <w:kern w:val="0"/>
                      <w:sz w:val="21"/>
                      <w:szCs w:val="21"/>
                      <w:lang w:val="en-US" w:eastAsia="zh-CN" w:bidi="ar"/>
                    </w:rPr>
                    <w:t>条：医院污水处理构筑物应采取防腐蚀、防渗漏、防冻等技术措施，各种构筑物宜加盖密闭，并设通气装置</w:t>
                  </w:r>
                </w:p>
              </w:tc>
              <w:tc>
                <w:tcPr>
                  <w:tcW w:w="347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本项目污水处理站采用一体化设备，并进行防腐防渗设计</w:t>
                  </w:r>
                </w:p>
              </w:tc>
              <w:tc>
                <w:tcPr>
                  <w:tcW w:w="878"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宋体" w:hAnsi="宋体" w:eastAsia="宋体" w:cs="宋体"/>
                      <w:color w:val="000000"/>
                      <w:kern w:val="0"/>
                      <w:sz w:val="21"/>
                      <w:szCs w:val="21"/>
                      <w:lang w:val="en-US" w:eastAsia="zh-CN" w:bidi="ar"/>
                    </w:rPr>
                    <w:t>第</w:t>
                  </w:r>
                  <w:r>
                    <w:rPr>
                      <w:rFonts w:hint="default" w:ascii="Times New Roman" w:hAnsi="Times New Roman" w:eastAsia="宋体" w:cs="Times New Roman"/>
                      <w:color w:val="000000"/>
                      <w:kern w:val="0"/>
                      <w:sz w:val="21"/>
                      <w:szCs w:val="21"/>
                      <w:lang w:val="en-US" w:eastAsia="zh-CN" w:bidi="ar"/>
                    </w:rPr>
                    <w:t>5.1.8</w:t>
                  </w:r>
                  <w:r>
                    <w:rPr>
                      <w:rFonts w:hint="eastAsia" w:ascii="宋体" w:hAnsi="宋体" w:eastAsia="宋体" w:cs="宋体"/>
                      <w:color w:val="000000"/>
                      <w:kern w:val="0"/>
                      <w:sz w:val="21"/>
                      <w:szCs w:val="21"/>
                      <w:lang w:val="en-US" w:eastAsia="zh-CN" w:bidi="ar"/>
                    </w:rPr>
                    <w:t>条：医院污水处理工程污染物排放应满足</w:t>
                  </w:r>
                  <w:r>
                    <w:rPr>
                      <w:rFonts w:hint="default" w:ascii="Times New Roman" w:hAnsi="Times New Roman" w:eastAsia="宋体" w:cs="Times New Roman"/>
                      <w:color w:val="000000"/>
                      <w:kern w:val="0"/>
                      <w:sz w:val="21"/>
                      <w:szCs w:val="21"/>
                      <w:lang w:val="en-US" w:eastAsia="zh-CN" w:bidi="ar"/>
                    </w:rPr>
                    <w:t>GB18466</w:t>
                  </w:r>
                  <w:r>
                    <w:rPr>
                      <w:rFonts w:hint="eastAsia" w:ascii="宋体" w:hAnsi="宋体" w:eastAsia="宋体" w:cs="宋体"/>
                      <w:color w:val="000000"/>
                      <w:kern w:val="0"/>
                      <w:sz w:val="21"/>
                      <w:szCs w:val="21"/>
                      <w:lang w:val="en-US" w:eastAsia="zh-CN" w:bidi="ar"/>
                    </w:rPr>
                    <w:t>和地方污染物排放标准的有关要求</w:t>
                  </w:r>
                </w:p>
              </w:tc>
              <w:tc>
                <w:tcPr>
                  <w:tcW w:w="34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宋体" w:hAnsi="宋体" w:eastAsia="宋体" w:cs="宋体"/>
                      <w:color w:val="000000"/>
                      <w:kern w:val="0"/>
                      <w:sz w:val="21"/>
                      <w:szCs w:val="21"/>
                      <w:lang w:val="en-US" w:eastAsia="zh-CN" w:bidi="ar"/>
                    </w:rPr>
                    <w:t>本项目污水处理达到《医疗机构水污染物排放标准》</w:t>
                  </w:r>
                  <w:r>
                    <w:rPr>
                      <w:rFonts w:hint="default" w:ascii="Times New Roman" w:hAnsi="Times New Roman" w:eastAsia="宋体" w:cs="Times New Roman"/>
                      <w:color w:val="000000"/>
                      <w:kern w:val="0"/>
                      <w:sz w:val="21"/>
                      <w:szCs w:val="21"/>
                      <w:lang w:val="en-US" w:eastAsia="zh-CN" w:bidi="ar"/>
                    </w:rPr>
                    <w:t>(GB18466-2005)</w:t>
                  </w:r>
                  <w:r>
                    <w:rPr>
                      <w:rFonts w:hint="eastAsia" w:ascii="宋体" w:hAnsi="宋体" w:eastAsia="宋体" w:cs="宋体"/>
                      <w:color w:val="000000"/>
                      <w:kern w:val="0"/>
                      <w:sz w:val="21"/>
                      <w:szCs w:val="21"/>
                      <w:lang w:val="en-US" w:eastAsia="zh-CN" w:bidi="ar"/>
                    </w:rPr>
                    <w:t>中表</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预处理标准及</w:t>
                  </w:r>
                  <w:r>
                    <w:rPr>
                      <w:rFonts w:hint="eastAsia" w:ascii="宋体" w:hAnsi="宋体" w:eastAsia="宋体" w:cs="宋体"/>
                      <w:color w:val="auto"/>
                      <w:kern w:val="0"/>
                      <w:sz w:val="21"/>
                      <w:szCs w:val="21"/>
                      <w:lang w:val="en-US" w:eastAsia="zh-CN" w:bidi="ar"/>
                    </w:rPr>
                    <w:t>临湘市污水净化中心</w:t>
                  </w:r>
                  <w:r>
                    <w:rPr>
                      <w:rFonts w:hint="eastAsia" w:ascii="宋体" w:hAnsi="宋体" w:eastAsia="宋体" w:cs="宋体"/>
                      <w:color w:val="000000"/>
                      <w:kern w:val="0"/>
                      <w:sz w:val="21"/>
                      <w:szCs w:val="21"/>
                      <w:lang w:val="en-US" w:eastAsia="zh-CN" w:bidi="ar"/>
                    </w:rPr>
                    <w:t>进水水质要求</w:t>
                  </w:r>
                </w:p>
              </w:tc>
              <w:tc>
                <w:tcPr>
                  <w:tcW w:w="878"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宋体" w:hAnsi="宋体" w:eastAsia="宋体" w:cs="宋体"/>
                      <w:color w:val="000000"/>
                      <w:kern w:val="0"/>
                      <w:sz w:val="21"/>
                      <w:szCs w:val="21"/>
                      <w:lang w:val="en-US" w:eastAsia="zh-CN" w:bidi="ar"/>
                    </w:rPr>
                    <w:t>第</w:t>
                  </w:r>
                  <w:r>
                    <w:rPr>
                      <w:rFonts w:hint="default" w:ascii="Times New Roman" w:hAnsi="Times New Roman" w:eastAsia="宋体" w:cs="Times New Roman"/>
                      <w:color w:val="000000"/>
                      <w:kern w:val="0"/>
                      <w:sz w:val="21"/>
                      <w:szCs w:val="21"/>
                      <w:lang w:val="en-US" w:eastAsia="zh-CN" w:bidi="ar"/>
                    </w:rPr>
                    <w:t>6.1.3</w:t>
                  </w:r>
                  <w:r>
                    <w:rPr>
                      <w:rFonts w:hint="eastAsia" w:ascii="宋体" w:hAnsi="宋体" w:eastAsia="宋体" w:cs="宋体"/>
                      <w:color w:val="000000"/>
                      <w:kern w:val="0"/>
                      <w:sz w:val="21"/>
                      <w:szCs w:val="21"/>
                      <w:lang w:val="en-US" w:eastAsia="zh-CN" w:bidi="ar"/>
                    </w:rPr>
                    <w:t>条：非传染病医院污水，</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若处理出水排入终端 已建有正常运行的二级污水处理厂的城市污水管网时，可采用一级强化处理</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消毒工艺</w:t>
                  </w:r>
                </w:p>
              </w:tc>
              <w:tc>
                <w:tcPr>
                  <w:tcW w:w="347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本项目废水经医院污水处理站处理后经管网进入</w:t>
                  </w:r>
                  <w:r>
                    <w:rPr>
                      <w:rFonts w:hint="eastAsia" w:ascii="Times New Roman" w:hAnsi="Times New Roman" w:eastAsia="宋体" w:cs="Times New Roman"/>
                      <w:color w:val="auto"/>
                      <w:sz w:val="21"/>
                      <w:szCs w:val="21"/>
                      <w:u w:val="none"/>
                      <w:vertAlign w:val="baseline"/>
                      <w:lang w:val="en-US" w:eastAsia="zh-CN"/>
                    </w:rPr>
                    <w:t>临湘市污水净化中心处</w:t>
                  </w:r>
                  <w:r>
                    <w:rPr>
                      <w:rFonts w:hint="eastAsia" w:ascii="Times New Roman" w:hAnsi="Times New Roman" w:eastAsia="宋体" w:cs="Times New Roman"/>
                      <w:sz w:val="21"/>
                      <w:szCs w:val="21"/>
                      <w:u w:val="none"/>
                      <w:vertAlign w:val="baseline"/>
                      <w:lang w:val="en-US" w:eastAsia="zh-CN"/>
                    </w:rPr>
                    <w:t>理达标排放。医院污水处理站采</w:t>
                  </w:r>
                  <w:r>
                    <w:rPr>
                      <w:rFonts w:hint="eastAsia" w:cs="Times New Roman"/>
                      <w:sz w:val="21"/>
                      <w:szCs w:val="21"/>
                      <w:u w:val="none"/>
                      <w:vertAlign w:val="baseline"/>
                      <w:lang w:val="en-US" w:eastAsia="zh-CN"/>
                    </w:rPr>
                    <w:t>用“</w:t>
                  </w:r>
                  <w:r>
                    <w:rPr>
                      <w:rFonts w:hint="eastAsia" w:ascii="Times New Roman" w:hAnsi="Times New Roman" w:eastAsia="宋体" w:cs="Times New Roman"/>
                      <w:sz w:val="21"/>
                      <w:szCs w:val="21"/>
                      <w:u w:val="none"/>
                      <w:vertAlign w:val="baseline"/>
                      <w:lang w:val="en-US" w:eastAsia="zh-CN"/>
                    </w:rPr>
                    <w:t>化粪池+格栅井+调节池+AO工艺+沉淀池+消毒</w:t>
                  </w:r>
                  <w:r>
                    <w:rPr>
                      <w:rFonts w:hint="eastAsia"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工艺</w:t>
                  </w:r>
                </w:p>
              </w:tc>
              <w:tc>
                <w:tcPr>
                  <w:tcW w:w="878"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符合</w:t>
                  </w:r>
                </w:p>
              </w:tc>
            </w:tr>
          </w:tbl>
          <w:p>
            <w:pPr>
              <w:pStyle w:val="7"/>
              <w:ind w:firstLine="480"/>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8"/>
              <w:ind w:left="0" w:leftChars="0" w:firstLine="0"/>
              <w:rPr>
                <w:color w:val="FF0000"/>
              </w:rPr>
            </w:pPr>
          </w:p>
          <w:p>
            <w:pPr>
              <w:rPr>
                <w:color w:val="FF0000"/>
              </w:rPr>
            </w:pPr>
          </w:p>
          <w:p>
            <w:pPr>
              <w:pStyle w:val="4"/>
              <w:rPr>
                <w:color w:val="FF0000"/>
              </w:rPr>
            </w:pPr>
          </w:p>
          <w:p>
            <w:pPr>
              <w:rPr>
                <w:color w:val="FF0000"/>
              </w:rPr>
            </w:pPr>
          </w:p>
        </w:tc>
      </w:tr>
    </w:tbl>
    <w:p>
      <w:pPr>
        <w:outlineLvl w:val="0"/>
        <w:rPr>
          <w:rFonts w:eastAsia="黑体"/>
          <w:color w:val="FF0000"/>
          <w:sz w:val="30"/>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
        <w:rPr>
          <w:color w:val="auto"/>
        </w:rPr>
      </w:pPr>
      <w:bookmarkStart w:id="17" w:name="_Toc17521"/>
      <w:bookmarkStart w:id="18" w:name="_Toc30121"/>
      <w:bookmarkStart w:id="19" w:name="_Toc3835"/>
      <w:bookmarkStart w:id="20" w:name="_Toc25959"/>
      <w:bookmarkStart w:id="21" w:name="_Toc32187"/>
      <w:bookmarkStart w:id="22" w:name="_Toc4230"/>
      <w:bookmarkStart w:id="23" w:name="_Toc9609"/>
      <w:bookmarkStart w:id="24" w:name="_Toc24489"/>
      <w:bookmarkStart w:id="25" w:name="_Toc2540"/>
      <w:bookmarkStart w:id="26" w:name="_Toc13469"/>
      <w:bookmarkStart w:id="27" w:name="_Toc264"/>
      <w:bookmarkStart w:id="28" w:name="_Toc20154"/>
      <w:bookmarkStart w:id="29" w:name="_Toc3011"/>
      <w:bookmarkStart w:id="30" w:name="_Toc21617"/>
      <w:r>
        <w:rPr>
          <w:rFonts w:hint="eastAsia"/>
          <w:color w:val="auto"/>
        </w:rPr>
        <w:t>二、建设项目工程分析</w:t>
      </w:r>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Style w:val="31"/>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0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63" w:type="dxa"/>
            <w:noWrap/>
            <w:vAlign w:val="center"/>
          </w:tcPr>
          <w:p>
            <w:pPr>
              <w:pStyle w:val="27"/>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color w:val="auto"/>
                <w:szCs w:val="24"/>
              </w:rPr>
              <w:t>建设内容</w:t>
            </w:r>
          </w:p>
        </w:tc>
        <w:tc>
          <w:tcPr>
            <w:tcW w:w="8059" w:type="dxa"/>
            <w:noWrap/>
          </w:tcPr>
          <w:p>
            <w:pPr>
              <w:rPr>
                <w:color w:val="auto"/>
              </w:rPr>
            </w:pPr>
            <w:r>
              <w:rPr>
                <w:color w:val="auto"/>
              </w:rPr>
              <w:t>一、项目由来</w:t>
            </w:r>
          </w:p>
          <w:p>
            <w:pPr>
              <w:pStyle w:val="7"/>
              <w:ind w:firstLine="480"/>
              <w:rPr>
                <w:color w:val="000000" w:themeColor="text1"/>
                <w:kern w:val="0"/>
                <w:u w:val="none"/>
              </w:rPr>
            </w:pPr>
            <w:r>
              <w:rPr>
                <w:rFonts w:hint="eastAsia" w:ascii="宋体" w:hAnsi="宋体" w:cs="宋体"/>
                <w:color w:val="auto"/>
                <w:kern w:val="0"/>
                <w:sz w:val="24"/>
                <w:szCs w:val="24"/>
                <w:lang w:val="en-US" w:eastAsia="zh-CN" w:bidi="ar"/>
              </w:rPr>
              <w:t>临湘市五里牌街道社区卫生服务中心（临湘市五里牌街道妇幼保健计划生育服务站）</w:t>
            </w:r>
            <w:r>
              <w:rPr>
                <w:rFonts w:hint="eastAsia" w:ascii="宋体" w:hAnsi="宋体" w:eastAsia="宋体" w:cs="宋体"/>
                <w:color w:val="auto"/>
                <w:kern w:val="0"/>
                <w:sz w:val="24"/>
                <w:szCs w:val="24"/>
                <w:lang w:val="en-US" w:eastAsia="zh-CN" w:bidi="ar"/>
              </w:rPr>
              <w:t>位于</w:t>
            </w:r>
            <w:r>
              <w:rPr>
                <w:rFonts w:hint="eastAsia"/>
                <w:color w:val="auto"/>
                <w:highlight w:val="none"/>
                <w:lang w:val="en-US" w:eastAsia="zh-CN"/>
              </w:rPr>
              <w:t>临湘市长安东路106号</w:t>
            </w:r>
            <w:r>
              <w:rPr>
                <w:rFonts w:hint="eastAsia" w:ascii="宋体" w:hAnsi="宋体" w:eastAsia="宋体" w:cs="宋体"/>
                <w:color w:val="auto"/>
                <w:kern w:val="0"/>
                <w:sz w:val="24"/>
                <w:szCs w:val="24"/>
                <w:lang w:val="en-US" w:eastAsia="zh-CN" w:bidi="ar"/>
              </w:rPr>
              <w:t>，是政府办的非营利性乡卫生院，集公共卫生、基本医疗保健为一体，肩负全镇及相邻乡镇群众的医疗卫生及预防保健工作。</w:t>
            </w:r>
            <w:r>
              <w:rPr>
                <w:rFonts w:hint="eastAsia" w:ascii="宋体" w:hAnsi="宋体" w:cs="宋体"/>
                <w:color w:val="auto"/>
                <w:kern w:val="0"/>
                <w:sz w:val="24"/>
                <w:szCs w:val="24"/>
                <w:lang w:val="en-US" w:eastAsia="zh-CN" w:bidi="ar"/>
              </w:rPr>
              <w:t>临湘市五里牌街道社区卫生服务中心</w:t>
            </w:r>
            <w:r>
              <w:rPr>
                <w:rFonts w:hint="eastAsia" w:cs="Times New Roman"/>
                <w:color w:val="auto"/>
                <w:u w:val="single"/>
                <w:lang w:val="en-US" w:eastAsia="zh-CN"/>
              </w:rPr>
              <w:t>医疗</w:t>
            </w:r>
            <w:r>
              <w:rPr>
                <w:rFonts w:hint="eastAsia" w:cs="Times New Roman"/>
                <w:color w:val="000000" w:themeColor="text1"/>
                <w:u w:val="single"/>
                <w:lang w:val="en-US" w:eastAsia="zh-CN"/>
              </w:rPr>
              <w:t>执业许可证批办床位60张，牙椅2张（详见附件3），满足《岳阳市区域卫生规划（2016-2030）年》符合性分析，中心乡镇卫生院床位数不超过100张。</w:t>
            </w:r>
            <w:r>
              <w:rPr>
                <w:rFonts w:hint="eastAsia" w:ascii="Times New Roman" w:hAnsi="Times New Roman" w:cs="Times New Roman"/>
                <w:color w:val="000000" w:themeColor="text1"/>
                <w:u w:val="single"/>
                <w:lang w:val="en-US" w:eastAsia="zh-CN"/>
              </w:rPr>
              <w:t>由于人员需求量受限，本次环评设医疗床位30张</w:t>
            </w:r>
            <w:r>
              <w:rPr>
                <w:rFonts w:hint="eastAsia" w:cs="Times New Roman"/>
                <w:color w:val="000000" w:themeColor="text1"/>
                <w:u w:val="single"/>
                <w:lang w:val="en-US" w:eastAsia="zh-CN"/>
              </w:rPr>
              <w:t>，牙椅2张</w:t>
            </w:r>
            <w:r>
              <w:rPr>
                <w:rFonts w:hint="eastAsia" w:ascii="Times New Roman" w:hAnsi="Times New Roman" w:cs="Times New Roman"/>
                <w:color w:val="000000" w:themeColor="text1"/>
                <w:u w:val="single"/>
                <w:lang w:val="en-US" w:eastAsia="zh-CN"/>
              </w:rPr>
              <w:t>，</w:t>
            </w:r>
            <w:r>
              <w:rPr>
                <w:rFonts w:hint="default" w:ascii="Times New Roman" w:hAnsi="Times New Roman" w:cs="Times New Roman"/>
                <w:color w:val="000000" w:themeColor="text1"/>
                <w:u w:val="single"/>
                <w:lang w:val="en-US" w:eastAsia="zh-CN"/>
              </w:rPr>
              <w:t>目前开放床位</w:t>
            </w:r>
            <w:r>
              <w:rPr>
                <w:rFonts w:hint="eastAsia" w:cs="Times New Roman"/>
                <w:color w:val="000000" w:themeColor="text1"/>
                <w:u w:val="single"/>
                <w:shd w:val="clear"/>
                <w:lang w:val="en-US" w:eastAsia="zh-CN"/>
              </w:rPr>
              <w:t>30</w:t>
            </w:r>
            <w:r>
              <w:rPr>
                <w:rFonts w:hint="default" w:ascii="Times New Roman" w:hAnsi="Times New Roman" w:cs="Times New Roman"/>
                <w:color w:val="000000" w:themeColor="text1"/>
                <w:u w:val="single"/>
                <w:shd w:val="clear"/>
                <w:lang w:val="en-US" w:eastAsia="zh-CN"/>
              </w:rPr>
              <w:t>张</w:t>
            </w:r>
            <w:r>
              <w:rPr>
                <w:rFonts w:hint="eastAsia" w:cs="Times New Roman"/>
                <w:color w:val="000000" w:themeColor="text1"/>
                <w:u w:val="single"/>
                <w:lang w:val="en-US" w:eastAsia="zh-CN"/>
              </w:rPr>
              <w:t>，牙椅2张</w:t>
            </w:r>
            <w:r>
              <w:rPr>
                <w:rFonts w:hint="default" w:ascii="Times New Roman" w:hAnsi="Times New Roman" w:cs="Times New Roman"/>
                <w:color w:val="000000" w:themeColor="text1"/>
                <w:u w:val="single"/>
                <w:lang w:val="en-US" w:eastAsia="zh-CN"/>
              </w:rPr>
              <w:t>，</w:t>
            </w:r>
            <w:r>
              <w:rPr>
                <w:rFonts w:hint="eastAsia"/>
                <w:color w:val="000000" w:themeColor="text1"/>
                <w:u w:val="none"/>
                <w:lang w:eastAsia="zh-CN"/>
              </w:rPr>
              <w:t>临湘市五里牌街道社区卫生服务中心（临湘市五里牌街道妇幼保健计划生育服务站）</w:t>
            </w:r>
            <w:r>
              <w:rPr>
                <w:bCs/>
                <w:color w:val="000000" w:themeColor="text1"/>
                <w:u w:val="none"/>
              </w:rPr>
              <w:t>现有1栋</w:t>
            </w:r>
            <w:r>
              <w:rPr>
                <w:rFonts w:hint="eastAsia"/>
                <w:bCs/>
                <w:color w:val="000000" w:themeColor="text1"/>
                <w:u w:val="none"/>
                <w:lang w:val="en-US" w:eastAsia="zh-CN"/>
              </w:rPr>
              <w:t>4</w:t>
            </w:r>
            <w:r>
              <w:rPr>
                <w:bCs/>
                <w:color w:val="000000" w:themeColor="text1"/>
                <w:u w:val="none"/>
              </w:rPr>
              <w:t>F</w:t>
            </w:r>
            <w:r>
              <w:rPr>
                <w:rFonts w:hint="eastAsia"/>
                <w:color w:val="000000" w:themeColor="text1"/>
                <w:u w:val="none"/>
                <w:lang w:val="en-US" w:eastAsia="zh-CN"/>
              </w:rPr>
              <w:t>综合楼和1栋</w:t>
            </w:r>
            <w:r>
              <w:rPr>
                <w:rFonts w:hint="eastAsia"/>
                <w:color w:val="auto"/>
                <w:u w:val="none"/>
                <w:lang w:val="en-US" w:eastAsia="zh-CN"/>
              </w:rPr>
              <w:t>3F</w:t>
            </w:r>
            <w:r>
              <w:rPr>
                <w:rFonts w:hint="eastAsia"/>
                <w:color w:val="000000" w:themeColor="text1"/>
                <w:u w:val="none"/>
                <w:lang w:val="en-US" w:eastAsia="zh-CN"/>
              </w:rPr>
              <w:t>公卫楼</w:t>
            </w:r>
            <w:r>
              <w:rPr>
                <w:rFonts w:hint="eastAsia"/>
                <w:color w:val="000000" w:themeColor="text1"/>
                <w:u w:val="none"/>
                <w:lang w:eastAsia="zh-CN"/>
              </w:rPr>
              <w:t>，</w:t>
            </w:r>
            <w:r>
              <w:rPr>
                <w:rFonts w:hint="eastAsia"/>
                <w:color w:val="000000" w:themeColor="text1"/>
                <w:u w:val="none"/>
                <w:lang w:val="en-US" w:eastAsia="zh-CN"/>
              </w:rPr>
              <w:t>建筑面积</w:t>
            </w:r>
            <w:r>
              <w:rPr>
                <w:rFonts w:hint="eastAsia"/>
                <w:color w:val="000000" w:themeColor="text1"/>
                <w:sz w:val="24"/>
                <w:lang w:val="en-US" w:eastAsia="zh-CN"/>
              </w:rPr>
              <w:t>3686</w:t>
            </w:r>
            <w:r>
              <w:rPr>
                <w:rFonts w:hint="eastAsia"/>
                <w:color w:val="000000" w:themeColor="text1"/>
                <w:lang w:val="en-US" w:eastAsia="zh-CN"/>
              </w:rPr>
              <w:t>平方米</w:t>
            </w:r>
            <w:r>
              <w:rPr>
                <w:bCs/>
                <w:color w:val="000000" w:themeColor="text1"/>
                <w:u w:val="none"/>
              </w:rPr>
              <w:t>。</w:t>
            </w:r>
            <w:r>
              <w:rPr>
                <w:rFonts w:hint="eastAsia"/>
                <w:color w:val="auto"/>
                <w:u w:val="none"/>
                <w:lang w:val="en-US" w:eastAsia="zh-CN"/>
              </w:rPr>
              <w:t>五里</w:t>
            </w:r>
            <w:r>
              <w:rPr>
                <w:rFonts w:hint="eastAsia"/>
                <w:color w:val="auto"/>
                <w:u w:val="none"/>
                <w:lang w:eastAsia="zh-CN"/>
              </w:rPr>
              <w:t>街道社区卫生服务中心</w:t>
            </w:r>
            <w:r>
              <w:rPr>
                <w:color w:val="auto"/>
                <w:kern w:val="0"/>
                <w:u w:val="none"/>
              </w:rPr>
              <w:t>于</w:t>
            </w:r>
            <w:r>
              <w:rPr>
                <w:rFonts w:hint="eastAsia"/>
                <w:color w:val="auto"/>
                <w:kern w:val="0"/>
                <w:u w:val="none"/>
                <w:lang w:val="en-US" w:eastAsia="zh-CN"/>
              </w:rPr>
              <w:t>1984</w:t>
            </w:r>
            <w:r>
              <w:rPr>
                <w:color w:val="auto"/>
                <w:kern w:val="0"/>
                <w:u w:val="none"/>
              </w:rPr>
              <w:t>年成立</w:t>
            </w:r>
            <w:r>
              <w:rPr>
                <w:color w:val="auto"/>
                <w:u w:val="none"/>
              </w:rPr>
              <w:t>，</w:t>
            </w:r>
            <w:r>
              <w:rPr>
                <w:rFonts w:hint="eastAsia"/>
                <w:color w:val="auto"/>
                <w:u w:val="none"/>
                <w:lang w:val="en-US" w:eastAsia="zh-CN"/>
              </w:rPr>
              <w:t>2010年搬迁至</w:t>
            </w:r>
            <w:r>
              <w:rPr>
                <w:rFonts w:hint="eastAsia"/>
                <w:color w:val="auto"/>
                <w:highlight w:val="none"/>
                <w:lang w:val="en-US" w:eastAsia="zh-CN"/>
              </w:rPr>
              <w:t>临湘市长安东路106号</w:t>
            </w:r>
            <w:r>
              <w:rPr>
                <w:color w:val="auto"/>
                <w:kern w:val="0"/>
                <w:u w:val="none"/>
              </w:rPr>
              <w:t>。</w:t>
            </w:r>
            <w:r>
              <w:rPr>
                <w:color w:val="000000" w:themeColor="text1"/>
                <w:kern w:val="0"/>
                <w:u w:val="none"/>
              </w:rPr>
              <w:t>根据《湖南省卫生健康委员会和湖南省生态环境厅关于做好一级医疗机构污水处理问题排查整治工作的通知》（湘卫函〔2023〕60号文件要求）和《岳阳市卫生健康委、岳阳市生态环境局关于做好一级医疗机构污水处理问题排查整治工作内容的通知》（岳卫函〔2023〕42号）要求，项目作为一级医院需完善医疗机构内部规范管理，其中要求环评报告表手续齐全，故卫生院拟对已建的项目履行补办环评手续。</w:t>
            </w:r>
          </w:p>
          <w:p>
            <w:pPr>
              <w:pStyle w:val="7"/>
              <w:ind w:firstLine="480"/>
              <w:rPr>
                <w:color w:val="000000" w:themeColor="text1"/>
              </w:rPr>
            </w:pPr>
            <w:r>
              <w:rPr>
                <w:color w:val="000000" w:themeColor="text1"/>
              </w:rPr>
              <w:t>根据《中华人民共和国环境保护法》（2015年）、《中华人民共和国环境影响评价法》（2018年12月29日修订）、《建设项目环境保护管理条例》（2017年10月）和《建设项目环境影响评价分类管理名录》（2021年版），本项目属于管理名录中“四十九 卫生”中“108 基层医疗卫生服务842-其他（住院床位20张以下的除外）”类别，因此项目需编制环境影响报告表，并报生态环境主管部门审批。为此，</w:t>
            </w:r>
            <w:r>
              <w:rPr>
                <w:rFonts w:hint="eastAsia"/>
                <w:color w:val="000000" w:themeColor="text1"/>
                <w:lang w:eastAsia="zh-CN"/>
              </w:rPr>
              <w:t>临湘市五里牌街道社区卫生服务中心（临湘市五里牌街道妇幼保健计划生育服务站）</w:t>
            </w:r>
            <w:r>
              <w:rPr>
                <w:color w:val="000000" w:themeColor="text1"/>
              </w:rPr>
              <w:t>委托湖南</w:t>
            </w:r>
            <w:r>
              <w:rPr>
                <w:rFonts w:hint="eastAsia"/>
                <w:color w:val="000000" w:themeColor="text1"/>
                <w:lang w:val="en-US" w:eastAsia="zh-CN"/>
              </w:rPr>
              <w:t>衡润</w:t>
            </w:r>
            <w:r>
              <w:rPr>
                <w:color w:val="000000" w:themeColor="text1"/>
              </w:rPr>
              <w:t>科技有限公司（以下简称“我公司”）承担该项目的环境影响评价工作。我公司接受委托后，在现场踏勘、监测和资料收集等的基础上，根据环评技术规则及其它有关文件，编制了该项目的环境影响报告表，报请当地生态环境主管部门审批。</w:t>
            </w:r>
          </w:p>
          <w:p>
            <w:pPr>
              <w:pStyle w:val="7"/>
              <w:ind w:firstLine="480"/>
              <w:rPr>
                <w:rFonts w:hint="eastAsia" w:ascii="Times New Roman" w:hAnsi="Times New Roman" w:eastAsia="宋体" w:cs="Times New Roman"/>
                <w:color w:val="FF0000"/>
              </w:rPr>
            </w:pPr>
            <w:r>
              <w:rPr>
                <w:rFonts w:hint="eastAsia" w:ascii="Times New Roman" w:hAnsi="Times New Roman" w:eastAsia="宋体" w:cs="Times New Roman"/>
                <w:color w:val="000000" w:themeColor="text1"/>
              </w:rPr>
              <w:t>本项目使用的射线装置包括一台医用DR机。已获得岳阳市生态环境局颁发的辐射安全许可证</w:t>
            </w:r>
            <w:r>
              <w:rPr>
                <w:rFonts w:hint="eastAsia" w:ascii="Times New Roman" w:hAnsi="Times New Roman" w:eastAsia="宋体" w:cs="Times New Roman"/>
                <w:color w:val="auto"/>
              </w:rPr>
              <w:t>〔湘环辐证 F0</w:t>
            </w:r>
            <w:r>
              <w:rPr>
                <w:rFonts w:hint="eastAsia" w:cs="Times New Roman"/>
                <w:color w:val="auto"/>
                <w:lang w:val="en-US" w:eastAsia="zh-CN"/>
              </w:rPr>
              <w:t>231</w:t>
            </w:r>
            <w:r>
              <w:rPr>
                <w:rFonts w:hint="eastAsia" w:ascii="Times New Roman" w:hAnsi="Times New Roman" w:eastAsia="宋体" w:cs="Times New Roman"/>
                <w:color w:val="auto"/>
              </w:rPr>
              <w:t>〕。</w:t>
            </w:r>
          </w:p>
          <w:p>
            <w:pPr>
              <w:pStyle w:val="7"/>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二、工程内容及规模</w:t>
            </w:r>
          </w:p>
          <w:p>
            <w:pPr>
              <w:pStyle w:val="7"/>
              <w:ind w:firstLine="480"/>
              <w:rPr>
                <w:color w:val="000000" w:themeColor="text1"/>
              </w:rPr>
            </w:pPr>
            <w:r>
              <w:rPr>
                <w:color w:val="000000" w:themeColor="text1"/>
              </w:rPr>
              <w:t>1、建设项目内容</w:t>
            </w:r>
          </w:p>
          <w:p>
            <w:pPr>
              <w:pStyle w:val="7"/>
              <w:ind w:firstLine="480"/>
              <w:rPr>
                <w:color w:val="auto"/>
              </w:rPr>
            </w:pPr>
            <w:r>
              <w:rPr>
                <w:color w:val="auto"/>
              </w:rPr>
              <w:t>项目总占地面积</w:t>
            </w:r>
            <w:r>
              <w:rPr>
                <w:rFonts w:hint="eastAsia"/>
                <w:color w:val="auto"/>
                <w:lang w:val="en-US" w:eastAsia="zh-CN"/>
              </w:rPr>
              <w:t>6080</w:t>
            </w:r>
            <w:r>
              <w:rPr>
                <w:rFonts w:hint="eastAsia"/>
                <w:color w:val="auto"/>
              </w:rPr>
              <w:t>m</w:t>
            </w:r>
            <w:r>
              <w:rPr>
                <w:rFonts w:hint="eastAsia"/>
                <w:color w:val="auto"/>
                <w:vertAlign w:val="superscript"/>
              </w:rPr>
              <w:t>2</w:t>
            </w:r>
            <w:r>
              <w:rPr>
                <w:color w:val="auto"/>
              </w:rPr>
              <w:t>，</w:t>
            </w:r>
            <w:r>
              <w:rPr>
                <w:rFonts w:hint="eastAsia"/>
                <w:color w:val="auto"/>
              </w:rPr>
              <w:t>主要包括</w:t>
            </w:r>
            <w:r>
              <w:rPr>
                <w:bCs/>
                <w:color w:val="000000" w:themeColor="text1"/>
                <w:u w:val="none"/>
              </w:rPr>
              <w:t>1栋</w:t>
            </w:r>
            <w:r>
              <w:rPr>
                <w:rFonts w:hint="eastAsia"/>
                <w:bCs/>
                <w:color w:val="000000" w:themeColor="text1"/>
                <w:u w:val="none"/>
                <w:lang w:val="en-US" w:eastAsia="zh-CN"/>
              </w:rPr>
              <w:t>4</w:t>
            </w:r>
            <w:r>
              <w:rPr>
                <w:bCs/>
                <w:color w:val="000000" w:themeColor="text1"/>
                <w:u w:val="none"/>
              </w:rPr>
              <w:t>F</w:t>
            </w:r>
            <w:r>
              <w:rPr>
                <w:rFonts w:hint="eastAsia"/>
                <w:color w:val="000000" w:themeColor="text1"/>
                <w:u w:val="none"/>
                <w:lang w:val="en-US" w:eastAsia="zh-CN"/>
              </w:rPr>
              <w:t>综合楼和1栋</w:t>
            </w:r>
            <w:r>
              <w:rPr>
                <w:rFonts w:hint="eastAsia"/>
                <w:color w:val="auto"/>
                <w:u w:val="none"/>
                <w:lang w:val="en-US" w:eastAsia="zh-CN"/>
              </w:rPr>
              <w:t>3F</w:t>
            </w:r>
            <w:r>
              <w:rPr>
                <w:rFonts w:hint="eastAsia"/>
                <w:color w:val="000000" w:themeColor="text1"/>
                <w:u w:val="none"/>
                <w:lang w:val="en-US" w:eastAsia="zh-CN"/>
              </w:rPr>
              <w:t>公卫楼</w:t>
            </w:r>
            <w:r>
              <w:rPr>
                <w:rFonts w:hint="eastAsia"/>
                <w:color w:val="auto"/>
              </w:rPr>
              <w:t>。</w:t>
            </w:r>
            <w:r>
              <w:rPr>
                <w:rFonts w:hint="eastAsia" w:ascii="宋体" w:hAnsi="宋体" w:eastAsia="宋体" w:cs="宋体"/>
                <w:color w:val="000000"/>
                <w:kern w:val="0"/>
                <w:sz w:val="24"/>
                <w:szCs w:val="24"/>
                <w:highlight w:val="none"/>
                <w:lang w:val="en-US" w:eastAsia="zh-CN" w:bidi="ar"/>
              </w:rPr>
              <w:t>根据医疗机构执业许可证副本</w:t>
            </w:r>
            <w:r>
              <w:rPr>
                <w:color w:val="auto"/>
              </w:rPr>
              <w:t>设有儿科、内科、外科、妇产科、医学检验科、医学影像科等，床位</w:t>
            </w:r>
            <w:r>
              <w:rPr>
                <w:rFonts w:hint="eastAsia"/>
                <w:color w:val="auto"/>
                <w:lang w:eastAsia="zh-CN"/>
              </w:rPr>
              <w:t>60</w:t>
            </w:r>
            <w:r>
              <w:rPr>
                <w:color w:val="auto"/>
              </w:rPr>
              <w:t>张</w:t>
            </w:r>
            <w:r>
              <w:rPr>
                <w:rFonts w:hint="eastAsia"/>
                <w:color w:val="auto"/>
              </w:rPr>
              <w:t>，牙椅2张</w:t>
            </w:r>
            <w:r>
              <w:rPr>
                <w:rFonts w:hint="eastAsia"/>
                <w:color w:val="auto"/>
                <w:lang w:eastAsia="zh-CN"/>
              </w:rPr>
              <w:t>，</w:t>
            </w:r>
            <w:r>
              <w:rPr>
                <w:rFonts w:hint="eastAsia"/>
                <w:color w:val="000000" w:themeColor="text1"/>
                <w:u w:val="single"/>
                <w:lang w:val="en-US" w:eastAsia="zh-CN"/>
              </w:rPr>
              <w:t>因病人就诊数量不足，实际开设30张，牙椅2张</w:t>
            </w:r>
            <w:r>
              <w:rPr>
                <w:color w:val="auto"/>
              </w:rPr>
              <w:t>。总计卫生专业技术人员</w:t>
            </w:r>
            <w:r>
              <w:rPr>
                <w:rFonts w:hint="eastAsia"/>
                <w:color w:val="auto"/>
                <w:lang w:val="en-US" w:eastAsia="zh-CN"/>
              </w:rPr>
              <w:t>65</w:t>
            </w:r>
            <w:r>
              <w:rPr>
                <w:color w:val="auto"/>
              </w:rPr>
              <w:t>名。</w:t>
            </w:r>
            <w:r>
              <w:rPr>
                <w:rFonts w:hint="eastAsia"/>
                <w:color w:val="000000" w:themeColor="text1"/>
                <w:u w:val="single"/>
                <w:shd w:val="clear"/>
              </w:rPr>
              <w:t>项目无传染病房</w:t>
            </w:r>
            <w:r>
              <w:rPr>
                <w:rFonts w:hint="eastAsia"/>
                <w:color w:val="000000" w:themeColor="text1"/>
                <w:u w:val="single"/>
                <w:shd w:val="clear"/>
                <w:lang w:eastAsia="zh-CN"/>
              </w:rPr>
              <w:t>，</w:t>
            </w:r>
            <w:r>
              <w:rPr>
                <w:rFonts w:hint="eastAsia"/>
                <w:color w:val="000000" w:themeColor="text1"/>
                <w:u w:val="single"/>
                <w:shd w:val="clear"/>
                <w:lang w:val="en-US" w:eastAsia="zh-CN"/>
              </w:rPr>
              <w:t>不设锅炉，牙科</w:t>
            </w:r>
            <w:r>
              <w:rPr>
                <w:rFonts w:hint="eastAsia"/>
                <w:color w:val="000000" w:themeColor="text1"/>
                <w:u w:val="single"/>
              </w:rPr>
              <w:t>所用原材料</w:t>
            </w:r>
            <w:r>
              <w:rPr>
                <w:rFonts w:hint="eastAsia"/>
                <w:color w:val="000000" w:themeColor="text1"/>
                <w:u w:val="single"/>
                <w:shd w:val="clear"/>
                <w:lang w:val="en-US" w:eastAsia="zh-CN"/>
              </w:rPr>
              <w:t>不含重金属</w:t>
            </w:r>
            <w:r>
              <w:rPr>
                <w:rFonts w:hint="eastAsia"/>
                <w:color w:val="000000" w:themeColor="text1"/>
                <w:u w:val="single"/>
                <w:shd w:val="clear"/>
              </w:rPr>
              <w:t>。</w:t>
            </w:r>
            <w:r>
              <w:rPr>
                <w:color w:val="auto"/>
              </w:rPr>
              <w:t>项目主要工程情况见下表。</w:t>
            </w:r>
          </w:p>
          <w:p>
            <w:pPr>
              <w:pStyle w:val="46"/>
              <w:rPr>
                <w:color w:val="auto"/>
                <w:u w:val="none"/>
              </w:rPr>
            </w:pPr>
            <w:r>
              <w:rPr>
                <w:color w:val="auto"/>
                <w:u w:val="none"/>
              </w:rPr>
              <w:t>表2.1-1项目组成一览表</w:t>
            </w:r>
          </w:p>
          <w:tbl>
            <w:tblPr>
              <w:tblStyle w:val="32"/>
              <w:tblW w:w="7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10"/>
              <w:gridCol w:w="987"/>
              <w:gridCol w:w="740"/>
              <w:gridCol w:w="3790"/>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pPr>
                    <w:pStyle w:val="45"/>
                    <w:spacing w:line="276" w:lineRule="auto"/>
                    <w:rPr>
                      <w:color w:val="auto"/>
                      <w:u w:val="none"/>
                    </w:rPr>
                  </w:pPr>
                  <w:r>
                    <w:rPr>
                      <w:color w:val="auto"/>
                      <w:u w:val="none"/>
                    </w:rPr>
                    <w:t>序号</w:t>
                  </w:r>
                </w:p>
              </w:tc>
              <w:tc>
                <w:tcPr>
                  <w:tcW w:w="710" w:type="dxa"/>
                  <w:vAlign w:val="center"/>
                </w:tcPr>
                <w:p>
                  <w:pPr>
                    <w:pStyle w:val="45"/>
                    <w:spacing w:line="276" w:lineRule="auto"/>
                    <w:rPr>
                      <w:color w:val="auto"/>
                      <w:u w:val="none"/>
                    </w:rPr>
                  </w:pPr>
                  <w:r>
                    <w:rPr>
                      <w:color w:val="auto"/>
                      <w:u w:val="none"/>
                    </w:rPr>
                    <w:t>类别</w:t>
                  </w:r>
                </w:p>
              </w:tc>
              <w:tc>
                <w:tcPr>
                  <w:tcW w:w="1727" w:type="dxa"/>
                  <w:gridSpan w:val="2"/>
                  <w:vAlign w:val="center"/>
                </w:tcPr>
                <w:p>
                  <w:pPr>
                    <w:pStyle w:val="45"/>
                    <w:spacing w:line="276" w:lineRule="auto"/>
                    <w:rPr>
                      <w:color w:val="auto"/>
                      <w:u w:val="none"/>
                    </w:rPr>
                  </w:pPr>
                  <w:r>
                    <w:rPr>
                      <w:color w:val="auto"/>
                      <w:u w:val="none"/>
                    </w:rPr>
                    <w:t>工程内容</w:t>
                  </w:r>
                </w:p>
              </w:tc>
              <w:tc>
                <w:tcPr>
                  <w:tcW w:w="3790" w:type="dxa"/>
                  <w:vAlign w:val="center"/>
                </w:tcPr>
                <w:p>
                  <w:pPr>
                    <w:pStyle w:val="45"/>
                    <w:spacing w:line="276" w:lineRule="auto"/>
                    <w:rPr>
                      <w:color w:val="auto"/>
                      <w:u w:val="none"/>
                    </w:rPr>
                  </w:pPr>
                  <w:r>
                    <w:rPr>
                      <w:color w:val="auto"/>
                      <w:u w:val="none"/>
                    </w:rPr>
                    <w:t>工程规模</w:t>
                  </w:r>
                </w:p>
              </w:tc>
              <w:tc>
                <w:tcPr>
                  <w:tcW w:w="913" w:type="dxa"/>
                  <w:vAlign w:val="center"/>
                </w:tcPr>
                <w:p>
                  <w:pPr>
                    <w:pStyle w:val="45"/>
                    <w:spacing w:line="276" w:lineRule="auto"/>
                    <w:rPr>
                      <w:color w:val="auto"/>
                      <w:u w:val="none"/>
                    </w:rPr>
                  </w:pPr>
                  <w:r>
                    <w:rPr>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w:t>
                  </w:r>
                </w:p>
              </w:tc>
              <w:tc>
                <w:tcPr>
                  <w:tcW w:w="710"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主体工程</w:t>
                  </w:r>
                </w:p>
              </w:tc>
              <w:tc>
                <w:tcPr>
                  <w:tcW w:w="987"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综合楼（1栋）</w:t>
                  </w: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1F</w:t>
                  </w:r>
                </w:p>
              </w:tc>
              <w:tc>
                <w:tcPr>
                  <w:tcW w:w="3790" w:type="dxa"/>
                  <w:vAlign w:val="center"/>
                </w:tcPr>
                <w:p>
                  <w:pPr>
                    <w:pStyle w:val="45"/>
                    <w:spacing w:line="276"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中西药房、化验室、DR室、全科门诊、B超心电图室</w:t>
                  </w:r>
                </w:p>
              </w:tc>
              <w:tc>
                <w:tcPr>
                  <w:tcW w:w="913" w:type="dxa"/>
                  <w:vMerge w:val="restart"/>
                  <w:vAlign w:val="center"/>
                </w:tcPr>
                <w:p>
                  <w:pPr>
                    <w:pStyle w:val="45"/>
                    <w:spacing w:line="276" w:lineRule="auto"/>
                    <w:rPr>
                      <w:color w:val="auto"/>
                      <w:u w:val="singl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987"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2F</w:t>
                  </w:r>
                </w:p>
              </w:tc>
              <w:tc>
                <w:tcPr>
                  <w:tcW w:w="3790" w:type="dxa"/>
                  <w:vAlign w:val="center"/>
                </w:tcPr>
                <w:p>
                  <w:pPr>
                    <w:pStyle w:val="45"/>
                    <w:spacing w:line="276"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住院部</w:t>
                  </w:r>
                </w:p>
              </w:tc>
              <w:tc>
                <w:tcPr>
                  <w:tcW w:w="913" w:type="dxa"/>
                  <w:vMerge w:val="continue"/>
                  <w:vAlign w:val="center"/>
                </w:tcPr>
                <w:p>
                  <w:pPr>
                    <w:pStyle w:val="45"/>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987"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3F</w:t>
                  </w:r>
                </w:p>
              </w:tc>
              <w:tc>
                <w:tcPr>
                  <w:tcW w:w="3790" w:type="dxa"/>
                  <w:vAlign w:val="center"/>
                </w:tcPr>
                <w:p>
                  <w:pPr>
                    <w:pStyle w:val="45"/>
                    <w:spacing w:line="276"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中医理疗科</w:t>
                  </w:r>
                </w:p>
              </w:tc>
              <w:tc>
                <w:tcPr>
                  <w:tcW w:w="913" w:type="dxa"/>
                  <w:vMerge w:val="continue"/>
                  <w:vAlign w:val="center"/>
                </w:tcPr>
                <w:p>
                  <w:pPr>
                    <w:pStyle w:val="45"/>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987"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4F</w:t>
                  </w:r>
                </w:p>
              </w:tc>
              <w:tc>
                <w:tcPr>
                  <w:tcW w:w="3790" w:type="dxa"/>
                  <w:vAlign w:val="center"/>
                </w:tcPr>
                <w:p>
                  <w:pPr>
                    <w:pStyle w:val="45"/>
                    <w:spacing w:line="276"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行政办公室</w:t>
                  </w:r>
                </w:p>
              </w:tc>
              <w:tc>
                <w:tcPr>
                  <w:tcW w:w="913" w:type="dxa"/>
                  <w:vMerge w:val="continue"/>
                  <w:vAlign w:val="center"/>
                </w:tcPr>
                <w:p>
                  <w:pPr>
                    <w:pStyle w:val="45"/>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987"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公卫楼</w:t>
                  </w: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1F</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预防接种门诊</w:t>
                  </w:r>
                </w:p>
              </w:tc>
              <w:tc>
                <w:tcPr>
                  <w:tcW w:w="913" w:type="dxa"/>
                  <w:vMerge w:val="restart"/>
                  <w:vAlign w:val="center"/>
                </w:tcPr>
                <w:p>
                  <w:pPr>
                    <w:pStyle w:val="45"/>
                    <w:spacing w:line="276" w:lineRule="auto"/>
                    <w:rPr>
                      <w:color w:val="auto"/>
                      <w:u w:val="singl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987"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2F</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牙科、皮肤科</w:t>
                  </w:r>
                </w:p>
              </w:tc>
              <w:tc>
                <w:tcPr>
                  <w:tcW w:w="913" w:type="dxa"/>
                  <w:vMerge w:val="continue"/>
                  <w:vAlign w:val="center"/>
                </w:tcPr>
                <w:p>
                  <w:pPr>
                    <w:pStyle w:val="45"/>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987"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4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3F</w:t>
                  </w:r>
                </w:p>
              </w:tc>
              <w:tc>
                <w:tcPr>
                  <w:tcW w:w="3790" w:type="dxa"/>
                  <w:vAlign w:val="center"/>
                </w:tcPr>
                <w:p>
                  <w:pPr>
                    <w:pStyle w:val="45"/>
                    <w:spacing w:line="276" w:lineRule="auto"/>
                    <w:ind w:firstLine="1470" w:firstLineChars="700"/>
                    <w:jc w:val="both"/>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公卫办</w:t>
                  </w:r>
                </w:p>
              </w:tc>
              <w:tc>
                <w:tcPr>
                  <w:tcW w:w="913" w:type="dxa"/>
                  <w:vMerge w:val="continue"/>
                  <w:vAlign w:val="center"/>
                </w:tcPr>
                <w:p>
                  <w:pPr>
                    <w:pStyle w:val="45"/>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w:t>
                  </w:r>
                </w:p>
              </w:tc>
              <w:tc>
                <w:tcPr>
                  <w:tcW w:w="710"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辅助工程</w:t>
                  </w: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污水处理间</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位于</w:t>
                  </w:r>
                  <w:r>
                    <w:rPr>
                      <w:rFonts w:hint="eastAsia" w:cs="Times New Roman"/>
                      <w:color w:val="auto"/>
                      <w:u w:val="none"/>
                      <w:lang w:val="en-US" w:eastAsia="zh-CN"/>
                    </w:rPr>
                    <w:t>公卫楼</w:t>
                  </w:r>
                  <w:r>
                    <w:rPr>
                      <w:rFonts w:hint="eastAsia" w:ascii="Times New Roman" w:hAnsi="Times New Roman" w:eastAsia="宋体" w:cs="Times New Roman"/>
                      <w:color w:val="auto"/>
                      <w:u w:val="none"/>
                      <w:lang w:val="en-US" w:eastAsia="zh-CN"/>
                    </w:rPr>
                    <w:t>的一楼的</w:t>
                  </w:r>
                  <w:r>
                    <w:rPr>
                      <w:rFonts w:hint="eastAsia" w:cs="Times New Roman"/>
                      <w:color w:val="auto"/>
                      <w:u w:val="none"/>
                      <w:lang w:val="en-US" w:eastAsia="zh-CN"/>
                    </w:rPr>
                    <w:t>中部</w:t>
                  </w:r>
                  <w:r>
                    <w:rPr>
                      <w:rFonts w:hint="eastAsia" w:ascii="Times New Roman" w:hAnsi="Times New Roman" w:eastAsia="宋体" w:cs="Times New Roman"/>
                      <w:color w:val="auto"/>
                      <w:u w:val="none"/>
                      <w:lang w:val="en-US" w:eastAsia="zh-CN"/>
                    </w:rPr>
                    <w:t>，20m²</w:t>
                  </w:r>
                </w:p>
              </w:tc>
              <w:tc>
                <w:tcPr>
                  <w:tcW w:w="913"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医疗废物暂存间</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位于</w:t>
                  </w:r>
                  <w:r>
                    <w:rPr>
                      <w:rFonts w:hint="eastAsia" w:cs="Times New Roman"/>
                      <w:color w:val="auto"/>
                      <w:u w:val="none"/>
                      <w:lang w:val="en-US" w:eastAsia="zh-CN"/>
                    </w:rPr>
                    <w:t>公卫楼西边</w:t>
                  </w:r>
                  <w:r>
                    <w:rPr>
                      <w:rFonts w:hint="eastAsia" w:ascii="Times New Roman" w:hAnsi="Times New Roman" w:eastAsia="宋体" w:cs="Times New Roman"/>
                      <w:color w:val="auto"/>
                      <w:u w:val="none"/>
                      <w:lang w:val="en-US" w:eastAsia="zh-CN"/>
                    </w:rPr>
                    <w:t>，1</w:t>
                  </w:r>
                  <w:r>
                    <w:rPr>
                      <w:rFonts w:hint="eastAsia" w:cs="Times New Roman"/>
                      <w:color w:val="auto"/>
                      <w:u w:val="none"/>
                      <w:lang w:val="en-US" w:eastAsia="zh-CN"/>
                    </w:rPr>
                    <w:t>5</w:t>
                  </w:r>
                  <w:r>
                    <w:rPr>
                      <w:rFonts w:hint="eastAsia" w:ascii="Times New Roman" w:hAnsi="Times New Roman" w:eastAsia="宋体" w:cs="Times New Roman"/>
                      <w:color w:val="auto"/>
                      <w:u w:val="none"/>
                      <w:lang w:val="en-US" w:eastAsia="zh-CN"/>
                    </w:rPr>
                    <w:t>m²</w:t>
                  </w:r>
                </w:p>
              </w:tc>
              <w:tc>
                <w:tcPr>
                  <w:tcW w:w="913"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1727" w:type="dxa"/>
                  <w:gridSpan w:val="2"/>
                  <w:vAlign w:val="center"/>
                </w:tcPr>
                <w:p>
                  <w:pPr>
                    <w:pStyle w:val="45"/>
                    <w:spacing w:line="276"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一般固废暂存间</w:t>
                  </w:r>
                </w:p>
              </w:tc>
              <w:tc>
                <w:tcPr>
                  <w:tcW w:w="3790" w:type="dxa"/>
                  <w:vAlign w:val="center"/>
                </w:tcPr>
                <w:p>
                  <w:pPr>
                    <w:pStyle w:val="45"/>
                    <w:spacing w:line="276"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位于综合楼一楼中部，5</w:t>
                  </w:r>
                  <w:r>
                    <w:rPr>
                      <w:rFonts w:hint="eastAsia" w:ascii="Times New Roman" w:hAnsi="Times New Roman" w:eastAsia="宋体" w:cs="Times New Roman"/>
                      <w:color w:val="auto"/>
                      <w:u w:val="none"/>
                      <w:lang w:val="en-US" w:eastAsia="zh-CN"/>
                    </w:rPr>
                    <w:t>m²</w:t>
                  </w:r>
                </w:p>
              </w:tc>
              <w:tc>
                <w:tcPr>
                  <w:tcW w:w="913"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3</w:t>
                  </w:r>
                </w:p>
              </w:tc>
              <w:tc>
                <w:tcPr>
                  <w:tcW w:w="710"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公用工程</w:t>
                  </w: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供水</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用水来源为市政自来水，满足项目生产生活用水要求</w:t>
                  </w:r>
                </w:p>
              </w:tc>
              <w:tc>
                <w:tcPr>
                  <w:tcW w:w="913" w:type="dxa"/>
                  <w:vAlign w:val="center"/>
                </w:tcPr>
                <w:p>
                  <w:pPr>
                    <w:pStyle w:val="45"/>
                    <w:spacing w:line="276" w:lineRule="auto"/>
                    <w:rPr>
                      <w:color w:val="auto"/>
                      <w:u w:val="non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排水</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实行雨污分流，雨水排入项目周边雨水管网，综合废水经“化粪池+格栅井+调节池+A级生物池+O级生物池+沉淀池+消毒池”处理后排入市政污水管网。</w:t>
                  </w:r>
                </w:p>
              </w:tc>
              <w:tc>
                <w:tcPr>
                  <w:tcW w:w="913" w:type="dxa"/>
                  <w:vAlign w:val="center"/>
                </w:tcPr>
                <w:p>
                  <w:pPr>
                    <w:pStyle w:val="45"/>
                    <w:spacing w:line="276" w:lineRule="auto"/>
                    <w:rPr>
                      <w:color w:val="auto"/>
                      <w:u w:val="non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auto"/>
                      <w:u w:val="none"/>
                      <w:lang w:val="en-US" w:eastAsia="zh-CN"/>
                    </w:rPr>
                  </w:pP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供电</w:t>
                  </w:r>
                </w:p>
              </w:tc>
              <w:tc>
                <w:tcPr>
                  <w:tcW w:w="3790" w:type="dxa"/>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区域供电管网直接引入</w:t>
                  </w:r>
                </w:p>
              </w:tc>
              <w:tc>
                <w:tcPr>
                  <w:tcW w:w="913" w:type="dxa"/>
                  <w:vAlign w:val="center"/>
                </w:tcPr>
                <w:p>
                  <w:pPr>
                    <w:pStyle w:val="45"/>
                    <w:spacing w:line="276" w:lineRule="auto"/>
                    <w:rPr>
                      <w:color w:val="auto"/>
                      <w:u w:val="non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w:t>
                  </w:r>
                </w:p>
              </w:tc>
              <w:tc>
                <w:tcPr>
                  <w:tcW w:w="710" w:type="dxa"/>
                  <w:vMerge w:val="restart"/>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环保工程</w:t>
                  </w:r>
                </w:p>
              </w:tc>
              <w:tc>
                <w:tcPr>
                  <w:tcW w:w="1727" w:type="dxa"/>
                  <w:gridSpan w:val="2"/>
                  <w:vAlign w:val="center"/>
                </w:tcPr>
                <w:p>
                  <w:pPr>
                    <w:pStyle w:val="45"/>
                    <w:spacing w:line="276" w:lineRule="auto"/>
                    <w:rPr>
                      <w:rFonts w:hint="eastAsia" w:ascii="Times New Roman" w:hAnsi="Times New Roman" w:eastAsia="宋体" w:cs="Times New Roman"/>
                      <w:color w:val="FF0000"/>
                      <w:u w:val="none"/>
                      <w:lang w:val="en-US" w:eastAsia="zh-CN"/>
                    </w:rPr>
                  </w:pPr>
                  <w:r>
                    <w:rPr>
                      <w:rFonts w:hint="eastAsia" w:ascii="Times New Roman" w:hAnsi="Times New Roman" w:eastAsia="宋体" w:cs="Times New Roman"/>
                      <w:color w:val="auto"/>
                      <w:u w:val="none"/>
                      <w:lang w:val="en-US" w:eastAsia="zh-CN"/>
                    </w:rPr>
                    <w:t>废水处理</w:t>
                  </w:r>
                </w:p>
              </w:tc>
              <w:tc>
                <w:tcPr>
                  <w:tcW w:w="3790" w:type="dxa"/>
                  <w:vAlign w:val="center"/>
                </w:tcPr>
                <w:p>
                  <w:pPr>
                    <w:pStyle w:val="45"/>
                    <w:spacing w:line="276" w:lineRule="auto"/>
                    <w:rPr>
                      <w:color w:val="FF0000"/>
                      <w:u w:val="none"/>
                    </w:rPr>
                  </w:pPr>
                  <w:r>
                    <w:rPr>
                      <w:rFonts w:hint="eastAsia"/>
                      <w:color w:val="auto"/>
                      <w:u w:val="none"/>
                      <w:lang w:val="en-US" w:eastAsia="zh-CN"/>
                    </w:rPr>
                    <w:t>采用</w:t>
                  </w:r>
                  <w:r>
                    <w:rPr>
                      <w:rFonts w:hint="eastAsia" w:ascii="Times New Roman" w:hAnsi="Times New Roman"/>
                      <w:color w:val="auto"/>
                      <w:kern w:val="2"/>
                      <w:sz w:val="21"/>
                      <w:u w:val="none"/>
                      <w:lang w:eastAsia="zh-CN"/>
                    </w:rPr>
                    <w:t>一体化污水处理设备</w:t>
                  </w:r>
                  <w:r>
                    <w:rPr>
                      <w:color w:val="auto"/>
                      <w:u w:val="none"/>
                    </w:rPr>
                    <w:t>，处理规模为</w:t>
                  </w:r>
                  <w:r>
                    <w:rPr>
                      <w:rFonts w:hint="eastAsia"/>
                      <w:color w:val="auto"/>
                      <w:u w:val="none"/>
                      <w:lang w:val="en-US" w:eastAsia="zh-CN"/>
                    </w:rPr>
                    <w:t>10</w:t>
                  </w:r>
                  <w:r>
                    <w:rPr>
                      <w:color w:val="auto"/>
                      <w:u w:val="none"/>
                    </w:rPr>
                    <w:t>m³/d，</w:t>
                  </w:r>
                  <w:r>
                    <w:rPr>
                      <w:rFonts w:hint="eastAsia"/>
                      <w:color w:val="auto"/>
                      <w:u w:val="none"/>
                      <w:lang w:val="en-US" w:eastAsia="zh-CN"/>
                    </w:rPr>
                    <w:t>位于院区公卫楼南侧，占地面积30m</w:t>
                  </w:r>
                  <w:r>
                    <w:rPr>
                      <w:rFonts w:hint="eastAsia"/>
                      <w:color w:val="auto"/>
                      <w:u w:val="none"/>
                      <w:vertAlign w:val="superscript"/>
                      <w:lang w:val="en-US" w:eastAsia="zh-CN"/>
                    </w:rPr>
                    <w:t>2</w:t>
                  </w:r>
                  <w:r>
                    <w:rPr>
                      <w:rFonts w:hint="eastAsia"/>
                      <w:color w:val="auto"/>
                      <w:u w:val="none"/>
                      <w:lang w:val="en-US" w:eastAsia="zh-CN"/>
                    </w:rPr>
                    <w:t>，</w:t>
                  </w:r>
                  <w:r>
                    <w:rPr>
                      <w:color w:val="auto"/>
                      <w:u w:val="none"/>
                    </w:rPr>
                    <w:t>采用“化粪池+</w:t>
                  </w:r>
                  <w:r>
                    <w:rPr>
                      <w:rFonts w:hint="eastAsia"/>
                      <w:color w:val="auto"/>
                      <w:u w:val="none"/>
                      <w:lang w:val="en-US" w:eastAsia="zh-CN"/>
                    </w:rPr>
                    <w:t>格栅井+</w:t>
                  </w:r>
                  <w:r>
                    <w:rPr>
                      <w:color w:val="auto"/>
                      <w:u w:val="none"/>
                    </w:rPr>
                    <w:t>调节池</w:t>
                  </w:r>
                  <w:r>
                    <w:rPr>
                      <w:rFonts w:hint="eastAsia"/>
                      <w:color w:val="auto"/>
                      <w:u w:val="none"/>
                    </w:rPr>
                    <w:t>+</w:t>
                  </w:r>
                  <w:r>
                    <w:rPr>
                      <w:rFonts w:hint="eastAsia"/>
                      <w:color w:val="auto"/>
                      <w:u w:val="none"/>
                      <w:lang w:val="en-US" w:eastAsia="zh-CN"/>
                    </w:rPr>
                    <w:t>A级生物池+O级生物池+沉淀池+消毒池</w:t>
                  </w:r>
                  <w:r>
                    <w:rPr>
                      <w:color w:val="auto"/>
                      <w:u w:val="none"/>
                    </w:rPr>
                    <w:t>”工艺进行处理，废水处理达到《医疗机构水污染排放标准》（GB18466-2005）中表2的预处理标准后，排入市污水管网，经</w:t>
                  </w:r>
                  <w:r>
                    <w:rPr>
                      <w:rFonts w:hint="eastAsia"/>
                      <w:color w:val="auto"/>
                      <w:u w:val="none"/>
                      <w:lang w:eastAsia="zh-CN"/>
                    </w:rPr>
                    <w:t>临湘市污水净化中心</w:t>
                  </w:r>
                  <w:r>
                    <w:rPr>
                      <w:color w:val="auto"/>
                      <w:u w:val="none"/>
                    </w:rPr>
                    <w:t>处理后排入</w:t>
                  </w:r>
                  <w:r>
                    <w:rPr>
                      <w:rFonts w:hint="eastAsia"/>
                      <w:color w:val="auto"/>
                      <w:u w:val="none"/>
                      <w:lang w:eastAsia="zh-CN"/>
                    </w:rPr>
                    <w:t>长安河</w:t>
                  </w:r>
                  <w:r>
                    <w:rPr>
                      <w:color w:val="auto"/>
                      <w:u w:val="none"/>
                    </w:rPr>
                    <w:t>。</w:t>
                  </w:r>
                </w:p>
              </w:tc>
              <w:tc>
                <w:tcPr>
                  <w:tcW w:w="913" w:type="dxa"/>
                  <w:vAlign w:val="center"/>
                </w:tcPr>
                <w:p>
                  <w:pPr>
                    <w:pStyle w:val="45"/>
                    <w:spacing w:line="276" w:lineRule="auto"/>
                    <w:rPr>
                      <w:color w:val="FF0000"/>
                      <w:u w:val="non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FF0000"/>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FF0000"/>
                      <w:u w:val="none"/>
                      <w:lang w:val="en-US" w:eastAsia="zh-CN"/>
                    </w:rPr>
                  </w:pP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废气处理</w:t>
                  </w:r>
                </w:p>
              </w:tc>
              <w:tc>
                <w:tcPr>
                  <w:tcW w:w="3790" w:type="dxa"/>
                  <w:vAlign w:val="center"/>
                </w:tcPr>
                <w:p>
                  <w:pPr>
                    <w:pStyle w:val="45"/>
                    <w:spacing w:line="276" w:lineRule="auto"/>
                    <w:rPr>
                      <w:color w:val="auto"/>
                      <w:u w:val="none"/>
                    </w:rPr>
                  </w:pPr>
                  <w:r>
                    <w:rPr>
                      <w:color w:val="auto"/>
                      <w:u w:val="none"/>
                    </w:rPr>
                    <w:t>污水处理站恶臭：</w:t>
                  </w:r>
                  <w:r>
                    <w:rPr>
                      <w:rFonts w:hint="eastAsia"/>
                      <w:color w:val="auto"/>
                      <w:u w:val="single"/>
                    </w:rPr>
                    <w:t>所有水池均采用地埋封闭式，污水池采用密闭设计，可有效防止病菌通过空气传播和污水气味对环境的影响，能起到较好的控制污染的作用。无组织排放。</w:t>
                  </w:r>
                </w:p>
              </w:tc>
              <w:tc>
                <w:tcPr>
                  <w:tcW w:w="913" w:type="dxa"/>
                  <w:vAlign w:val="center"/>
                </w:tcPr>
                <w:p>
                  <w:pPr>
                    <w:pStyle w:val="45"/>
                    <w:spacing w:line="276" w:lineRule="auto"/>
                    <w:rPr>
                      <w:color w:val="auto"/>
                      <w:u w:val="non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FF0000"/>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FF0000"/>
                      <w:u w:val="none"/>
                      <w:lang w:val="en-US" w:eastAsia="zh-CN"/>
                    </w:rPr>
                  </w:pP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噪声治理</w:t>
                  </w:r>
                </w:p>
              </w:tc>
              <w:tc>
                <w:tcPr>
                  <w:tcW w:w="3790" w:type="dxa"/>
                  <w:vAlign w:val="center"/>
                </w:tcPr>
                <w:p>
                  <w:pPr>
                    <w:pStyle w:val="45"/>
                    <w:spacing w:line="276" w:lineRule="auto"/>
                    <w:rPr>
                      <w:color w:val="auto"/>
                      <w:u w:val="none"/>
                    </w:rPr>
                  </w:pPr>
                  <w:r>
                    <w:rPr>
                      <w:color w:val="auto"/>
                      <w:u w:val="none"/>
                    </w:rPr>
                    <w:t>隔声、减振、消声。</w:t>
                  </w:r>
                </w:p>
              </w:tc>
              <w:tc>
                <w:tcPr>
                  <w:tcW w:w="913" w:type="dxa"/>
                  <w:vAlign w:val="center"/>
                </w:tcPr>
                <w:p>
                  <w:pPr>
                    <w:pStyle w:val="45"/>
                    <w:spacing w:line="276" w:lineRule="auto"/>
                    <w:rPr>
                      <w:color w:val="auto"/>
                      <w:u w:val="none"/>
                    </w:rPr>
                  </w:pPr>
                  <w:r>
                    <w:rPr>
                      <w:color w:val="auto"/>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vAlign w:val="center"/>
                </w:tcPr>
                <w:p>
                  <w:pPr>
                    <w:pStyle w:val="45"/>
                    <w:spacing w:line="276" w:lineRule="auto"/>
                    <w:rPr>
                      <w:rFonts w:hint="eastAsia" w:ascii="Times New Roman" w:hAnsi="Times New Roman" w:eastAsia="宋体" w:cs="Times New Roman"/>
                      <w:color w:val="FF0000"/>
                      <w:u w:val="none"/>
                      <w:lang w:val="en-US" w:eastAsia="zh-CN"/>
                    </w:rPr>
                  </w:pPr>
                </w:p>
              </w:tc>
              <w:tc>
                <w:tcPr>
                  <w:tcW w:w="710" w:type="dxa"/>
                  <w:vMerge w:val="continue"/>
                  <w:vAlign w:val="center"/>
                </w:tcPr>
                <w:p>
                  <w:pPr>
                    <w:pStyle w:val="45"/>
                    <w:spacing w:line="276" w:lineRule="auto"/>
                    <w:rPr>
                      <w:rFonts w:hint="eastAsia" w:ascii="Times New Roman" w:hAnsi="Times New Roman" w:eastAsia="宋体" w:cs="Times New Roman"/>
                      <w:color w:val="FF0000"/>
                      <w:u w:val="none"/>
                      <w:lang w:val="en-US" w:eastAsia="zh-CN"/>
                    </w:rPr>
                  </w:pPr>
                </w:p>
              </w:tc>
              <w:tc>
                <w:tcPr>
                  <w:tcW w:w="1727" w:type="dxa"/>
                  <w:gridSpan w:val="2"/>
                  <w:vAlign w:val="center"/>
                </w:tcPr>
                <w:p>
                  <w:pPr>
                    <w:pStyle w:val="45"/>
                    <w:spacing w:line="276" w:lineRule="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固废处置</w:t>
                  </w:r>
                </w:p>
              </w:tc>
              <w:tc>
                <w:tcPr>
                  <w:tcW w:w="3790" w:type="dxa"/>
                  <w:vAlign w:val="center"/>
                </w:tcPr>
                <w:p>
                  <w:pPr>
                    <w:pStyle w:val="45"/>
                    <w:spacing w:line="276" w:lineRule="auto"/>
                    <w:rPr>
                      <w:color w:val="auto"/>
                      <w:u w:val="none"/>
                    </w:rPr>
                  </w:pPr>
                  <w:r>
                    <w:rPr>
                      <w:color w:val="auto"/>
                      <w:u w:val="none"/>
                    </w:rPr>
                    <w:t>医疗废物：院区内设置医疗废物垃圾桶，收集后暂存于医疗废物暂存间</w:t>
                  </w:r>
                  <w:r>
                    <w:rPr>
                      <w:rFonts w:hint="eastAsia"/>
                      <w:color w:val="auto"/>
                      <w:u w:val="none"/>
                      <w:lang w:eastAsia="zh-CN"/>
                    </w:rPr>
                    <w:t>（</w:t>
                  </w:r>
                  <w:r>
                    <w:rPr>
                      <w:rFonts w:hint="eastAsia" w:ascii="Times New Roman" w:hAnsi="Times New Roman" w:eastAsia="宋体" w:cs="Times New Roman"/>
                      <w:color w:val="auto"/>
                      <w:u w:val="none"/>
                      <w:lang w:val="en-US" w:eastAsia="zh-CN"/>
                    </w:rPr>
                    <w:t>15m²</w:t>
                  </w:r>
                  <w:r>
                    <w:rPr>
                      <w:rFonts w:hint="eastAsia"/>
                      <w:color w:val="auto"/>
                      <w:u w:val="none"/>
                      <w:lang w:eastAsia="zh-CN"/>
                    </w:rPr>
                    <w:t>）</w:t>
                  </w:r>
                  <w:r>
                    <w:rPr>
                      <w:color w:val="auto"/>
                      <w:u w:val="none"/>
                    </w:rPr>
                    <w:t>，定期交由岳阳市方向固废安全处置有限公司；</w:t>
                  </w:r>
                  <w:r>
                    <w:rPr>
                      <w:rFonts w:hint="eastAsia"/>
                      <w:color w:val="000000" w:themeColor="text1"/>
                    </w:rPr>
                    <w:t>未污染的一次性塑料输液瓶</w:t>
                  </w:r>
                  <w:r>
                    <w:rPr>
                      <w:rFonts w:hint="eastAsia"/>
                      <w:color w:val="000000" w:themeColor="text1"/>
                      <w:lang w:eastAsia="zh-CN"/>
                    </w:rPr>
                    <w:t>（</w:t>
                  </w:r>
                  <w:r>
                    <w:rPr>
                      <w:rFonts w:hint="eastAsia"/>
                      <w:color w:val="000000" w:themeColor="text1"/>
                      <w:lang w:val="en-US" w:eastAsia="zh-CN"/>
                    </w:rPr>
                    <w:t>袋</w:t>
                  </w:r>
                  <w:r>
                    <w:rPr>
                      <w:rFonts w:hint="eastAsia"/>
                      <w:color w:val="000000" w:themeColor="text1"/>
                      <w:lang w:eastAsia="zh-CN"/>
                    </w:rPr>
                    <w:t>）</w:t>
                  </w:r>
                  <w:r>
                    <w:rPr>
                      <w:rFonts w:hint="eastAsia"/>
                      <w:color w:val="000000" w:themeColor="text1"/>
                      <w:lang w:val="en-US" w:eastAsia="zh-CN"/>
                    </w:rPr>
                    <w:t>经收集后暂存于</w:t>
                  </w:r>
                  <w:r>
                    <w:rPr>
                      <w:rFonts w:hint="eastAsia" w:cs="Times New Roman"/>
                      <w:color w:val="auto"/>
                      <w:sz w:val="21"/>
                      <w:szCs w:val="21"/>
                      <w:highlight w:val="none"/>
                      <w:u w:val="none" w:color="auto"/>
                      <w:lang w:val="en-US" w:eastAsia="zh-CN"/>
                    </w:rPr>
                    <w:t>一般固废暂存间</w:t>
                  </w:r>
                  <w:r>
                    <w:rPr>
                      <w:rFonts w:hint="eastAsia"/>
                      <w:color w:val="000000" w:themeColor="text1"/>
                      <w:lang w:val="en-US" w:eastAsia="zh-CN"/>
                    </w:rPr>
                    <w:t>（5m</w:t>
                  </w:r>
                  <w:r>
                    <w:rPr>
                      <w:rFonts w:hint="eastAsia"/>
                      <w:color w:val="000000" w:themeColor="text1"/>
                      <w:vertAlign w:val="superscript"/>
                      <w:lang w:val="en-US" w:eastAsia="zh-CN"/>
                    </w:rPr>
                    <w:t>2</w:t>
                  </w:r>
                  <w:r>
                    <w:rPr>
                      <w:rFonts w:hint="eastAsia"/>
                      <w:color w:val="000000" w:themeColor="text1"/>
                      <w:lang w:val="en-US" w:eastAsia="zh-CN"/>
                    </w:rPr>
                    <w:t>），之后委托专门单位转运及处置；</w:t>
                  </w:r>
                  <w:r>
                    <w:rPr>
                      <w:color w:val="auto"/>
                      <w:u w:val="none"/>
                    </w:rPr>
                    <w:t>生活垃圾：院区设置垃圾桶和垃圾收集点，日产日清，由当地环卫部门清运处理</w:t>
                  </w:r>
                  <w:r>
                    <w:rPr>
                      <w:rFonts w:hint="eastAsia"/>
                      <w:color w:val="auto"/>
                      <w:u w:val="none"/>
                    </w:rPr>
                    <w:t>；</w:t>
                  </w:r>
                  <w:r>
                    <w:rPr>
                      <w:rFonts w:hint="eastAsia"/>
                      <w:color w:val="auto"/>
                      <w:u w:val="single"/>
                    </w:rPr>
                    <w:t>污泥属于危险废物，评价要求污泥清掏前应进行消毒和检测，分类暂存于危废暂存间，定期委托有资质单位处理</w:t>
                  </w:r>
                  <w:r>
                    <w:rPr>
                      <w:rFonts w:hint="eastAsia"/>
                      <w:color w:val="auto"/>
                      <w:u w:val="none"/>
                    </w:rPr>
                    <w:t>。</w:t>
                  </w:r>
                </w:p>
              </w:tc>
              <w:tc>
                <w:tcPr>
                  <w:tcW w:w="913" w:type="dxa"/>
                  <w:vAlign w:val="center"/>
                </w:tcPr>
                <w:p>
                  <w:pPr>
                    <w:pStyle w:val="45"/>
                    <w:spacing w:line="276" w:lineRule="auto"/>
                    <w:rPr>
                      <w:color w:val="auto"/>
                      <w:u w:val="none"/>
                    </w:rPr>
                  </w:pPr>
                  <w:r>
                    <w:rPr>
                      <w:color w:val="auto"/>
                      <w:u w:val="none"/>
                    </w:rPr>
                    <w:t>已建</w:t>
                  </w:r>
                </w:p>
              </w:tc>
            </w:tr>
          </w:tbl>
          <w:p>
            <w:pPr>
              <w:pStyle w:val="7"/>
              <w:ind w:firstLine="480"/>
              <w:rPr>
                <w:color w:val="auto"/>
                <w:u w:val="none"/>
              </w:rPr>
            </w:pPr>
            <w:r>
              <w:rPr>
                <w:color w:val="auto"/>
                <w:u w:val="none"/>
              </w:rPr>
              <w:t>本次环评不对放射科设备的电磁辐射进行评价，放射科设备需单独办理相关环评手续。</w:t>
            </w:r>
          </w:p>
          <w:p>
            <w:pPr>
              <w:pStyle w:val="7"/>
              <w:ind w:firstLine="480"/>
              <w:rPr>
                <w:color w:val="auto"/>
              </w:rPr>
            </w:pPr>
            <w:r>
              <w:rPr>
                <w:color w:val="auto"/>
              </w:rPr>
              <w:t>3、主要设备</w:t>
            </w:r>
          </w:p>
          <w:p>
            <w:pPr>
              <w:pStyle w:val="7"/>
              <w:ind w:firstLine="480"/>
              <w:rPr>
                <w:color w:val="auto"/>
              </w:rPr>
            </w:pPr>
            <w:r>
              <w:rPr>
                <w:color w:val="auto"/>
              </w:rPr>
              <w:t>项目主要设备详见下表。</w:t>
            </w:r>
          </w:p>
          <w:p>
            <w:pPr>
              <w:pStyle w:val="46"/>
              <w:rPr>
                <w:color w:val="auto"/>
              </w:rPr>
            </w:pPr>
            <w:r>
              <w:rPr>
                <w:color w:val="auto"/>
              </w:rPr>
              <w:t>表2.1-2主要设备一览表</w:t>
            </w:r>
          </w:p>
          <w:tbl>
            <w:tblPr>
              <w:tblStyle w:val="31"/>
              <w:tblW w:w="7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528"/>
              <w:gridCol w:w="1361"/>
              <w:gridCol w:w="118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序号</w:t>
                  </w:r>
                </w:p>
              </w:tc>
              <w:tc>
                <w:tcPr>
                  <w:tcW w:w="3528" w:type="dxa"/>
                  <w:vAlign w:val="center"/>
                </w:tcPr>
                <w:p>
                  <w:pPr>
                    <w:pStyle w:val="45"/>
                    <w:rPr>
                      <w:color w:val="auto"/>
                      <w:u w:val="none"/>
                    </w:rPr>
                  </w:pPr>
                  <w:r>
                    <w:rPr>
                      <w:color w:val="auto"/>
                      <w:u w:val="none"/>
                    </w:rPr>
                    <w:t>设备名称</w:t>
                  </w:r>
                </w:p>
              </w:tc>
              <w:tc>
                <w:tcPr>
                  <w:tcW w:w="1361" w:type="dxa"/>
                  <w:vAlign w:val="center"/>
                </w:tcPr>
                <w:p>
                  <w:pPr>
                    <w:pStyle w:val="45"/>
                    <w:rPr>
                      <w:color w:val="auto"/>
                      <w:u w:val="none"/>
                    </w:rPr>
                  </w:pPr>
                  <w:r>
                    <w:rPr>
                      <w:color w:val="auto"/>
                      <w:u w:val="none"/>
                    </w:rPr>
                    <w:t>型号</w:t>
                  </w:r>
                </w:p>
              </w:tc>
              <w:tc>
                <w:tcPr>
                  <w:tcW w:w="1188" w:type="dxa"/>
                  <w:vAlign w:val="center"/>
                </w:tcPr>
                <w:p>
                  <w:pPr>
                    <w:pStyle w:val="45"/>
                    <w:rPr>
                      <w:color w:val="auto"/>
                      <w:u w:val="none"/>
                    </w:rPr>
                  </w:pPr>
                  <w:r>
                    <w:rPr>
                      <w:color w:val="auto"/>
                      <w:u w:val="none"/>
                    </w:rPr>
                    <w:t>数量</w:t>
                  </w:r>
                </w:p>
              </w:tc>
              <w:tc>
                <w:tcPr>
                  <w:tcW w:w="1048" w:type="dxa"/>
                  <w:vAlign w:val="center"/>
                </w:tcPr>
                <w:p>
                  <w:pPr>
                    <w:pStyle w:val="45"/>
                    <w:rPr>
                      <w:color w:val="auto"/>
                      <w:u w:val="none"/>
                    </w:rPr>
                  </w:pPr>
                  <w:r>
                    <w:rPr>
                      <w:color w:val="auto"/>
                      <w:u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1</w:t>
                  </w:r>
                </w:p>
              </w:tc>
              <w:tc>
                <w:tcPr>
                  <w:tcW w:w="3528" w:type="dxa"/>
                  <w:vAlign w:val="center"/>
                </w:tcPr>
                <w:p>
                  <w:pPr>
                    <w:pStyle w:val="45"/>
                    <w:rPr>
                      <w:rFonts w:hint="default" w:eastAsia="宋体"/>
                      <w:color w:val="auto"/>
                      <w:u w:val="none"/>
                      <w:lang w:val="en-US" w:eastAsia="zh-CN"/>
                    </w:rPr>
                  </w:pPr>
                  <w:r>
                    <w:rPr>
                      <w:rFonts w:hint="eastAsia"/>
                      <w:color w:val="auto"/>
                      <w:u w:val="none"/>
                      <w:lang w:val="en-US" w:eastAsia="zh-CN"/>
                    </w:rPr>
                    <w:t>DR机</w:t>
                  </w:r>
                </w:p>
              </w:tc>
              <w:tc>
                <w:tcPr>
                  <w:tcW w:w="1361" w:type="dxa"/>
                  <w:vAlign w:val="center"/>
                </w:tcPr>
                <w:p>
                  <w:pPr>
                    <w:pStyle w:val="45"/>
                    <w:rPr>
                      <w:rFonts w:hint="default" w:eastAsia="宋体"/>
                      <w:color w:val="auto"/>
                      <w:u w:val="none"/>
                      <w:lang w:val="en-US" w:eastAsia="zh-CN"/>
                    </w:rPr>
                  </w:pPr>
                  <w:r>
                    <w:rPr>
                      <w:rFonts w:hint="eastAsia"/>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2</w:t>
                  </w:r>
                </w:p>
              </w:tc>
              <w:tc>
                <w:tcPr>
                  <w:tcW w:w="3528" w:type="dxa"/>
                  <w:vAlign w:val="center"/>
                </w:tcPr>
                <w:p>
                  <w:pPr>
                    <w:pStyle w:val="45"/>
                    <w:rPr>
                      <w:rFonts w:hint="default" w:eastAsia="宋体"/>
                      <w:color w:val="auto"/>
                      <w:u w:val="none"/>
                      <w:lang w:val="en-US" w:eastAsia="zh-CN"/>
                    </w:rPr>
                  </w:pPr>
                  <w:r>
                    <w:rPr>
                      <w:rFonts w:hint="eastAsia"/>
                      <w:color w:val="auto"/>
                      <w:u w:val="none"/>
                      <w:lang w:val="en-US" w:eastAsia="zh-CN"/>
                    </w:rPr>
                    <w:t>B超机</w:t>
                  </w:r>
                </w:p>
              </w:tc>
              <w:tc>
                <w:tcPr>
                  <w:tcW w:w="1361" w:type="dxa"/>
                  <w:vAlign w:val="center"/>
                </w:tcPr>
                <w:p>
                  <w:pPr>
                    <w:pStyle w:val="45"/>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2</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3</w:t>
                  </w:r>
                </w:p>
              </w:tc>
              <w:tc>
                <w:tcPr>
                  <w:tcW w:w="3528" w:type="dxa"/>
                  <w:vAlign w:val="center"/>
                </w:tcPr>
                <w:p>
                  <w:pPr>
                    <w:pStyle w:val="45"/>
                    <w:rPr>
                      <w:rFonts w:hint="default" w:eastAsia="宋体"/>
                      <w:color w:val="auto"/>
                      <w:u w:val="none"/>
                      <w:lang w:val="en-US" w:eastAsia="zh-CN"/>
                    </w:rPr>
                  </w:pPr>
                  <w:r>
                    <w:rPr>
                      <w:rFonts w:hint="eastAsia"/>
                      <w:color w:val="auto"/>
                      <w:u w:val="none"/>
                      <w:lang w:val="en-US" w:eastAsia="zh-CN"/>
                    </w:rPr>
                    <w:t>心电图机</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2</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4</w:t>
                  </w:r>
                </w:p>
              </w:tc>
              <w:tc>
                <w:tcPr>
                  <w:tcW w:w="3528" w:type="dxa"/>
                  <w:vAlign w:val="center"/>
                </w:tcPr>
                <w:p>
                  <w:pPr>
                    <w:pStyle w:val="45"/>
                    <w:rPr>
                      <w:rFonts w:hint="default" w:eastAsia="宋体"/>
                      <w:color w:val="auto"/>
                      <w:u w:val="none"/>
                      <w:lang w:val="en-US" w:eastAsia="zh-CN"/>
                    </w:rPr>
                  </w:pPr>
                  <w:r>
                    <w:rPr>
                      <w:rFonts w:hint="eastAsia"/>
                      <w:color w:val="auto"/>
                      <w:u w:val="none"/>
                      <w:lang w:val="en-US" w:eastAsia="zh-CN"/>
                    </w:rPr>
                    <w:t>全自动生化仪</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color w:val="auto"/>
                      <w:kern w:val="2"/>
                      <w:sz w:val="21"/>
                      <w:lang w:val="en-US" w:eastAsia="zh-CN"/>
                    </w:rPr>
                    <w:t>GS480A</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5</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全自动血球仪</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6</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尿液分析仪</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7</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心电图监护仪</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2</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color w:val="auto"/>
                      <w:u w:val="none"/>
                    </w:rPr>
                  </w:pPr>
                  <w:r>
                    <w:rPr>
                      <w:color w:val="auto"/>
                      <w:u w:val="none"/>
                    </w:rPr>
                    <w:t>8</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健康体检一体机</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eastAsia" w:eastAsia="宋体"/>
                      <w:color w:val="auto"/>
                      <w:u w:val="none"/>
                      <w:lang w:val="en-US" w:eastAsia="zh-CN"/>
                    </w:rPr>
                  </w:pPr>
                  <w:r>
                    <w:rPr>
                      <w:rFonts w:hint="eastAsia"/>
                      <w:color w:val="auto"/>
                      <w:u w:val="none"/>
                      <w:lang w:val="en-US" w:eastAsia="zh-CN"/>
                    </w:rPr>
                    <w:t>9</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胎心监护仪</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eastAsia="宋体"/>
                      <w:color w:val="auto"/>
                      <w:u w:val="none"/>
                      <w:lang w:val="en-US" w:eastAsia="zh-CN"/>
                    </w:rPr>
                  </w:pPr>
                  <w:r>
                    <w:rPr>
                      <w:rFonts w:hint="eastAsia"/>
                      <w:color w:val="auto"/>
                      <w:u w:val="none"/>
                      <w:lang w:val="en-US" w:eastAsia="zh-CN"/>
                    </w:rPr>
                    <w:t>10</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全自动牵引床</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eastAsia="宋体"/>
                      <w:color w:val="auto"/>
                      <w:u w:val="none"/>
                      <w:lang w:val="en-US" w:eastAsia="zh-CN"/>
                    </w:rPr>
                  </w:pPr>
                  <w:r>
                    <w:rPr>
                      <w:rFonts w:hint="eastAsia"/>
                      <w:color w:val="auto"/>
                      <w:u w:val="none"/>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11</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红外理疗仪</w:t>
                  </w:r>
                </w:p>
              </w:tc>
              <w:tc>
                <w:tcPr>
                  <w:tcW w:w="1361"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1188" w:type="dxa"/>
                  <w:vAlign w:val="center"/>
                </w:tcPr>
                <w:p>
                  <w:pPr>
                    <w:pStyle w:val="45"/>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1048" w:type="dxa"/>
                  <w:vAlign w:val="center"/>
                </w:tcPr>
                <w:p>
                  <w:pPr>
                    <w:pStyle w:val="45"/>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eastAsia="宋体"/>
                      <w:color w:val="auto"/>
                      <w:u w:val="none"/>
                      <w:lang w:val="en-US" w:eastAsia="zh-CN"/>
                    </w:rPr>
                  </w:pPr>
                  <w:r>
                    <w:rPr>
                      <w:rFonts w:hint="eastAsia" w:eastAsia="宋体"/>
                      <w:color w:val="auto"/>
                      <w:u w:val="none"/>
                      <w:lang w:val="en-US" w:eastAsia="zh-CN"/>
                    </w:rPr>
                    <w:t>12</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一体化污水处理设备</w:t>
                  </w:r>
                </w:p>
                <w:p>
                  <w:pPr>
                    <w:pStyle w:val="45"/>
                    <w:rPr>
                      <w:rFonts w:hint="eastAsia" w:eastAsia="宋体"/>
                      <w:color w:val="auto"/>
                      <w:u w:val="none"/>
                      <w:lang w:val="en-US" w:eastAsia="zh-CN"/>
                    </w:rPr>
                  </w:pPr>
                  <w:r>
                    <w:rPr>
                      <w:rFonts w:hint="eastAsia" w:eastAsia="宋体"/>
                      <w:color w:val="auto"/>
                      <w:u w:val="none"/>
                      <w:lang w:val="en-US" w:eastAsia="zh-CN"/>
                    </w:rPr>
                    <w:t>（化粪池+格栅井+调节池+A级生物池+O级生物池+沉淀池+消毒池）</w:t>
                  </w:r>
                </w:p>
              </w:tc>
              <w:tc>
                <w:tcPr>
                  <w:tcW w:w="1361" w:type="dxa"/>
                  <w:vAlign w:val="center"/>
                </w:tcPr>
                <w:p>
                  <w:pPr>
                    <w:pStyle w:val="45"/>
                    <w:rPr>
                      <w:rFonts w:hint="default" w:eastAsia="宋体"/>
                      <w:color w:val="auto"/>
                      <w:u w:val="none"/>
                      <w:lang w:val="en-US" w:eastAsia="zh-CN"/>
                    </w:rPr>
                  </w:pPr>
                  <w:r>
                    <w:rPr>
                      <w:rFonts w:hint="eastAsia"/>
                      <w:color w:val="auto"/>
                      <w:u w:val="none"/>
                      <w:lang w:val="en-US" w:eastAsia="zh-CN"/>
                    </w:rPr>
                    <w:t>10m</w:t>
                  </w:r>
                  <w:r>
                    <w:rPr>
                      <w:rFonts w:hint="eastAsia"/>
                      <w:color w:val="auto"/>
                      <w:u w:val="none"/>
                      <w:vertAlign w:val="superscript"/>
                      <w:lang w:val="en-US" w:eastAsia="zh-CN"/>
                    </w:rPr>
                    <w:t>3</w:t>
                  </w:r>
                  <w:r>
                    <w:rPr>
                      <w:rFonts w:hint="eastAsia"/>
                      <w:color w:val="auto"/>
                      <w:u w:val="none"/>
                      <w:lang w:val="en-US" w:eastAsia="zh-CN"/>
                    </w:rPr>
                    <w:t>/d</w:t>
                  </w:r>
                </w:p>
              </w:tc>
              <w:tc>
                <w:tcPr>
                  <w:tcW w:w="1188" w:type="dxa"/>
                  <w:vAlign w:val="center"/>
                </w:tcPr>
                <w:p>
                  <w:pPr>
                    <w:pStyle w:val="67"/>
                    <w:autoSpaceDE/>
                    <w:autoSpaceDN/>
                    <w:adjustRightInd/>
                    <w:textAlignment w:val="auto"/>
                    <w:rPr>
                      <w:rFonts w:hint="eastAsia" w:eastAsia="宋体"/>
                      <w:color w:val="auto"/>
                      <w:u w:val="none"/>
                      <w:lang w:val="en-US" w:eastAsia="zh-CN"/>
                    </w:rPr>
                  </w:pPr>
                  <w:r>
                    <w:rPr>
                      <w:rFonts w:hint="eastAsia" w:ascii="Times New Roman" w:hAnsi="Times New Roman"/>
                      <w:color w:val="auto"/>
                      <w:kern w:val="2"/>
                      <w:sz w:val="21"/>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eastAsia="宋体"/>
                      <w:color w:val="auto"/>
                      <w:u w:val="none"/>
                      <w:lang w:val="en-US" w:eastAsia="zh-CN"/>
                    </w:rPr>
                  </w:pPr>
                  <w:r>
                    <w:rPr>
                      <w:rFonts w:hint="eastAsia"/>
                      <w:color w:val="auto"/>
                      <w:u w:val="none"/>
                      <w:lang w:val="en-US" w:eastAsia="zh-CN"/>
                    </w:rPr>
                    <w:t>13</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消毒剂投加器</w:t>
                  </w:r>
                </w:p>
              </w:tc>
              <w:tc>
                <w:tcPr>
                  <w:tcW w:w="1361" w:type="dxa"/>
                  <w:vAlign w:val="center"/>
                </w:tcPr>
                <w:p>
                  <w:pPr>
                    <w:pStyle w:val="45"/>
                    <w:rPr>
                      <w:rFonts w:hint="eastAsia" w:eastAsia="宋体"/>
                      <w:color w:val="auto"/>
                      <w:u w:val="none"/>
                      <w:lang w:val="en-US" w:eastAsia="zh-CN"/>
                    </w:rPr>
                  </w:pPr>
                  <w:r>
                    <w:rPr>
                      <w:rFonts w:hint="eastAsia" w:eastAsia="宋体"/>
                      <w:color w:val="auto"/>
                      <w:u w:val="none"/>
                      <w:lang w:val="en-US" w:eastAsia="zh-CN"/>
                    </w:rPr>
                    <w:t>SK-100</w:t>
                  </w:r>
                </w:p>
              </w:tc>
              <w:tc>
                <w:tcPr>
                  <w:tcW w:w="1188" w:type="dxa"/>
                  <w:vAlign w:val="center"/>
                </w:tcPr>
                <w:p>
                  <w:pPr>
                    <w:pStyle w:val="67"/>
                    <w:autoSpaceDE/>
                    <w:autoSpaceDN/>
                    <w:adjustRightInd/>
                    <w:textAlignment w:val="auto"/>
                    <w:rPr>
                      <w:rFonts w:hint="eastAsia" w:eastAsia="宋体"/>
                      <w:color w:val="auto"/>
                      <w:u w:val="none"/>
                      <w:lang w:val="en-US" w:eastAsia="zh-CN"/>
                    </w:rPr>
                  </w:pPr>
                  <w:r>
                    <w:rPr>
                      <w:rFonts w:hint="eastAsia" w:ascii="Times New Roman" w:hAnsi="Times New Roman"/>
                      <w:color w:val="auto"/>
                      <w:kern w:val="2"/>
                      <w:sz w:val="21"/>
                      <w:lang w:val="en-US" w:eastAsia="zh-CN"/>
                    </w:rPr>
                    <w:t>1</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eastAsia="宋体"/>
                      <w:color w:val="auto"/>
                      <w:u w:val="none"/>
                      <w:lang w:val="en-US" w:eastAsia="zh-CN"/>
                    </w:rPr>
                  </w:pPr>
                  <w:r>
                    <w:rPr>
                      <w:rFonts w:hint="eastAsia"/>
                      <w:color w:val="auto"/>
                      <w:u w:val="none"/>
                      <w:lang w:val="en-US" w:eastAsia="zh-CN"/>
                    </w:rPr>
                    <w:t>14</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静音风机</w:t>
                  </w:r>
                </w:p>
              </w:tc>
              <w:tc>
                <w:tcPr>
                  <w:tcW w:w="1361" w:type="dxa"/>
                  <w:vAlign w:val="center"/>
                </w:tcPr>
                <w:p>
                  <w:pPr>
                    <w:pStyle w:val="45"/>
                    <w:rPr>
                      <w:rFonts w:hint="eastAsia" w:eastAsia="宋体"/>
                      <w:color w:val="auto"/>
                      <w:u w:val="none"/>
                      <w:lang w:val="en-US" w:eastAsia="zh-CN"/>
                    </w:rPr>
                  </w:pPr>
                  <w:r>
                    <w:rPr>
                      <w:rFonts w:hint="eastAsia" w:eastAsia="宋体"/>
                      <w:color w:val="auto"/>
                      <w:u w:val="none"/>
                      <w:lang w:val="en-US" w:eastAsia="zh-CN"/>
                    </w:rPr>
                    <w:t>风压20KPA</w:t>
                  </w:r>
                </w:p>
              </w:tc>
              <w:tc>
                <w:tcPr>
                  <w:tcW w:w="1188" w:type="dxa"/>
                  <w:vAlign w:val="center"/>
                </w:tcPr>
                <w:p>
                  <w:pPr>
                    <w:pStyle w:val="67"/>
                    <w:autoSpaceDE/>
                    <w:autoSpaceDN/>
                    <w:adjustRightInd/>
                    <w:textAlignment w:val="auto"/>
                    <w:rPr>
                      <w:rFonts w:hint="eastAsia" w:eastAsia="宋体"/>
                      <w:color w:val="auto"/>
                      <w:u w:val="none"/>
                      <w:lang w:val="en-US" w:eastAsia="zh-CN"/>
                    </w:rPr>
                  </w:pPr>
                  <w:r>
                    <w:rPr>
                      <w:rFonts w:hint="eastAsia" w:ascii="Times New Roman" w:hAnsi="Times New Roman"/>
                      <w:color w:val="auto"/>
                      <w:kern w:val="2"/>
                      <w:sz w:val="21"/>
                      <w:lang w:val="en-US" w:eastAsia="zh-CN"/>
                    </w:rPr>
                    <w:t>2</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eastAsia="宋体"/>
                      <w:color w:val="auto"/>
                      <w:u w:val="none"/>
                      <w:lang w:val="en-US" w:eastAsia="zh-CN"/>
                    </w:rPr>
                  </w:pPr>
                  <w:r>
                    <w:rPr>
                      <w:rFonts w:hint="eastAsia"/>
                      <w:color w:val="auto"/>
                      <w:u w:val="none"/>
                      <w:lang w:val="en-US" w:eastAsia="zh-CN"/>
                    </w:rPr>
                    <w:t>15</w:t>
                  </w:r>
                </w:p>
              </w:tc>
              <w:tc>
                <w:tcPr>
                  <w:tcW w:w="3528" w:type="dxa"/>
                  <w:vAlign w:val="center"/>
                </w:tcPr>
                <w:p>
                  <w:pPr>
                    <w:pStyle w:val="45"/>
                    <w:rPr>
                      <w:rFonts w:hint="eastAsia" w:eastAsia="宋体"/>
                      <w:color w:val="auto"/>
                      <w:u w:val="none"/>
                      <w:lang w:val="en-US" w:eastAsia="zh-CN"/>
                    </w:rPr>
                  </w:pPr>
                  <w:r>
                    <w:rPr>
                      <w:rFonts w:hint="eastAsia" w:eastAsia="宋体"/>
                      <w:color w:val="auto"/>
                      <w:u w:val="none"/>
                      <w:lang w:val="en-US" w:eastAsia="zh-CN"/>
                    </w:rPr>
                    <w:t>提升泵</w:t>
                  </w:r>
                </w:p>
              </w:tc>
              <w:tc>
                <w:tcPr>
                  <w:tcW w:w="1361" w:type="dxa"/>
                  <w:vAlign w:val="center"/>
                </w:tcPr>
                <w:p>
                  <w:pPr>
                    <w:pStyle w:val="45"/>
                    <w:rPr>
                      <w:rFonts w:hint="eastAsia" w:eastAsia="宋体"/>
                      <w:color w:val="auto"/>
                      <w:u w:val="none"/>
                      <w:lang w:val="en-US" w:eastAsia="zh-CN"/>
                    </w:rPr>
                  </w:pPr>
                  <w:r>
                    <w:rPr>
                      <w:rFonts w:hint="eastAsia" w:eastAsia="宋体"/>
                      <w:color w:val="auto"/>
                      <w:u w:val="none"/>
                      <w:lang w:val="en-US" w:eastAsia="zh-CN"/>
                    </w:rPr>
                    <w:t>扬程8M</w:t>
                  </w:r>
                </w:p>
              </w:tc>
              <w:tc>
                <w:tcPr>
                  <w:tcW w:w="1188" w:type="dxa"/>
                  <w:vAlign w:val="center"/>
                </w:tcPr>
                <w:p>
                  <w:pPr>
                    <w:pStyle w:val="67"/>
                    <w:autoSpaceDE/>
                    <w:autoSpaceDN/>
                    <w:adjustRightInd/>
                    <w:textAlignment w:val="auto"/>
                    <w:rPr>
                      <w:rFonts w:hint="eastAsia" w:eastAsia="宋体"/>
                      <w:color w:val="auto"/>
                      <w:u w:val="none"/>
                      <w:lang w:val="en-US" w:eastAsia="zh-CN"/>
                    </w:rPr>
                  </w:pPr>
                  <w:r>
                    <w:rPr>
                      <w:rFonts w:hint="eastAsia" w:ascii="Times New Roman" w:hAnsi="Times New Roman"/>
                      <w:color w:val="auto"/>
                      <w:kern w:val="2"/>
                      <w:sz w:val="21"/>
                      <w:lang w:val="en-US" w:eastAsia="zh-CN"/>
                    </w:rPr>
                    <w:t>2</w:t>
                  </w:r>
                </w:p>
              </w:tc>
              <w:tc>
                <w:tcPr>
                  <w:tcW w:w="1048" w:type="dxa"/>
                  <w:vAlign w:val="center"/>
                </w:tcPr>
                <w:p>
                  <w:pPr>
                    <w:pStyle w:val="45"/>
                    <w:rPr>
                      <w:color w:val="auto"/>
                      <w:u w:val="none"/>
                    </w:rPr>
                  </w:pPr>
                  <w:r>
                    <w:rPr>
                      <w:color w:val="auto"/>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45"/>
                    <w:rPr>
                      <w:rFonts w:hint="default" w:eastAsia="宋体"/>
                      <w:color w:val="auto"/>
                      <w:u w:val="none"/>
                      <w:lang w:val="en-US" w:eastAsia="zh-CN"/>
                    </w:rPr>
                  </w:pPr>
                  <w:r>
                    <w:rPr>
                      <w:rFonts w:hint="eastAsia"/>
                      <w:color w:val="auto"/>
                      <w:u w:val="none"/>
                      <w:lang w:val="en-US" w:eastAsia="zh-CN"/>
                    </w:rPr>
                    <w:t>16</w:t>
                  </w:r>
                </w:p>
              </w:tc>
              <w:tc>
                <w:tcPr>
                  <w:tcW w:w="3528" w:type="dxa"/>
                  <w:vAlign w:val="center"/>
                </w:tcPr>
                <w:p>
                  <w:pPr>
                    <w:pStyle w:val="45"/>
                    <w:jc w:val="center"/>
                    <w:rPr>
                      <w:rFonts w:hint="eastAsia" w:eastAsia="宋体"/>
                      <w:color w:val="auto"/>
                      <w:u w:val="none"/>
                      <w:lang w:val="en-US" w:eastAsia="zh-CN"/>
                    </w:rPr>
                  </w:pPr>
                  <w:r>
                    <w:rPr>
                      <w:rFonts w:hint="eastAsia"/>
                      <w:color w:val="auto"/>
                      <w:u w:val="none"/>
                      <w:lang w:val="en-US" w:eastAsia="zh-CN"/>
                    </w:rPr>
                    <w:t>汽油</w:t>
                  </w:r>
                  <w:r>
                    <w:rPr>
                      <w:rFonts w:hint="eastAsia" w:eastAsia="宋体"/>
                      <w:color w:val="auto"/>
                      <w:u w:val="none"/>
                      <w:lang w:val="en-US" w:eastAsia="zh-CN"/>
                    </w:rPr>
                    <w:t>发电机</w:t>
                  </w:r>
                  <w:r>
                    <w:rPr>
                      <w:rFonts w:hint="eastAsia"/>
                      <w:color w:val="auto"/>
                      <w:u w:val="none"/>
                      <w:lang w:val="en-US" w:eastAsia="zh-CN"/>
                    </w:rPr>
                    <w:t>（</w:t>
                  </w:r>
                  <w:r>
                    <w:rPr>
                      <w:rFonts w:hint="eastAsia" w:cs="Times New Roman"/>
                      <w:color w:val="auto"/>
                      <w:sz w:val="21"/>
                      <w:szCs w:val="21"/>
                      <w:highlight w:val="none"/>
                      <w:u w:val="none" w:color="auto"/>
                      <w:lang w:val="en-US" w:eastAsia="zh-CN"/>
                    </w:rPr>
                    <w:t>院内不储存汽油、未使用过</w:t>
                  </w:r>
                  <w:r>
                    <w:rPr>
                      <w:rFonts w:hint="eastAsia"/>
                      <w:color w:val="auto"/>
                      <w:u w:val="none"/>
                      <w:lang w:val="en-US" w:eastAsia="zh-CN"/>
                    </w:rPr>
                    <w:t>）</w:t>
                  </w:r>
                </w:p>
              </w:tc>
              <w:tc>
                <w:tcPr>
                  <w:tcW w:w="1361" w:type="dxa"/>
                  <w:vAlign w:val="center"/>
                </w:tcPr>
                <w:p>
                  <w:pPr>
                    <w:pStyle w:val="45"/>
                    <w:rPr>
                      <w:rFonts w:hint="eastAsia" w:eastAsia="宋体"/>
                      <w:color w:val="auto"/>
                      <w:u w:val="none"/>
                      <w:lang w:val="en-US" w:eastAsia="zh-CN"/>
                    </w:rPr>
                  </w:pPr>
                  <w:r>
                    <w:rPr>
                      <w:rFonts w:hint="eastAsia" w:eastAsia="宋体"/>
                      <w:color w:val="auto"/>
                      <w:u w:val="none"/>
                      <w:lang w:val="en-US" w:eastAsia="zh-CN"/>
                    </w:rPr>
                    <w:t>7500</w:t>
                  </w:r>
                </w:p>
              </w:tc>
              <w:tc>
                <w:tcPr>
                  <w:tcW w:w="1188" w:type="dxa"/>
                  <w:vAlign w:val="center"/>
                </w:tcPr>
                <w:p>
                  <w:pPr>
                    <w:pStyle w:val="67"/>
                    <w:autoSpaceDE/>
                    <w:autoSpaceDN/>
                    <w:adjustRightInd/>
                    <w:textAlignment w:val="auto"/>
                    <w:rPr>
                      <w:rFonts w:hint="eastAsia" w:eastAsia="宋体"/>
                      <w:color w:val="auto"/>
                      <w:u w:val="none"/>
                      <w:lang w:val="en-US" w:eastAsia="zh-CN"/>
                    </w:rPr>
                  </w:pPr>
                  <w:r>
                    <w:rPr>
                      <w:rFonts w:hint="eastAsia" w:ascii="Times New Roman" w:hAnsi="Times New Roman"/>
                      <w:color w:val="auto"/>
                      <w:kern w:val="2"/>
                      <w:sz w:val="21"/>
                      <w:lang w:val="en-US" w:eastAsia="zh-CN"/>
                    </w:rPr>
                    <w:t>1</w:t>
                  </w:r>
                </w:p>
              </w:tc>
              <w:tc>
                <w:tcPr>
                  <w:tcW w:w="1048" w:type="dxa"/>
                  <w:vAlign w:val="center"/>
                </w:tcPr>
                <w:p>
                  <w:pPr>
                    <w:pStyle w:val="45"/>
                    <w:rPr>
                      <w:color w:val="auto"/>
                      <w:u w:val="none"/>
                    </w:rPr>
                  </w:pPr>
                  <w:r>
                    <w:rPr>
                      <w:color w:val="auto"/>
                      <w:u w:val="none"/>
                    </w:rPr>
                    <w:t>台</w:t>
                  </w:r>
                </w:p>
              </w:tc>
            </w:tr>
          </w:tbl>
          <w:p>
            <w:pPr>
              <w:pStyle w:val="7"/>
              <w:numPr>
                <w:ilvl w:val="0"/>
                <w:numId w:val="3"/>
              </w:numPr>
              <w:ind w:firstLine="480"/>
              <w:rPr>
                <w:color w:val="auto"/>
              </w:rPr>
            </w:pPr>
            <w:r>
              <w:rPr>
                <w:color w:val="auto"/>
              </w:rPr>
              <w:t>主要原辅材料</w:t>
            </w:r>
          </w:p>
          <w:p>
            <w:pPr>
              <w:pStyle w:val="7"/>
              <w:ind w:firstLine="480"/>
              <w:rPr>
                <w:color w:val="auto"/>
              </w:rPr>
            </w:pPr>
            <w:r>
              <w:rPr>
                <w:color w:val="auto"/>
              </w:rPr>
              <w:t>项目进行医疗诊疗活动主要使用的原辅材料及能源消耗见下表。</w:t>
            </w:r>
          </w:p>
          <w:p>
            <w:pPr>
              <w:pStyle w:val="46"/>
              <w:rPr>
                <w:rFonts w:hint="eastAsia" w:eastAsia="宋体"/>
                <w:color w:val="000000" w:themeColor="text1"/>
                <w:u w:val="none"/>
                <w:lang w:eastAsia="zh-CN"/>
              </w:rPr>
            </w:pPr>
            <w:r>
              <w:rPr>
                <w:color w:val="auto"/>
                <w:u w:val="none"/>
              </w:rPr>
              <w:t>表 2.1-3（1）项目主要原辅材料及能源消耗一览表</w:t>
            </w:r>
          </w:p>
          <w:tbl>
            <w:tblPr>
              <w:tblStyle w:val="31"/>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645"/>
              <w:gridCol w:w="1514"/>
              <w:gridCol w:w="1354"/>
              <w:gridCol w:w="1108"/>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Align w:val="center"/>
                </w:tcPr>
                <w:p>
                  <w:pPr>
                    <w:pStyle w:val="45"/>
                    <w:rPr>
                      <w:color w:val="auto"/>
                      <w:u w:val="none"/>
                    </w:rPr>
                  </w:pPr>
                  <w:r>
                    <w:rPr>
                      <w:color w:val="auto"/>
                      <w:u w:val="none"/>
                    </w:rPr>
                    <w:t>类别</w:t>
                  </w:r>
                </w:p>
              </w:tc>
              <w:tc>
                <w:tcPr>
                  <w:tcW w:w="1645" w:type="dxa"/>
                  <w:vAlign w:val="center"/>
                </w:tcPr>
                <w:p>
                  <w:pPr>
                    <w:pStyle w:val="45"/>
                    <w:rPr>
                      <w:color w:val="auto"/>
                      <w:u w:val="none"/>
                    </w:rPr>
                  </w:pPr>
                  <w:r>
                    <w:rPr>
                      <w:color w:val="auto"/>
                      <w:u w:val="none"/>
                    </w:rPr>
                    <w:t>名称</w:t>
                  </w:r>
                </w:p>
              </w:tc>
              <w:tc>
                <w:tcPr>
                  <w:tcW w:w="1514" w:type="dxa"/>
                  <w:vAlign w:val="center"/>
                </w:tcPr>
                <w:p>
                  <w:pPr>
                    <w:pStyle w:val="45"/>
                    <w:rPr>
                      <w:color w:val="auto"/>
                      <w:u w:val="none"/>
                    </w:rPr>
                  </w:pPr>
                  <w:r>
                    <w:rPr>
                      <w:color w:val="auto"/>
                      <w:u w:val="none"/>
                    </w:rPr>
                    <w:t>年消耗</w:t>
                  </w:r>
                </w:p>
              </w:tc>
              <w:tc>
                <w:tcPr>
                  <w:tcW w:w="1354" w:type="dxa"/>
                  <w:vAlign w:val="center"/>
                </w:tcPr>
                <w:p>
                  <w:pPr>
                    <w:pStyle w:val="45"/>
                    <w:rPr>
                      <w:color w:val="auto"/>
                      <w:u w:val="none"/>
                    </w:rPr>
                  </w:pPr>
                  <w:r>
                    <w:rPr>
                      <w:rFonts w:hint="eastAsia"/>
                      <w:color w:val="auto"/>
                      <w:u w:val="none"/>
                    </w:rPr>
                    <w:t>最大存储量</w:t>
                  </w:r>
                </w:p>
              </w:tc>
              <w:tc>
                <w:tcPr>
                  <w:tcW w:w="1108" w:type="dxa"/>
                  <w:vAlign w:val="center"/>
                </w:tcPr>
                <w:p>
                  <w:pPr>
                    <w:pStyle w:val="45"/>
                    <w:rPr>
                      <w:color w:val="auto"/>
                      <w:u w:val="none"/>
                    </w:rPr>
                  </w:pPr>
                  <w:r>
                    <w:rPr>
                      <w:color w:val="auto"/>
                      <w:u w:val="none"/>
                    </w:rPr>
                    <w:t>来源</w:t>
                  </w:r>
                </w:p>
              </w:tc>
              <w:tc>
                <w:tcPr>
                  <w:tcW w:w="1299" w:type="dxa"/>
                  <w:vAlign w:val="center"/>
                </w:tcPr>
                <w:p>
                  <w:pPr>
                    <w:pStyle w:val="45"/>
                    <w:rPr>
                      <w:color w:val="auto"/>
                      <w:u w:val="none"/>
                    </w:rPr>
                  </w:pPr>
                  <w:r>
                    <w:rPr>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restart"/>
                  <w:vAlign w:val="center"/>
                </w:tcPr>
                <w:p>
                  <w:pPr>
                    <w:pStyle w:val="45"/>
                    <w:rPr>
                      <w:color w:val="FF0000"/>
                      <w:u w:val="none"/>
                    </w:rPr>
                  </w:pPr>
                  <w:r>
                    <w:rPr>
                      <w:color w:val="auto"/>
                      <w:u w:val="none"/>
                    </w:rPr>
                    <w:t>原辅料</w:t>
                  </w:r>
                </w:p>
              </w:tc>
              <w:tc>
                <w:tcPr>
                  <w:tcW w:w="1645" w:type="dxa"/>
                  <w:vAlign w:val="center"/>
                </w:tcPr>
                <w:p>
                  <w:pPr>
                    <w:pStyle w:val="45"/>
                    <w:rPr>
                      <w:color w:val="auto"/>
                      <w:u w:val="none"/>
                    </w:rPr>
                  </w:pPr>
                  <w:r>
                    <w:rPr>
                      <w:color w:val="auto"/>
                      <w:u w:val="none"/>
                    </w:rPr>
                    <w:t>各类药品</w:t>
                  </w:r>
                </w:p>
              </w:tc>
              <w:tc>
                <w:tcPr>
                  <w:tcW w:w="1514" w:type="dxa"/>
                  <w:vAlign w:val="center"/>
                </w:tcPr>
                <w:p>
                  <w:pPr>
                    <w:pStyle w:val="45"/>
                    <w:rPr>
                      <w:color w:val="auto"/>
                      <w:u w:val="none"/>
                    </w:rPr>
                  </w:pPr>
                  <w:r>
                    <w:rPr>
                      <w:rFonts w:hint="eastAsia"/>
                      <w:color w:val="auto"/>
                      <w:u w:val="none"/>
                    </w:rPr>
                    <w:t>若干</w:t>
                  </w:r>
                </w:p>
              </w:tc>
              <w:tc>
                <w:tcPr>
                  <w:tcW w:w="1354" w:type="dxa"/>
                  <w:vAlign w:val="center"/>
                </w:tcPr>
                <w:p>
                  <w:pPr>
                    <w:jc w:val="center"/>
                    <w:rPr>
                      <w:color w:val="auto"/>
                      <w:u w:val="none"/>
                    </w:rPr>
                  </w:pPr>
                  <w:r>
                    <w:rPr>
                      <w:color w:val="auto"/>
                      <w:u w:val="none"/>
                    </w:rPr>
                    <w:t>/</w:t>
                  </w:r>
                </w:p>
              </w:tc>
              <w:tc>
                <w:tcPr>
                  <w:tcW w:w="1108" w:type="dxa"/>
                  <w:vAlign w:val="center"/>
                </w:tcPr>
                <w:p>
                  <w:pPr>
                    <w:pStyle w:val="45"/>
                    <w:rPr>
                      <w:color w:val="auto"/>
                      <w:u w:val="none"/>
                    </w:rPr>
                  </w:pPr>
                  <w:r>
                    <w:rPr>
                      <w:color w:val="auto"/>
                      <w:u w:val="none"/>
                    </w:rPr>
                    <w:t>外购</w:t>
                  </w:r>
                </w:p>
              </w:tc>
              <w:tc>
                <w:tcPr>
                  <w:tcW w:w="1299" w:type="dxa"/>
                  <w:vMerge w:val="restart"/>
                  <w:vAlign w:val="center"/>
                </w:tcPr>
                <w:p>
                  <w:pPr>
                    <w:pStyle w:val="45"/>
                    <w:rPr>
                      <w:color w:val="FF0000"/>
                      <w:u w:val="none"/>
                    </w:rPr>
                  </w:pPr>
                  <w:r>
                    <w:rPr>
                      <w:color w:val="auto"/>
                      <w:u w:val="none"/>
                    </w:rPr>
                    <w:t>视具体经营情况而定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vAlign w:val="center"/>
                </w:tcPr>
                <w:p>
                  <w:pPr>
                    <w:pStyle w:val="45"/>
                    <w:rPr>
                      <w:color w:val="FF0000"/>
                      <w:u w:val="none"/>
                    </w:rPr>
                  </w:pPr>
                </w:p>
              </w:tc>
              <w:tc>
                <w:tcPr>
                  <w:tcW w:w="1645" w:type="dxa"/>
                  <w:vAlign w:val="center"/>
                </w:tcPr>
                <w:p>
                  <w:pPr>
                    <w:pStyle w:val="45"/>
                    <w:rPr>
                      <w:color w:val="auto"/>
                      <w:u w:val="none"/>
                    </w:rPr>
                  </w:pPr>
                  <w:r>
                    <w:rPr>
                      <w:color w:val="auto"/>
                      <w:u w:val="none"/>
                    </w:rPr>
                    <w:t>医疗器具（纱布、一次性注射器等）</w:t>
                  </w:r>
                </w:p>
              </w:tc>
              <w:tc>
                <w:tcPr>
                  <w:tcW w:w="1514" w:type="dxa"/>
                  <w:vAlign w:val="center"/>
                </w:tcPr>
                <w:p>
                  <w:pPr>
                    <w:pStyle w:val="45"/>
                    <w:rPr>
                      <w:color w:val="auto"/>
                      <w:u w:val="none"/>
                    </w:rPr>
                  </w:pPr>
                  <w:r>
                    <w:rPr>
                      <w:rFonts w:hint="eastAsia"/>
                      <w:color w:val="auto"/>
                      <w:u w:val="none"/>
                    </w:rPr>
                    <w:t>2t/a</w:t>
                  </w:r>
                </w:p>
              </w:tc>
              <w:tc>
                <w:tcPr>
                  <w:tcW w:w="1354" w:type="dxa"/>
                  <w:vAlign w:val="center"/>
                </w:tcPr>
                <w:p>
                  <w:pPr>
                    <w:jc w:val="center"/>
                    <w:rPr>
                      <w:color w:val="auto"/>
                      <w:u w:val="none"/>
                    </w:rPr>
                  </w:pPr>
                  <w:r>
                    <w:rPr>
                      <w:rFonts w:hint="eastAsia"/>
                      <w:color w:val="auto"/>
                      <w:u w:val="none"/>
                    </w:rPr>
                    <w:t>0.5t</w:t>
                  </w:r>
                </w:p>
              </w:tc>
              <w:tc>
                <w:tcPr>
                  <w:tcW w:w="1108" w:type="dxa"/>
                  <w:vAlign w:val="center"/>
                </w:tcPr>
                <w:p>
                  <w:pPr>
                    <w:pStyle w:val="45"/>
                    <w:rPr>
                      <w:color w:val="auto"/>
                      <w:u w:val="none"/>
                    </w:rPr>
                  </w:pPr>
                  <w:r>
                    <w:rPr>
                      <w:color w:val="auto"/>
                      <w:u w:val="none"/>
                    </w:rPr>
                    <w:t>外购</w:t>
                  </w:r>
                </w:p>
              </w:tc>
              <w:tc>
                <w:tcPr>
                  <w:tcW w:w="1299" w:type="dxa"/>
                  <w:vMerge w:val="continue"/>
                  <w:vAlign w:val="center"/>
                </w:tcPr>
                <w:p>
                  <w:pPr>
                    <w:pStyle w:val="45"/>
                    <w:rPr>
                      <w:color w:val="FF000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vAlign w:val="center"/>
                </w:tcPr>
                <w:p>
                  <w:pPr>
                    <w:pStyle w:val="45"/>
                    <w:rPr>
                      <w:color w:val="FF0000"/>
                      <w:u w:val="none"/>
                    </w:rPr>
                  </w:pPr>
                </w:p>
              </w:tc>
              <w:tc>
                <w:tcPr>
                  <w:tcW w:w="1645" w:type="dxa"/>
                  <w:vAlign w:val="center"/>
                </w:tcPr>
                <w:p>
                  <w:pPr>
                    <w:pStyle w:val="45"/>
                    <w:rPr>
                      <w:color w:val="auto"/>
                      <w:u w:val="none"/>
                    </w:rPr>
                  </w:pPr>
                  <w:r>
                    <w:rPr>
                      <w:color w:val="auto"/>
                      <w:u w:val="none"/>
                    </w:rPr>
                    <w:t>酒精</w:t>
                  </w:r>
                </w:p>
              </w:tc>
              <w:tc>
                <w:tcPr>
                  <w:tcW w:w="1514" w:type="dxa"/>
                  <w:vAlign w:val="center"/>
                </w:tcPr>
                <w:p>
                  <w:pPr>
                    <w:pStyle w:val="45"/>
                    <w:rPr>
                      <w:color w:val="auto"/>
                      <w:u w:val="none"/>
                    </w:rPr>
                  </w:pPr>
                  <w:r>
                    <w:rPr>
                      <w:rFonts w:hint="eastAsia"/>
                      <w:color w:val="auto"/>
                      <w:u w:val="none"/>
                      <w:lang w:val="en-US" w:eastAsia="zh-CN"/>
                    </w:rPr>
                    <w:t>0.5</w:t>
                  </w:r>
                  <w:r>
                    <w:rPr>
                      <w:rFonts w:hint="eastAsia"/>
                      <w:color w:val="auto"/>
                      <w:u w:val="none"/>
                    </w:rPr>
                    <w:t>t/a</w:t>
                  </w:r>
                </w:p>
              </w:tc>
              <w:tc>
                <w:tcPr>
                  <w:tcW w:w="1354" w:type="dxa"/>
                  <w:vAlign w:val="center"/>
                </w:tcPr>
                <w:p>
                  <w:pPr>
                    <w:jc w:val="center"/>
                    <w:rPr>
                      <w:color w:val="auto"/>
                      <w:u w:val="none"/>
                    </w:rPr>
                  </w:pPr>
                  <w:r>
                    <w:rPr>
                      <w:rFonts w:hint="eastAsia"/>
                      <w:color w:val="auto"/>
                      <w:u w:val="none"/>
                    </w:rPr>
                    <w:t>0.</w:t>
                  </w:r>
                  <w:r>
                    <w:rPr>
                      <w:rFonts w:hint="eastAsia"/>
                      <w:color w:val="auto"/>
                      <w:u w:val="none"/>
                      <w:lang w:val="en-US" w:eastAsia="zh-CN"/>
                    </w:rPr>
                    <w:t>01</w:t>
                  </w:r>
                  <w:r>
                    <w:rPr>
                      <w:rFonts w:hint="eastAsia"/>
                      <w:color w:val="auto"/>
                      <w:u w:val="none"/>
                    </w:rPr>
                    <w:t>t</w:t>
                  </w:r>
                </w:p>
              </w:tc>
              <w:tc>
                <w:tcPr>
                  <w:tcW w:w="1108" w:type="dxa"/>
                  <w:vAlign w:val="center"/>
                </w:tcPr>
                <w:p>
                  <w:pPr>
                    <w:pStyle w:val="45"/>
                    <w:rPr>
                      <w:color w:val="auto"/>
                      <w:u w:val="none"/>
                    </w:rPr>
                  </w:pPr>
                  <w:r>
                    <w:rPr>
                      <w:color w:val="auto"/>
                      <w:u w:val="none"/>
                    </w:rPr>
                    <w:t>外购</w:t>
                  </w:r>
                </w:p>
              </w:tc>
              <w:tc>
                <w:tcPr>
                  <w:tcW w:w="1299" w:type="dxa"/>
                  <w:vMerge w:val="continue"/>
                  <w:vAlign w:val="center"/>
                </w:tcPr>
                <w:p>
                  <w:pPr>
                    <w:pStyle w:val="45"/>
                    <w:rPr>
                      <w:color w:val="FF000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vAlign w:val="center"/>
                </w:tcPr>
                <w:p>
                  <w:pPr>
                    <w:pStyle w:val="45"/>
                    <w:rPr>
                      <w:color w:val="FF0000"/>
                      <w:u w:val="none"/>
                    </w:rPr>
                  </w:pPr>
                </w:p>
              </w:tc>
              <w:tc>
                <w:tcPr>
                  <w:tcW w:w="1645" w:type="dxa"/>
                  <w:vAlign w:val="center"/>
                </w:tcPr>
                <w:p>
                  <w:pPr>
                    <w:pStyle w:val="45"/>
                    <w:rPr>
                      <w:color w:val="auto"/>
                      <w:u w:val="none"/>
                    </w:rPr>
                  </w:pPr>
                  <w:r>
                    <w:rPr>
                      <w:color w:val="auto"/>
                      <w:u w:val="none"/>
                    </w:rPr>
                    <w:t>络合碘</w:t>
                  </w:r>
                </w:p>
              </w:tc>
              <w:tc>
                <w:tcPr>
                  <w:tcW w:w="1514" w:type="dxa"/>
                  <w:vAlign w:val="center"/>
                </w:tcPr>
                <w:p>
                  <w:pPr>
                    <w:pStyle w:val="45"/>
                    <w:rPr>
                      <w:color w:val="auto"/>
                      <w:u w:val="none"/>
                    </w:rPr>
                  </w:pPr>
                  <w:r>
                    <w:rPr>
                      <w:rFonts w:hint="eastAsia"/>
                      <w:color w:val="auto"/>
                      <w:u w:val="none"/>
                      <w:lang w:val="en-US" w:eastAsia="zh-CN"/>
                    </w:rPr>
                    <w:t>0.02</w:t>
                  </w:r>
                  <w:r>
                    <w:rPr>
                      <w:rFonts w:hint="eastAsia"/>
                      <w:color w:val="auto"/>
                      <w:u w:val="none"/>
                    </w:rPr>
                    <w:t>t/a</w:t>
                  </w:r>
                </w:p>
              </w:tc>
              <w:tc>
                <w:tcPr>
                  <w:tcW w:w="1354" w:type="dxa"/>
                  <w:vAlign w:val="center"/>
                </w:tcPr>
                <w:p>
                  <w:pPr>
                    <w:jc w:val="center"/>
                    <w:rPr>
                      <w:color w:val="auto"/>
                      <w:u w:val="none"/>
                    </w:rPr>
                  </w:pPr>
                  <w:r>
                    <w:rPr>
                      <w:rFonts w:hint="eastAsia"/>
                      <w:color w:val="auto"/>
                      <w:u w:val="none"/>
                    </w:rPr>
                    <w:t>0.0</w:t>
                  </w:r>
                  <w:r>
                    <w:rPr>
                      <w:rFonts w:hint="eastAsia"/>
                      <w:color w:val="auto"/>
                      <w:u w:val="none"/>
                      <w:lang w:val="en-US" w:eastAsia="zh-CN"/>
                    </w:rPr>
                    <w:t>1</w:t>
                  </w:r>
                  <w:r>
                    <w:rPr>
                      <w:rFonts w:hint="eastAsia"/>
                      <w:color w:val="auto"/>
                      <w:u w:val="none"/>
                    </w:rPr>
                    <w:t>t/a</w:t>
                  </w:r>
                </w:p>
              </w:tc>
              <w:tc>
                <w:tcPr>
                  <w:tcW w:w="1108" w:type="dxa"/>
                  <w:vAlign w:val="center"/>
                </w:tcPr>
                <w:p>
                  <w:pPr>
                    <w:pStyle w:val="45"/>
                    <w:rPr>
                      <w:color w:val="auto"/>
                      <w:u w:val="none"/>
                    </w:rPr>
                  </w:pPr>
                  <w:r>
                    <w:rPr>
                      <w:color w:val="auto"/>
                      <w:u w:val="none"/>
                    </w:rPr>
                    <w:t>外购</w:t>
                  </w:r>
                </w:p>
              </w:tc>
              <w:tc>
                <w:tcPr>
                  <w:tcW w:w="1299" w:type="dxa"/>
                  <w:vMerge w:val="continue"/>
                  <w:vAlign w:val="center"/>
                </w:tcPr>
                <w:p>
                  <w:pPr>
                    <w:pStyle w:val="45"/>
                    <w:rPr>
                      <w:color w:val="FF000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vAlign w:val="center"/>
                </w:tcPr>
                <w:p>
                  <w:pPr>
                    <w:pStyle w:val="45"/>
                    <w:rPr>
                      <w:color w:val="FF0000"/>
                      <w:u w:val="none"/>
                    </w:rPr>
                  </w:pPr>
                </w:p>
              </w:tc>
              <w:tc>
                <w:tcPr>
                  <w:tcW w:w="1645" w:type="dxa"/>
                  <w:vAlign w:val="center"/>
                </w:tcPr>
                <w:p>
                  <w:pPr>
                    <w:pStyle w:val="45"/>
                    <w:rPr>
                      <w:color w:val="auto"/>
                      <w:u w:val="none"/>
                    </w:rPr>
                  </w:pPr>
                  <w:r>
                    <w:rPr>
                      <w:color w:val="auto"/>
                      <w:u w:val="none"/>
                    </w:rPr>
                    <w:t>84消毒液</w:t>
                  </w:r>
                </w:p>
              </w:tc>
              <w:tc>
                <w:tcPr>
                  <w:tcW w:w="1514" w:type="dxa"/>
                  <w:vAlign w:val="center"/>
                </w:tcPr>
                <w:p>
                  <w:pPr>
                    <w:pStyle w:val="45"/>
                    <w:rPr>
                      <w:color w:val="auto"/>
                      <w:u w:val="none"/>
                    </w:rPr>
                  </w:pPr>
                  <w:r>
                    <w:rPr>
                      <w:rFonts w:hint="eastAsia"/>
                      <w:color w:val="auto"/>
                      <w:u w:val="none"/>
                    </w:rPr>
                    <w:t>0.</w:t>
                  </w:r>
                  <w:r>
                    <w:rPr>
                      <w:rFonts w:hint="eastAsia"/>
                      <w:color w:val="auto"/>
                      <w:u w:val="none"/>
                      <w:lang w:val="en-US" w:eastAsia="zh-CN"/>
                    </w:rPr>
                    <w:t>24</w:t>
                  </w:r>
                  <w:r>
                    <w:rPr>
                      <w:rFonts w:hint="eastAsia"/>
                      <w:color w:val="auto"/>
                      <w:u w:val="none"/>
                    </w:rPr>
                    <w:t>t/a</w:t>
                  </w:r>
                </w:p>
              </w:tc>
              <w:tc>
                <w:tcPr>
                  <w:tcW w:w="1354" w:type="dxa"/>
                  <w:vAlign w:val="center"/>
                </w:tcPr>
                <w:p>
                  <w:pPr>
                    <w:jc w:val="center"/>
                    <w:rPr>
                      <w:color w:val="auto"/>
                      <w:u w:val="none"/>
                    </w:rPr>
                  </w:pPr>
                  <w:r>
                    <w:rPr>
                      <w:rFonts w:hint="eastAsia"/>
                      <w:color w:val="auto"/>
                      <w:u w:val="none"/>
                    </w:rPr>
                    <w:t>0.0</w:t>
                  </w:r>
                  <w:r>
                    <w:rPr>
                      <w:rFonts w:hint="eastAsia"/>
                      <w:color w:val="auto"/>
                      <w:u w:val="none"/>
                      <w:lang w:val="en-US" w:eastAsia="zh-CN"/>
                    </w:rPr>
                    <w:t>24</w:t>
                  </w:r>
                  <w:r>
                    <w:rPr>
                      <w:rFonts w:hint="eastAsia"/>
                      <w:color w:val="auto"/>
                      <w:u w:val="none"/>
                    </w:rPr>
                    <w:t>t/a</w:t>
                  </w:r>
                </w:p>
              </w:tc>
              <w:tc>
                <w:tcPr>
                  <w:tcW w:w="1108" w:type="dxa"/>
                  <w:vAlign w:val="center"/>
                </w:tcPr>
                <w:p>
                  <w:pPr>
                    <w:pStyle w:val="45"/>
                    <w:rPr>
                      <w:color w:val="auto"/>
                      <w:u w:val="none"/>
                    </w:rPr>
                  </w:pPr>
                  <w:r>
                    <w:rPr>
                      <w:color w:val="auto"/>
                      <w:u w:val="none"/>
                    </w:rPr>
                    <w:t>外购</w:t>
                  </w:r>
                </w:p>
              </w:tc>
              <w:tc>
                <w:tcPr>
                  <w:tcW w:w="1299" w:type="dxa"/>
                  <w:vMerge w:val="continue"/>
                  <w:vAlign w:val="center"/>
                </w:tcPr>
                <w:p>
                  <w:pPr>
                    <w:pStyle w:val="45"/>
                    <w:rPr>
                      <w:color w:val="FF000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vAlign w:val="center"/>
                </w:tcPr>
                <w:p>
                  <w:pPr>
                    <w:pStyle w:val="45"/>
                    <w:rPr>
                      <w:color w:val="FF0000"/>
                      <w:u w:val="none"/>
                    </w:rPr>
                  </w:pPr>
                </w:p>
              </w:tc>
              <w:tc>
                <w:tcPr>
                  <w:tcW w:w="1645" w:type="dxa"/>
                  <w:vAlign w:val="center"/>
                </w:tcPr>
                <w:p>
                  <w:pPr>
                    <w:pStyle w:val="45"/>
                    <w:rPr>
                      <w:color w:val="auto"/>
                      <w:u w:val="none"/>
                    </w:rPr>
                  </w:pPr>
                  <w:r>
                    <w:rPr>
                      <w:rFonts w:hint="eastAsia"/>
                      <w:color w:val="auto"/>
                      <w:u w:val="none"/>
                    </w:rPr>
                    <w:t>二氯异氰尿酸钠</w:t>
                  </w:r>
                </w:p>
              </w:tc>
              <w:tc>
                <w:tcPr>
                  <w:tcW w:w="1514" w:type="dxa"/>
                  <w:vAlign w:val="center"/>
                </w:tcPr>
                <w:p>
                  <w:pPr>
                    <w:pStyle w:val="45"/>
                    <w:rPr>
                      <w:rFonts w:hint="default" w:eastAsia="宋体"/>
                      <w:color w:val="auto"/>
                      <w:u w:val="none"/>
                      <w:lang w:val="en-US" w:eastAsia="zh-CN"/>
                    </w:rPr>
                  </w:pPr>
                  <w:r>
                    <w:rPr>
                      <w:rFonts w:hint="eastAsia"/>
                      <w:color w:val="auto"/>
                      <w:u w:val="none"/>
                      <w:lang w:val="en-US" w:eastAsia="zh-CN"/>
                    </w:rPr>
                    <w:t>0.192</w:t>
                  </w:r>
                  <w:r>
                    <w:rPr>
                      <w:rFonts w:hint="eastAsia"/>
                      <w:color w:val="auto"/>
                      <w:u w:val="none"/>
                    </w:rPr>
                    <w:t>t/a</w:t>
                  </w:r>
                </w:p>
              </w:tc>
              <w:tc>
                <w:tcPr>
                  <w:tcW w:w="1354" w:type="dxa"/>
                  <w:vAlign w:val="center"/>
                </w:tcPr>
                <w:p>
                  <w:pPr>
                    <w:pStyle w:val="45"/>
                    <w:rPr>
                      <w:rFonts w:hint="default" w:eastAsia="宋体"/>
                      <w:color w:val="auto"/>
                      <w:u w:val="none"/>
                      <w:lang w:val="en-US" w:eastAsia="zh-CN"/>
                    </w:rPr>
                  </w:pPr>
                  <w:r>
                    <w:rPr>
                      <w:rFonts w:hint="eastAsia"/>
                      <w:color w:val="auto"/>
                      <w:u w:val="none"/>
                      <w:lang w:val="en-US" w:eastAsia="zh-CN"/>
                    </w:rPr>
                    <w:t>0.05</w:t>
                  </w:r>
                  <w:r>
                    <w:rPr>
                      <w:rFonts w:hint="eastAsia"/>
                      <w:color w:val="auto"/>
                      <w:u w:val="none"/>
                    </w:rPr>
                    <w:t>t/a</w:t>
                  </w:r>
                </w:p>
              </w:tc>
              <w:tc>
                <w:tcPr>
                  <w:tcW w:w="1108" w:type="dxa"/>
                  <w:vAlign w:val="center"/>
                </w:tcPr>
                <w:p>
                  <w:pPr>
                    <w:pStyle w:val="45"/>
                    <w:rPr>
                      <w:color w:val="auto"/>
                      <w:u w:val="none"/>
                    </w:rPr>
                  </w:pPr>
                  <w:r>
                    <w:rPr>
                      <w:color w:val="auto"/>
                      <w:u w:val="none"/>
                    </w:rPr>
                    <w:t>外购</w:t>
                  </w:r>
                </w:p>
              </w:tc>
              <w:tc>
                <w:tcPr>
                  <w:tcW w:w="1299" w:type="dxa"/>
                  <w:vAlign w:val="center"/>
                </w:tcPr>
                <w:p>
                  <w:pPr>
                    <w:pStyle w:val="45"/>
                    <w:rPr>
                      <w:color w:val="auto"/>
                      <w:u w:val="none"/>
                    </w:rPr>
                  </w:pPr>
                  <w:r>
                    <w:rPr>
                      <w:color w:val="auto"/>
                      <w:u w:val="none"/>
                    </w:rPr>
                    <w:t>污水消毒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vAlign w:val="center"/>
                </w:tcPr>
                <w:p>
                  <w:pPr>
                    <w:pStyle w:val="45"/>
                    <w:rPr>
                      <w:color w:val="FF0000"/>
                      <w:u w:val="none"/>
                    </w:rPr>
                  </w:pPr>
                </w:p>
              </w:tc>
              <w:tc>
                <w:tcPr>
                  <w:tcW w:w="1645" w:type="dxa"/>
                  <w:vAlign w:val="center"/>
                </w:tcPr>
                <w:p>
                  <w:pPr>
                    <w:pStyle w:val="45"/>
                    <w:rPr>
                      <w:rFonts w:hint="default" w:eastAsia="宋体"/>
                      <w:color w:val="auto"/>
                      <w:u w:val="none"/>
                      <w:lang w:val="en-US" w:eastAsia="zh-CN"/>
                    </w:rPr>
                  </w:pPr>
                  <w:r>
                    <w:rPr>
                      <w:rFonts w:hint="eastAsia"/>
                      <w:color w:val="auto"/>
                      <w:u w:val="none"/>
                      <w:lang w:val="en-US" w:eastAsia="zh-CN"/>
                    </w:rPr>
                    <w:t>石灰</w:t>
                  </w:r>
                </w:p>
              </w:tc>
              <w:tc>
                <w:tcPr>
                  <w:tcW w:w="1514" w:type="dxa"/>
                  <w:shd w:val="clear" w:color="auto" w:fill="auto"/>
                  <w:vAlign w:val="center"/>
                </w:tcPr>
                <w:p>
                  <w:pPr>
                    <w:pStyle w:val="45"/>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0.01</w:t>
                  </w:r>
                  <w:r>
                    <w:rPr>
                      <w:rFonts w:hint="eastAsia"/>
                      <w:color w:val="auto"/>
                      <w:highlight w:val="none"/>
                      <w:u w:val="none"/>
                    </w:rPr>
                    <w:t>t/a</w:t>
                  </w:r>
                </w:p>
              </w:tc>
              <w:tc>
                <w:tcPr>
                  <w:tcW w:w="1354" w:type="dxa"/>
                  <w:shd w:val="clear" w:color="auto" w:fill="auto"/>
                  <w:vAlign w:val="center"/>
                </w:tcPr>
                <w:p>
                  <w:pPr>
                    <w:pStyle w:val="45"/>
                    <w:bidi w:val="0"/>
                    <w:rPr>
                      <w:rFonts w:hint="eastAsia" w:ascii="Times New Roman" w:hAnsi="Times New Roman" w:eastAsia="宋体" w:cs="Times New Roman"/>
                      <w:kern w:val="0"/>
                      <w:sz w:val="21"/>
                      <w:szCs w:val="21"/>
                      <w:highlight w:val="none"/>
                      <w:lang w:val="en-US" w:eastAsia="zh-CN" w:bidi="ar-SA"/>
                    </w:rPr>
                  </w:pPr>
                  <w:r>
                    <w:rPr>
                      <w:rFonts w:hint="eastAsia"/>
                      <w:color w:val="auto"/>
                      <w:highlight w:val="none"/>
                      <w:u w:val="none"/>
                      <w:lang w:val="en-US" w:eastAsia="zh-CN"/>
                    </w:rPr>
                    <w:t>0.01</w:t>
                  </w:r>
                  <w:r>
                    <w:rPr>
                      <w:rFonts w:hint="eastAsia"/>
                    </w:rPr>
                    <w:t>t</w:t>
                  </w:r>
                </w:p>
              </w:tc>
              <w:tc>
                <w:tcPr>
                  <w:tcW w:w="1108" w:type="dxa"/>
                  <w:vAlign w:val="center"/>
                </w:tcPr>
                <w:p>
                  <w:pPr>
                    <w:pStyle w:val="45"/>
                    <w:rPr>
                      <w:color w:val="auto"/>
                      <w:u w:val="none"/>
                    </w:rPr>
                  </w:pPr>
                  <w:r>
                    <w:rPr>
                      <w:color w:val="auto"/>
                      <w:u w:val="none"/>
                    </w:rPr>
                    <w:t>外购</w:t>
                  </w:r>
                </w:p>
              </w:tc>
              <w:tc>
                <w:tcPr>
                  <w:tcW w:w="1299" w:type="dxa"/>
                  <w:vAlign w:val="center"/>
                </w:tcPr>
                <w:p>
                  <w:pPr>
                    <w:pStyle w:val="45"/>
                    <w:rPr>
                      <w:color w:val="auto"/>
                      <w:u w:val="none"/>
                    </w:rPr>
                  </w:pPr>
                  <w:r>
                    <w:rPr>
                      <w:rFonts w:hint="eastAsia"/>
                      <w:color w:val="auto"/>
                      <w:u w:val="none"/>
                      <w:lang w:val="en-US" w:eastAsia="zh-CN"/>
                    </w:rPr>
                    <w:t>污泥</w:t>
                  </w:r>
                  <w:r>
                    <w:rPr>
                      <w:color w:val="auto"/>
                      <w:u w:val="none"/>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 w:type="dxa"/>
                  <w:vAlign w:val="center"/>
                </w:tcPr>
                <w:p>
                  <w:pPr>
                    <w:pStyle w:val="45"/>
                    <w:rPr>
                      <w:color w:val="auto"/>
                      <w:u w:val="none"/>
                    </w:rPr>
                  </w:pPr>
                  <w:r>
                    <w:rPr>
                      <w:color w:val="auto"/>
                      <w:u w:val="none"/>
                    </w:rPr>
                    <w:t>能源</w:t>
                  </w:r>
                </w:p>
              </w:tc>
              <w:tc>
                <w:tcPr>
                  <w:tcW w:w="1645" w:type="dxa"/>
                  <w:vAlign w:val="center"/>
                </w:tcPr>
                <w:p>
                  <w:pPr>
                    <w:pStyle w:val="45"/>
                    <w:rPr>
                      <w:color w:val="auto"/>
                      <w:u w:val="none"/>
                    </w:rPr>
                  </w:pPr>
                  <w:r>
                    <w:rPr>
                      <w:color w:val="auto"/>
                      <w:u w:val="none"/>
                    </w:rPr>
                    <w:t>电</w:t>
                  </w:r>
                </w:p>
              </w:tc>
              <w:tc>
                <w:tcPr>
                  <w:tcW w:w="1514" w:type="dxa"/>
                  <w:vAlign w:val="center"/>
                </w:tcPr>
                <w:p>
                  <w:pPr>
                    <w:pStyle w:val="45"/>
                    <w:rPr>
                      <w:color w:val="auto"/>
                      <w:u w:val="none"/>
                    </w:rPr>
                  </w:pPr>
                  <w:r>
                    <w:rPr>
                      <w:rFonts w:hint="eastAsia"/>
                      <w:color w:val="auto"/>
                      <w:u w:val="none"/>
                      <w:lang w:val="en-US" w:eastAsia="zh-CN"/>
                    </w:rPr>
                    <w:t>4.89</w:t>
                  </w:r>
                  <w:r>
                    <w:rPr>
                      <w:color w:val="auto"/>
                      <w:u w:val="none"/>
                    </w:rPr>
                    <w:t>万kwh/a</w:t>
                  </w:r>
                </w:p>
              </w:tc>
              <w:tc>
                <w:tcPr>
                  <w:tcW w:w="1354" w:type="dxa"/>
                  <w:vAlign w:val="center"/>
                </w:tcPr>
                <w:p>
                  <w:pPr>
                    <w:pStyle w:val="45"/>
                    <w:rPr>
                      <w:color w:val="auto"/>
                      <w:u w:val="none"/>
                    </w:rPr>
                  </w:pPr>
                  <w:r>
                    <w:rPr>
                      <w:rFonts w:hint="eastAsia"/>
                      <w:color w:val="auto"/>
                      <w:u w:val="none"/>
                    </w:rPr>
                    <w:t>/</w:t>
                  </w:r>
                </w:p>
              </w:tc>
              <w:tc>
                <w:tcPr>
                  <w:tcW w:w="1108" w:type="dxa"/>
                  <w:vAlign w:val="center"/>
                </w:tcPr>
                <w:p>
                  <w:pPr>
                    <w:pStyle w:val="45"/>
                    <w:rPr>
                      <w:color w:val="auto"/>
                      <w:u w:val="none"/>
                    </w:rPr>
                  </w:pPr>
                  <w:r>
                    <w:rPr>
                      <w:color w:val="auto"/>
                      <w:u w:val="none"/>
                    </w:rPr>
                    <w:t>市政电网</w:t>
                  </w:r>
                </w:p>
              </w:tc>
              <w:tc>
                <w:tcPr>
                  <w:tcW w:w="1299" w:type="dxa"/>
                  <w:vAlign w:val="center"/>
                </w:tcPr>
                <w:p>
                  <w:pPr>
                    <w:pStyle w:val="45"/>
                    <w:rPr>
                      <w:color w:val="auto"/>
                      <w:u w:val="none"/>
                    </w:rPr>
                  </w:pPr>
                  <w:r>
                    <w:rPr>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Align w:val="center"/>
                </w:tcPr>
                <w:p>
                  <w:pPr>
                    <w:pStyle w:val="45"/>
                    <w:rPr>
                      <w:color w:val="auto"/>
                      <w:u w:val="none"/>
                    </w:rPr>
                  </w:pPr>
                  <w:r>
                    <w:rPr>
                      <w:color w:val="auto"/>
                      <w:u w:val="none"/>
                    </w:rPr>
                    <w:t>水</w:t>
                  </w:r>
                </w:p>
              </w:tc>
              <w:tc>
                <w:tcPr>
                  <w:tcW w:w="1645" w:type="dxa"/>
                  <w:vAlign w:val="center"/>
                </w:tcPr>
                <w:p>
                  <w:pPr>
                    <w:pStyle w:val="45"/>
                    <w:rPr>
                      <w:color w:val="auto"/>
                      <w:u w:val="none"/>
                    </w:rPr>
                  </w:pPr>
                  <w:r>
                    <w:rPr>
                      <w:color w:val="auto"/>
                      <w:u w:val="none"/>
                    </w:rPr>
                    <w:t>自来水</w:t>
                  </w:r>
                </w:p>
              </w:tc>
              <w:tc>
                <w:tcPr>
                  <w:tcW w:w="1514" w:type="dxa"/>
                  <w:vAlign w:val="center"/>
                </w:tcPr>
                <w:p>
                  <w:pPr>
                    <w:pStyle w:val="45"/>
                    <w:rPr>
                      <w:color w:val="auto"/>
                      <w:u w:val="none"/>
                    </w:rPr>
                  </w:pPr>
                  <w:r>
                    <w:rPr>
                      <w:rFonts w:hint="eastAsia"/>
                      <w:color w:val="auto"/>
                      <w:u w:val="single"/>
                    </w:rPr>
                    <w:t>3978.5</w:t>
                  </w:r>
                  <w:r>
                    <w:rPr>
                      <w:color w:val="auto"/>
                      <w:u w:val="single"/>
                    </w:rPr>
                    <w:t>m³/a</w:t>
                  </w:r>
                </w:p>
              </w:tc>
              <w:tc>
                <w:tcPr>
                  <w:tcW w:w="1354" w:type="dxa"/>
                  <w:vAlign w:val="center"/>
                </w:tcPr>
                <w:p>
                  <w:pPr>
                    <w:pStyle w:val="45"/>
                    <w:rPr>
                      <w:color w:val="auto"/>
                      <w:u w:val="none"/>
                    </w:rPr>
                  </w:pPr>
                  <w:r>
                    <w:rPr>
                      <w:rFonts w:hint="eastAsia"/>
                      <w:color w:val="auto"/>
                      <w:u w:val="none"/>
                    </w:rPr>
                    <w:t>/</w:t>
                  </w:r>
                </w:p>
              </w:tc>
              <w:tc>
                <w:tcPr>
                  <w:tcW w:w="1108" w:type="dxa"/>
                  <w:vAlign w:val="center"/>
                </w:tcPr>
                <w:p>
                  <w:pPr>
                    <w:pStyle w:val="45"/>
                    <w:rPr>
                      <w:color w:val="auto"/>
                      <w:u w:val="none"/>
                    </w:rPr>
                  </w:pPr>
                  <w:r>
                    <w:rPr>
                      <w:color w:val="auto"/>
                      <w:u w:val="none"/>
                    </w:rPr>
                    <w:t>市政供水</w:t>
                  </w:r>
                </w:p>
              </w:tc>
              <w:tc>
                <w:tcPr>
                  <w:tcW w:w="1299" w:type="dxa"/>
                  <w:vAlign w:val="center"/>
                </w:tcPr>
                <w:p>
                  <w:pPr>
                    <w:pStyle w:val="45"/>
                    <w:rPr>
                      <w:color w:val="auto"/>
                      <w:u w:val="none"/>
                    </w:rPr>
                  </w:pPr>
                  <w:r>
                    <w:rPr>
                      <w:color w:val="auto"/>
                      <w:u w:val="none"/>
                    </w:rPr>
                    <w:t>/</w:t>
                  </w:r>
                </w:p>
              </w:tc>
            </w:tr>
          </w:tbl>
          <w:p>
            <w:pPr>
              <w:pStyle w:val="54"/>
              <w:spacing w:before="171"/>
              <w:ind w:left="593"/>
              <w:rPr>
                <w:rFonts w:ascii="Times New Roman" w:hAnsi="Times New Roman" w:cs="Times New Roman"/>
                <w:color w:val="auto"/>
              </w:rPr>
            </w:pPr>
            <w:r>
              <w:rPr>
                <w:rFonts w:ascii="Times New Roman" w:hAnsi="Times New Roman" w:cs="Times New Roman"/>
                <w:color w:val="auto"/>
              </w:rPr>
              <w:t>部分原辅材料理化性质如下：</w:t>
            </w:r>
          </w:p>
          <w:p>
            <w:pPr>
              <w:pStyle w:val="46"/>
              <w:rPr>
                <w:color w:val="auto"/>
              </w:rPr>
            </w:pPr>
            <w:bookmarkStart w:id="31" w:name="表2-3_主要原辅材料理化性质一览表"/>
            <w:bookmarkEnd w:id="31"/>
            <w:r>
              <w:rPr>
                <w:color w:val="auto"/>
              </w:rPr>
              <w:t>表 2.1-3（2） 主要原辅材料理化性质一览表</w:t>
            </w:r>
          </w:p>
          <w:tbl>
            <w:tblPr>
              <w:tblStyle w:val="31"/>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9"/>
              <w:gridCol w:w="6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pStyle w:val="45"/>
                    <w:rPr>
                      <w:color w:val="000000" w:themeColor="text1"/>
                    </w:rPr>
                  </w:pPr>
                  <w:r>
                    <w:rPr>
                      <w:color w:val="000000" w:themeColor="text1"/>
                    </w:rPr>
                    <w:t>名称</w:t>
                  </w:r>
                </w:p>
              </w:tc>
              <w:tc>
                <w:tcPr>
                  <w:tcW w:w="6431" w:type="dxa"/>
                  <w:vAlign w:val="center"/>
                </w:tcPr>
                <w:p>
                  <w:pPr>
                    <w:pStyle w:val="45"/>
                    <w:rPr>
                      <w:color w:val="000000" w:themeColor="text1"/>
                    </w:rPr>
                  </w:pPr>
                  <w:bookmarkStart w:id="32" w:name="理化性质"/>
                  <w:bookmarkEnd w:id="32"/>
                  <w:r>
                    <w:rPr>
                      <w:color w:val="000000" w:themeColor="text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碘伏消毒液</w:t>
                  </w:r>
                </w:p>
              </w:tc>
              <w:tc>
                <w:tcPr>
                  <w:tcW w:w="6431" w:type="dxa"/>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rPr>
                    <w:t>碘伏是单质碘与聚乙烯吡咯烷酮的不定型结合物。聚乙烯吡咯烷酮可溶解分散</w:t>
                  </w:r>
                  <w:r>
                    <w:rPr>
                      <w:rFonts w:hint="default" w:ascii="Times New Roman" w:hAnsi="Times New Roman" w:eastAsia="宋体" w:cs="Times New Roman"/>
                      <w:color w:val="000000" w:themeColor="text1"/>
                      <w:kern w:val="0"/>
                      <w:sz w:val="21"/>
                      <w:szCs w:val="21"/>
                      <w:lang w:val="en-US" w:eastAsia="zh-CN" w:bidi="ar-SA"/>
                    </w:rPr>
                    <w:t>9%</w:t>
                  </w:r>
                  <w:r>
                    <w:rPr>
                      <w:rFonts w:hint="eastAsia" w:cs="Times New Roman"/>
                      <w:color w:val="000000" w:themeColor="text1"/>
                      <w:kern w:val="0"/>
                      <w:sz w:val="21"/>
                      <w:szCs w:val="21"/>
                      <w:lang w:val="en-US" w:eastAsia="zh-CN" w:bidi="ar-SA"/>
                    </w:rPr>
                    <w:t>～</w:t>
                  </w:r>
                  <w:r>
                    <w:rPr>
                      <w:rFonts w:hint="default" w:ascii="Times New Roman" w:hAnsi="Times New Roman" w:eastAsia="宋体" w:cs="Times New Roman"/>
                      <w:color w:val="000000" w:themeColor="text1"/>
                      <w:kern w:val="0"/>
                      <w:sz w:val="21"/>
                      <w:szCs w:val="21"/>
                      <w:lang w:val="en-US" w:eastAsia="zh-CN" w:bidi="ar-SA"/>
                    </w:rPr>
                    <w:t>12%</w:t>
                  </w:r>
                  <w:r>
                    <w:rPr>
                      <w:rFonts w:hint="eastAsia" w:ascii="Times New Roman" w:hAnsi="Times New Roman" w:eastAsia="宋体" w:cs="Times New Roman"/>
                      <w:color w:val="000000" w:themeColor="text1"/>
                      <w:kern w:val="0"/>
                      <w:sz w:val="21"/>
                      <w:szCs w:val="21"/>
                      <w:lang w:val="en-US" w:eastAsia="zh-CN" w:bidi="ar-SA"/>
                    </w:rPr>
                    <w:t>的碘，此时呈现紫黑色液体。医用碘伏浓度较低（</w:t>
                  </w:r>
                  <w:r>
                    <w:rPr>
                      <w:rFonts w:hint="default" w:ascii="Times New Roman" w:hAnsi="Times New Roman" w:eastAsia="宋体" w:cs="Times New Roman"/>
                      <w:color w:val="000000" w:themeColor="text1"/>
                      <w:kern w:val="0"/>
                      <w:sz w:val="21"/>
                      <w:szCs w:val="21"/>
                      <w:lang w:val="en-US" w:eastAsia="zh-CN" w:bidi="ar-SA"/>
                    </w:rPr>
                    <w:t>1%</w:t>
                  </w:r>
                  <w:r>
                    <w:rPr>
                      <w:rFonts w:hint="eastAsia" w:ascii="Times New Roman" w:hAnsi="Times New Roman" w:eastAsia="宋体" w:cs="Times New Roman"/>
                      <w:color w:val="000000" w:themeColor="text1"/>
                      <w:kern w:val="0"/>
                      <w:sz w:val="21"/>
                      <w:szCs w:val="21"/>
                      <w:lang w:val="en-US" w:eastAsia="zh-CN" w:bidi="ar-SA"/>
                    </w:rPr>
                    <w:t>或以下）。碘伏具有广谱杀菌作用，可杀灭细菌繁殖体、真菌、原虫和部分病毒。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医用酒精（乙醇）</w:t>
                  </w:r>
                </w:p>
              </w:tc>
              <w:tc>
                <w:tcPr>
                  <w:tcW w:w="6431" w:type="dxa"/>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rPr>
                    <w:t>化学式</w:t>
                  </w:r>
                  <w:r>
                    <w:rPr>
                      <w:rFonts w:hint="default" w:ascii="Times New Roman" w:hAnsi="Times New Roman" w:eastAsia="宋体" w:cs="Times New Roman"/>
                      <w:color w:val="000000" w:themeColor="text1"/>
                      <w:kern w:val="0"/>
                      <w:sz w:val="21"/>
                      <w:szCs w:val="21"/>
                      <w:lang w:val="en-US" w:eastAsia="zh-CN" w:bidi="ar-SA"/>
                    </w:rPr>
                    <w:t>CH</w:t>
                  </w:r>
                  <w:r>
                    <w:rPr>
                      <w:rFonts w:hint="default" w:ascii="Times New Roman" w:hAnsi="Times New Roman" w:eastAsia="宋体" w:cs="Times New Roman"/>
                      <w:color w:val="000000" w:themeColor="text1"/>
                      <w:kern w:val="0"/>
                      <w:sz w:val="21"/>
                      <w:szCs w:val="21"/>
                      <w:vertAlign w:val="subscript"/>
                      <w:lang w:val="en-US" w:eastAsia="zh-CN" w:bidi="ar-SA"/>
                    </w:rPr>
                    <w:t>3</w:t>
                  </w:r>
                  <w:r>
                    <w:rPr>
                      <w:rFonts w:hint="default" w:ascii="Times New Roman" w:hAnsi="Times New Roman" w:eastAsia="宋体" w:cs="Times New Roman"/>
                      <w:color w:val="000000" w:themeColor="text1"/>
                      <w:kern w:val="0"/>
                      <w:sz w:val="21"/>
                      <w:szCs w:val="21"/>
                      <w:lang w:val="en-US" w:eastAsia="zh-CN" w:bidi="ar-SA"/>
                    </w:rPr>
                    <w:t>CH</w:t>
                  </w:r>
                  <w:r>
                    <w:rPr>
                      <w:rFonts w:hint="default" w:ascii="Times New Roman" w:hAnsi="Times New Roman" w:eastAsia="宋体" w:cs="Times New Roman"/>
                      <w:color w:val="000000" w:themeColor="text1"/>
                      <w:kern w:val="0"/>
                      <w:sz w:val="21"/>
                      <w:szCs w:val="21"/>
                      <w:vertAlign w:val="subscript"/>
                      <w:lang w:val="en-US" w:eastAsia="zh-CN" w:bidi="ar-SA"/>
                    </w:rPr>
                    <w:t>2</w:t>
                  </w:r>
                  <w:r>
                    <w:rPr>
                      <w:rFonts w:hint="default" w:ascii="Times New Roman" w:hAnsi="Times New Roman" w:eastAsia="宋体" w:cs="Times New Roman"/>
                      <w:color w:val="000000" w:themeColor="text1"/>
                      <w:kern w:val="0"/>
                      <w:sz w:val="21"/>
                      <w:szCs w:val="21"/>
                      <w:lang w:val="en-US" w:eastAsia="zh-CN" w:bidi="ar-SA"/>
                    </w:rPr>
                    <w:t>OH</w:t>
                  </w:r>
                  <w:r>
                    <w:rPr>
                      <w:rFonts w:hint="eastAsia" w:ascii="Times New Roman" w:hAnsi="Times New Roman" w:eastAsia="宋体" w:cs="Times New Roman"/>
                      <w:color w:val="000000" w:themeColor="text1"/>
                      <w:kern w:val="0"/>
                      <w:sz w:val="21"/>
                      <w:szCs w:val="21"/>
                      <w:lang w:val="en-US" w:eastAsia="zh-CN" w:bidi="ar-SA"/>
                    </w:rPr>
                    <w:t>，为无色澄清液体，有特殊香味，易流动，极易从空气中吸收水分，能与水和氯仿、乙醚等多种有机溶剂以任意比例互溶。能与水形成共沸混合物（含水</w:t>
                  </w:r>
                  <w:r>
                    <w:rPr>
                      <w:rFonts w:hint="default" w:ascii="Times New Roman" w:hAnsi="Times New Roman" w:eastAsia="宋体" w:cs="Times New Roman"/>
                      <w:color w:val="000000" w:themeColor="text1"/>
                      <w:kern w:val="0"/>
                      <w:sz w:val="21"/>
                      <w:szCs w:val="21"/>
                      <w:lang w:val="en-US" w:eastAsia="zh-CN" w:bidi="ar-SA"/>
                    </w:rPr>
                    <w:t>4.43%</w:t>
                  </w:r>
                  <w:r>
                    <w:rPr>
                      <w:rFonts w:hint="eastAsia" w:ascii="Times New Roman" w:hAnsi="Times New Roman" w:eastAsia="宋体" w:cs="Times New Roman"/>
                      <w:color w:val="000000" w:themeColor="text1"/>
                      <w:kern w:val="0"/>
                      <w:sz w:val="21"/>
                      <w:szCs w:val="21"/>
                      <w:lang w:val="en-US" w:eastAsia="zh-CN" w:bidi="ar-SA"/>
                    </w:rPr>
                    <w:t>），共沸点</w:t>
                  </w:r>
                  <w:r>
                    <w:rPr>
                      <w:rFonts w:hint="default" w:ascii="Times New Roman" w:hAnsi="Times New Roman" w:eastAsia="宋体" w:cs="Times New Roman"/>
                      <w:color w:val="000000" w:themeColor="text1"/>
                      <w:kern w:val="0"/>
                      <w:sz w:val="21"/>
                      <w:szCs w:val="21"/>
                      <w:lang w:val="en-US" w:eastAsia="zh-CN" w:bidi="ar-SA"/>
                    </w:rPr>
                    <w:t>78.15</w:t>
                  </w:r>
                  <w:r>
                    <w:rPr>
                      <w:rFonts w:hint="eastAsia" w:ascii="Times New Roman" w:hAnsi="Times New Roman" w:eastAsia="宋体" w:cs="Times New Roman"/>
                      <w:color w:val="000000" w:themeColor="text1"/>
                      <w:kern w:val="0"/>
                      <w:sz w:val="21"/>
                      <w:szCs w:val="21"/>
                      <w:lang w:val="en-US" w:eastAsia="zh-CN" w:bidi="ar-SA"/>
                    </w:rPr>
                    <w:t>℃。相对密度为</w:t>
                  </w:r>
                  <w:r>
                    <w:rPr>
                      <w:rFonts w:hint="default" w:ascii="Times New Roman" w:hAnsi="Times New Roman" w:eastAsia="宋体" w:cs="Times New Roman"/>
                      <w:color w:val="000000" w:themeColor="text1"/>
                      <w:kern w:val="0"/>
                      <w:sz w:val="21"/>
                      <w:szCs w:val="21"/>
                      <w:lang w:val="en-US" w:eastAsia="zh-CN" w:bidi="ar-SA"/>
                    </w:rPr>
                    <w:t>0.85g/mL</w:t>
                  </w:r>
                  <w:r>
                    <w:rPr>
                      <w:rFonts w:hint="eastAsia" w:ascii="Times New Roman" w:hAnsi="Times New Roman" w:eastAsia="宋体" w:cs="Times New Roman"/>
                      <w:color w:val="000000" w:themeColor="text1"/>
                      <w:kern w:val="0"/>
                      <w:sz w:val="21"/>
                      <w:szCs w:val="21"/>
                      <w:lang w:val="en-US" w:eastAsia="zh-CN" w:bidi="ar-SA"/>
                    </w:rPr>
                    <w:t>，熔点为</w:t>
                  </w:r>
                  <w:r>
                    <w:rPr>
                      <w:rFonts w:hint="default" w:ascii="Times New Roman" w:hAnsi="Times New Roman" w:eastAsia="宋体" w:cs="Times New Roman"/>
                      <w:color w:val="000000" w:themeColor="text1"/>
                      <w:kern w:val="0"/>
                      <w:sz w:val="21"/>
                      <w:szCs w:val="21"/>
                      <w:lang w:val="en-US" w:eastAsia="zh-CN" w:bidi="ar-SA"/>
                    </w:rPr>
                    <w:t>-114.1</w:t>
                  </w:r>
                  <w:r>
                    <w:rPr>
                      <w:rFonts w:hint="eastAsia" w:ascii="Times New Roman" w:hAnsi="Times New Roman" w:eastAsia="宋体" w:cs="Times New Roman"/>
                      <w:color w:val="000000" w:themeColor="text1"/>
                      <w:kern w:val="0"/>
                      <w:sz w:val="21"/>
                      <w:szCs w:val="21"/>
                      <w:lang w:val="en-US" w:eastAsia="zh-CN" w:bidi="ar-SA"/>
                    </w:rPr>
                    <w:t>℃，沸点为</w:t>
                  </w:r>
                  <w:r>
                    <w:rPr>
                      <w:rFonts w:hint="default" w:ascii="Times New Roman" w:hAnsi="Times New Roman" w:eastAsia="宋体" w:cs="Times New Roman"/>
                      <w:color w:val="000000" w:themeColor="text1"/>
                      <w:kern w:val="0"/>
                      <w:sz w:val="21"/>
                      <w:szCs w:val="21"/>
                      <w:lang w:val="en-US" w:eastAsia="zh-CN" w:bidi="ar-SA"/>
                    </w:rPr>
                    <w:t>78.5</w:t>
                  </w:r>
                  <w:r>
                    <w:rPr>
                      <w:rFonts w:hint="eastAsia" w:ascii="Times New Roman" w:hAnsi="Times New Roman" w:eastAsia="宋体" w:cs="Times New Roman"/>
                      <w:color w:val="000000" w:themeColor="text1"/>
                      <w:kern w:val="0"/>
                      <w:sz w:val="21"/>
                      <w:szCs w:val="21"/>
                      <w:lang w:val="en-US" w:eastAsia="zh-CN" w:bidi="ar-SA"/>
                    </w:rPr>
                    <w:t>℃，折光率为</w:t>
                  </w:r>
                  <w:r>
                    <w:rPr>
                      <w:rFonts w:hint="default" w:ascii="Times New Roman" w:hAnsi="Times New Roman" w:eastAsia="宋体" w:cs="Times New Roman"/>
                      <w:color w:val="000000" w:themeColor="text1"/>
                      <w:kern w:val="0"/>
                      <w:sz w:val="21"/>
                      <w:szCs w:val="21"/>
                      <w:lang w:val="en-US" w:eastAsia="zh-CN" w:bidi="ar-SA"/>
                    </w:rPr>
                    <w:t>1.361</w:t>
                  </w:r>
                  <w:r>
                    <w:rPr>
                      <w:rFonts w:hint="eastAsia" w:ascii="Times New Roman" w:hAnsi="Times New Roman" w:eastAsia="宋体" w:cs="Times New Roman"/>
                      <w:color w:val="000000" w:themeColor="text1"/>
                      <w:kern w:val="0"/>
                      <w:sz w:val="21"/>
                      <w:szCs w:val="21"/>
                      <w:lang w:val="en-US" w:eastAsia="zh-CN" w:bidi="ar-SA"/>
                    </w:rPr>
                    <w:t>。该有机溶剂用途极其广泛，主要用于医疗、化妆品、卫生用品、油脂与染料方面。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84</w:t>
                  </w:r>
                  <w:r>
                    <w:rPr>
                      <w:rFonts w:hint="eastAsia" w:ascii="Times New Roman" w:hAnsi="Times New Roman" w:eastAsia="宋体" w:cs="Times New Roman"/>
                      <w:color w:val="auto"/>
                      <w:kern w:val="0"/>
                      <w:sz w:val="21"/>
                      <w:szCs w:val="21"/>
                      <w:u w:val="none"/>
                      <w:lang w:val="en-US" w:eastAsia="zh-CN" w:bidi="ar-SA"/>
                    </w:rPr>
                    <w:t>消毒液</w:t>
                  </w:r>
                </w:p>
              </w:tc>
              <w:tc>
                <w:tcPr>
                  <w:tcW w:w="6431" w:type="dxa"/>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84</w:t>
                  </w:r>
                  <w:r>
                    <w:rPr>
                      <w:rFonts w:hint="eastAsia" w:ascii="Times New Roman" w:hAnsi="Times New Roman" w:eastAsia="宋体" w:cs="Times New Roman"/>
                      <w:color w:val="000000" w:themeColor="text1"/>
                      <w:kern w:val="0"/>
                      <w:sz w:val="21"/>
                      <w:szCs w:val="21"/>
                      <w:lang w:val="en-US" w:eastAsia="zh-CN" w:bidi="ar-SA"/>
                    </w:rPr>
                    <w:t>消毒液是一种以次氯酸钠为主的高效消毒剂，主要成分为次氯酸钠（</w:t>
                  </w:r>
                  <w:r>
                    <w:rPr>
                      <w:rFonts w:hint="default" w:ascii="Times New Roman" w:hAnsi="Times New Roman" w:eastAsia="宋体" w:cs="Times New Roman"/>
                      <w:color w:val="000000" w:themeColor="text1"/>
                      <w:kern w:val="0"/>
                      <w:sz w:val="21"/>
                      <w:szCs w:val="21"/>
                      <w:lang w:val="en-US" w:eastAsia="zh-CN" w:bidi="ar-SA"/>
                    </w:rPr>
                    <w:t>NaClO</w:t>
                  </w:r>
                  <w:r>
                    <w:rPr>
                      <w:rFonts w:hint="eastAsia" w:ascii="Times New Roman" w:hAnsi="Times New Roman" w:eastAsia="宋体" w:cs="Times New Roman"/>
                      <w:color w:val="000000" w:themeColor="text1"/>
                      <w:kern w:val="0"/>
                      <w:sz w:val="21"/>
                      <w:szCs w:val="21"/>
                      <w:lang w:val="en-US" w:eastAsia="zh-CN" w:bidi="ar-SA"/>
                    </w:rPr>
                    <w:t>）。为无色或淡黄色液体，有效氯含量因不同厂家产品略有差异，通常为</w:t>
                  </w:r>
                  <w:r>
                    <w:rPr>
                      <w:rFonts w:hint="default" w:ascii="Times New Roman" w:hAnsi="Times New Roman" w:eastAsia="宋体" w:cs="Times New Roman"/>
                      <w:color w:val="000000" w:themeColor="text1"/>
                      <w:kern w:val="0"/>
                      <w:sz w:val="21"/>
                      <w:szCs w:val="21"/>
                      <w:lang w:val="en-US" w:eastAsia="zh-CN" w:bidi="ar-SA"/>
                    </w:rPr>
                    <w:t>5.5%</w:t>
                  </w:r>
                  <w:r>
                    <w:rPr>
                      <w:rFonts w:hint="eastAsia" w:ascii="Times New Roman" w:hAnsi="Times New Roman" w:eastAsia="宋体" w:cs="Times New Roman"/>
                      <w:color w:val="000000" w:themeColor="text1"/>
                      <w:kern w:val="0"/>
                      <w:sz w:val="21"/>
                      <w:szCs w:val="21"/>
                      <w:lang w:val="en-US" w:eastAsia="zh-CN" w:bidi="ar-SA"/>
                    </w:rPr>
                    <w:t>～</w:t>
                  </w:r>
                  <w:r>
                    <w:rPr>
                      <w:rFonts w:hint="default" w:ascii="Times New Roman" w:hAnsi="Times New Roman" w:eastAsia="宋体" w:cs="Times New Roman"/>
                      <w:color w:val="000000" w:themeColor="text1"/>
                      <w:kern w:val="0"/>
                      <w:sz w:val="21"/>
                      <w:szCs w:val="21"/>
                      <w:lang w:val="en-US" w:eastAsia="zh-CN" w:bidi="ar-SA"/>
                    </w:rPr>
                    <w:t>6.5%</w:t>
                  </w:r>
                  <w:r>
                    <w:rPr>
                      <w:rFonts w:hint="eastAsia" w:ascii="Times New Roman" w:hAnsi="Times New Roman" w:eastAsia="宋体" w:cs="Times New Roman"/>
                      <w:color w:val="000000" w:themeColor="text1"/>
                      <w:kern w:val="0"/>
                      <w:sz w:val="21"/>
                      <w:szCs w:val="21"/>
                      <w:lang w:val="en-US" w:eastAsia="zh-CN" w:bidi="ar-SA"/>
                    </w:rPr>
                    <w:t>。次氯酸钠，化学式为</w:t>
                  </w:r>
                  <w:r>
                    <w:rPr>
                      <w:rFonts w:hint="default" w:ascii="Times New Roman" w:hAnsi="Times New Roman" w:eastAsia="宋体" w:cs="Times New Roman"/>
                      <w:color w:val="000000" w:themeColor="text1"/>
                      <w:kern w:val="0"/>
                      <w:sz w:val="21"/>
                      <w:szCs w:val="21"/>
                      <w:lang w:val="en-US" w:eastAsia="zh-CN" w:bidi="ar-SA"/>
                    </w:rPr>
                    <w:t>NaClO</w:t>
                  </w:r>
                  <w:r>
                    <w:rPr>
                      <w:rFonts w:hint="eastAsia" w:ascii="Times New Roman" w:hAnsi="Times New Roman" w:eastAsia="宋体" w:cs="Times New Roman"/>
                      <w:color w:val="000000" w:themeColor="text1"/>
                      <w:kern w:val="0"/>
                      <w:sz w:val="21"/>
                      <w:szCs w:val="21"/>
                      <w:lang w:val="en-US" w:eastAsia="zh-CN" w:bidi="ar-SA"/>
                    </w:rPr>
                    <w:t>，分子量</w:t>
                  </w:r>
                  <w:r>
                    <w:rPr>
                      <w:rFonts w:hint="default" w:ascii="Times New Roman" w:hAnsi="Times New Roman" w:eastAsia="宋体" w:cs="Times New Roman"/>
                      <w:color w:val="000000" w:themeColor="text1"/>
                      <w:kern w:val="0"/>
                      <w:sz w:val="21"/>
                      <w:szCs w:val="21"/>
                      <w:lang w:val="en-US" w:eastAsia="zh-CN" w:bidi="ar-SA"/>
                    </w:rPr>
                    <w:t>74.44</w:t>
                  </w:r>
                  <w:r>
                    <w:rPr>
                      <w:rFonts w:hint="eastAsia" w:ascii="Times New Roman" w:hAnsi="Times New Roman" w:eastAsia="宋体" w:cs="Times New Roman"/>
                      <w:color w:val="000000" w:themeColor="text1"/>
                      <w:kern w:val="0"/>
                      <w:sz w:val="21"/>
                      <w:szCs w:val="21"/>
                      <w:lang w:val="en-US" w:eastAsia="zh-CN" w:bidi="ar-SA"/>
                    </w:rPr>
                    <w:t>，固体为白色或苍黄色粉末，极不稳定，易于爆炸性分解。工业品为无色或淡黄色液体，具强氧化性，能逐渐分解放出氧，受光或加热即非常迅速地分解。混入还原性物质及有机物非常危险，能使红色石蕊试纸变黑，随后褪色。具有优良的消毒性能。使水溶液在真空中蒸发可得无色至黄绿色有潮解性的水合晶体。通常由氢氧化钠或碳酸钠溶液在较低温度一般在</w:t>
                  </w:r>
                  <w:r>
                    <w:rPr>
                      <w:rFonts w:hint="default" w:ascii="Times New Roman" w:hAnsi="Times New Roman" w:eastAsia="宋体" w:cs="Times New Roman"/>
                      <w:color w:val="000000" w:themeColor="text1"/>
                      <w:kern w:val="0"/>
                      <w:sz w:val="21"/>
                      <w:szCs w:val="21"/>
                      <w:lang w:val="en-US" w:eastAsia="zh-CN" w:bidi="ar-SA"/>
                    </w:rPr>
                    <w:t>30</w:t>
                  </w:r>
                  <w:r>
                    <w:rPr>
                      <w:rFonts w:hint="eastAsia" w:ascii="Times New Roman" w:hAnsi="Times New Roman" w:eastAsia="宋体" w:cs="Times New Roman"/>
                      <w:color w:val="000000" w:themeColor="text1"/>
                      <w:kern w:val="0"/>
                      <w:sz w:val="21"/>
                      <w:szCs w:val="21"/>
                      <w:lang w:val="en-US" w:eastAsia="zh-CN" w:bidi="ar-SA"/>
                    </w:rPr>
                    <w:t>℃以下时吸收氯气，或由漂白粉与碳酸钠作用而得。常用作氧化剂、杀菌剂、水的净化剂，还用于漂白纸浆和织物等。本项目</w:t>
                  </w:r>
                  <w:r>
                    <w:rPr>
                      <w:rFonts w:hint="default" w:ascii="Times New Roman" w:hAnsi="Times New Roman" w:eastAsia="宋体" w:cs="Times New Roman"/>
                      <w:color w:val="000000" w:themeColor="text1"/>
                      <w:kern w:val="0"/>
                      <w:sz w:val="21"/>
                      <w:szCs w:val="21"/>
                      <w:lang w:val="en-US" w:eastAsia="zh-CN" w:bidi="ar-SA"/>
                    </w:rPr>
                    <w:t>84</w:t>
                  </w:r>
                  <w:r>
                    <w:rPr>
                      <w:rFonts w:hint="eastAsia" w:ascii="Times New Roman" w:hAnsi="Times New Roman" w:eastAsia="宋体" w:cs="Times New Roman"/>
                      <w:color w:val="000000" w:themeColor="text1"/>
                      <w:kern w:val="0"/>
                      <w:sz w:val="21"/>
                      <w:szCs w:val="21"/>
                      <w:lang w:val="en-US" w:eastAsia="zh-CN" w:bidi="ar-SA"/>
                    </w:rPr>
                    <w:t>消毒液不作为废水处理消毒剂，仅用于医院清洁、消毒用。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pStyle w:val="45"/>
                    <w:rPr>
                      <w:color w:val="000000" w:themeColor="text1"/>
                    </w:rPr>
                  </w:pPr>
                  <w:bookmarkStart w:id="33" w:name="无水乙醇"/>
                  <w:bookmarkEnd w:id="33"/>
                  <w:r>
                    <w:rPr>
                      <w:color w:val="000000" w:themeColor="text1"/>
                    </w:rPr>
                    <w:t>无水乙醇</w:t>
                  </w:r>
                </w:p>
              </w:tc>
              <w:tc>
                <w:tcPr>
                  <w:tcW w:w="6431" w:type="dxa"/>
                  <w:vAlign w:val="center"/>
                </w:tcPr>
                <w:p>
                  <w:pPr>
                    <w:pStyle w:val="45"/>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color w:val="000000" w:themeColor="text1"/>
                    </w:rPr>
                  </w:pPr>
                  <w:bookmarkStart w:id="34" w:name="分子式：C2H6O，分子量为46.07，无色液体，有酒香，熔点为-114.1℃，"/>
                  <w:bookmarkEnd w:id="34"/>
                  <w:r>
                    <w:rPr>
                      <w:color w:val="000000" w:themeColor="text1"/>
                    </w:rPr>
                    <w:t>分子式：C</w:t>
                  </w:r>
                  <w:r>
                    <w:rPr>
                      <w:color w:val="000000" w:themeColor="text1"/>
                      <w:vertAlign w:val="subscript"/>
                    </w:rPr>
                    <w:t>2</w:t>
                  </w:r>
                  <w:r>
                    <w:rPr>
                      <w:color w:val="000000" w:themeColor="text1"/>
                    </w:rPr>
                    <w:t>H</w:t>
                  </w:r>
                  <w:r>
                    <w:rPr>
                      <w:color w:val="000000" w:themeColor="text1"/>
                      <w:vertAlign w:val="subscript"/>
                    </w:rPr>
                    <w:t>6</w:t>
                  </w:r>
                  <w:r>
                    <w:rPr>
                      <w:color w:val="000000" w:themeColor="text1"/>
                    </w:rPr>
                    <w:t>O，分子量为46.07，无色液体，有酒香，熔点为-</w:t>
                  </w:r>
                  <w:bookmarkStart w:id="35" w:name="+350瓶"/>
                  <w:bookmarkEnd w:id="35"/>
                  <w:r>
                    <w:rPr>
                      <w:color w:val="000000" w:themeColor="text1"/>
                    </w:rPr>
                    <w:t>1</w:t>
                  </w:r>
                  <w:bookmarkStart w:id="36" w:name="+0.3t"/>
                  <w:bookmarkEnd w:id="36"/>
                  <w:r>
                    <w:rPr>
                      <w:color w:val="000000" w:themeColor="text1"/>
                    </w:rPr>
                    <w:t>14.1℃，沸点为78.3℃，相对密度（水＝1）为0.79，与水混溶，可混溶于醚、氯仿、甘油等多数有机物。用于制酒工业、有机合成、消毒以及用作溶剂。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pStyle w:val="45"/>
                    <w:rPr>
                      <w:color w:val="000000" w:themeColor="text1"/>
                    </w:rPr>
                  </w:pPr>
                  <w:bookmarkStart w:id="37" w:name="双氧水_____________________________________"/>
                  <w:bookmarkEnd w:id="37"/>
                  <w:bookmarkStart w:id="38" w:name="消毒粉"/>
                  <w:bookmarkEnd w:id="38"/>
                  <w:r>
                    <w:rPr>
                      <w:rFonts w:hint="eastAsia"/>
                      <w:color w:val="auto"/>
                      <w:u w:val="none"/>
                    </w:rPr>
                    <w:t>二氯异氰尿酸钠</w:t>
                  </w:r>
                </w:p>
              </w:tc>
              <w:tc>
                <w:tcPr>
                  <w:tcW w:w="6431" w:type="dxa"/>
                  <w:vAlign w:val="center"/>
                </w:tcPr>
                <w:p>
                  <w:pPr>
                    <w:pStyle w:val="45"/>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color w:val="000000" w:themeColor="text1"/>
                    </w:rPr>
                  </w:pPr>
                  <w:bookmarkStart w:id="39" w:name="主要成分为：单过硫酸氢钾复合盐，常温下为白色粉末状物质，容易储存和运输、具有高稳"/>
                  <w:bookmarkEnd w:id="39"/>
                  <w:r>
                    <w:rPr>
                      <w:rFonts w:hint="eastAsia"/>
                      <w:color w:val="000000" w:themeColor="text1"/>
                    </w:rPr>
                    <w:t>分子式为C</w:t>
                  </w:r>
                  <w:r>
                    <w:rPr>
                      <w:rFonts w:hint="eastAsia"/>
                      <w:color w:val="000000" w:themeColor="text1"/>
                      <w:vertAlign w:val="subscript"/>
                    </w:rPr>
                    <w:t>3</w:t>
                  </w:r>
                  <w:r>
                    <w:rPr>
                      <w:rFonts w:hint="eastAsia"/>
                      <w:color w:val="000000" w:themeColor="text1"/>
                    </w:rPr>
                    <w:t>Cl</w:t>
                  </w:r>
                  <w:r>
                    <w:rPr>
                      <w:rFonts w:hint="eastAsia"/>
                      <w:color w:val="000000" w:themeColor="text1"/>
                      <w:vertAlign w:val="subscript"/>
                    </w:rPr>
                    <w:t>2</w:t>
                  </w:r>
                  <w:r>
                    <w:rPr>
                      <w:rFonts w:hint="eastAsia"/>
                      <w:color w:val="000000" w:themeColor="text1"/>
                    </w:rPr>
                    <w:t>N</w:t>
                  </w:r>
                  <w:r>
                    <w:rPr>
                      <w:rFonts w:hint="eastAsia"/>
                      <w:color w:val="000000" w:themeColor="text1"/>
                      <w:vertAlign w:val="subscript"/>
                    </w:rPr>
                    <w:t>3</w:t>
                  </w:r>
                  <w:r>
                    <w:rPr>
                      <w:rFonts w:hint="eastAsia"/>
                      <w:color w:val="000000" w:themeColor="text1"/>
                    </w:rPr>
                    <w:t>NaO</w:t>
                  </w:r>
                  <w:r>
                    <w:rPr>
                      <w:rFonts w:hint="eastAsia"/>
                      <w:color w:val="000000" w:themeColor="text1"/>
                      <w:vertAlign w:val="subscript"/>
                    </w:rPr>
                    <w:t>3</w:t>
                  </w:r>
                  <w:r>
                    <w:rPr>
                      <w:rFonts w:hint="eastAsia"/>
                      <w:color w:val="000000" w:themeColor="text1"/>
                    </w:rPr>
                    <w:t>，</w:t>
                  </w:r>
                  <w:r>
                    <w:rPr>
                      <w:rFonts w:hint="eastAsia"/>
                      <w:color w:val="000000" w:themeColor="text1"/>
                      <w:lang w:val="en-US" w:eastAsia="zh-CN"/>
                    </w:rPr>
                    <w:t>分子量219.946，</w:t>
                  </w:r>
                  <w:r>
                    <w:rPr>
                      <w:rFonts w:hint="eastAsia"/>
                      <w:color w:val="000000" w:themeColor="text1"/>
                    </w:rPr>
                    <w:t>常温下为白色粉末状晶体或颗粒，有氯气味。熔点225℃</w:t>
                  </w:r>
                  <w:r>
                    <w:rPr>
                      <w:rFonts w:hint="eastAsia"/>
                      <w:color w:val="000000" w:themeColor="text1"/>
                      <w:lang w:eastAsia="zh-CN"/>
                    </w:rPr>
                    <w:t>，沸点306.7℃，闪点139.3℃，</w:t>
                  </w:r>
                  <w:r>
                    <w:rPr>
                      <w:rFonts w:hint="eastAsia"/>
                      <w:color w:val="000000" w:themeColor="text1"/>
                      <w:lang w:val="en-US" w:eastAsia="zh-CN"/>
                    </w:rPr>
                    <w:t>密度2.06g/cm³，</w:t>
                  </w:r>
                  <w:r>
                    <w:rPr>
                      <w:rFonts w:hint="eastAsia"/>
                      <w:color w:val="000000" w:themeColor="text1"/>
                      <w:lang w:eastAsia="zh-CN"/>
                    </w:rPr>
                    <w:t>易溶于水，难溶于有机溶剂，</w:t>
                  </w:r>
                  <w:r>
                    <w:rPr>
                      <w:rFonts w:hint="eastAsia"/>
                      <w:color w:val="000000" w:themeColor="text1"/>
                      <w:lang w:val="en-US" w:eastAsia="zh-CN"/>
                    </w:rPr>
                    <w:t>用于杀灭各种致病性微生物如病毒、细菌芽孢、真菌等。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9" w:type="dxa"/>
                  <w:vAlign w:val="center"/>
                </w:tcPr>
                <w:p>
                  <w:pPr>
                    <w:pStyle w:val="45"/>
                    <w:rPr>
                      <w:rFonts w:hint="eastAsia" w:eastAsia="宋体"/>
                      <w:color w:val="000000" w:themeColor="text1"/>
                      <w:u w:val="none"/>
                      <w:lang w:val="en-US" w:eastAsia="zh-CN"/>
                    </w:rPr>
                  </w:pPr>
                  <w:r>
                    <w:rPr>
                      <w:rFonts w:hint="eastAsia"/>
                      <w:color w:val="000000" w:themeColor="text1"/>
                      <w:u w:val="none"/>
                      <w:lang w:val="en-US" w:eastAsia="zh-CN"/>
                    </w:rPr>
                    <w:t>汽油</w:t>
                  </w:r>
                </w:p>
              </w:tc>
              <w:tc>
                <w:tcPr>
                  <w:tcW w:w="6431" w:type="dxa"/>
                  <w:vAlign w:val="center"/>
                </w:tcPr>
                <w:p>
                  <w:pPr>
                    <w:pStyle w:val="45"/>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rFonts w:hint="default" w:eastAsia="宋体"/>
                      <w:color w:val="000000" w:themeColor="text1"/>
                      <w:lang w:val="en-US" w:eastAsia="zh-CN"/>
                    </w:rPr>
                  </w:pPr>
                  <w:r>
                    <w:rPr>
                      <w:rFonts w:hint="eastAsia"/>
                      <w:color w:val="000000" w:themeColor="text1"/>
                      <w:lang w:val="en-US" w:eastAsia="zh-CN"/>
                    </w:rPr>
                    <w:t>可燃性液体，</w:t>
                  </w:r>
                  <w:r>
                    <w:rPr>
                      <w:rFonts w:hint="eastAsia" w:ascii="Times New Roman" w:hAnsi="Times New Roman" w:eastAsia="宋体" w:cs="Times New Roman"/>
                      <w:color w:val="000000" w:themeColor="text1"/>
                      <w:u w:val="none"/>
                      <w:lang w:val="en-US" w:eastAsia="zh-CN"/>
                    </w:rPr>
                    <w:t>具有特殊臭味;闪点:-50℃;熔点&lt;-60℃;沸点40～200℃;溶解性:不溶于水，易溶于苯、 二硫化碳 、醇、脂肪;密度: 相对密度 (水=1)0.70～0.79;相对密度 (空气=1)3.5;稳定性:稳定，</w:t>
                  </w:r>
                  <w:r>
                    <w:rPr>
                      <w:rFonts w:hint="eastAsia"/>
                      <w:color w:val="000000" w:themeColor="text1"/>
                      <w:u w:val="none"/>
                      <w:lang w:val="en-US" w:eastAsia="zh-CN"/>
                    </w:rPr>
                    <w:t>遇明火、高热或与氧化剂接触，有引起燃烧爆炸的危险。若遇高热，容器内压增大，有开裂和爆炸的危险。对环境有危害，对水体和大气可造成污染。本品易燃，具刺激性。</w:t>
                  </w:r>
                </w:p>
              </w:tc>
            </w:tr>
          </w:tbl>
          <w:p>
            <w:pPr>
              <w:pStyle w:val="7"/>
              <w:ind w:firstLine="480"/>
              <w:rPr>
                <w:color w:val="auto"/>
              </w:rPr>
            </w:pPr>
            <w:r>
              <w:rPr>
                <w:color w:val="auto"/>
              </w:rPr>
              <w:t>5、公用工程</w:t>
            </w:r>
          </w:p>
          <w:p>
            <w:pPr>
              <w:pStyle w:val="7"/>
              <w:ind w:firstLine="480"/>
              <w:rPr>
                <w:color w:val="auto"/>
              </w:rPr>
            </w:pPr>
            <w:r>
              <w:rPr>
                <w:color w:val="auto"/>
              </w:rPr>
              <w:t>（1）给水</w:t>
            </w:r>
          </w:p>
          <w:p>
            <w:pPr>
              <w:pStyle w:val="7"/>
              <w:ind w:firstLine="480"/>
              <w:rPr>
                <w:color w:val="auto"/>
              </w:rPr>
            </w:pPr>
            <w:r>
              <w:rPr>
                <w:color w:val="auto"/>
              </w:rPr>
              <w:t>①供水水源</w:t>
            </w:r>
          </w:p>
          <w:p>
            <w:pPr>
              <w:pStyle w:val="7"/>
              <w:ind w:firstLine="480"/>
              <w:rPr>
                <w:color w:val="auto"/>
              </w:rPr>
            </w:pPr>
            <w:r>
              <w:rPr>
                <w:color w:val="auto"/>
              </w:rPr>
              <w:t>项目用水均来自市政供水。</w:t>
            </w:r>
          </w:p>
          <w:p>
            <w:pPr>
              <w:pStyle w:val="7"/>
              <w:ind w:firstLine="480"/>
              <w:rPr>
                <w:color w:val="auto"/>
              </w:rPr>
            </w:pPr>
            <w:r>
              <w:rPr>
                <w:color w:val="auto"/>
              </w:rPr>
              <w:t>②用水量核算</w:t>
            </w:r>
          </w:p>
          <w:p>
            <w:pPr>
              <w:pStyle w:val="7"/>
              <w:ind w:firstLine="480"/>
              <w:rPr>
                <w:rFonts w:hint="eastAsia"/>
                <w:color w:val="auto"/>
                <w:u w:val="single"/>
                <w:lang w:val="en-US" w:eastAsia="zh-CN"/>
              </w:rPr>
            </w:pPr>
            <w:r>
              <w:rPr>
                <w:color w:val="auto"/>
                <w:u w:val="single"/>
              </w:rPr>
              <w:t>根据</w:t>
            </w:r>
            <w:r>
              <w:rPr>
                <w:rFonts w:hint="eastAsia" w:ascii="宋体" w:hAnsi="宋体" w:eastAsia="宋体" w:cs="宋体"/>
                <w:color w:val="auto"/>
                <w:kern w:val="0"/>
                <w:sz w:val="24"/>
                <w:szCs w:val="24"/>
                <w:u w:val="single"/>
                <w:lang w:val="en-US" w:eastAsia="zh-CN" w:bidi="ar"/>
              </w:rPr>
              <w:t>临湘市</w:t>
            </w:r>
            <w:r>
              <w:rPr>
                <w:rFonts w:hint="eastAsia" w:ascii="宋体" w:hAnsi="宋体" w:cs="宋体"/>
                <w:color w:val="auto"/>
                <w:kern w:val="0"/>
                <w:sz w:val="24"/>
                <w:szCs w:val="24"/>
                <w:u w:val="single"/>
                <w:lang w:val="en-US" w:eastAsia="zh-CN" w:bidi="ar"/>
              </w:rPr>
              <w:t>五里牌</w:t>
            </w:r>
            <w:r>
              <w:rPr>
                <w:rFonts w:hint="eastAsia" w:ascii="宋体" w:hAnsi="宋体" w:eastAsia="宋体" w:cs="宋体"/>
                <w:color w:val="auto"/>
                <w:kern w:val="0"/>
                <w:sz w:val="24"/>
                <w:szCs w:val="24"/>
                <w:u w:val="single"/>
                <w:lang w:val="en-US" w:eastAsia="zh-CN" w:bidi="ar"/>
              </w:rPr>
              <w:t>街道社区卫生服务中心</w:t>
            </w:r>
            <w:r>
              <w:rPr>
                <w:rFonts w:hint="eastAsia"/>
                <w:color w:val="auto"/>
                <w:u w:val="single"/>
                <w:lang w:val="en-US" w:eastAsia="zh-CN"/>
              </w:rPr>
              <w:t>2022年全年用水量统计，本项目用水量为1963.7</w:t>
            </w:r>
            <w:r>
              <w:rPr>
                <w:color w:val="auto"/>
                <w:u w:val="single"/>
              </w:rPr>
              <w:t>m³/a</w:t>
            </w:r>
            <w:r>
              <w:rPr>
                <w:rFonts w:hint="eastAsia"/>
                <w:color w:val="auto"/>
                <w:u w:val="single"/>
                <w:lang w:eastAsia="zh-CN"/>
              </w:rPr>
              <w:t>，</w:t>
            </w:r>
            <w:r>
              <w:rPr>
                <w:rFonts w:hint="eastAsia"/>
                <w:color w:val="auto"/>
                <w:u w:val="single"/>
                <w:lang w:val="en-US" w:eastAsia="zh-CN"/>
              </w:rPr>
              <w:t>5.38</w:t>
            </w:r>
            <w:r>
              <w:rPr>
                <w:color w:val="auto"/>
                <w:u w:val="single"/>
              </w:rPr>
              <w:t>m³/d：</w:t>
            </w:r>
            <w:r>
              <w:rPr>
                <w:rFonts w:hint="eastAsia"/>
                <w:color w:val="auto"/>
                <w:u w:val="single"/>
                <w:lang w:val="en-US" w:eastAsia="zh-CN"/>
              </w:rPr>
              <w:t>排水量为1570.96</w:t>
            </w:r>
            <w:r>
              <w:rPr>
                <w:color w:val="auto"/>
                <w:u w:val="single"/>
              </w:rPr>
              <w:t>m³/a</w:t>
            </w:r>
            <w:r>
              <w:rPr>
                <w:rFonts w:hint="eastAsia"/>
                <w:color w:val="auto"/>
                <w:u w:val="single"/>
                <w:lang w:eastAsia="zh-CN"/>
              </w:rPr>
              <w:t>，</w:t>
            </w:r>
            <w:r>
              <w:rPr>
                <w:rFonts w:hint="eastAsia"/>
                <w:color w:val="auto"/>
                <w:u w:val="single"/>
                <w:lang w:val="en-US" w:eastAsia="zh-CN"/>
              </w:rPr>
              <w:t>4.30</w:t>
            </w:r>
            <w:r>
              <w:rPr>
                <w:color w:val="auto"/>
                <w:u w:val="single"/>
              </w:rPr>
              <w:t>m³/d</w:t>
            </w:r>
            <w:r>
              <w:rPr>
                <w:rFonts w:hint="eastAsia"/>
                <w:color w:val="auto"/>
                <w:u w:val="single"/>
                <w:lang w:val="en-US" w:eastAsia="zh-CN"/>
              </w:rPr>
              <w:t>。其中门诊每日就诊人数平均每天50人，门诊医疗用水为0.5</w:t>
            </w:r>
            <w:r>
              <w:rPr>
                <w:color w:val="auto"/>
                <w:u w:val="single"/>
              </w:rPr>
              <w:t>m³/d</w:t>
            </w:r>
            <w:r>
              <w:rPr>
                <w:rFonts w:hint="eastAsia"/>
                <w:color w:val="auto"/>
                <w:u w:val="single"/>
                <w:lang w:eastAsia="zh-CN"/>
              </w:rPr>
              <w:t>，</w:t>
            </w:r>
            <w:r>
              <w:rPr>
                <w:rFonts w:hint="eastAsia"/>
                <w:color w:val="auto"/>
                <w:u w:val="single"/>
                <w:lang w:val="en-US" w:eastAsia="zh-CN"/>
              </w:rPr>
              <w:t>182.5</w:t>
            </w:r>
            <w:r>
              <w:rPr>
                <w:color w:val="auto"/>
                <w:u w:val="single"/>
              </w:rPr>
              <w:t>m³/a</w:t>
            </w:r>
            <w:r>
              <w:rPr>
                <w:rFonts w:hint="eastAsia"/>
                <w:color w:val="auto"/>
                <w:u w:val="single"/>
                <w:lang w:eastAsia="zh-CN"/>
              </w:rPr>
              <w:t>；</w:t>
            </w:r>
            <w:r>
              <w:rPr>
                <w:rFonts w:hint="eastAsia"/>
                <w:color w:val="auto"/>
                <w:u w:val="single"/>
                <w:lang w:val="en-US" w:eastAsia="zh-CN"/>
              </w:rPr>
              <w:t>平均每日住院人数为6人，住院病人用水为1.08</w:t>
            </w:r>
            <w:r>
              <w:rPr>
                <w:color w:val="auto"/>
                <w:u w:val="single"/>
              </w:rPr>
              <w:t>m³/d</w:t>
            </w:r>
            <w:r>
              <w:rPr>
                <w:rFonts w:hint="eastAsia"/>
                <w:color w:val="auto"/>
                <w:u w:val="single"/>
                <w:lang w:eastAsia="zh-CN"/>
              </w:rPr>
              <w:t>，</w:t>
            </w:r>
            <w:r>
              <w:rPr>
                <w:rFonts w:hint="eastAsia"/>
                <w:color w:val="auto"/>
                <w:u w:val="single"/>
                <w:lang w:val="en-US" w:eastAsia="zh-CN"/>
              </w:rPr>
              <w:t>394.2</w:t>
            </w:r>
            <w:r>
              <w:rPr>
                <w:color w:val="auto"/>
                <w:u w:val="single"/>
              </w:rPr>
              <w:t>m³/a</w:t>
            </w:r>
            <w:r>
              <w:rPr>
                <w:rFonts w:hint="eastAsia"/>
                <w:color w:val="auto"/>
                <w:u w:val="single"/>
                <w:lang w:eastAsia="zh-CN"/>
              </w:rPr>
              <w:t>；</w:t>
            </w:r>
            <w:r>
              <w:rPr>
                <w:rFonts w:hint="eastAsia"/>
                <w:color w:val="auto"/>
                <w:u w:val="single"/>
                <w:lang w:val="en-US" w:eastAsia="zh-CN"/>
              </w:rPr>
              <w:t>医疗人员生活用水为3.5</w:t>
            </w:r>
            <w:r>
              <w:rPr>
                <w:color w:val="auto"/>
                <w:u w:val="single"/>
              </w:rPr>
              <w:t>m³/d</w:t>
            </w:r>
            <w:r>
              <w:rPr>
                <w:rFonts w:hint="eastAsia"/>
                <w:color w:val="auto"/>
                <w:u w:val="single"/>
                <w:lang w:eastAsia="zh-CN"/>
              </w:rPr>
              <w:t>，</w:t>
            </w:r>
            <w:r>
              <w:rPr>
                <w:rFonts w:hint="eastAsia"/>
                <w:color w:val="auto"/>
                <w:u w:val="single"/>
                <w:lang w:val="en-US" w:eastAsia="zh-CN"/>
              </w:rPr>
              <w:t>1277.5</w:t>
            </w:r>
            <w:r>
              <w:rPr>
                <w:color w:val="auto"/>
                <w:u w:val="single"/>
              </w:rPr>
              <w:t>m³/a</w:t>
            </w:r>
            <w:r>
              <w:rPr>
                <w:rFonts w:hint="eastAsia"/>
                <w:color w:val="auto"/>
                <w:u w:val="single"/>
                <w:lang w:eastAsia="zh-CN"/>
              </w:rPr>
              <w:t>；</w:t>
            </w:r>
            <w:r>
              <w:rPr>
                <w:rFonts w:hint="eastAsia"/>
                <w:color w:val="auto"/>
                <w:u w:val="single"/>
                <w:lang w:val="en-US" w:eastAsia="zh-CN"/>
              </w:rPr>
              <w:t>洗涤用水为0.3</w:t>
            </w:r>
            <w:r>
              <w:rPr>
                <w:color w:val="auto"/>
                <w:u w:val="single"/>
              </w:rPr>
              <w:t>m³/d</w:t>
            </w:r>
            <w:r>
              <w:rPr>
                <w:rFonts w:hint="eastAsia"/>
                <w:color w:val="auto"/>
                <w:u w:val="single"/>
                <w:lang w:eastAsia="zh-CN"/>
              </w:rPr>
              <w:t>，</w:t>
            </w:r>
            <w:r>
              <w:rPr>
                <w:rFonts w:hint="eastAsia"/>
                <w:color w:val="auto"/>
                <w:u w:val="single"/>
                <w:lang w:val="en-US" w:eastAsia="zh-CN"/>
              </w:rPr>
              <w:t>109.5</w:t>
            </w:r>
            <w:r>
              <w:rPr>
                <w:color w:val="auto"/>
                <w:u w:val="single"/>
              </w:rPr>
              <w:t>m³/a</w:t>
            </w:r>
            <w:r>
              <w:rPr>
                <w:rFonts w:hint="eastAsia"/>
                <w:color w:val="auto"/>
                <w:u w:val="single"/>
                <w:lang w:val="en-US" w:eastAsia="zh-CN"/>
              </w:rPr>
              <w:t>。</w:t>
            </w:r>
          </w:p>
          <w:p>
            <w:pPr>
              <w:pStyle w:val="7"/>
              <w:ind w:firstLine="480"/>
              <w:rPr>
                <w:rFonts w:hint="eastAsia"/>
                <w:color w:val="auto"/>
                <w:u w:val="single"/>
                <w:lang w:val="en-US" w:eastAsia="zh-CN"/>
              </w:rPr>
            </w:pPr>
            <w:r>
              <w:rPr>
                <w:rFonts w:hint="eastAsia"/>
                <w:color w:val="auto"/>
                <w:u w:val="single"/>
                <w:lang w:val="en-US" w:eastAsia="zh-CN"/>
              </w:rPr>
              <w:t>当医院满负荷运行时，即院内30张床位全部住满，按照2022年住院病人实际用水量1.08/6=0.18</w:t>
            </w:r>
            <w:r>
              <w:rPr>
                <w:color w:val="auto"/>
                <w:u w:val="single"/>
              </w:rPr>
              <w:t>m³/d</w:t>
            </w:r>
            <w:r>
              <w:rPr>
                <w:rFonts w:hint="eastAsia"/>
                <w:color w:val="auto"/>
                <w:u w:val="single"/>
                <w:lang w:eastAsia="zh-CN"/>
              </w:rPr>
              <w:t>，</w:t>
            </w:r>
            <w:r>
              <w:rPr>
                <w:rFonts w:hint="eastAsia"/>
                <w:color w:val="auto"/>
                <w:u w:val="single"/>
                <w:lang w:val="en-US" w:eastAsia="zh-CN"/>
              </w:rPr>
              <w:t>则此时住院病人用水量为0.18*30=5.4</w:t>
            </w:r>
            <w:r>
              <w:rPr>
                <w:color w:val="auto"/>
                <w:u w:val="single"/>
              </w:rPr>
              <w:t>m³/d</w:t>
            </w:r>
            <w:r>
              <w:rPr>
                <w:rFonts w:hint="eastAsia"/>
                <w:color w:val="auto"/>
                <w:u w:val="single"/>
                <w:lang w:eastAsia="zh-CN"/>
              </w:rPr>
              <w:t>，</w:t>
            </w:r>
            <w:r>
              <w:rPr>
                <w:rFonts w:hint="eastAsia"/>
                <w:color w:val="auto"/>
                <w:u w:val="single"/>
                <w:lang w:val="en-US" w:eastAsia="zh-CN"/>
              </w:rPr>
              <w:t>1971</w:t>
            </w:r>
            <w:r>
              <w:rPr>
                <w:color w:val="auto"/>
                <w:u w:val="single"/>
              </w:rPr>
              <w:t>m³/a</w:t>
            </w:r>
            <w:r>
              <w:rPr>
                <w:rFonts w:hint="eastAsia"/>
                <w:color w:val="auto"/>
                <w:u w:val="single"/>
                <w:lang w:eastAsia="zh-CN"/>
              </w:rPr>
              <w:t>；</w:t>
            </w:r>
            <w:r>
              <w:rPr>
                <w:rFonts w:hint="eastAsia"/>
                <w:color w:val="auto"/>
                <w:u w:val="single"/>
                <w:lang w:val="en-US" w:eastAsia="zh-CN"/>
              </w:rPr>
              <w:t>洗涤用水为1.5</w:t>
            </w:r>
            <w:r>
              <w:rPr>
                <w:color w:val="auto"/>
                <w:u w:val="single"/>
              </w:rPr>
              <w:t>m³/d</w:t>
            </w:r>
            <w:r>
              <w:rPr>
                <w:rFonts w:hint="eastAsia"/>
                <w:color w:val="auto"/>
                <w:u w:val="single"/>
                <w:lang w:eastAsia="zh-CN"/>
              </w:rPr>
              <w:t>，</w:t>
            </w:r>
            <w:r>
              <w:rPr>
                <w:rFonts w:hint="eastAsia"/>
                <w:color w:val="auto"/>
                <w:u w:val="single"/>
                <w:lang w:val="en-US" w:eastAsia="zh-CN"/>
              </w:rPr>
              <w:t>547.5</w:t>
            </w:r>
            <w:r>
              <w:rPr>
                <w:color w:val="auto"/>
                <w:u w:val="single"/>
              </w:rPr>
              <w:t>m³/</w:t>
            </w:r>
            <w:r>
              <w:rPr>
                <w:rFonts w:hint="eastAsia"/>
                <w:color w:val="auto"/>
                <w:u w:val="single"/>
                <w:lang w:val="en-US" w:eastAsia="zh-CN"/>
              </w:rPr>
              <w:t>a。全院总用水量为10.9</w:t>
            </w:r>
            <w:r>
              <w:rPr>
                <w:color w:val="auto"/>
                <w:u w:val="single"/>
              </w:rPr>
              <w:t>m³/d</w:t>
            </w:r>
            <w:r>
              <w:rPr>
                <w:rFonts w:hint="eastAsia"/>
                <w:color w:val="auto"/>
                <w:u w:val="single"/>
                <w:lang w:eastAsia="zh-CN"/>
              </w:rPr>
              <w:t>，</w:t>
            </w:r>
            <w:r>
              <w:rPr>
                <w:rFonts w:hint="eastAsia"/>
                <w:color w:val="auto"/>
                <w:u w:val="single"/>
                <w:lang w:val="en-US" w:eastAsia="zh-CN"/>
              </w:rPr>
              <w:t>3978.5</w:t>
            </w:r>
            <w:r>
              <w:rPr>
                <w:color w:val="auto"/>
                <w:u w:val="single"/>
              </w:rPr>
              <w:t>m³/</w:t>
            </w:r>
            <w:r>
              <w:rPr>
                <w:rFonts w:hint="eastAsia"/>
                <w:color w:val="auto"/>
                <w:u w:val="single"/>
                <w:lang w:val="en-US" w:eastAsia="zh-CN"/>
              </w:rPr>
              <w:t>a，排水量为8.72</w:t>
            </w:r>
            <w:r>
              <w:rPr>
                <w:color w:val="auto"/>
                <w:u w:val="single"/>
              </w:rPr>
              <w:t>m³/d</w:t>
            </w:r>
            <w:r>
              <w:rPr>
                <w:rFonts w:hint="eastAsia"/>
                <w:color w:val="auto"/>
                <w:u w:val="single"/>
                <w:lang w:val="en-US" w:eastAsia="zh-CN"/>
              </w:rPr>
              <w:t>，3,182.8</w:t>
            </w:r>
            <w:r>
              <w:rPr>
                <w:color w:val="auto"/>
                <w:u w:val="single"/>
              </w:rPr>
              <w:t>m³/</w:t>
            </w:r>
            <w:r>
              <w:rPr>
                <w:rFonts w:hint="eastAsia"/>
                <w:color w:val="auto"/>
                <w:u w:val="single"/>
                <w:lang w:val="en-US" w:eastAsia="zh-CN"/>
              </w:rPr>
              <w:t>a。</w:t>
            </w:r>
          </w:p>
          <w:p>
            <w:pPr>
              <w:pStyle w:val="8"/>
              <w:ind w:left="0" w:leftChars="0" w:firstLine="0" w:firstLineChars="0"/>
              <w:rPr>
                <w:rFonts w:hint="eastAsia"/>
                <w:lang w:val="en-US" w:eastAsia="zh-CN"/>
              </w:rPr>
            </w:pPr>
            <w:r>
              <w:drawing>
                <wp:inline distT="0" distB="0" distL="114300" distR="114300">
                  <wp:extent cx="4975860" cy="2336165"/>
                  <wp:effectExtent l="0" t="0" r="762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4975860" cy="2336165"/>
                          </a:xfrm>
                          <a:prstGeom prst="rect">
                            <a:avLst/>
                          </a:prstGeom>
                          <a:noFill/>
                          <a:ln>
                            <a:noFill/>
                          </a:ln>
                        </pic:spPr>
                      </pic:pic>
                    </a:graphicData>
                  </a:graphic>
                </wp:inline>
              </w:drawing>
            </w:r>
          </w:p>
          <w:p>
            <w:pPr>
              <w:pStyle w:val="7"/>
              <w:ind w:firstLine="480"/>
              <w:jc w:val="center"/>
              <w:rPr>
                <w:rFonts w:hint="eastAsia" w:eastAsia="宋体"/>
                <w:color w:val="000000" w:themeColor="text1"/>
                <w:highlight w:val="yellow"/>
                <w:lang w:val="en-US" w:eastAsia="zh-CN"/>
              </w:rPr>
            </w:pPr>
            <w:r>
              <w:rPr>
                <w:rFonts w:hint="eastAsia" w:ascii="Times New Roman" w:hAnsi="Times New Roman" w:eastAsia="宋体" w:cs="Times New Roman"/>
                <w:b/>
                <w:color w:val="000000" w:themeColor="text1"/>
                <w:sz w:val="21"/>
                <w:szCs w:val="16"/>
                <w:u w:val="none" w:color="auto"/>
                <w:lang w:val="en-US" w:eastAsia="zh-CN" w:bidi="ar-SA"/>
              </w:rPr>
              <w:t>图2-1  水平衡图  单位：m</w:t>
            </w:r>
            <w:r>
              <w:rPr>
                <w:rFonts w:hint="eastAsia" w:ascii="Times New Roman" w:hAnsi="Times New Roman" w:eastAsia="宋体" w:cs="Times New Roman"/>
                <w:b/>
                <w:color w:val="000000" w:themeColor="text1"/>
                <w:sz w:val="21"/>
                <w:szCs w:val="16"/>
                <w:u w:val="none" w:color="auto"/>
                <w:vertAlign w:val="superscript"/>
                <w:lang w:val="en-US" w:eastAsia="zh-CN" w:bidi="ar-SA"/>
              </w:rPr>
              <w:t>3</w:t>
            </w:r>
            <w:r>
              <w:rPr>
                <w:rFonts w:hint="eastAsia" w:ascii="Times New Roman" w:hAnsi="Times New Roman" w:eastAsia="宋体" w:cs="Times New Roman"/>
                <w:b/>
                <w:color w:val="000000" w:themeColor="text1"/>
                <w:sz w:val="21"/>
                <w:szCs w:val="16"/>
                <w:u w:val="none" w:color="auto"/>
                <w:lang w:val="en-US" w:eastAsia="zh-CN" w:bidi="ar-SA"/>
              </w:rPr>
              <w:t>/a</w:t>
            </w:r>
          </w:p>
          <w:p>
            <w:pPr>
              <w:pStyle w:val="7"/>
              <w:ind w:firstLine="480"/>
              <w:rPr>
                <w:color w:val="auto"/>
              </w:rPr>
            </w:pPr>
            <w:r>
              <w:rPr>
                <w:color w:val="auto"/>
              </w:rPr>
              <w:t>（2）排水</w:t>
            </w:r>
          </w:p>
          <w:p>
            <w:pPr>
              <w:pStyle w:val="7"/>
              <w:ind w:firstLine="480"/>
              <w:rPr>
                <w:color w:val="auto"/>
              </w:rPr>
            </w:pPr>
            <w:r>
              <w:rPr>
                <w:color w:val="auto"/>
              </w:rPr>
              <w:t>①雨水排放：通过雨水管汇集后再由雨水沟就近排入城镇雨水排水系统。</w:t>
            </w:r>
          </w:p>
          <w:p>
            <w:pPr>
              <w:pStyle w:val="7"/>
              <w:ind w:firstLine="480"/>
              <w:rPr>
                <w:color w:val="auto"/>
                <w:u w:val="none"/>
              </w:rPr>
            </w:pPr>
            <w:r>
              <w:rPr>
                <w:color w:val="auto"/>
                <w:u w:val="none"/>
              </w:rPr>
              <w:t>②污水排放：生活污水经化粪池处理后与医疗污水一起进入本院污水处理站处理，污水处理站设计为全封闭设计，处理工艺采用《医院污水处理技术指南》（环发[2003]197号）中推荐的“化粪池+一级强化处理+消毒”工艺，处理达到《医疗机构水污染物排放标准》（GB18466-2005）表2中预处理限值后排入市政污水管网，最终经</w:t>
            </w:r>
            <w:r>
              <w:rPr>
                <w:rFonts w:hint="eastAsia"/>
                <w:color w:val="auto"/>
                <w:u w:val="none"/>
                <w:lang w:eastAsia="zh-CN"/>
              </w:rPr>
              <w:t>临湘市污水净化中心</w:t>
            </w:r>
            <w:r>
              <w:rPr>
                <w:color w:val="auto"/>
                <w:u w:val="none"/>
              </w:rPr>
              <w:t>处理达标后排入</w:t>
            </w:r>
            <w:r>
              <w:rPr>
                <w:rFonts w:hint="eastAsia"/>
                <w:color w:val="auto"/>
                <w:u w:val="none"/>
                <w:lang w:eastAsia="zh-CN"/>
              </w:rPr>
              <w:t>长安河</w:t>
            </w:r>
            <w:r>
              <w:rPr>
                <w:color w:val="auto"/>
                <w:u w:val="none"/>
              </w:rPr>
              <w:t>。</w:t>
            </w:r>
          </w:p>
          <w:p>
            <w:pPr>
              <w:keepNext/>
              <w:keepLines w:val="0"/>
              <w:pageBreakBefore w:val="0"/>
              <w:widowControl w:val="0"/>
              <w:kinsoku/>
              <w:wordWrap/>
              <w:overflowPunct/>
              <w:topLinePunct/>
              <w:autoSpaceDE/>
              <w:autoSpaceDN/>
              <w:bidi w:val="0"/>
              <w:adjustRightInd w:val="0"/>
              <w:snapToGrid w:val="0"/>
              <w:spacing w:line="240" w:lineRule="auto"/>
              <w:ind w:firstLine="0"/>
              <w:jc w:val="center"/>
              <w:textAlignment w:val="auto"/>
              <w:rPr>
                <w:rFonts w:ascii="Times New Roman" w:hAnsi="Times New Roman" w:eastAsia="宋体" w:cs="Times New Roman"/>
                <w:b/>
                <w:color w:val="auto"/>
                <w:kern w:val="0"/>
                <w:sz w:val="21"/>
                <w:szCs w:val="21"/>
                <w:u w:val="single"/>
                <w:lang w:val="en-US" w:eastAsia="zh-CN" w:bidi="ar-SA"/>
              </w:rPr>
            </w:pPr>
            <w:r>
              <w:rPr>
                <w:rFonts w:ascii="Times New Roman" w:hAnsi="Times New Roman" w:eastAsia="宋体" w:cs="Times New Roman"/>
                <w:b/>
                <w:color w:val="auto"/>
                <w:kern w:val="0"/>
                <w:sz w:val="21"/>
                <w:szCs w:val="21"/>
                <w:u w:val="single"/>
                <w:lang w:val="en-US" w:eastAsia="zh-CN" w:bidi="ar-SA"/>
              </w:rPr>
              <w:t>表 2</w:t>
            </w:r>
            <w:r>
              <w:rPr>
                <w:rFonts w:hint="eastAsia" w:ascii="Times New Roman" w:hAnsi="Times New Roman" w:eastAsia="宋体" w:cs="Times New Roman"/>
                <w:b/>
                <w:color w:val="auto"/>
                <w:kern w:val="0"/>
                <w:sz w:val="21"/>
                <w:szCs w:val="21"/>
                <w:u w:val="single"/>
                <w:lang w:val="en-US" w:eastAsia="zh-CN" w:bidi="ar-SA"/>
              </w:rPr>
              <w:t>.1</w:t>
            </w:r>
            <w:r>
              <w:rPr>
                <w:rFonts w:ascii="Times New Roman" w:hAnsi="Times New Roman" w:eastAsia="宋体" w:cs="Times New Roman"/>
                <w:b/>
                <w:color w:val="auto"/>
                <w:kern w:val="0"/>
                <w:sz w:val="21"/>
                <w:szCs w:val="21"/>
                <w:u w:val="single"/>
                <w:lang w:val="en-US" w:eastAsia="zh-CN" w:bidi="ar-SA"/>
              </w:rPr>
              <w:t>-3</w:t>
            </w:r>
            <w:r>
              <w:rPr>
                <w:rFonts w:hint="eastAsia" w:ascii="Times New Roman" w:hAnsi="Times New Roman" w:eastAsia="宋体" w:cs="Times New Roman"/>
                <w:b/>
                <w:color w:val="auto"/>
                <w:kern w:val="0"/>
                <w:sz w:val="21"/>
                <w:szCs w:val="21"/>
                <w:u w:val="single"/>
                <w:lang w:val="en-US" w:eastAsia="zh-CN" w:bidi="ar-SA"/>
              </w:rPr>
              <w:t xml:space="preserve"> </w:t>
            </w:r>
            <w:r>
              <w:rPr>
                <w:rFonts w:ascii="Times New Roman" w:hAnsi="Times New Roman" w:eastAsia="宋体" w:cs="Times New Roman"/>
                <w:b/>
                <w:color w:val="auto"/>
                <w:kern w:val="0"/>
                <w:sz w:val="21"/>
                <w:szCs w:val="21"/>
                <w:u w:val="single"/>
                <w:lang w:val="en-US" w:eastAsia="zh-CN" w:bidi="ar-SA"/>
              </w:rPr>
              <w:t>项目给排水情况一览表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3"/>
              <w:gridCol w:w="1052"/>
              <w:gridCol w:w="1394"/>
              <w:gridCol w:w="1447"/>
              <w:gridCol w:w="1039"/>
              <w:gridCol w:w="13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b/>
                      <w:bCs/>
                      <w:color w:val="auto"/>
                      <w:u w:val="single"/>
                    </w:rPr>
                  </w:pPr>
                  <w:r>
                    <w:rPr>
                      <w:rFonts w:hint="eastAsia"/>
                      <w:b/>
                      <w:bCs/>
                      <w:color w:val="auto"/>
                      <w:u w:val="single"/>
                    </w:rPr>
                    <w:t>类型</w:t>
                  </w:r>
                </w:p>
              </w:tc>
              <w:tc>
                <w:tcPr>
                  <w:tcW w:w="673" w:type="pct"/>
                  <w:shd w:val="clear" w:color="auto" w:fill="auto"/>
                  <w:vAlign w:val="center"/>
                </w:tcPr>
                <w:p>
                  <w:pPr>
                    <w:pStyle w:val="45"/>
                    <w:rPr>
                      <w:rFonts w:hint="default"/>
                      <w:b/>
                      <w:bCs/>
                      <w:color w:val="auto"/>
                      <w:u w:val="single"/>
                      <w:lang w:val="en-US" w:eastAsia="zh-CN"/>
                    </w:rPr>
                  </w:pPr>
                  <w:r>
                    <w:rPr>
                      <w:rFonts w:hint="eastAsia"/>
                      <w:b/>
                      <w:bCs/>
                      <w:color w:val="auto"/>
                      <w:u w:val="single"/>
                      <w:lang w:val="en-US" w:eastAsia="zh-CN"/>
                    </w:rPr>
                    <w:t>用水单位数量</w:t>
                  </w:r>
                </w:p>
              </w:tc>
              <w:tc>
                <w:tcPr>
                  <w:tcW w:w="892" w:type="pct"/>
                  <w:vAlign w:val="center"/>
                </w:tcPr>
                <w:p>
                  <w:pPr>
                    <w:pStyle w:val="45"/>
                    <w:rPr>
                      <w:rFonts w:hint="default"/>
                      <w:b/>
                      <w:bCs/>
                      <w:color w:val="auto"/>
                      <w:u w:val="single"/>
                      <w:lang w:val="en-US" w:eastAsia="zh-CN"/>
                    </w:rPr>
                  </w:pPr>
                  <w:r>
                    <w:rPr>
                      <w:rFonts w:hint="eastAsia"/>
                      <w:b/>
                      <w:bCs/>
                      <w:color w:val="auto"/>
                      <w:u w:val="single"/>
                      <w:lang w:val="en-US" w:eastAsia="zh-CN"/>
                    </w:rPr>
                    <w:t>用水定额（L）</w:t>
                  </w:r>
                </w:p>
              </w:tc>
              <w:tc>
                <w:tcPr>
                  <w:tcW w:w="926" w:type="pct"/>
                  <w:shd w:val="clear" w:color="auto" w:fill="auto"/>
                  <w:vAlign w:val="center"/>
                </w:tcPr>
                <w:p>
                  <w:pPr>
                    <w:pStyle w:val="45"/>
                    <w:rPr>
                      <w:rFonts w:hint="eastAsia"/>
                      <w:b/>
                      <w:bCs/>
                      <w:color w:val="auto"/>
                      <w:u w:val="single"/>
                    </w:rPr>
                  </w:pPr>
                  <w:r>
                    <w:rPr>
                      <w:rFonts w:hint="eastAsia"/>
                      <w:b/>
                      <w:bCs/>
                      <w:color w:val="auto"/>
                      <w:u w:val="single"/>
                    </w:rPr>
                    <w:t>用水量（m</w:t>
                  </w:r>
                  <w:r>
                    <w:rPr>
                      <w:rFonts w:hint="eastAsia"/>
                      <w:b/>
                      <w:bCs/>
                      <w:color w:val="auto"/>
                      <w:u w:val="single"/>
                      <w:vertAlign w:val="superscript"/>
                    </w:rPr>
                    <w:t>3</w:t>
                  </w:r>
                  <w:r>
                    <w:rPr>
                      <w:rFonts w:hint="eastAsia"/>
                      <w:b/>
                      <w:bCs/>
                      <w:color w:val="auto"/>
                      <w:u w:val="single"/>
                    </w:rPr>
                    <w:t>/a）</w:t>
                  </w:r>
                </w:p>
              </w:tc>
              <w:tc>
                <w:tcPr>
                  <w:tcW w:w="665" w:type="pct"/>
                  <w:shd w:val="clear" w:color="auto" w:fill="auto"/>
                  <w:vAlign w:val="center"/>
                </w:tcPr>
                <w:p>
                  <w:pPr>
                    <w:pStyle w:val="45"/>
                    <w:rPr>
                      <w:rFonts w:hint="default"/>
                      <w:b/>
                      <w:bCs/>
                      <w:color w:val="auto"/>
                      <w:u w:val="single"/>
                      <w:lang w:val="en-US" w:eastAsia="zh-CN"/>
                    </w:rPr>
                  </w:pPr>
                  <w:r>
                    <w:rPr>
                      <w:rFonts w:hint="eastAsia"/>
                      <w:b/>
                      <w:bCs/>
                      <w:color w:val="auto"/>
                      <w:u w:val="single"/>
                      <w:lang w:val="en-US" w:eastAsia="zh-CN"/>
                    </w:rPr>
                    <w:t>排水系数</w:t>
                  </w:r>
                </w:p>
              </w:tc>
              <w:tc>
                <w:tcPr>
                  <w:tcW w:w="893" w:type="pct"/>
                  <w:shd w:val="clear" w:color="auto" w:fill="auto"/>
                  <w:vAlign w:val="center"/>
                </w:tcPr>
                <w:p>
                  <w:pPr>
                    <w:pStyle w:val="45"/>
                    <w:rPr>
                      <w:rFonts w:hint="eastAsia"/>
                      <w:b/>
                      <w:bCs/>
                      <w:color w:val="auto"/>
                      <w:u w:val="single"/>
                    </w:rPr>
                  </w:pPr>
                  <w:r>
                    <w:rPr>
                      <w:rFonts w:hint="eastAsia"/>
                      <w:b/>
                      <w:bCs/>
                      <w:color w:val="auto"/>
                      <w:u w:val="single"/>
                    </w:rPr>
                    <w:t>排水量（m</w:t>
                  </w:r>
                  <w:r>
                    <w:rPr>
                      <w:rFonts w:hint="eastAsia"/>
                      <w:b/>
                      <w:bCs/>
                      <w:color w:val="auto"/>
                      <w:u w:val="single"/>
                      <w:vertAlign w:val="superscript"/>
                    </w:rPr>
                    <w:t>3</w:t>
                  </w:r>
                  <w:r>
                    <w:rPr>
                      <w:rFonts w:hint="eastAsia"/>
                      <w:b/>
                      <w:bCs/>
                      <w:color w:val="auto"/>
                      <w:u w:val="single"/>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门诊医疗用水</w:t>
                  </w:r>
                </w:p>
              </w:tc>
              <w:tc>
                <w:tcPr>
                  <w:tcW w:w="673" w:type="pct"/>
                  <w:shd w:val="clear" w:color="auto" w:fill="auto"/>
                  <w:vAlign w:val="center"/>
                </w:tcPr>
                <w:p>
                  <w:pPr>
                    <w:pStyle w:val="45"/>
                    <w:rPr>
                      <w:rFonts w:hint="default"/>
                      <w:color w:val="auto"/>
                      <w:u w:val="single"/>
                      <w:lang w:val="en-US" w:eastAsia="zh-CN"/>
                    </w:rPr>
                  </w:pPr>
                  <w:r>
                    <w:rPr>
                      <w:rFonts w:hint="default"/>
                      <w:color w:val="auto"/>
                      <w:u w:val="single"/>
                      <w:lang w:val="en-US" w:eastAsia="zh-CN"/>
                    </w:rPr>
                    <w:t>50</w:t>
                  </w:r>
                </w:p>
              </w:tc>
              <w:tc>
                <w:tcPr>
                  <w:tcW w:w="892" w:type="pct"/>
                  <w:vAlign w:val="center"/>
                </w:tcPr>
                <w:p>
                  <w:pPr>
                    <w:pStyle w:val="45"/>
                    <w:rPr>
                      <w:rFonts w:hint="eastAsia"/>
                      <w:color w:val="auto"/>
                      <w:u w:val="single"/>
                      <w:lang w:val="en-US" w:eastAsia="zh-CN"/>
                    </w:rPr>
                  </w:pPr>
                  <w:r>
                    <w:rPr>
                      <w:rFonts w:hint="default"/>
                      <w:color w:val="auto"/>
                      <w:u w:val="single"/>
                      <w:lang w:val="en-US" w:eastAsia="zh-CN"/>
                    </w:rPr>
                    <w:t>10</w:t>
                  </w:r>
                </w:p>
              </w:tc>
              <w:tc>
                <w:tcPr>
                  <w:tcW w:w="926" w:type="pct"/>
                  <w:shd w:val="clear" w:color="auto" w:fill="auto"/>
                  <w:vAlign w:val="center"/>
                </w:tcPr>
                <w:p>
                  <w:pPr>
                    <w:pStyle w:val="45"/>
                    <w:rPr>
                      <w:rFonts w:hint="eastAsia"/>
                      <w:color w:val="auto"/>
                      <w:u w:val="single"/>
                      <w:lang w:val="en-US" w:eastAsia="zh-CN"/>
                    </w:rPr>
                  </w:pPr>
                  <w:r>
                    <w:rPr>
                      <w:rFonts w:hint="default"/>
                      <w:color w:val="auto"/>
                      <w:u w:val="single"/>
                      <w:lang w:val="en-US" w:eastAsia="zh-CN"/>
                    </w:rPr>
                    <w:t>182.5</w:t>
                  </w:r>
                </w:p>
              </w:tc>
              <w:tc>
                <w:tcPr>
                  <w:tcW w:w="665"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0.8</w:t>
                  </w:r>
                </w:p>
              </w:tc>
              <w:tc>
                <w:tcPr>
                  <w:tcW w:w="89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住院病人用水</w:t>
                  </w:r>
                </w:p>
              </w:tc>
              <w:tc>
                <w:tcPr>
                  <w:tcW w:w="673" w:type="pct"/>
                  <w:shd w:val="clear" w:color="auto" w:fill="auto"/>
                  <w:vAlign w:val="center"/>
                </w:tcPr>
                <w:p>
                  <w:pPr>
                    <w:pStyle w:val="45"/>
                    <w:rPr>
                      <w:rFonts w:hint="default"/>
                      <w:color w:val="auto"/>
                      <w:u w:val="single"/>
                      <w:lang w:val="en-US" w:eastAsia="zh-CN"/>
                    </w:rPr>
                  </w:pPr>
                  <w:r>
                    <w:rPr>
                      <w:rFonts w:hint="default"/>
                      <w:color w:val="auto"/>
                      <w:u w:val="single"/>
                      <w:lang w:val="en-US" w:eastAsia="zh-CN"/>
                    </w:rPr>
                    <w:t>30</w:t>
                  </w:r>
                </w:p>
              </w:tc>
              <w:tc>
                <w:tcPr>
                  <w:tcW w:w="892" w:type="pct"/>
                  <w:vAlign w:val="center"/>
                </w:tcPr>
                <w:p>
                  <w:pPr>
                    <w:pStyle w:val="45"/>
                    <w:rPr>
                      <w:rFonts w:hint="eastAsia"/>
                      <w:color w:val="auto"/>
                      <w:u w:val="single"/>
                      <w:lang w:val="en-US" w:eastAsia="zh-CN"/>
                    </w:rPr>
                  </w:pPr>
                  <w:r>
                    <w:rPr>
                      <w:rFonts w:hint="default"/>
                      <w:color w:val="auto"/>
                      <w:u w:val="single"/>
                      <w:lang w:val="en-US" w:eastAsia="zh-CN"/>
                    </w:rPr>
                    <w:t>180</w:t>
                  </w:r>
                </w:p>
              </w:tc>
              <w:tc>
                <w:tcPr>
                  <w:tcW w:w="926" w:type="pct"/>
                  <w:shd w:val="clear" w:color="auto" w:fill="auto"/>
                  <w:vAlign w:val="center"/>
                </w:tcPr>
                <w:p>
                  <w:pPr>
                    <w:pStyle w:val="45"/>
                    <w:rPr>
                      <w:rFonts w:hint="eastAsia"/>
                      <w:color w:val="auto"/>
                      <w:u w:val="single"/>
                      <w:lang w:val="en-US" w:eastAsia="zh-CN"/>
                    </w:rPr>
                  </w:pPr>
                  <w:r>
                    <w:rPr>
                      <w:rFonts w:hint="default"/>
                      <w:color w:val="auto"/>
                      <w:u w:val="single"/>
                      <w:lang w:val="en-US" w:eastAsia="zh-CN"/>
                    </w:rPr>
                    <w:t>1971</w:t>
                  </w:r>
                </w:p>
              </w:tc>
              <w:tc>
                <w:tcPr>
                  <w:tcW w:w="665"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0.8</w:t>
                  </w:r>
                </w:p>
              </w:tc>
              <w:tc>
                <w:tcPr>
                  <w:tcW w:w="89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1576.8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医疗人员生活用水</w:t>
                  </w:r>
                </w:p>
              </w:tc>
              <w:tc>
                <w:tcPr>
                  <w:tcW w:w="673" w:type="pct"/>
                  <w:shd w:val="clear" w:color="auto" w:fill="auto"/>
                  <w:vAlign w:val="center"/>
                </w:tcPr>
                <w:p>
                  <w:pPr>
                    <w:pStyle w:val="45"/>
                    <w:rPr>
                      <w:rFonts w:hint="default"/>
                      <w:color w:val="auto"/>
                      <w:u w:val="single"/>
                      <w:lang w:val="en-US" w:eastAsia="zh-CN"/>
                    </w:rPr>
                  </w:pPr>
                  <w:r>
                    <w:rPr>
                      <w:rFonts w:hint="default"/>
                      <w:color w:val="auto"/>
                      <w:u w:val="single"/>
                      <w:lang w:val="en-US" w:eastAsia="zh-CN"/>
                    </w:rPr>
                    <w:t>50</w:t>
                  </w:r>
                </w:p>
              </w:tc>
              <w:tc>
                <w:tcPr>
                  <w:tcW w:w="892" w:type="pct"/>
                  <w:vAlign w:val="center"/>
                </w:tcPr>
                <w:p>
                  <w:pPr>
                    <w:pStyle w:val="45"/>
                    <w:rPr>
                      <w:rFonts w:hint="eastAsia"/>
                      <w:color w:val="auto"/>
                      <w:u w:val="single"/>
                      <w:lang w:val="en-US" w:eastAsia="zh-CN"/>
                    </w:rPr>
                  </w:pPr>
                  <w:r>
                    <w:rPr>
                      <w:rFonts w:hint="default"/>
                      <w:color w:val="auto"/>
                      <w:u w:val="single"/>
                      <w:lang w:val="en-US" w:eastAsia="zh-CN"/>
                    </w:rPr>
                    <w:t>70</w:t>
                  </w:r>
                </w:p>
              </w:tc>
              <w:tc>
                <w:tcPr>
                  <w:tcW w:w="926" w:type="pct"/>
                  <w:shd w:val="clear" w:color="auto" w:fill="auto"/>
                  <w:vAlign w:val="center"/>
                </w:tcPr>
                <w:p>
                  <w:pPr>
                    <w:pStyle w:val="45"/>
                    <w:rPr>
                      <w:rFonts w:hint="eastAsia"/>
                      <w:color w:val="auto"/>
                      <w:u w:val="single"/>
                      <w:lang w:val="en-US" w:eastAsia="zh-CN"/>
                    </w:rPr>
                  </w:pPr>
                  <w:r>
                    <w:rPr>
                      <w:rFonts w:hint="default"/>
                      <w:color w:val="auto"/>
                      <w:u w:val="single"/>
                      <w:lang w:val="en-US" w:eastAsia="zh-CN"/>
                    </w:rPr>
                    <w:t>1277.5</w:t>
                  </w:r>
                </w:p>
              </w:tc>
              <w:tc>
                <w:tcPr>
                  <w:tcW w:w="665"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0.8</w:t>
                  </w:r>
                </w:p>
              </w:tc>
              <w:tc>
                <w:tcPr>
                  <w:tcW w:w="89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1022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洗涤用水</w:t>
                  </w:r>
                </w:p>
              </w:tc>
              <w:tc>
                <w:tcPr>
                  <w:tcW w:w="673" w:type="pct"/>
                  <w:shd w:val="clear" w:color="auto" w:fill="auto"/>
                  <w:vAlign w:val="center"/>
                </w:tcPr>
                <w:p>
                  <w:pPr>
                    <w:pStyle w:val="45"/>
                    <w:rPr>
                      <w:rFonts w:hint="default"/>
                      <w:color w:val="auto"/>
                      <w:u w:val="single"/>
                      <w:lang w:val="en-US" w:eastAsia="zh-CN"/>
                    </w:rPr>
                  </w:pPr>
                  <w:r>
                    <w:rPr>
                      <w:rFonts w:hint="default"/>
                      <w:color w:val="auto"/>
                      <w:u w:val="single"/>
                      <w:lang w:val="en-US" w:eastAsia="zh-CN"/>
                    </w:rPr>
                    <w:t>30</w:t>
                  </w:r>
                </w:p>
              </w:tc>
              <w:tc>
                <w:tcPr>
                  <w:tcW w:w="892" w:type="pct"/>
                  <w:vAlign w:val="center"/>
                </w:tcPr>
                <w:p>
                  <w:pPr>
                    <w:pStyle w:val="45"/>
                    <w:rPr>
                      <w:rFonts w:hint="eastAsia"/>
                      <w:color w:val="auto"/>
                      <w:u w:val="single"/>
                      <w:lang w:val="en-US" w:eastAsia="zh-CN"/>
                    </w:rPr>
                  </w:pPr>
                  <w:r>
                    <w:rPr>
                      <w:rFonts w:hint="default"/>
                      <w:color w:val="auto"/>
                      <w:u w:val="single"/>
                      <w:lang w:val="en-US" w:eastAsia="zh-CN"/>
                    </w:rPr>
                    <w:t>50</w:t>
                  </w:r>
                </w:p>
              </w:tc>
              <w:tc>
                <w:tcPr>
                  <w:tcW w:w="926" w:type="pct"/>
                  <w:shd w:val="clear" w:color="auto" w:fill="auto"/>
                  <w:vAlign w:val="center"/>
                </w:tcPr>
                <w:p>
                  <w:pPr>
                    <w:pStyle w:val="45"/>
                    <w:rPr>
                      <w:rFonts w:hint="eastAsia"/>
                      <w:color w:val="auto"/>
                      <w:u w:val="single"/>
                      <w:lang w:val="en-US" w:eastAsia="zh-CN"/>
                    </w:rPr>
                  </w:pPr>
                  <w:r>
                    <w:rPr>
                      <w:rFonts w:hint="default"/>
                      <w:color w:val="auto"/>
                      <w:u w:val="single"/>
                      <w:lang w:val="en-US" w:eastAsia="zh-CN"/>
                    </w:rPr>
                    <w:t>547.5</w:t>
                  </w:r>
                </w:p>
              </w:tc>
              <w:tc>
                <w:tcPr>
                  <w:tcW w:w="665"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0.8</w:t>
                  </w:r>
                </w:p>
              </w:tc>
              <w:tc>
                <w:tcPr>
                  <w:tcW w:w="89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合计</w:t>
                  </w:r>
                </w:p>
              </w:tc>
              <w:tc>
                <w:tcPr>
                  <w:tcW w:w="673"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w:t>
                  </w:r>
                </w:p>
              </w:tc>
              <w:tc>
                <w:tcPr>
                  <w:tcW w:w="892" w:type="pct"/>
                  <w:vAlign w:val="center"/>
                </w:tcPr>
                <w:p>
                  <w:pPr>
                    <w:pStyle w:val="45"/>
                    <w:rPr>
                      <w:rFonts w:hint="eastAsia"/>
                      <w:color w:val="auto"/>
                      <w:u w:val="single"/>
                      <w:lang w:val="en-US" w:eastAsia="zh-CN"/>
                    </w:rPr>
                  </w:pPr>
                  <w:r>
                    <w:rPr>
                      <w:rFonts w:hint="eastAsia"/>
                      <w:color w:val="auto"/>
                      <w:u w:val="single"/>
                      <w:lang w:val="en-US" w:eastAsia="zh-CN"/>
                    </w:rPr>
                    <w:t>/</w:t>
                  </w:r>
                </w:p>
              </w:tc>
              <w:tc>
                <w:tcPr>
                  <w:tcW w:w="926" w:type="pct"/>
                  <w:shd w:val="clear" w:color="auto" w:fill="auto"/>
                  <w:vAlign w:val="center"/>
                </w:tcPr>
                <w:p>
                  <w:pPr>
                    <w:pStyle w:val="45"/>
                    <w:rPr>
                      <w:rFonts w:hint="default"/>
                      <w:color w:val="auto"/>
                      <w:u w:val="single"/>
                      <w:lang w:val="en-US" w:eastAsia="zh-CN"/>
                    </w:rPr>
                  </w:pPr>
                  <w:r>
                    <w:rPr>
                      <w:rFonts w:hint="default"/>
                      <w:color w:val="auto"/>
                      <w:u w:val="single"/>
                      <w:lang w:val="en-US" w:eastAsia="zh-CN"/>
                    </w:rPr>
                    <w:t>3978.5</w:t>
                  </w:r>
                </w:p>
              </w:tc>
              <w:tc>
                <w:tcPr>
                  <w:tcW w:w="665"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w:t>
                  </w:r>
                </w:p>
              </w:tc>
              <w:tc>
                <w:tcPr>
                  <w:tcW w:w="893" w:type="pct"/>
                  <w:shd w:val="clear" w:color="auto" w:fill="auto"/>
                  <w:vAlign w:val="center"/>
                </w:tcPr>
                <w:p>
                  <w:pPr>
                    <w:pStyle w:val="45"/>
                    <w:rPr>
                      <w:rFonts w:hint="default"/>
                      <w:color w:val="auto"/>
                      <w:u w:val="single"/>
                      <w:lang w:val="en-US" w:eastAsia="zh-CN"/>
                    </w:rPr>
                  </w:pPr>
                  <w:r>
                    <w:rPr>
                      <w:rFonts w:hint="default"/>
                      <w:color w:val="auto"/>
                      <w:u w:val="single"/>
                      <w:lang w:val="en-US" w:eastAsia="zh-CN"/>
                    </w:rPr>
                    <w:t>3182.8</w:t>
                  </w:r>
                </w:p>
              </w:tc>
            </w:tr>
          </w:tbl>
          <w:p>
            <w:pPr>
              <w:pStyle w:val="7"/>
              <w:rPr>
                <w:color w:val="auto"/>
              </w:rPr>
            </w:pPr>
            <w:r>
              <w:rPr>
                <w:color w:val="auto"/>
              </w:rPr>
              <w:t>（3）供电</w:t>
            </w:r>
          </w:p>
          <w:p>
            <w:pPr>
              <w:pStyle w:val="7"/>
              <w:ind w:firstLine="480"/>
              <w:rPr>
                <w:color w:val="FF0000"/>
              </w:rPr>
            </w:pPr>
            <w:r>
              <w:rPr>
                <w:color w:val="auto"/>
              </w:rPr>
              <w:t>项目已由城市电网</w:t>
            </w:r>
            <w:r>
              <w:rPr>
                <w:rFonts w:hint="eastAsia"/>
                <w:color w:val="auto"/>
                <w:lang w:val="en-US" w:eastAsia="zh-CN"/>
              </w:rPr>
              <w:t>供电，</w:t>
            </w:r>
            <w:r>
              <w:rPr>
                <w:color w:val="auto"/>
              </w:rPr>
              <w:t>本项目设置</w:t>
            </w:r>
            <w:r>
              <w:rPr>
                <w:rFonts w:hint="eastAsia"/>
                <w:color w:val="auto"/>
                <w:lang w:val="en-US" w:eastAsia="zh-CN"/>
              </w:rPr>
              <w:t>一台</w:t>
            </w:r>
            <w:r>
              <w:rPr>
                <w:color w:val="auto"/>
              </w:rPr>
              <w:t>备用发电机。</w:t>
            </w:r>
          </w:p>
          <w:p>
            <w:pPr>
              <w:pStyle w:val="7"/>
              <w:ind w:firstLine="480"/>
              <w:rPr>
                <w:color w:val="auto"/>
              </w:rPr>
            </w:pPr>
            <w:r>
              <w:rPr>
                <w:color w:val="auto"/>
              </w:rPr>
              <w:t>（4）通风</w:t>
            </w:r>
          </w:p>
          <w:p>
            <w:pPr>
              <w:pStyle w:val="7"/>
              <w:ind w:firstLine="480"/>
              <w:rPr>
                <w:color w:val="auto"/>
              </w:rPr>
            </w:pPr>
            <w:r>
              <w:rPr>
                <w:color w:val="auto"/>
              </w:rPr>
              <w:t>①空调系统</w:t>
            </w:r>
          </w:p>
          <w:p>
            <w:pPr>
              <w:pStyle w:val="7"/>
              <w:ind w:firstLine="480"/>
              <w:rPr>
                <w:color w:val="auto"/>
              </w:rPr>
            </w:pPr>
            <w:r>
              <w:rPr>
                <w:color w:val="auto"/>
              </w:rPr>
              <w:t>项目全部安装普通家用分体式空调设备。医院一般均在夏冬两季按气温情况定期开放空调。</w:t>
            </w:r>
          </w:p>
          <w:p>
            <w:pPr>
              <w:pStyle w:val="7"/>
              <w:ind w:firstLine="480"/>
              <w:rPr>
                <w:color w:val="auto"/>
              </w:rPr>
            </w:pPr>
            <w:r>
              <w:rPr>
                <w:color w:val="auto"/>
              </w:rPr>
              <w:t>②通风机防排烟系统</w:t>
            </w:r>
          </w:p>
          <w:p>
            <w:pPr>
              <w:pStyle w:val="7"/>
              <w:ind w:firstLine="480"/>
              <w:rPr>
                <w:color w:val="auto"/>
              </w:rPr>
            </w:pPr>
            <w:r>
              <w:rPr>
                <w:color w:val="auto"/>
              </w:rPr>
              <w:t>本项目病房卫生间分别设独立的排风竖井：各层平面中部的卫生间及盥洗室、医护办公等用房均分别设独立的排风系统。以上设计，避免不同种类废气相互交叉污染，既保持室内空气清洁，又不污染环境。</w:t>
            </w:r>
          </w:p>
          <w:p>
            <w:pPr>
              <w:pStyle w:val="7"/>
              <w:ind w:firstLine="480"/>
              <w:rPr>
                <w:color w:val="auto"/>
              </w:rPr>
            </w:pPr>
            <w:r>
              <w:rPr>
                <w:color w:val="auto"/>
              </w:rPr>
              <w:t>（5）供热系统</w:t>
            </w:r>
          </w:p>
          <w:p>
            <w:pPr>
              <w:pStyle w:val="7"/>
              <w:ind w:firstLine="480"/>
              <w:rPr>
                <w:color w:val="auto"/>
              </w:rPr>
            </w:pPr>
            <w:r>
              <w:rPr>
                <w:color w:val="auto"/>
              </w:rPr>
              <w:t>采用电开水器供应开水，提供饮用热水。卫生院设置有电热水器，提供洗漱热水。项目内不设置锅炉。</w:t>
            </w:r>
          </w:p>
          <w:p>
            <w:pPr>
              <w:pStyle w:val="7"/>
              <w:numPr>
                <w:ilvl w:val="0"/>
                <w:numId w:val="4"/>
              </w:numPr>
              <w:ind w:firstLine="480"/>
              <w:rPr>
                <w:color w:val="auto"/>
              </w:rPr>
            </w:pPr>
            <w:r>
              <w:rPr>
                <w:color w:val="auto"/>
              </w:rPr>
              <w:t xml:space="preserve">消毒 </w:t>
            </w:r>
          </w:p>
          <w:p>
            <w:pPr>
              <w:pStyle w:val="46"/>
              <w:rPr>
                <w:color w:val="auto"/>
              </w:rPr>
            </w:pPr>
            <w:r>
              <w:rPr>
                <w:color w:val="auto"/>
              </w:rPr>
              <w:t>表2.1-5项目主要消毒方式分类</w:t>
            </w:r>
          </w:p>
          <w:tbl>
            <w:tblPr>
              <w:tblStyle w:val="32"/>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310"/>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rPr>
                  </w:pPr>
                  <w:r>
                    <w:rPr>
                      <w:color w:val="auto"/>
                    </w:rPr>
                    <w:t>序号</w:t>
                  </w:r>
                </w:p>
              </w:tc>
              <w:tc>
                <w:tcPr>
                  <w:tcW w:w="2310" w:type="dxa"/>
                  <w:vAlign w:val="center"/>
                </w:tcPr>
                <w:p>
                  <w:pPr>
                    <w:pStyle w:val="45"/>
                    <w:rPr>
                      <w:color w:val="auto"/>
                    </w:rPr>
                  </w:pPr>
                  <w:r>
                    <w:rPr>
                      <w:color w:val="auto"/>
                    </w:rPr>
                    <w:t>分类</w:t>
                  </w:r>
                </w:p>
              </w:tc>
              <w:tc>
                <w:tcPr>
                  <w:tcW w:w="4364" w:type="dxa"/>
                  <w:vAlign w:val="center"/>
                </w:tcPr>
                <w:p>
                  <w:pPr>
                    <w:pStyle w:val="45"/>
                    <w:rPr>
                      <w:color w:val="auto"/>
                    </w:rPr>
                  </w:pPr>
                  <w:r>
                    <w:rPr>
                      <w:color w:val="auto"/>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rPr>
                  </w:pPr>
                  <w:r>
                    <w:rPr>
                      <w:color w:val="auto"/>
                    </w:rPr>
                    <w:t>1</w:t>
                  </w:r>
                </w:p>
              </w:tc>
              <w:tc>
                <w:tcPr>
                  <w:tcW w:w="2310" w:type="dxa"/>
                  <w:vAlign w:val="center"/>
                </w:tcPr>
                <w:p>
                  <w:pPr>
                    <w:pStyle w:val="45"/>
                    <w:rPr>
                      <w:color w:val="auto"/>
                    </w:rPr>
                  </w:pPr>
                  <w:r>
                    <w:rPr>
                      <w:color w:val="auto"/>
                    </w:rPr>
                    <w:t>皮肤消毒</w:t>
                  </w:r>
                </w:p>
              </w:tc>
              <w:tc>
                <w:tcPr>
                  <w:tcW w:w="4364" w:type="dxa"/>
                  <w:vAlign w:val="center"/>
                </w:tcPr>
                <w:p>
                  <w:pPr>
                    <w:pStyle w:val="45"/>
                    <w:rPr>
                      <w:color w:val="auto"/>
                    </w:rPr>
                  </w:pPr>
                  <w:r>
                    <w:rPr>
                      <w:color w:val="auto"/>
                    </w:rPr>
                    <w:t>安尔碘、碘伏、酒精、碘酒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rPr>
                  </w:pPr>
                  <w:r>
                    <w:rPr>
                      <w:color w:val="auto"/>
                    </w:rPr>
                    <w:t>2</w:t>
                  </w:r>
                </w:p>
              </w:tc>
              <w:tc>
                <w:tcPr>
                  <w:tcW w:w="2310" w:type="dxa"/>
                  <w:vAlign w:val="center"/>
                </w:tcPr>
                <w:p>
                  <w:pPr>
                    <w:pStyle w:val="45"/>
                    <w:rPr>
                      <w:color w:val="auto"/>
                    </w:rPr>
                  </w:pPr>
                  <w:r>
                    <w:rPr>
                      <w:color w:val="auto"/>
                    </w:rPr>
                    <w:t>空气消毒</w:t>
                  </w:r>
                </w:p>
              </w:tc>
              <w:tc>
                <w:tcPr>
                  <w:tcW w:w="4364" w:type="dxa"/>
                  <w:vAlign w:val="center"/>
                </w:tcPr>
                <w:p>
                  <w:pPr>
                    <w:pStyle w:val="45"/>
                    <w:rPr>
                      <w:color w:val="auto"/>
                    </w:rPr>
                  </w:pPr>
                  <w:r>
                    <w:rPr>
                      <w:color w:val="auto"/>
                    </w:rPr>
                    <w:t>紫外线、过氧乙酸熏蒸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rPr>
                  </w:pPr>
                  <w:r>
                    <w:rPr>
                      <w:color w:val="auto"/>
                    </w:rPr>
                    <w:t>3</w:t>
                  </w:r>
                </w:p>
              </w:tc>
              <w:tc>
                <w:tcPr>
                  <w:tcW w:w="2310" w:type="dxa"/>
                  <w:vAlign w:val="center"/>
                </w:tcPr>
                <w:p>
                  <w:pPr>
                    <w:pStyle w:val="45"/>
                    <w:rPr>
                      <w:color w:val="auto"/>
                    </w:rPr>
                  </w:pPr>
                  <w:r>
                    <w:rPr>
                      <w:color w:val="auto"/>
                    </w:rPr>
                    <w:t>物品消毒</w:t>
                  </w:r>
                </w:p>
              </w:tc>
              <w:tc>
                <w:tcPr>
                  <w:tcW w:w="4364" w:type="dxa"/>
                  <w:vAlign w:val="center"/>
                </w:tcPr>
                <w:p>
                  <w:pPr>
                    <w:pStyle w:val="45"/>
                    <w:rPr>
                      <w:color w:val="auto"/>
                    </w:rPr>
                  </w:pPr>
                  <w:r>
                    <w:rPr>
                      <w:color w:val="auto"/>
                    </w:rPr>
                    <w:t>84消毒液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rPr>
                  </w:pPr>
                  <w:r>
                    <w:rPr>
                      <w:color w:val="auto"/>
                    </w:rPr>
                    <w:t>4</w:t>
                  </w:r>
                </w:p>
              </w:tc>
              <w:tc>
                <w:tcPr>
                  <w:tcW w:w="2310" w:type="dxa"/>
                  <w:vAlign w:val="center"/>
                </w:tcPr>
                <w:p>
                  <w:pPr>
                    <w:pStyle w:val="45"/>
                    <w:rPr>
                      <w:color w:val="auto"/>
                    </w:rPr>
                  </w:pPr>
                  <w:r>
                    <w:rPr>
                      <w:color w:val="auto"/>
                    </w:rPr>
                    <w:t>器械消毒</w:t>
                  </w:r>
                </w:p>
              </w:tc>
              <w:tc>
                <w:tcPr>
                  <w:tcW w:w="4364" w:type="dxa"/>
                  <w:vAlign w:val="center"/>
                </w:tcPr>
                <w:p>
                  <w:pPr>
                    <w:pStyle w:val="45"/>
                    <w:rPr>
                      <w:color w:val="auto"/>
                    </w:rPr>
                  </w:pPr>
                  <w:r>
                    <w:rPr>
                      <w:color w:val="auto"/>
                    </w:rPr>
                    <w:t>高压灭菌设备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rPr>
                  </w:pPr>
                  <w:r>
                    <w:rPr>
                      <w:color w:val="auto"/>
                    </w:rPr>
                    <w:t>5</w:t>
                  </w:r>
                </w:p>
              </w:tc>
              <w:tc>
                <w:tcPr>
                  <w:tcW w:w="2310" w:type="dxa"/>
                  <w:vAlign w:val="center"/>
                </w:tcPr>
                <w:p>
                  <w:pPr>
                    <w:pStyle w:val="45"/>
                    <w:rPr>
                      <w:color w:val="auto"/>
                    </w:rPr>
                  </w:pPr>
                  <w:r>
                    <w:rPr>
                      <w:color w:val="auto"/>
                    </w:rPr>
                    <w:t>污水处理站消毒</w:t>
                  </w:r>
                </w:p>
              </w:tc>
              <w:tc>
                <w:tcPr>
                  <w:tcW w:w="4364" w:type="dxa"/>
                  <w:vAlign w:val="center"/>
                </w:tcPr>
                <w:p>
                  <w:pPr>
                    <w:pStyle w:val="45"/>
                    <w:rPr>
                      <w:color w:val="auto"/>
                    </w:rPr>
                  </w:pPr>
                  <w:r>
                    <w:rPr>
                      <w:rFonts w:hint="eastAsia"/>
                      <w:color w:val="auto"/>
                      <w:u w:val="none"/>
                    </w:rPr>
                    <w:t>二氯异氰尿酸钠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73"/>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2310" w:type="dxa"/>
                  <w:vAlign w:val="center"/>
                </w:tcPr>
                <w:p>
                  <w:pPr>
                    <w:pStyle w:val="73"/>
                    <w:bidi w:val="0"/>
                    <w:ind w:firstLine="0" w:firstLineChars="0"/>
                    <w:rPr>
                      <w:rFonts w:hint="eastAsia" w:ascii="Times New Roman" w:hAnsi="Times New Roman" w:eastAsia="宋体" w:cs="Times New Roman"/>
                      <w:color w:val="auto"/>
                      <w:kern w:val="2"/>
                      <w:sz w:val="21"/>
                      <w:szCs w:val="24"/>
                      <w:lang w:val="en-US" w:eastAsia="zh-CN" w:bidi="ar-SA"/>
                    </w:rPr>
                  </w:pPr>
                  <w:r>
                    <w:rPr>
                      <w:color w:val="auto"/>
                    </w:rPr>
                    <w:t>污水处理站</w:t>
                  </w:r>
                  <w:r>
                    <w:rPr>
                      <w:rFonts w:hint="eastAsia"/>
                      <w:color w:val="auto"/>
                      <w:lang w:val="en-US" w:eastAsia="zh-CN"/>
                    </w:rPr>
                    <w:t>污泥</w:t>
                  </w:r>
                </w:p>
              </w:tc>
              <w:tc>
                <w:tcPr>
                  <w:tcW w:w="4364" w:type="dxa"/>
                  <w:vAlign w:val="center"/>
                </w:tcPr>
                <w:p>
                  <w:pPr>
                    <w:pStyle w:val="73"/>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石灰</w:t>
                  </w:r>
                </w:p>
              </w:tc>
            </w:tr>
          </w:tbl>
          <w:p>
            <w:pPr>
              <w:pStyle w:val="7"/>
              <w:ind w:firstLine="480"/>
              <w:rPr>
                <w:color w:val="auto"/>
              </w:rPr>
            </w:pPr>
            <w:r>
              <w:rPr>
                <w:color w:val="auto"/>
              </w:rPr>
              <w:t>（7）消防设计</w:t>
            </w:r>
          </w:p>
          <w:p>
            <w:pPr>
              <w:pStyle w:val="7"/>
              <w:ind w:firstLine="480"/>
              <w:rPr>
                <w:color w:val="auto"/>
              </w:rPr>
            </w:pPr>
            <w:r>
              <w:rPr>
                <w:color w:val="auto"/>
              </w:rPr>
              <w:t>项目每一层都按照有关规定设置消火栓，并配置相应数量的手提式干粉灭火装置等，在主要通道、应急出口、楼梯间等设置应急照明，满足消防要求。</w:t>
            </w:r>
          </w:p>
          <w:p>
            <w:pPr>
              <w:pStyle w:val="7"/>
              <w:ind w:firstLine="480"/>
              <w:rPr>
                <w:color w:val="auto"/>
              </w:rPr>
            </w:pPr>
            <w:r>
              <w:rPr>
                <w:color w:val="auto"/>
              </w:rPr>
              <w:t>7、劳动定员</w:t>
            </w:r>
          </w:p>
          <w:p>
            <w:pPr>
              <w:pStyle w:val="7"/>
              <w:ind w:firstLine="480"/>
              <w:rPr>
                <w:color w:val="auto"/>
              </w:rPr>
            </w:pPr>
            <w:r>
              <w:rPr>
                <w:color w:val="auto"/>
              </w:rPr>
              <w:t>项目员工总数</w:t>
            </w:r>
            <w:r>
              <w:rPr>
                <w:rFonts w:hint="eastAsia"/>
                <w:color w:val="auto"/>
                <w:lang w:val="en-US" w:eastAsia="zh-CN"/>
              </w:rPr>
              <w:t>65</w:t>
            </w:r>
            <w:r>
              <w:rPr>
                <w:color w:val="auto"/>
              </w:rPr>
              <w:t>人，</w:t>
            </w:r>
            <w:r>
              <w:rPr>
                <w:rFonts w:hint="eastAsia"/>
                <w:color w:val="auto"/>
                <w:lang w:val="en-US" w:eastAsia="zh-CN"/>
              </w:rPr>
              <w:t>无食堂</w:t>
            </w:r>
            <w:r>
              <w:rPr>
                <w:color w:val="auto"/>
              </w:rPr>
              <w:t>。正常门诊：夏季（5~9月）上午7：30~11：30，下午1:30~5:30，冬季（10~次年4月）上午8：00~12：00，下午1：00~5：00，同时提供24小时急诊服务，全年工作365天。</w:t>
            </w:r>
          </w:p>
          <w:p>
            <w:pPr>
              <w:pStyle w:val="7"/>
              <w:ind w:firstLine="480"/>
              <w:rPr>
                <w:color w:val="auto"/>
              </w:rPr>
            </w:pPr>
            <w:r>
              <w:rPr>
                <w:color w:val="auto"/>
              </w:rPr>
              <w:t>8、诊疗规模</w:t>
            </w:r>
          </w:p>
          <w:p>
            <w:pPr>
              <w:pStyle w:val="7"/>
              <w:ind w:firstLine="480"/>
              <w:rPr>
                <w:color w:val="FF0000"/>
              </w:rPr>
            </w:pPr>
            <w:r>
              <w:rPr>
                <w:color w:val="auto"/>
                <w:u w:val="single"/>
              </w:rPr>
              <w:t>项目</w:t>
            </w:r>
            <w:r>
              <w:rPr>
                <w:rFonts w:hint="eastAsia"/>
                <w:color w:val="auto"/>
                <w:u w:val="single"/>
                <w:lang w:val="en-US" w:eastAsia="zh-CN"/>
              </w:rPr>
              <w:t>设计</w:t>
            </w:r>
            <w:r>
              <w:rPr>
                <w:color w:val="auto"/>
                <w:u w:val="single"/>
              </w:rPr>
              <w:t>床位总数</w:t>
            </w:r>
            <w:r>
              <w:rPr>
                <w:rFonts w:hint="eastAsia"/>
                <w:color w:val="auto"/>
                <w:u w:val="single"/>
                <w:lang w:val="en-US" w:eastAsia="zh-CN"/>
              </w:rPr>
              <w:t>30张</w:t>
            </w:r>
            <w:r>
              <w:rPr>
                <w:color w:val="auto"/>
                <w:u w:val="single"/>
              </w:rPr>
              <w:t>，</w:t>
            </w:r>
            <w:r>
              <w:rPr>
                <w:rFonts w:hint="eastAsia"/>
                <w:color w:val="auto"/>
                <w:u w:val="single"/>
                <w:lang w:val="en-US" w:eastAsia="zh-CN"/>
              </w:rPr>
              <w:t>平均</w:t>
            </w:r>
            <w:r>
              <w:rPr>
                <w:color w:val="auto"/>
                <w:u w:val="single"/>
              </w:rPr>
              <w:t>日问诊病人</w:t>
            </w:r>
            <w:r>
              <w:rPr>
                <w:rFonts w:hint="eastAsia"/>
                <w:color w:val="auto"/>
                <w:u w:val="single"/>
                <w:lang w:val="en-US" w:eastAsia="zh-CN"/>
              </w:rPr>
              <w:t>50</w:t>
            </w:r>
            <w:r>
              <w:rPr>
                <w:color w:val="auto"/>
                <w:u w:val="single"/>
              </w:rPr>
              <w:t>人次/d，全年约</w:t>
            </w:r>
            <w:r>
              <w:rPr>
                <w:rFonts w:hint="eastAsia"/>
                <w:color w:val="auto"/>
                <w:u w:val="single"/>
              </w:rPr>
              <w:t>18,250</w:t>
            </w:r>
            <w:r>
              <w:rPr>
                <w:color w:val="auto"/>
                <w:u w:val="single"/>
              </w:rPr>
              <w:t>人</w:t>
            </w:r>
            <w:r>
              <w:rPr>
                <w:rFonts w:hint="eastAsia"/>
                <w:color w:val="auto"/>
                <w:u w:val="single"/>
                <w:lang w:val="en-US" w:eastAsia="zh-CN"/>
              </w:rPr>
              <w:t>次</w:t>
            </w:r>
            <w:r>
              <w:rPr>
                <w:color w:val="auto"/>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ign w:val="center"/>
          </w:tcPr>
          <w:p>
            <w:pPr>
              <w:pStyle w:val="27"/>
              <w:adjustRightInd w:val="0"/>
              <w:snapToGrid w:val="0"/>
              <w:spacing w:before="0" w:beforeAutospacing="0" w:after="0" w:afterAutospacing="0"/>
              <w:jc w:val="center"/>
              <w:rPr>
                <w:rFonts w:ascii="Times New Roman" w:hAnsi="Times New Roman"/>
                <w:color w:val="FF0000"/>
                <w:szCs w:val="24"/>
              </w:rPr>
            </w:pPr>
            <w:r>
              <w:rPr>
                <w:rFonts w:ascii="Times New Roman" w:hAnsi="Times New Roman"/>
                <w:color w:val="auto"/>
                <w:szCs w:val="24"/>
              </w:rPr>
              <w:t>工艺流程和产排污环节</w:t>
            </w:r>
          </w:p>
        </w:tc>
        <w:tc>
          <w:tcPr>
            <w:tcW w:w="8059" w:type="dxa"/>
            <w:noWrap/>
          </w:tcPr>
          <w:p>
            <w:pPr>
              <w:rPr>
                <w:color w:val="auto"/>
              </w:rPr>
            </w:pPr>
            <w:r>
              <w:rPr>
                <w:color w:val="auto"/>
              </w:rPr>
              <w:t>工艺流程和产排污环节：</w:t>
            </w:r>
          </w:p>
          <w:p>
            <w:pPr>
              <w:pStyle w:val="7"/>
              <w:numPr>
                <w:ilvl w:val="0"/>
                <w:numId w:val="5"/>
              </w:numPr>
              <w:ind w:firstLine="480"/>
              <w:rPr>
                <w:color w:val="auto"/>
              </w:rPr>
            </w:pPr>
            <w:r>
              <w:rPr>
                <w:color w:val="auto"/>
              </w:rPr>
              <w:t>施工期工艺流程和产污环节分析</w:t>
            </w:r>
          </w:p>
          <w:p>
            <w:pPr>
              <w:pStyle w:val="7"/>
              <w:ind w:firstLine="480"/>
              <w:rPr>
                <w:color w:val="auto"/>
              </w:rPr>
            </w:pPr>
            <w:r>
              <w:rPr>
                <w:color w:val="auto"/>
              </w:rPr>
              <w:t>经现场踏勘，项目施工期已完成，未产生相关环境遗留问题，故评价不再对其进行分析。</w:t>
            </w:r>
          </w:p>
          <w:p>
            <w:pPr>
              <w:pStyle w:val="7"/>
              <w:numPr>
                <w:ilvl w:val="0"/>
                <w:numId w:val="5"/>
              </w:numPr>
              <w:ind w:firstLine="480"/>
              <w:rPr>
                <w:color w:val="auto"/>
              </w:rPr>
            </w:pPr>
            <w:r>
              <w:rPr>
                <w:color w:val="auto"/>
              </w:rPr>
              <w:t>营运期工艺流程和产污环节</w:t>
            </w:r>
          </w:p>
          <w:p>
            <w:pPr>
              <w:pStyle w:val="7"/>
              <w:ind w:firstLine="480"/>
              <w:rPr>
                <w:color w:val="auto"/>
              </w:rPr>
            </w:pPr>
            <w:r>
              <w:rPr>
                <w:color w:val="auto"/>
              </w:rPr>
              <w:t>2.1 工艺流程</w:t>
            </w:r>
          </w:p>
          <w:p>
            <w:pPr>
              <w:pStyle w:val="7"/>
              <w:ind w:firstLine="480"/>
              <w:rPr>
                <w:color w:val="auto"/>
              </w:rPr>
            </w:pPr>
            <w:r>
              <w:rPr>
                <w:color w:val="auto"/>
              </w:rPr>
              <w:t>营运期的工艺流程及产污环节详见下图。</w:t>
            </w:r>
          </w:p>
          <w:p>
            <w:pPr>
              <w:pStyle w:val="46"/>
              <w:rPr>
                <w:color w:val="auto"/>
              </w:rPr>
            </w:pPr>
            <w:r>
              <w:rPr>
                <w:color w:val="FF0000"/>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color w:val="auto"/>
              </w:rPr>
              <w:t>图2.2-1  营运期工艺流程及产污环节图</w:t>
            </w:r>
          </w:p>
          <w:p>
            <w:pPr>
              <w:pStyle w:val="7"/>
              <w:ind w:firstLine="480"/>
              <w:rPr>
                <w:color w:val="auto"/>
              </w:rPr>
            </w:pPr>
            <w:r>
              <w:rPr>
                <w:color w:val="auto"/>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p>
          <w:p>
            <w:pPr>
              <w:pStyle w:val="7"/>
              <w:ind w:firstLine="480"/>
              <w:rPr>
                <w:color w:val="auto"/>
              </w:rPr>
            </w:pPr>
            <w:r>
              <w:rPr>
                <w:color w:val="auto"/>
              </w:rPr>
              <w:t xml:space="preserve">2.2 产排污环节 </w:t>
            </w:r>
          </w:p>
          <w:p>
            <w:pPr>
              <w:pStyle w:val="7"/>
              <w:ind w:firstLine="480"/>
              <w:rPr>
                <w:color w:val="auto"/>
              </w:rPr>
            </w:pPr>
            <w:r>
              <w:rPr>
                <w:color w:val="auto"/>
              </w:rPr>
              <w:t>项目污染因素主要包括废水、废气、噪声及固体废物。各污染物来源途径见下表。</w:t>
            </w:r>
          </w:p>
          <w:p>
            <w:pPr>
              <w:pStyle w:val="46"/>
              <w:rPr>
                <w:rFonts w:hint="eastAsia" w:eastAsia="宋体"/>
                <w:color w:val="FF0000"/>
                <w:lang w:eastAsia="zh-CN"/>
              </w:rPr>
            </w:pPr>
            <w:r>
              <w:rPr>
                <w:color w:val="auto"/>
              </w:rPr>
              <w:t>表2.2-1  项目主要污染源一览表</w:t>
            </w:r>
          </w:p>
          <w:tbl>
            <w:tblPr>
              <w:tblStyle w:val="31"/>
              <w:tblW w:w="7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112"/>
              <w:gridCol w:w="2065"/>
              <w:gridCol w:w="3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78" w:type="dxa"/>
                  <w:tcBorders>
                    <w:tl2br w:val="nil"/>
                    <w:tr2bl w:val="nil"/>
                  </w:tcBorders>
                  <w:vAlign w:val="center"/>
                </w:tcPr>
                <w:p>
                  <w:pPr>
                    <w:pStyle w:val="45"/>
                    <w:rPr>
                      <w:color w:val="auto"/>
                    </w:rPr>
                  </w:pPr>
                  <w:r>
                    <w:rPr>
                      <w:color w:val="auto"/>
                    </w:rPr>
                    <w:t>序号</w:t>
                  </w:r>
                </w:p>
              </w:tc>
              <w:tc>
                <w:tcPr>
                  <w:tcW w:w="1112" w:type="dxa"/>
                  <w:tcBorders>
                    <w:tl2br w:val="nil"/>
                    <w:tr2bl w:val="nil"/>
                  </w:tcBorders>
                  <w:vAlign w:val="center"/>
                </w:tcPr>
                <w:p>
                  <w:pPr>
                    <w:pStyle w:val="45"/>
                    <w:rPr>
                      <w:color w:val="auto"/>
                    </w:rPr>
                  </w:pPr>
                  <w:r>
                    <w:rPr>
                      <w:color w:val="auto"/>
                    </w:rPr>
                    <w:t>污染因素</w:t>
                  </w:r>
                </w:p>
              </w:tc>
              <w:tc>
                <w:tcPr>
                  <w:tcW w:w="2065" w:type="dxa"/>
                  <w:tcBorders>
                    <w:tl2br w:val="nil"/>
                    <w:tr2bl w:val="nil"/>
                  </w:tcBorders>
                  <w:vAlign w:val="center"/>
                </w:tcPr>
                <w:p>
                  <w:pPr>
                    <w:pStyle w:val="45"/>
                    <w:rPr>
                      <w:color w:val="auto"/>
                    </w:rPr>
                  </w:pPr>
                  <w:r>
                    <w:rPr>
                      <w:rFonts w:hint="eastAsia"/>
                      <w:color w:val="auto"/>
                      <w:lang w:eastAsia="zh-CN"/>
                    </w:rPr>
                    <w:t>产污环节</w:t>
                  </w:r>
                </w:p>
              </w:tc>
              <w:tc>
                <w:tcPr>
                  <w:tcW w:w="3872" w:type="dxa"/>
                  <w:tcBorders>
                    <w:tl2br w:val="nil"/>
                    <w:tr2bl w:val="nil"/>
                  </w:tcBorders>
                  <w:vAlign w:val="center"/>
                </w:tcPr>
                <w:p>
                  <w:pPr>
                    <w:pStyle w:val="45"/>
                    <w:rPr>
                      <w:rFonts w:hint="eastAsia"/>
                      <w:color w:val="auto"/>
                      <w:kern w:val="0"/>
                      <w:lang w:eastAsia="zh-CN"/>
                    </w:rPr>
                  </w:pPr>
                  <w:r>
                    <w:rPr>
                      <w:rFonts w:hint="eastAsia"/>
                      <w:color w:val="auto"/>
                      <w:kern w:val="0"/>
                      <w:lang w:eastAsia="zh-CN"/>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dxa"/>
                  <w:tcBorders>
                    <w:tl2br w:val="nil"/>
                    <w:tr2bl w:val="nil"/>
                  </w:tcBorders>
                  <w:vAlign w:val="center"/>
                </w:tcPr>
                <w:p>
                  <w:pPr>
                    <w:pStyle w:val="45"/>
                    <w:rPr>
                      <w:color w:val="auto"/>
                    </w:rPr>
                  </w:pPr>
                  <w:r>
                    <w:rPr>
                      <w:color w:val="auto"/>
                    </w:rPr>
                    <w:t>1</w:t>
                  </w:r>
                </w:p>
              </w:tc>
              <w:tc>
                <w:tcPr>
                  <w:tcW w:w="1112" w:type="dxa"/>
                  <w:tcBorders>
                    <w:tl2br w:val="nil"/>
                    <w:tr2bl w:val="nil"/>
                  </w:tcBorders>
                  <w:vAlign w:val="center"/>
                </w:tcPr>
                <w:p>
                  <w:pPr>
                    <w:pStyle w:val="45"/>
                    <w:rPr>
                      <w:color w:val="auto"/>
                    </w:rPr>
                  </w:pPr>
                  <w:r>
                    <w:rPr>
                      <w:color w:val="auto"/>
                    </w:rPr>
                    <w:t>废气</w:t>
                  </w:r>
                </w:p>
              </w:tc>
              <w:tc>
                <w:tcPr>
                  <w:tcW w:w="2065" w:type="dxa"/>
                  <w:tcBorders>
                    <w:tl2br w:val="nil"/>
                    <w:tr2bl w:val="nil"/>
                  </w:tcBorders>
                  <w:vAlign w:val="center"/>
                </w:tcPr>
                <w:p>
                  <w:pPr>
                    <w:pStyle w:val="45"/>
                    <w:rPr>
                      <w:color w:val="auto"/>
                    </w:rPr>
                  </w:pPr>
                  <w:r>
                    <w:rPr>
                      <w:color w:val="auto"/>
                    </w:rPr>
                    <w:t>污水处理站、危废暂存间</w:t>
                  </w:r>
                </w:p>
              </w:tc>
              <w:tc>
                <w:tcPr>
                  <w:tcW w:w="3872" w:type="dxa"/>
                  <w:tcBorders>
                    <w:tl2br w:val="nil"/>
                    <w:tr2bl w:val="nil"/>
                  </w:tcBorders>
                  <w:vAlign w:val="center"/>
                </w:tcPr>
                <w:p>
                  <w:pPr>
                    <w:pStyle w:val="45"/>
                    <w:rPr>
                      <w:rFonts w:hint="default"/>
                      <w:color w:val="auto"/>
                      <w:kern w:val="0"/>
                      <w:lang w:val="en-US" w:eastAsia="zh-CN"/>
                    </w:rPr>
                  </w:pPr>
                  <w:r>
                    <w:rPr>
                      <w:rFonts w:hint="eastAsia"/>
                      <w:color w:val="auto"/>
                      <w:kern w:val="0"/>
                      <w:lang w:eastAsia="zh-CN"/>
                    </w:rPr>
                    <w:t>臭气浓度、H</w:t>
                  </w:r>
                  <w:r>
                    <w:rPr>
                      <w:rFonts w:hint="eastAsia"/>
                      <w:color w:val="auto"/>
                      <w:kern w:val="0"/>
                      <w:vertAlign w:val="subscript"/>
                      <w:lang w:eastAsia="zh-CN"/>
                    </w:rPr>
                    <w:t>2</w:t>
                  </w:r>
                  <w:r>
                    <w:rPr>
                      <w:rFonts w:hint="eastAsia"/>
                      <w:color w:val="auto"/>
                      <w:kern w:val="0"/>
                      <w:lang w:eastAsia="zh-CN"/>
                    </w:rPr>
                    <w:t>S、氯气、NH</w:t>
                  </w:r>
                  <w:r>
                    <w:rPr>
                      <w:rFonts w:hint="eastAsia"/>
                      <w:color w:val="auto"/>
                      <w:kern w:val="0"/>
                      <w:vertAlign w:val="subscript"/>
                      <w:lang w:eastAsia="zh-CN"/>
                    </w:rPr>
                    <w:t>3</w:t>
                  </w:r>
                  <w:r>
                    <w:rPr>
                      <w:rFonts w:hint="eastAsia"/>
                      <w:color w:val="auto"/>
                      <w:kern w:val="0"/>
                      <w:lang w:eastAsia="zh-CN"/>
                    </w:rPr>
                    <w:t>、</w:t>
                  </w:r>
                  <w:r>
                    <w:rPr>
                      <w:rFonts w:hint="eastAsia"/>
                      <w:color w:val="auto"/>
                      <w:kern w:val="0"/>
                      <w:lang w:val="en-US" w:eastAsia="zh-CN"/>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eastAsia="宋体"/>
                      <w:color w:val="auto"/>
                      <w:lang w:eastAsia="zh-CN"/>
                    </w:rPr>
                  </w:pPr>
                  <w:r>
                    <w:rPr>
                      <w:rFonts w:hint="eastAsia"/>
                      <w:color w:val="auto"/>
                      <w:lang w:val="en-US" w:eastAsia="zh-CN"/>
                    </w:rPr>
                    <w:t>2</w:t>
                  </w:r>
                </w:p>
              </w:tc>
              <w:tc>
                <w:tcPr>
                  <w:tcW w:w="1112" w:type="dxa"/>
                  <w:tcBorders>
                    <w:tl2br w:val="nil"/>
                    <w:tr2bl w:val="nil"/>
                  </w:tcBorders>
                  <w:vAlign w:val="center"/>
                </w:tcPr>
                <w:p>
                  <w:pPr>
                    <w:pStyle w:val="45"/>
                    <w:rPr>
                      <w:color w:val="auto"/>
                    </w:rPr>
                  </w:pPr>
                  <w:r>
                    <w:rPr>
                      <w:color w:val="auto"/>
                    </w:rPr>
                    <w:t>废水</w:t>
                  </w:r>
                </w:p>
              </w:tc>
              <w:tc>
                <w:tcPr>
                  <w:tcW w:w="2065" w:type="dxa"/>
                  <w:tcBorders>
                    <w:tl2br w:val="nil"/>
                    <w:tr2bl w:val="nil"/>
                  </w:tcBorders>
                  <w:vAlign w:val="center"/>
                </w:tcPr>
                <w:p>
                  <w:pPr>
                    <w:pStyle w:val="45"/>
                    <w:rPr>
                      <w:color w:val="auto"/>
                    </w:rPr>
                  </w:pPr>
                  <w:r>
                    <w:rPr>
                      <w:color w:val="auto"/>
                    </w:rPr>
                    <w:t>综合废水</w:t>
                  </w:r>
                </w:p>
              </w:tc>
              <w:tc>
                <w:tcPr>
                  <w:tcW w:w="3872" w:type="dxa"/>
                  <w:tcBorders>
                    <w:tl2br w:val="nil"/>
                    <w:tr2bl w:val="nil"/>
                  </w:tcBorders>
                  <w:vAlign w:val="center"/>
                </w:tcPr>
                <w:p>
                  <w:pPr>
                    <w:pStyle w:val="45"/>
                    <w:rPr>
                      <w:rFonts w:hint="default" w:eastAsia="宋体"/>
                      <w:color w:val="FF0000"/>
                      <w:lang w:val="en-US" w:eastAsia="zh-CN"/>
                    </w:rPr>
                  </w:pPr>
                  <w:r>
                    <w:rPr>
                      <w:color w:val="auto"/>
                      <w:kern w:val="0"/>
                    </w:rPr>
                    <w:t>BOD</w:t>
                  </w:r>
                  <w:r>
                    <w:rPr>
                      <w:color w:val="auto"/>
                      <w:kern w:val="0"/>
                      <w:vertAlign w:val="subscript"/>
                    </w:rPr>
                    <w:t>5</w:t>
                  </w:r>
                  <w:r>
                    <w:rPr>
                      <w:color w:val="auto"/>
                      <w:kern w:val="0"/>
                    </w:rPr>
                    <w:t>、CODcr、SS、</w:t>
                  </w:r>
                  <w:r>
                    <w:rPr>
                      <w:rFonts w:hint="eastAsia"/>
                      <w:color w:val="auto"/>
                      <w:kern w:val="0"/>
                    </w:rPr>
                    <w:t>氨氮</w:t>
                  </w:r>
                  <w:r>
                    <w:rPr>
                      <w:rFonts w:hint="eastAsia"/>
                      <w:color w:val="auto"/>
                      <w:kern w:val="0"/>
                      <w:lang w:eastAsia="zh-CN"/>
                    </w:rPr>
                    <w:t>、动植物油、石油类、阴离子表面活性剂、挥发酚、总氰化物、粪大肠菌群、总余氯</w:t>
                  </w:r>
                  <w:r>
                    <w:rPr>
                      <w:rFonts w:hint="eastAsia"/>
                      <w:color w:val="auto"/>
                      <w:kern w:val="0"/>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eastAsia="宋体"/>
                      <w:color w:val="auto"/>
                      <w:lang w:val="en-US" w:eastAsia="zh-CN"/>
                    </w:rPr>
                  </w:pPr>
                  <w:r>
                    <w:rPr>
                      <w:rFonts w:hint="eastAsia"/>
                      <w:color w:val="auto"/>
                      <w:lang w:val="en-US" w:eastAsia="zh-CN"/>
                    </w:rPr>
                    <w:t>3</w:t>
                  </w:r>
                </w:p>
              </w:tc>
              <w:tc>
                <w:tcPr>
                  <w:tcW w:w="1112" w:type="dxa"/>
                  <w:tcBorders>
                    <w:tl2br w:val="nil"/>
                    <w:tr2bl w:val="nil"/>
                  </w:tcBorders>
                  <w:vAlign w:val="center"/>
                </w:tcPr>
                <w:p>
                  <w:pPr>
                    <w:pStyle w:val="45"/>
                    <w:rPr>
                      <w:color w:val="auto"/>
                    </w:rPr>
                  </w:pPr>
                  <w:r>
                    <w:rPr>
                      <w:color w:val="auto"/>
                    </w:rPr>
                    <w:t>噪声</w:t>
                  </w:r>
                </w:p>
              </w:tc>
              <w:tc>
                <w:tcPr>
                  <w:tcW w:w="2065" w:type="dxa"/>
                  <w:tcBorders>
                    <w:tl2br w:val="nil"/>
                    <w:tr2bl w:val="nil"/>
                  </w:tcBorders>
                  <w:vAlign w:val="center"/>
                </w:tcPr>
                <w:p>
                  <w:pPr>
                    <w:pStyle w:val="45"/>
                    <w:rPr>
                      <w:color w:val="auto"/>
                    </w:rPr>
                  </w:pPr>
                  <w:r>
                    <w:rPr>
                      <w:color w:val="auto"/>
                    </w:rPr>
                    <w:t>设备运行</w:t>
                  </w:r>
                </w:p>
              </w:tc>
              <w:tc>
                <w:tcPr>
                  <w:tcW w:w="3872" w:type="dxa"/>
                  <w:tcBorders>
                    <w:tl2br w:val="nil"/>
                    <w:tr2bl w:val="nil"/>
                  </w:tcBorders>
                  <w:vAlign w:val="center"/>
                </w:tcPr>
                <w:p>
                  <w:pPr>
                    <w:pStyle w:val="45"/>
                    <w:rPr>
                      <w:color w:val="auto"/>
                    </w:rPr>
                  </w:pPr>
                  <w:r>
                    <w:rPr>
                      <w:color w:val="auto"/>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eastAsia="宋体"/>
                      <w:color w:val="auto"/>
                      <w:lang w:val="en-US" w:eastAsia="zh-CN"/>
                    </w:rPr>
                  </w:pPr>
                  <w:r>
                    <w:rPr>
                      <w:rFonts w:hint="eastAsia"/>
                      <w:color w:val="auto"/>
                      <w:lang w:val="en-US" w:eastAsia="zh-CN"/>
                    </w:rPr>
                    <w:t>4</w:t>
                  </w:r>
                </w:p>
              </w:tc>
              <w:tc>
                <w:tcPr>
                  <w:tcW w:w="1112" w:type="dxa"/>
                  <w:vMerge w:val="restart"/>
                  <w:tcBorders>
                    <w:tl2br w:val="nil"/>
                    <w:tr2bl w:val="nil"/>
                  </w:tcBorders>
                  <w:vAlign w:val="center"/>
                </w:tcPr>
                <w:p>
                  <w:pPr>
                    <w:pStyle w:val="45"/>
                    <w:rPr>
                      <w:color w:val="auto"/>
                    </w:rPr>
                  </w:pPr>
                  <w:r>
                    <w:rPr>
                      <w:color w:val="auto"/>
                    </w:rPr>
                    <w:t>固废</w:t>
                  </w:r>
                </w:p>
              </w:tc>
              <w:tc>
                <w:tcPr>
                  <w:tcW w:w="2065" w:type="dxa"/>
                  <w:tcBorders>
                    <w:tl2br w:val="nil"/>
                    <w:tr2bl w:val="nil"/>
                  </w:tcBorders>
                  <w:vAlign w:val="center"/>
                </w:tcPr>
                <w:p>
                  <w:pPr>
                    <w:pStyle w:val="45"/>
                    <w:rPr>
                      <w:color w:val="auto"/>
                    </w:rPr>
                  </w:pPr>
                  <w:r>
                    <w:rPr>
                      <w:color w:val="auto"/>
                    </w:rPr>
                    <w:t>门诊室、检验室、病房</w:t>
                  </w:r>
                </w:p>
              </w:tc>
              <w:tc>
                <w:tcPr>
                  <w:tcW w:w="3872" w:type="dxa"/>
                  <w:tcBorders>
                    <w:tl2br w:val="nil"/>
                    <w:tr2bl w:val="nil"/>
                  </w:tcBorders>
                  <w:vAlign w:val="center"/>
                </w:tcPr>
                <w:p>
                  <w:pPr>
                    <w:pStyle w:val="45"/>
                    <w:rPr>
                      <w:color w:val="auto"/>
                    </w:rPr>
                  </w:pPr>
                  <w:r>
                    <w:rPr>
                      <w:color w:val="auto"/>
                    </w:rPr>
                    <w:t>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eastAsia="宋体"/>
                      <w:color w:val="auto"/>
                      <w:lang w:val="en-US" w:eastAsia="zh-CN"/>
                    </w:rPr>
                  </w:pPr>
                  <w:r>
                    <w:rPr>
                      <w:rFonts w:hint="eastAsia"/>
                      <w:color w:val="auto"/>
                      <w:lang w:val="en-US" w:eastAsia="zh-CN"/>
                    </w:rPr>
                    <w:t>5</w:t>
                  </w:r>
                </w:p>
              </w:tc>
              <w:tc>
                <w:tcPr>
                  <w:tcW w:w="1112" w:type="dxa"/>
                  <w:vMerge w:val="continue"/>
                  <w:tcBorders>
                    <w:tl2br w:val="nil"/>
                    <w:tr2bl w:val="nil"/>
                  </w:tcBorders>
                  <w:vAlign w:val="center"/>
                </w:tcPr>
                <w:p>
                  <w:pPr>
                    <w:pStyle w:val="45"/>
                    <w:rPr>
                      <w:color w:val="auto"/>
                    </w:rPr>
                  </w:pPr>
                </w:p>
              </w:tc>
              <w:tc>
                <w:tcPr>
                  <w:tcW w:w="2065" w:type="dxa"/>
                  <w:tcBorders>
                    <w:tl2br w:val="nil"/>
                    <w:tr2bl w:val="nil"/>
                  </w:tcBorders>
                  <w:vAlign w:val="center"/>
                </w:tcPr>
                <w:p>
                  <w:pPr>
                    <w:pStyle w:val="45"/>
                    <w:rPr>
                      <w:color w:val="auto"/>
                    </w:rPr>
                  </w:pPr>
                  <w:r>
                    <w:rPr>
                      <w:color w:val="auto"/>
                    </w:rPr>
                    <w:t>门诊室、病房</w:t>
                  </w:r>
                </w:p>
              </w:tc>
              <w:tc>
                <w:tcPr>
                  <w:tcW w:w="3872" w:type="dxa"/>
                  <w:tcBorders>
                    <w:tl2br w:val="nil"/>
                    <w:tr2bl w:val="nil"/>
                  </w:tcBorders>
                  <w:vAlign w:val="center"/>
                </w:tcPr>
                <w:p>
                  <w:pPr>
                    <w:pStyle w:val="45"/>
                    <w:rPr>
                      <w:color w:val="auto"/>
                    </w:rPr>
                  </w:pPr>
                  <w:r>
                    <w:rPr>
                      <w:color w:val="auto"/>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color w:val="auto"/>
                      <w:lang w:val="en-US" w:eastAsia="zh-CN"/>
                    </w:rPr>
                  </w:pPr>
                  <w:r>
                    <w:rPr>
                      <w:rFonts w:hint="eastAsia"/>
                      <w:color w:val="auto"/>
                      <w:lang w:val="en-US" w:eastAsia="zh-CN"/>
                    </w:rPr>
                    <w:t>6</w:t>
                  </w:r>
                </w:p>
              </w:tc>
              <w:tc>
                <w:tcPr>
                  <w:tcW w:w="1112" w:type="dxa"/>
                  <w:vMerge w:val="continue"/>
                  <w:tcBorders>
                    <w:tl2br w:val="nil"/>
                    <w:tr2bl w:val="nil"/>
                  </w:tcBorders>
                  <w:vAlign w:val="center"/>
                </w:tcPr>
                <w:p>
                  <w:pPr>
                    <w:pStyle w:val="45"/>
                    <w:rPr>
                      <w:color w:val="auto"/>
                    </w:rPr>
                  </w:pPr>
                </w:p>
              </w:tc>
              <w:tc>
                <w:tcPr>
                  <w:tcW w:w="2065" w:type="dxa"/>
                  <w:tcBorders>
                    <w:tl2br w:val="nil"/>
                    <w:tr2bl w:val="nil"/>
                  </w:tcBorders>
                  <w:vAlign w:val="center"/>
                </w:tcPr>
                <w:p>
                  <w:pPr>
                    <w:pStyle w:val="45"/>
                    <w:rPr>
                      <w:color w:val="auto"/>
                    </w:rPr>
                  </w:pPr>
                  <w:r>
                    <w:rPr>
                      <w:rFonts w:hint="eastAsia"/>
                      <w:color w:val="000000" w:themeColor="text1"/>
                    </w:rPr>
                    <w:t>输液</w:t>
                  </w:r>
                </w:p>
              </w:tc>
              <w:tc>
                <w:tcPr>
                  <w:tcW w:w="3872" w:type="dxa"/>
                  <w:tcBorders>
                    <w:tl2br w:val="nil"/>
                    <w:tr2bl w:val="nil"/>
                  </w:tcBorders>
                  <w:vAlign w:val="center"/>
                </w:tcPr>
                <w:p>
                  <w:pPr>
                    <w:pStyle w:val="45"/>
                    <w:rPr>
                      <w:color w:val="auto"/>
                    </w:rPr>
                  </w:pPr>
                  <w:r>
                    <w:rPr>
                      <w:rFonts w:hint="eastAsia"/>
                      <w:color w:val="000000" w:themeColor="text1"/>
                    </w:rPr>
                    <w:t>一次性塑料输液瓶（袋）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eastAsia="宋体"/>
                      <w:color w:val="auto"/>
                      <w:lang w:val="en-US" w:eastAsia="zh-CN"/>
                    </w:rPr>
                  </w:pPr>
                  <w:r>
                    <w:rPr>
                      <w:rFonts w:hint="eastAsia"/>
                      <w:color w:val="auto"/>
                      <w:lang w:val="en-US" w:eastAsia="zh-CN"/>
                    </w:rPr>
                    <w:t>7</w:t>
                  </w:r>
                </w:p>
              </w:tc>
              <w:tc>
                <w:tcPr>
                  <w:tcW w:w="1112" w:type="dxa"/>
                  <w:vMerge w:val="continue"/>
                  <w:tcBorders>
                    <w:tl2br w:val="nil"/>
                    <w:tr2bl w:val="nil"/>
                  </w:tcBorders>
                  <w:vAlign w:val="center"/>
                </w:tcPr>
                <w:p>
                  <w:pPr>
                    <w:pStyle w:val="45"/>
                    <w:rPr>
                      <w:color w:val="auto"/>
                    </w:rPr>
                  </w:pPr>
                </w:p>
              </w:tc>
              <w:tc>
                <w:tcPr>
                  <w:tcW w:w="2065" w:type="dxa"/>
                  <w:tcBorders>
                    <w:tl2br w:val="nil"/>
                    <w:tr2bl w:val="nil"/>
                  </w:tcBorders>
                  <w:vAlign w:val="center"/>
                </w:tcPr>
                <w:p>
                  <w:pPr>
                    <w:pStyle w:val="45"/>
                    <w:rPr>
                      <w:color w:val="auto"/>
                    </w:rPr>
                  </w:pPr>
                  <w:r>
                    <w:rPr>
                      <w:color w:val="auto"/>
                    </w:rPr>
                    <w:t>原辅材料采购等</w:t>
                  </w:r>
                </w:p>
              </w:tc>
              <w:tc>
                <w:tcPr>
                  <w:tcW w:w="3872" w:type="dxa"/>
                  <w:tcBorders>
                    <w:tl2br w:val="nil"/>
                    <w:tr2bl w:val="nil"/>
                  </w:tcBorders>
                  <w:vAlign w:val="center"/>
                </w:tcPr>
                <w:p>
                  <w:pPr>
                    <w:pStyle w:val="45"/>
                    <w:rPr>
                      <w:color w:val="auto"/>
                    </w:rPr>
                  </w:pPr>
                  <w:r>
                    <w:rPr>
                      <w:color w:val="auto"/>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5"/>
                    <w:rPr>
                      <w:rFonts w:hint="eastAsia" w:eastAsia="宋体"/>
                      <w:color w:val="auto"/>
                      <w:lang w:val="en-US" w:eastAsia="zh-CN"/>
                    </w:rPr>
                  </w:pPr>
                  <w:r>
                    <w:rPr>
                      <w:rFonts w:hint="eastAsia"/>
                      <w:color w:val="auto"/>
                      <w:lang w:val="en-US" w:eastAsia="zh-CN"/>
                    </w:rPr>
                    <w:t>8</w:t>
                  </w:r>
                </w:p>
              </w:tc>
              <w:tc>
                <w:tcPr>
                  <w:tcW w:w="1112" w:type="dxa"/>
                  <w:vMerge w:val="continue"/>
                  <w:tcBorders>
                    <w:tl2br w:val="nil"/>
                    <w:tr2bl w:val="nil"/>
                  </w:tcBorders>
                  <w:vAlign w:val="center"/>
                </w:tcPr>
                <w:p>
                  <w:pPr>
                    <w:pStyle w:val="45"/>
                    <w:rPr>
                      <w:color w:val="auto"/>
                    </w:rPr>
                  </w:pPr>
                </w:p>
              </w:tc>
              <w:tc>
                <w:tcPr>
                  <w:tcW w:w="2065" w:type="dxa"/>
                  <w:tcBorders>
                    <w:tl2br w:val="nil"/>
                    <w:tr2bl w:val="nil"/>
                  </w:tcBorders>
                  <w:vAlign w:val="center"/>
                </w:tcPr>
                <w:p>
                  <w:pPr>
                    <w:pStyle w:val="45"/>
                    <w:rPr>
                      <w:color w:val="auto"/>
                    </w:rPr>
                  </w:pPr>
                  <w:r>
                    <w:rPr>
                      <w:color w:val="auto"/>
                    </w:rPr>
                    <w:t>污水处理站</w:t>
                  </w:r>
                </w:p>
              </w:tc>
              <w:tc>
                <w:tcPr>
                  <w:tcW w:w="3872" w:type="dxa"/>
                  <w:tcBorders>
                    <w:tl2br w:val="nil"/>
                    <w:tr2bl w:val="nil"/>
                  </w:tcBorders>
                  <w:vAlign w:val="center"/>
                </w:tcPr>
                <w:p>
                  <w:pPr>
                    <w:pStyle w:val="45"/>
                    <w:rPr>
                      <w:color w:val="auto"/>
                    </w:rPr>
                  </w:pPr>
                  <w:r>
                    <w:rPr>
                      <w:color w:val="auto"/>
                    </w:rPr>
                    <w:t>污泥</w:t>
                  </w:r>
                </w:p>
              </w:tc>
            </w:tr>
          </w:tbl>
          <w:p>
            <w:pPr>
              <w:pStyle w:val="7"/>
              <w:ind w:firstLine="4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ign w:val="center"/>
          </w:tcPr>
          <w:p>
            <w:pPr>
              <w:pStyle w:val="27"/>
              <w:adjustRightInd w:val="0"/>
              <w:snapToGrid w:val="0"/>
              <w:spacing w:before="0" w:beforeAutospacing="0" w:after="0" w:afterAutospacing="0"/>
              <w:jc w:val="center"/>
              <w:rPr>
                <w:rFonts w:ascii="Times New Roman" w:hAnsi="Times New Roman"/>
                <w:color w:val="FF0000"/>
                <w:szCs w:val="24"/>
              </w:rPr>
            </w:pPr>
            <w:r>
              <w:rPr>
                <w:rFonts w:ascii="Times New Roman" w:hAnsi="Times New Roman"/>
                <w:bCs/>
                <w:color w:val="auto"/>
                <w:kern w:val="2"/>
                <w:szCs w:val="24"/>
              </w:rPr>
              <w:t>与项目有关的原有环境污染问题</w:t>
            </w:r>
          </w:p>
        </w:tc>
        <w:tc>
          <w:tcPr>
            <w:tcW w:w="8059" w:type="dxa"/>
            <w:noWrap/>
            <w:vAlign w:val="center"/>
          </w:tcPr>
          <w:p>
            <w:pPr>
              <w:rPr>
                <w:color w:val="auto"/>
              </w:rPr>
            </w:pPr>
            <w:r>
              <w:rPr>
                <w:color w:val="auto"/>
              </w:rPr>
              <w:t>与本项目有关的原有污染情况及主要环境问题：</w:t>
            </w:r>
          </w:p>
          <w:p>
            <w:pPr>
              <w:pStyle w:val="7"/>
              <w:ind w:firstLine="480"/>
              <w:rPr>
                <w:color w:val="auto"/>
              </w:rPr>
            </w:pPr>
            <w:r>
              <w:rPr>
                <w:color w:val="auto"/>
              </w:rPr>
              <w:t>本项目属于已建补办环评类型，原有污染情况简述如下：</w:t>
            </w:r>
          </w:p>
          <w:p>
            <w:pPr>
              <w:pStyle w:val="7"/>
              <w:ind w:firstLine="480"/>
              <w:rPr>
                <w:color w:val="auto"/>
              </w:rPr>
            </w:pPr>
            <w:r>
              <w:rPr>
                <w:color w:val="auto"/>
              </w:rPr>
              <w:t>1、项目现有情况</w:t>
            </w:r>
          </w:p>
          <w:p>
            <w:pPr>
              <w:pStyle w:val="7"/>
              <w:ind w:firstLine="480"/>
              <w:rPr>
                <w:color w:val="auto"/>
              </w:rPr>
            </w:pPr>
            <w:r>
              <w:rPr>
                <w:color w:val="auto"/>
              </w:rPr>
              <w:t>项目现有情况照片见下图。</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9"/>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exact"/>
                <w:jc w:val="center"/>
              </w:trPr>
              <w:tc>
                <w:tcPr>
                  <w:tcW w:w="2482" w:type="pct"/>
                  <w:vAlign w:val="center"/>
                </w:tcPr>
                <w:p>
                  <w:pPr>
                    <w:pStyle w:val="45"/>
                    <w:rPr>
                      <w:rFonts w:hint="eastAsia" w:eastAsia="宋体"/>
                      <w:color w:val="FF0000"/>
                      <w:lang w:eastAsia="zh-CN"/>
                    </w:rPr>
                  </w:pPr>
                  <w:r>
                    <w:drawing>
                      <wp:inline distT="0" distB="0" distL="114300" distR="114300">
                        <wp:extent cx="2325370" cy="2422525"/>
                        <wp:effectExtent l="0" t="0" r="177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325370" cy="2422525"/>
                                </a:xfrm>
                                <a:prstGeom prst="rect">
                                  <a:avLst/>
                                </a:prstGeom>
                                <a:noFill/>
                                <a:ln>
                                  <a:noFill/>
                                </a:ln>
                              </pic:spPr>
                            </pic:pic>
                          </a:graphicData>
                        </a:graphic>
                      </wp:inline>
                    </w:drawing>
                  </w:r>
                </w:p>
              </w:tc>
              <w:tc>
                <w:tcPr>
                  <w:tcW w:w="2517" w:type="pct"/>
                  <w:vAlign w:val="center"/>
                </w:tcPr>
                <w:p>
                  <w:pPr>
                    <w:pStyle w:val="45"/>
                    <w:rPr>
                      <w:rFonts w:hint="eastAsia" w:eastAsia="宋体"/>
                      <w:color w:val="FF0000"/>
                      <w:lang w:eastAsia="zh-CN"/>
                    </w:rPr>
                  </w:pPr>
                  <w:r>
                    <w:rPr>
                      <w:rFonts w:hint="eastAsia" w:eastAsia="宋体"/>
                      <w:color w:val="FF0000"/>
                      <w:lang w:eastAsia="zh-CN"/>
                    </w:rPr>
                    <w:drawing>
                      <wp:inline distT="0" distB="0" distL="114300" distR="114300">
                        <wp:extent cx="2365375" cy="3152140"/>
                        <wp:effectExtent l="0" t="0" r="15875" b="10160"/>
                        <wp:docPr id="4" name="图片 4" descr="危废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危废间1"/>
                                <pic:cNvPicPr>
                                  <a:picLocks noChangeAspect="1"/>
                                </pic:cNvPicPr>
                              </pic:nvPicPr>
                              <pic:blipFill>
                                <a:blip r:embed="rId13"/>
                                <a:stretch>
                                  <a:fillRect/>
                                </a:stretch>
                              </pic:blipFill>
                              <pic:spPr>
                                <a:xfrm>
                                  <a:off x="0" y="0"/>
                                  <a:ext cx="2365375" cy="3152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2" w:type="pct"/>
                  <w:vAlign w:val="center"/>
                </w:tcPr>
                <w:p>
                  <w:pPr>
                    <w:pStyle w:val="45"/>
                    <w:rPr>
                      <w:color w:val="auto"/>
                    </w:rPr>
                  </w:pPr>
                  <w:r>
                    <w:rPr>
                      <w:rFonts w:hint="eastAsia"/>
                      <w:color w:val="auto"/>
                      <w:lang w:val="en-US" w:eastAsia="zh-CN"/>
                    </w:rPr>
                    <w:t>公卫</w:t>
                  </w:r>
                  <w:r>
                    <w:rPr>
                      <w:color w:val="auto"/>
                    </w:rPr>
                    <w:t>楼</w:t>
                  </w:r>
                </w:p>
              </w:tc>
              <w:tc>
                <w:tcPr>
                  <w:tcW w:w="2517" w:type="pct"/>
                  <w:vAlign w:val="center"/>
                </w:tcPr>
                <w:p>
                  <w:pPr>
                    <w:pStyle w:val="45"/>
                    <w:rPr>
                      <w:color w:val="FF0000"/>
                    </w:rPr>
                  </w:pPr>
                  <w:r>
                    <w:rPr>
                      <w:rFonts w:hint="eastAsia"/>
                      <w:color w:val="auto"/>
                      <w:lang w:val="en-US" w:eastAsia="zh-CN"/>
                    </w:rPr>
                    <w:t>医疗废物</w:t>
                  </w:r>
                  <w:r>
                    <w:rPr>
                      <w:color w:val="auto"/>
                    </w:rPr>
                    <w:t>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8" w:hRule="exact"/>
                <w:jc w:val="center"/>
              </w:trPr>
              <w:tc>
                <w:tcPr>
                  <w:tcW w:w="2482" w:type="pct"/>
                  <w:vAlign w:val="center"/>
                </w:tcPr>
                <w:p>
                  <w:pPr>
                    <w:pStyle w:val="45"/>
                    <w:rPr>
                      <w:rFonts w:hint="eastAsia" w:eastAsia="宋体"/>
                      <w:color w:val="auto"/>
                      <w:lang w:eastAsia="zh-CN"/>
                    </w:rPr>
                  </w:pPr>
                  <w:r>
                    <w:rPr>
                      <w:rFonts w:hint="eastAsia" w:eastAsia="宋体"/>
                      <w:color w:val="auto"/>
                      <w:lang w:eastAsia="zh-CN"/>
                    </w:rPr>
                    <w:drawing>
                      <wp:inline distT="0" distB="0" distL="114300" distR="114300">
                        <wp:extent cx="2328545" cy="3103880"/>
                        <wp:effectExtent l="0" t="0" r="14605" b="1270"/>
                        <wp:docPr id="5" name="图片 5" descr="危废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危废间5"/>
                                <pic:cNvPicPr>
                                  <a:picLocks noChangeAspect="1"/>
                                </pic:cNvPicPr>
                              </pic:nvPicPr>
                              <pic:blipFill>
                                <a:blip r:embed="rId14"/>
                                <a:stretch>
                                  <a:fillRect/>
                                </a:stretch>
                              </pic:blipFill>
                              <pic:spPr>
                                <a:xfrm>
                                  <a:off x="0" y="0"/>
                                  <a:ext cx="2328545" cy="3103880"/>
                                </a:xfrm>
                                <a:prstGeom prst="rect">
                                  <a:avLst/>
                                </a:prstGeom>
                              </pic:spPr>
                            </pic:pic>
                          </a:graphicData>
                        </a:graphic>
                      </wp:inline>
                    </w:drawing>
                  </w:r>
                </w:p>
              </w:tc>
              <w:tc>
                <w:tcPr>
                  <w:tcW w:w="2517" w:type="pct"/>
                  <w:vAlign w:val="center"/>
                </w:tcPr>
                <w:p>
                  <w:pPr>
                    <w:pStyle w:val="45"/>
                    <w:rPr>
                      <w:rFonts w:hint="eastAsia" w:eastAsia="宋体"/>
                      <w:color w:val="auto"/>
                      <w:lang w:eastAsia="zh-CN"/>
                    </w:rPr>
                  </w:pPr>
                  <w:r>
                    <w:rPr>
                      <w:rFonts w:hint="eastAsia" w:eastAsia="宋体"/>
                      <w:color w:val="auto"/>
                      <w:lang w:eastAsia="zh-CN"/>
                    </w:rPr>
                    <w:drawing>
                      <wp:inline distT="0" distB="0" distL="114300" distR="114300">
                        <wp:extent cx="2495550" cy="1871980"/>
                        <wp:effectExtent l="0" t="0" r="6350" b="7620"/>
                        <wp:docPr id="7" name="图片 7" descr="污水设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污水设施3"/>
                                <pic:cNvPicPr>
                                  <a:picLocks noChangeAspect="1"/>
                                </pic:cNvPicPr>
                              </pic:nvPicPr>
                              <pic:blipFill>
                                <a:blip r:embed="rId15"/>
                                <a:stretch>
                                  <a:fillRect/>
                                </a:stretch>
                              </pic:blipFill>
                              <pic:spPr>
                                <a:xfrm>
                                  <a:off x="0" y="0"/>
                                  <a:ext cx="2495550"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2" w:type="pct"/>
                  <w:vAlign w:val="center"/>
                </w:tcPr>
                <w:p>
                  <w:pPr>
                    <w:pStyle w:val="45"/>
                    <w:rPr>
                      <w:rFonts w:hint="eastAsia" w:eastAsia="宋体"/>
                      <w:color w:val="auto"/>
                      <w:lang w:val="en-US" w:eastAsia="zh-CN"/>
                    </w:rPr>
                  </w:pPr>
                  <w:r>
                    <w:rPr>
                      <w:color w:val="auto"/>
                    </w:rPr>
                    <w:t>医疗废物暂存间</w:t>
                  </w:r>
                  <w:r>
                    <w:rPr>
                      <w:rFonts w:hint="eastAsia"/>
                      <w:color w:val="auto"/>
                      <w:lang w:val="en-US" w:eastAsia="zh-CN"/>
                    </w:rPr>
                    <w:t>内部</w:t>
                  </w:r>
                </w:p>
              </w:tc>
              <w:tc>
                <w:tcPr>
                  <w:tcW w:w="2517" w:type="pct"/>
                  <w:vAlign w:val="center"/>
                </w:tcPr>
                <w:p>
                  <w:pPr>
                    <w:pStyle w:val="45"/>
                    <w:rPr>
                      <w:rFonts w:hint="eastAsia" w:eastAsia="宋体"/>
                      <w:color w:val="auto"/>
                      <w:lang w:eastAsia="zh-CN"/>
                    </w:rPr>
                  </w:pPr>
                  <w:r>
                    <w:rPr>
                      <w:color w:val="auto"/>
                    </w:rPr>
                    <w:t>污水处理</w:t>
                  </w:r>
                  <w:r>
                    <w:rPr>
                      <w:rFonts w:hint="eastAsia"/>
                      <w:color w:val="auto"/>
                      <w:lang w:val="en-US" w:eastAsia="zh-CN"/>
                    </w:rPr>
                    <w:t>设施</w:t>
                  </w:r>
                </w:p>
              </w:tc>
            </w:tr>
          </w:tbl>
          <w:p>
            <w:pPr>
              <w:pStyle w:val="7"/>
              <w:ind w:firstLine="480"/>
              <w:rPr>
                <w:color w:val="auto"/>
                <w:u w:val="none"/>
              </w:rPr>
            </w:pPr>
            <w:r>
              <w:rPr>
                <w:color w:val="auto"/>
                <w:u w:val="none"/>
              </w:rPr>
              <w:t>2、污染物排放及达标情况</w:t>
            </w:r>
          </w:p>
          <w:p>
            <w:pPr>
              <w:pStyle w:val="7"/>
              <w:ind w:firstLine="480"/>
              <w:rPr>
                <w:color w:val="auto"/>
                <w:u w:val="none"/>
              </w:rPr>
            </w:pPr>
            <w:r>
              <w:rPr>
                <w:rFonts w:hint="eastAsia"/>
                <w:color w:val="auto"/>
                <w:u w:val="none"/>
                <w:lang w:eastAsia="zh-CN"/>
              </w:rPr>
              <w:t>临湘市五里牌街道社区卫生服务中心（临湘市五里牌街道妇幼保健计划生育服务站）</w:t>
            </w:r>
            <w:r>
              <w:rPr>
                <w:color w:val="auto"/>
                <w:u w:val="none"/>
              </w:rPr>
              <w:t>于2023年</w:t>
            </w:r>
            <w:r>
              <w:rPr>
                <w:rFonts w:hint="eastAsia"/>
                <w:color w:val="auto"/>
                <w:u w:val="none"/>
                <w:lang w:val="en-US" w:eastAsia="zh-CN"/>
              </w:rPr>
              <w:t>10</w:t>
            </w:r>
            <w:r>
              <w:rPr>
                <w:color w:val="auto"/>
                <w:u w:val="none"/>
              </w:rPr>
              <w:t>月</w:t>
            </w:r>
            <w:r>
              <w:rPr>
                <w:rFonts w:hint="eastAsia"/>
                <w:color w:val="auto"/>
                <w:u w:val="none"/>
                <w:lang w:val="en-US" w:eastAsia="zh-CN"/>
              </w:rPr>
              <w:t>10-11</w:t>
            </w:r>
            <w:r>
              <w:rPr>
                <w:color w:val="auto"/>
                <w:u w:val="none"/>
              </w:rPr>
              <w:t>日委托湖南</w:t>
            </w:r>
            <w:r>
              <w:rPr>
                <w:rFonts w:hint="eastAsia"/>
                <w:color w:val="auto"/>
                <w:u w:val="none"/>
                <w:lang w:val="en-US" w:eastAsia="zh-CN"/>
              </w:rPr>
              <w:t>衡润科技</w:t>
            </w:r>
            <w:r>
              <w:rPr>
                <w:color w:val="auto"/>
                <w:u w:val="none"/>
              </w:rPr>
              <w:t>有限公司对卫生院的废气、噪声等进行了监测</w:t>
            </w:r>
            <w:r>
              <w:rPr>
                <w:rFonts w:hint="eastAsia"/>
                <w:color w:val="auto"/>
                <w:u w:val="none"/>
                <w:lang w:eastAsia="zh-CN"/>
              </w:rPr>
              <w:t>（</w:t>
            </w:r>
            <w:r>
              <w:rPr>
                <w:rFonts w:hint="eastAsia"/>
                <w:color w:val="auto"/>
                <w:highlight w:val="none"/>
                <w:u w:val="none"/>
                <w:lang w:val="en-US" w:eastAsia="zh-CN"/>
              </w:rPr>
              <w:t>报告编号：湘衡检字[HJ（2023）J]第130号</w:t>
            </w:r>
            <w:r>
              <w:rPr>
                <w:rFonts w:hint="eastAsia"/>
                <w:color w:val="auto"/>
                <w:u w:val="none"/>
                <w:lang w:eastAsia="zh-CN"/>
              </w:rPr>
              <w:t>），</w:t>
            </w:r>
            <w:r>
              <w:rPr>
                <w:color w:val="auto"/>
                <w:u w:val="none"/>
              </w:rPr>
              <w:t>监测结果见下表。</w:t>
            </w:r>
          </w:p>
          <w:p>
            <w:pPr>
              <w:pStyle w:val="7"/>
              <w:ind w:firstLine="480"/>
              <w:rPr>
                <w:color w:val="auto"/>
                <w:u w:val="none"/>
              </w:rPr>
            </w:pPr>
            <w:r>
              <w:rPr>
                <w:color w:val="auto"/>
                <w:u w:val="none"/>
              </w:rPr>
              <w:t>（</w:t>
            </w:r>
            <w:r>
              <w:rPr>
                <w:rFonts w:hint="eastAsia"/>
                <w:color w:val="auto"/>
                <w:u w:val="none"/>
                <w:lang w:val="en-US" w:eastAsia="zh-CN"/>
              </w:rPr>
              <w:t>1</w:t>
            </w:r>
            <w:r>
              <w:rPr>
                <w:color w:val="auto"/>
                <w:u w:val="none"/>
              </w:rPr>
              <w:t>）废气</w:t>
            </w:r>
          </w:p>
          <w:p>
            <w:pPr>
              <w:pStyle w:val="7"/>
              <w:ind w:firstLine="480"/>
              <w:rPr>
                <w:color w:val="auto"/>
                <w:u w:val="none"/>
              </w:rPr>
            </w:pPr>
            <w:r>
              <w:rPr>
                <w:rFonts w:hint="eastAsia"/>
                <w:color w:val="auto"/>
                <w:u w:val="none"/>
              </w:rPr>
              <w:t>为了解本项目污水处理站周边臭气的产生情况，</w:t>
            </w:r>
            <w:r>
              <w:rPr>
                <w:rFonts w:hint="eastAsia"/>
                <w:color w:val="auto"/>
                <w:u w:val="none"/>
                <w:lang w:val="en-US" w:eastAsia="zh-CN"/>
              </w:rPr>
              <w:t>建设单位</w:t>
            </w:r>
            <w:r>
              <w:rPr>
                <w:rFonts w:hint="eastAsia"/>
                <w:color w:val="auto"/>
                <w:u w:val="none"/>
              </w:rPr>
              <w:t>委托</w:t>
            </w:r>
            <w:r>
              <w:rPr>
                <w:rFonts w:hint="eastAsia"/>
                <w:color w:val="auto"/>
                <w:u w:val="none"/>
                <w:lang w:eastAsia="zh-CN"/>
              </w:rPr>
              <w:t>我公司（湖南衡润科技有限公司）</w:t>
            </w:r>
            <w:r>
              <w:rPr>
                <w:rFonts w:hint="eastAsia"/>
                <w:color w:val="auto"/>
                <w:u w:val="none"/>
              </w:rPr>
              <w:t>于2023年</w:t>
            </w:r>
            <w:r>
              <w:rPr>
                <w:rFonts w:hint="eastAsia"/>
                <w:color w:val="auto"/>
                <w:u w:val="none"/>
                <w:lang w:val="en-US" w:eastAsia="zh-CN"/>
              </w:rPr>
              <w:t>10</w:t>
            </w:r>
            <w:r>
              <w:rPr>
                <w:rFonts w:hint="eastAsia"/>
                <w:color w:val="auto"/>
                <w:u w:val="none"/>
              </w:rPr>
              <w:t>月</w:t>
            </w:r>
            <w:r>
              <w:rPr>
                <w:rFonts w:hint="eastAsia"/>
                <w:color w:val="auto"/>
                <w:u w:val="none"/>
                <w:lang w:val="en-US" w:eastAsia="zh-CN"/>
              </w:rPr>
              <w:t>10</w:t>
            </w:r>
            <w:r>
              <w:rPr>
                <w:rFonts w:hint="eastAsia"/>
                <w:color w:val="auto"/>
                <w:u w:val="none"/>
              </w:rPr>
              <w:t>日~</w:t>
            </w:r>
            <w:r>
              <w:rPr>
                <w:rFonts w:hint="eastAsia"/>
                <w:color w:val="auto"/>
                <w:u w:val="none"/>
                <w:lang w:val="en-US" w:eastAsia="zh-CN"/>
              </w:rPr>
              <w:t>11</w:t>
            </w:r>
            <w:r>
              <w:rPr>
                <w:rFonts w:hint="eastAsia"/>
                <w:color w:val="auto"/>
                <w:u w:val="none"/>
              </w:rPr>
              <w:t>日对</w:t>
            </w:r>
            <w:r>
              <w:rPr>
                <w:rFonts w:hint="eastAsia"/>
                <w:color w:val="auto"/>
                <w:u w:val="none"/>
                <w:lang w:val="en-US" w:eastAsia="zh-CN"/>
              </w:rPr>
              <w:t>项目</w:t>
            </w:r>
            <w:r>
              <w:rPr>
                <w:rFonts w:hint="eastAsia"/>
                <w:color w:val="auto"/>
                <w:u w:val="none"/>
              </w:rPr>
              <w:t>周边氨、硫化氢、臭气浓度、甲烷（指处理站内最高体积百分数%）、氯气等</w:t>
            </w:r>
            <w:r>
              <w:rPr>
                <w:rFonts w:hint="eastAsia"/>
                <w:color w:val="auto"/>
                <w:u w:val="none"/>
                <w:lang w:val="en-US" w:eastAsia="zh-CN"/>
              </w:rPr>
              <w:t>污染物进行</w:t>
            </w:r>
            <w:r>
              <w:rPr>
                <w:rFonts w:hint="eastAsia"/>
                <w:color w:val="auto"/>
                <w:u w:val="none"/>
              </w:rPr>
              <w:t>监测，具体监测结果如下：</w:t>
            </w:r>
          </w:p>
          <w:p>
            <w:pPr>
              <w:pStyle w:val="46"/>
              <w:rPr>
                <w:color w:val="FF0000"/>
                <w:u w:val="single"/>
              </w:rPr>
            </w:pPr>
            <w:r>
              <w:rPr>
                <w:color w:val="auto"/>
                <w:u w:val="none"/>
              </w:rPr>
              <w:t>表2.3-1废气检测结果</w:t>
            </w:r>
          </w:p>
          <w:tbl>
            <w:tblPr>
              <w:tblStyle w:val="31"/>
              <w:tblW w:w="50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8"/>
              <w:gridCol w:w="767"/>
              <w:gridCol w:w="1189"/>
              <w:gridCol w:w="1054"/>
              <w:gridCol w:w="1054"/>
              <w:gridCol w:w="1054"/>
              <w:gridCol w:w="1054"/>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jc w:val="center"/>
              </w:trPr>
              <w:tc>
                <w:tcPr>
                  <w:tcW w:w="446" w:type="pct"/>
                  <w:vMerge w:val="restart"/>
                  <w:tcBorders>
                    <w:tl2br w:val="nil"/>
                    <w:tr2bl w:val="nil"/>
                  </w:tcBorders>
                  <w:shd w:val="clear" w:color="auto" w:fill="auto"/>
                  <w:vAlign w:val="center"/>
                </w:tcPr>
                <w:p>
                  <w:pPr>
                    <w:pStyle w:val="45"/>
                    <w:spacing w:line="276" w:lineRule="auto"/>
                    <w:rPr>
                      <w:color w:val="auto"/>
                      <w:u w:val="none"/>
                    </w:rPr>
                  </w:pPr>
                  <w:r>
                    <w:rPr>
                      <w:color w:val="auto"/>
                      <w:u w:val="none"/>
                    </w:rPr>
                    <w:t>监测点位</w:t>
                  </w:r>
                </w:p>
              </w:tc>
              <w:tc>
                <w:tcPr>
                  <w:tcW w:w="483" w:type="pct"/>
                  <w:vMerge w:val="restart"/>
                  <w:tcBorders>
                    <w:tl2br w:val="nil"/>
                    <w:tr2bl w:val="nil"/>
                  </w:tcBorders>
                  <w:shd w:val="clear" w:color="auto" w:fill="auto"/>
                  <w:vAlign w:val="center"/>
                </w:tcPr>
                <w:p>
                  <w:pPr>
                    <w:pStyle w:val="45"/>
                    <w:spacing w:line="276" w:lineRule="auto"/>
                    <w:rPr>
                      <w:color w:val="auto"/>
                      <w:u w:val="none"/>
                    </w:rPr>
                  </w:pPr>
                  <w:r>
                    <w:rPr>
                      <w:color w:val="auto"/>
                      <w:u w:val="none"/>
                    </w:rPr>
                    <w:t>检测日期</w:t>
                  </w:r>
                </w:p>
              </w:tc>
              <w:tc>
                <w:tcPr>
                  <w:tcW w:w="749" w:type="pct"/>
                  <w:vMerge w:val="restart"/>
                  <w:tcBorders>
                    <w:tl2br w:val="nil"/>
                    <w:tr2bl w:val="nil"/>
                  </w:tcBorders>
                  <w:shd w:val="clear" w:color="auto" w:fill="auto"/>
                  <w:vAlign w:val="center"/>
                </w:tcPr>
                <w:p>
                  <w:pPr>
                    <w:pStyle w:val="45"/>
                    <w:spacing w:line="276" w:lineRule="auto"/>
                    <w:rPr>
                      <w:color w:val="auto"/>
                      <w:u w:val="none"/>
                    </w:rPr>
                  </w:pPr>
                  <w:r>
                    <w:rPr>
                      <w:color w:val="auto"/>
                      <w:u w:val="none"/>
                    </w:rPr>
                    <w:t>监测频次</w:t>
                  </w:r>
                </w:p>
              </w:tc>
              <w:tc>
                <w:tcPr>
                  <w:tcW w:w="3321" w:type="pct"/>
                  <w:gridSpan w:val="5"/>
                  <w:tcBorders>
                    <w:tl2br w:val="nil"/>
                    <w:tr2bl w:val="nil"/>
                  </w:tcBorders>
                  <w:shd w:val="clear" w:color="auto" w:fill="auto"/>
                  <w:vAlign w:val="center"/>
                </w:tcPr>
                <w:p>
                  <w:pPr>
                    <w:pStyle w:val="45"/>
                    <w:spacing w:line="276" w:lineRule="auto"/>
                    <w:rPr>
                      <w:color w:val="auto"/>
                      <w:u w:val="none"/>
                    </w:rPr>
                  </w:pPr>
                  <w:r>
                    <w:rPr>
                      <w:color w:val="auto"/>
                      <w:u w:val="none"/>
                    </w:rPr>
                    <w:t>检测结果（mg/m³）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6" w:type="pct"/>
                  <w:vMerge w:val="continue"/>
                  <w:tcBorders>
                    <w:tl2br w:val="nil"/>
                    <w:tr2bl w:val="nil"/>
                  </w:tcBorders>
                  <w:shd w:val="clear" w:color="auto" w:fill="auto"/>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vMerge w:val="continue"/>
                  <w:tcBorders>
                    <w:tl2br w:val="nil"/>
                    <w:tr2bl w:val="nil"/>
                  </w:tcBorders>
                  <w:shd w:val="clear" w:color="auto" w:fill="auto"/>
                  <w:vAlign w:val="center"/>
                </w:tcPr>
                <w:p>
                  <w:pPr>
                    <w:pStyle w:val="45"/>
                    <w:spacing w:line="276" w:lineRule="auto"/>
                    <w:rPr>
                      <w:color w:val="auto"/>
                      <w:u w:val="none"/>
                    </w:rPr>
                  </w:pP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氨</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氯气</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硫化氢</w:t>
                  </w:r>
                </w:p>
              </w:tc>
              <w:tc>
                <w:tcPr>
                  <w:tcW w:w="663" w:type="pct"/>
                  <w:tcBorders>
                    <w:tl2br w:val="nil"/>
                    <w:tr2bl w:val="nil"/>
                  </w:tcBorders>
                  <w:shd w:val="clear" w:color="auto" w:fill="auto"/>
                  <w:vAlign w:val="center"/>
                </w:tcPr>
                <w:p>
                  <w:pPr>
                    <w:pStyle w:val="45"/>
                    <w:spacing w:line="276" w:lineRule="auto"/>
                    <w:rPr>
                      <w:rFonts w:hint="default" w:eastAsia="宋体"/>
                      <w:color w:val="auto"/>
                      <w:u w:val="none"/>
                      <w:lang w:val="en-US" w:eastAsia="zh-CN"/>
                    </w:rPr>
                  </w:pPr>
                  <w:r>
                    <w:rPr>
                      <w:rFonts w:hint="eastAsia"/>
                      <w:color w:val="auto"/>
                      <w:u w:val="none"/>
                      <w:lang w:val="en-US" w:eastAsia="zh-CN"/>
                    </w:rPr>
                    <w:t>甲烷</w:t>
                  </w:r>
                </w:p>
              </w:tc>
              <w:tc>
                <w:tcPr>
                  <w:tcW w:w="665" w:type="pct"/>
                  <w:tcBorders>
                    <w:tl2br w:val="nil"/>
                    <w:tr2bl w:val="nil"/>
                  </w:tcBorders>
                  <w:shd w:val="clear" w:color="auto" w:fill="auto"/>
                  <w:vAlign w:val="center"/>
                </w:tcPr>
                <w:p>
                  <w:pPr>
                    <w:pStyle w:val="45"/>
                    <w:spacing w:line="276" w:lineRule="auto"/>
                    <w:rPr>
                      <w:color w:val="auto"/>
                      <w:u w:val="none"/>
                    </w:rPr>
                  </w:pPr>
                  <w:r>
                    <w:rPr>
                      <w:color w:val="auto"/>
                      <w:u w:val="none"/>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shd w:val="clear" w:color="auto" w:fill="auto"/>
                  <w:vAlign w:val="center"/>
                </w:tcPr>
                <w:p>
                  <w:pPr>
                    <w:pStyle w:val="45"/>
                    <w:spacing w:line="276" w:lineRule="auto"/>
                    <w:rPr>
                      <w:color w:val="auto"/>
                      <w:u w:val="none"/>
                    </w:rPr>
                  </w:pPr>
                  <w:r>
                    <w:rPr>
                      <w:rFonts w:hint="eastAsia"/>
                      <w:color w:val="auto"/>
                      <w:u w:val="none"/>
                      <w:lang w:val="en-US" w:eastAsia="zh-CN"/>
                    </w:rPr>
                    <w:t>G</w:t>
                  </w:r>
                  <w:r>
                    <w:rPr>
                      <w:color w:val="auto"/>
                      <w:u w:val="none"/>
                    </w:rPr>
                    <w:t>1污水处理站上风向</w:t>
                  </w:r>
                </w:p>
              </w:tc>
              <w:tc>
                <w:tcPr>
                  <w:tcW w:w="483" w:type="pct"/>
                  <w:vMerge w:val="restar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2023.10.10</w:t>
                  </w: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第1次</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0.002</w:t>
                  </w:r>
                </w:p>
              </w:tc>
              <w:tc>
                <w:tcPr>
                  <w:tcW w:w="663" w:type="pct"/>
                  <w:tcBorders>
                    <w:tl2br w:val="nil"/>
                    <w:tr2bl w:val="nil"/>
                  </w:tcBorders>
                  <w:shd w:val="clear" w:color="auto" w:fill="auto"/>
                  <w:vAlign w:val="center"/>
                </w:tcPr>
                <w:p>
                  <w:pPr>
                    <w:pStyle w:val="45"/>
                    <w:spacing w:line="276"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第2次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0.002</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第3次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0.002</w:t>
                  </w:r>
                </w:p>
              </w:tc>
              <w:tc>
                <w:tcPr>
                  <w:tcW w:w="663" w:type="pct"/>
                  <w:tcBorders>
                    <w:tl2br w:val="nil"/>
                    <w:tr2bl w:val="nil"/>
                  </w:tcBorders>
                  <w:shd w:val="clear" w:color="auto" w:fill="auto"/>
                  <w:vAlign w:val="center"/>
                </w:tcPr>
                <w:p>
                  <w:pPr>
                    <w:adjustRightInd w:val="0"/>
                    <w:spacing w:line="276" w:lineRule="auto"/>
                    <w:jc w:val="center"/>
                    <w:textAlignment w:val="baseline"/>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restar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u w:val="none"/>
                      <w:lang w:val="en-US" w:eastAsia="zh-CN" w:bidi="ar-SA"/>
                    </w:rPr>
                    <w:t>2023.10.11</w:t>
                  </w: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第1次</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0.002</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第2次</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0.04</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0.002</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第3次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0.002</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shd w:val="clear" w:color="auto" w:fill="auto"/>
                  <w:vAlign w:val="center"/>
                </w:tcPr>
                <w:p>
                  <w:pPr>
                    <w:pStyle w:val="45"/>
                    <w:spacing w:line="276" w:lineRule="auto"/>
                    <w:rPr>
                      <w:color w:val="auto"/>
                      <w:u w:val="none"/>
                    </w:rPr>
                  </w:pPr>
                  <w:r>
                    <w:rPr>
                      <w:rFonts w:hint="eastAsia"/>
                      <w:color w:val="auto"/>
                      <w:u w:val="none"/>
                      <w:lang w:val="en-US" w:eastAsia="zh-CN"/>
                    </w:rPr>
                    <w:t>G</w:t>
                  </w:r>
                  <w:r>
                    <w:rPr>
                      <w:color w:val="auto"/>
                      <w:u w:val="none"/>
                    </w:rPr>
                    <w:t>2污水处理站下风向</w:t>
                  </w:r>
                </w:p>
              </w:tc>
              <w:tc>
                <w:tcPr>
                  <w:tcW w:w="483" w:type="pct"/>
                  <w:vMerge w:val="restar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2023.10.10</w:t>
                  </w: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第1次</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kern w:val="0"/>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第2次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0.02</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第3次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0.02</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restar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u w:val="none"/>
                      <w:lang w:val="en-US" w:eastAsia="zh-CN" w:bidi="ar-SA"/>
                    </w:rPr>
                    <w:t>2023.10.11</w:t>
                  </w: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第1次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0.02</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第2次</w:t>
                  </w:r>
                </w:p>
              </w:tc>
              <w:tc>
                <w:tcPr>
                  <w:tcW w:w="663" w:type="pct"/>
                  <w:tcBorders>
                    <w:tl2br w:val="nil"/>
                    <w:tr2bl w:val="nil"/>
                  </w:tcBorders>
                  <w:shd w:val="clear" w:color="auto" w:fill="auto"/>
                  <w:vAlign w:val="center"/>
                </w:tcPr>
                <w:p>
                  <w:pPr>
                    <w:pStyle w:val="45"/>
                    <w:spacing w:line="276" w:lineRule="auto"/>
                    <w:rPr>
                      <w:rFonts w:hint="default"/>
                      <w:color w:val="auto"/>
                      <w:u w:val="none"/>
                      <w:lang w:val="en-US"/>
                    </w:rPr>
                  </w:pPr>
                  <w:r>
                    <w:rPr>
                      <w:rFonts w:hint="eastAsia" w:ascii="Times New Roman" w:hAnsi="Times New Roman" w:eastAsia="宋体" w:cs="Times New Roman"/>
                      <w:color w:val="auto"/>
                      <w:kern w:val="2"/>
                      <w:sz w:val="21"/>
                      <w:szCs w:val="21"/>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第3次</w:t>
                  </w:r>
                </w:p>
              </w:tc>
              <w:tc>
                <w:tcPr>
                  <w:tcW w:w="663" w:type="pct"/>
                  <w:tcBorders>
                    <w:tl2br w:val="nil"/>
                    <w:tr2bl w:val="nil"/>
                  </w:tcBorders>
                  <w:shd w:val="clear" w:color="auto" w:fill="auto"/>
                  <w:vAlign w:val="center"/>
                </w:tcPr>
                <w:p>
                  <w:pPr>
                    <w:pStyle w:val="45"/>
                    <w:spacing w:line="276" w:lineRule="auto"/>
                    <w:rPr>
                      <w:rFonts w:hint="default"/>
                      <w:color w:val="auto"/>
                      <w:u w:val="none"/>
                      <w:lang w:val="en-US"/>
                    </w:rPr>
                  </w:pPr>
                  <w:r>
                    <w:rPr>
                      <w:rFonts w:hint="eastAsia" w:ascii="Times New Roman" w:hAnsi="Times New Roman" w:eastAsia="宋体" w:cs="Times New Roman"/>
                      <w:color w:val="auto"/>
                      <w:kern w:val="2"/>
                      <w:sz w:val="21"/>
                      <w:szCs w:val="21"/>
                      <w:u w:val="none"/>
                      <w:lang w:val="en-US" w:eastAsia="zh-CN" w:bidi="ar-SA"/>
                    </w:rPr>
                    <w:t>0.04</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rFonts w:hint="default"/>
                      <w:color w:val="auto"/>
                      <w:u w:val="none"/>
                      <w:lang w:val="en-US"/>
                    </w:rPr>
                  </w:pPr>
                  <w:r>
                    <w:rPr>
                      <w:rFonts w:hint="eastAsia" w:ascii="Times New Roman" w:hAnsi="Times New Roman" w:eastAsia="宋体" w:cs="Times New Roman"/>
                      <w:color w:val="auto"/>
                      <w:kern w:val="2"/>
                      <w:sz w:val="21"/>
                      <w:szCs w:val="21"/>
                      <w:u w:val="none"/>
                      <w:lang w:val="en-US" w:eastAsia="zh-CN" w:bidi="ar-SA"/>
                    </w:rPr>
                    <w:t>0.003</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shd w:val="clear" w:color="auto" w:fill="auto"/>
                  <w:vAlign w:val="center"/>
                </w:tcPr>
                <w:p>
                  <w:pPr>
                    <w:pStyle w:val="45"/>
                    <w:spacing w:line="276" w:lineRule="auto"/>
                    <w:rPr>
                      <w:color w:val="auto"/>
                      <w:u w:val="none"/>
                    </w:rPr>
                  </w:pPr>
                  <w:r>
                    <w:rPr>
                      <w:rFonts w:hint="eastAsia"/>
                      <w:color w:val="auto"/>
                      <w:u w:val="none"/>
                      <w:lang w:val="en-US" w:eastAsia="zh-CN"/>
                    </w:rPr>
                    <w:t>G</w:t>
                  </w:r>
                  <w:r>
                    <w:rPr>
                      <w:color w:val="auto"/>
                      <w:u w:val="none"/>
                    </w:rPr>
                    <w:t>3污水处理站下风向</w:t>
                  </w:r>
                </w:p>
              </w:tc>
              <w:tc>
                <w:tcPr>
                  <w:tcW w:w="483" w:type="pct"/>
                  <w:vMerge w:val="restar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2023.10.10</w:t>
                  </w: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第1次</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kern w:val="0"/>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第2次</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第3次</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highlight w:val="none"/>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restar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u w:val="none"/>
                      <w:lang w:val="en-US" w:eastAsia="zh-CN" w:bidi="ar-SA"/>
                    </w:rPr>
                    <w:t>2023.10.11</w:t>
                  </w: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第1次</w:t>
                  </w:r>
                </w:p>
              </w:tc>
              <w:tc>
                <w:tcPr>
                  <w:tcW w:w="663"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eastAsia" w:ascii="Times New Roman" w:hAnsi="Times New Roman" w:eastAsia="宋体" w:cs="Times New Roman"/>
                      <w:color w:val="auto"/>
                      <w:kern w:val="2"/>
                      <w:sz w:val="21"/>
                      <w:szCs w:val="21"/>
                      <w:u w:val="none"/>
                      <w:lang w:val="en-US" w:eastAsia="zh-CN" w:bidi="ar-SA"/>
                    </w:rPr>
                    <w:t>0.01</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第2次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0.02</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shd w:val="clear" w:color="auto" w:fill="auto"/>
                  <w:vAlign w:val="center"/>
                </w:tcPr>
                <w:p>
                  <w:pPr>
                    <w:pStyle w:val="45"/>
                    <w:spacing w:line="276" w:lineRule="auto"/>
                    <w:rPr>
                      <w:color w:val="auto"/>
                      <w:u w:val="none"/>
                    </w:rPr>
                  </w:pPr>
                </w:p>
              </w:tc>
              <w:tc>
                <w:tcPr>
                  <w:tcW w:w="483" w:type="pct"/>
                  <w:vMerge w:val="continue"/>
                  <w:tcBorders>
                    <w:tl2br w:val="nil"/>
                    <w:tr2bl w:val="nil"/>
                  </w:tcBorders>
                  <w:shd w:val="clear" w:color="auto" w:fill="auto"/>
                  <w:vAlign w:val="center"/>
                </w:tcPr>
                <w:p>
                  <w:pPr>
                    <w:pStyle w:val="45"/>
                    <w:spacing w:line="276" w:lineRule="auto"/>
                    <w:rPr>
                      <w:color w:val="auto"/>
                      <w:u w:val="none"/>
                    </w:rPr>
                  </w:pPr>
                </w:p>
              </w:tc>
              <w:tc>
                <w:tcPr>
                  <w:tcW w:w="749" w:type="pct"/>
                  <w:tcBorders>
                    <w:tl2br w:val="nil"/>
                    <w:tr2bl w:val="nil"/>
                  </w:tcBorders>
                  <w:shd w:val="clear" w:color="auto" w:fill="auto"/>
                  <w:vAlign w:val="center"/>
                </w:tcPr>
                <w:p>
                  <w:pPr>
                    <w:pStyle w:val="45"/>
                    <w:spacing w:line="276" w:lineRule="auto"/>
                    <w:rPr>
                      <w:color w:val="auto"/>
                      <w:u w:val="none"/>
                    </w:rPr>
                  </w:pPr>
                  <w:r>
                    <w:rPr>
                      <w:color w:val="auto"/>
                      <w:u w:val="none"/>
                    </w:rPr>
                    <w:t>第3次</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0.02</w:t>
                  </w:r>
                </w:p>
              </w:tc>
              <w:tc>
                <w:tcPr>
                  <w:tcW w:w="663" w:type="pct"/>
                  <w:tcBorders>
                    <w:tl2br w:val="nil"/>
                    <w:tr2bl w:val="nil"/>
                  </w:tcBorders>
                  <w:shd w:val="clear" w:color="auto" w:fill="auto"/>
                  <w:vAlign w:val="center"/>
                </w:tcPr>
                <w:p>
                  <w:pPr>
                    <w:pStyle w:val="45"/>
                    <w:spacing w:line="276" w:lineRule="auto"/>
                    <w:rPr>
                      <w:color w:val="auto"/>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0.03</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ascii="Times New Roman" w:hAnsi="Times New Roman" w:eastAsia="宋体" w:cs="Times New Roman"/>
                      <w:color w:val="auto"/>
                      <w:kern w:val="2"/>
                      <w:sz w:val="21"/>
                      <w:szCs w:val="21"/>
                      <w:u w:val="none"/>
                      <w:lang w:val="en-US" w:eastAsia="zh-CN" w:bidi="ar-SA"/>
                    </w:rPr>
                    <w:t>0.004</w:t>
                  </w:r>
                </w:p>
              </w:tc>
              <w:tc>
                <w:tcPr>
                  <w:tcW w:w="663" w:type="pct"/>
                  <w:tcBorders>
                    <w:tl2br w:val="nil"/>
                    <w:tr2bl w:val="nil"/>
                  </w:tcBorders>
                  <w:shd w:val="clear" w:color="auto" w:fill="auto"/>
                  <w:vAlign w:val="center"/>
                </w:tcPr>
                <w:p>
                  <w:pPr>
                    <w:pStyle w:val="45"/>
                    <w:spacing w:line="276" w:lineRule="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cs="Times New Roman"/>
                      <w:color w:val="auto"/>
                      <w:kern w:val="2"/>
                      <w:sz w:val="21"/>
                      <w:szCs w:val="21"/>
                      <w:highlight w:val="none"/>
                      <w:u w:val="none"/>
                      <w:lang w:val="en-US" w:eastAsia="zh-CN" w:bidi="ar-SA"/>
                    </w:rPr>
                    <w:t>0.06</w:t>
                  </w:r>
                </w:p>
              </w:tc>
              <w:tc>
                <w:tcPr>
                  <w:tcW w:w="665" w:type="pct"/>
                  <w:tcBorders>
                    <w:tl2br w:val="nil"/>
                    <w:tr2bl w:val="nil"/>
                  </w:tcBorders>
                  <w:shd w:val="clear" w:color="auto" w:fill="auto"/>
                  <w:vAlign w:val="center"/>
                </w:tcPr>
                <w:p>
                  <w:pPr>
                    <w:adjustRightInd w:val="0"/>
                    <w:spacing w:line="276" w:lineRule="auto"/>
                    <w:jc w:val="center"/>
                    <w:textAlignment w:val="baseline"/>
                    <w:rPr>
                      <w:color w:val="auto"/>
                      <w:sz w:val="21"/>
                      <w:szCs w:val="21"/>
                      <w:u w:val="none"/>
                    </w:rPr>
                  </w:pPr>
                  <w:r>
                    <w:rPr>
                      <w:rFonts w:hint="default" w:ascii="Times New Roman" w:hAnsi="Times New Roman" w:eastAsia="宋体" w:cs="Times New Roman"/>
                      <w:color w:val="auto"/>
                      <w:kern w:val="2"/>
                      <w:sz w:val="21"/>
                      <w:szCs w:val="21"/>
                      <w:highlight w:val="none"/>
                      <w:u w:val="none"/>
                      <w:lang w:val="en-US" w:eastAsia="zh-CN" w:bidi="ar-SA"/>
                    </w:rPr>
                    <w:t>&lt;</w:t>
                  </w:r>
                  <w:r>
                    <w:rPr>
                      <w:rFonts w:hint="eastAsia" w:ascii="Times New Roman" w:hAnsi="Times New Roman"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8" w:type="pct"/>
                  <w:gridSpan w:val="3"/>
                  <w:tcBorders>
                    <w:tl2br w:val="nil"/>
                    <w:tr2bl w:val="nil"/>
                  </w:tcBorders>
                  <w:shd w:val="clear" w:color="auto" w:fill="auto"/>
                  <w:vAlign w:val="center"/>
                </w:tcPr>
                <w:p>
                  <w:pPr>
                    <w:pStyle w:val="45"/>
                    <w:spacing w:line="276" w:lineRule="auto"/>
                    <w:rPr>
                      <w:color w:val="auto"/>
                      <w:u w:val="none"/>
                    </w:rPr>
                  </w:pPr>
                  <w:r>
                    <w:rPr>
                      <w:color w:val="auto"/>
                      <w:u w:val="none"/>
                    </w:rPr>
                    <w:t>标准限值</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1.0</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0.1</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0.03</w:t>
                  </w:r>
                </w:p>
              </w:tc>
              <w:tc>
                <w:tcPr>
                  <w:tcW w:w="663" w:type="pct"/>
                  <w:tcBorders>
                    <w:tl2br w:val="nil"/>
                    <w:tr2bl w:val="nil"/>
                  </w:tcBorders>
                  <w:shd w:val="clear" w:color="auto" w:fill="auto"/>
                  <w:vAlign w:val="center"/>
                </w:tcPr>
                <w:p>
                  <w:pPr>
                    <w:pStyle w:val="45"/>
                    <w:spacing w:line="276" w:lineRule="auto"/>
                    <w:rPr>
                      <w:rFonts w:hint="eastAsia" w:eastAsia="宋体"/>
                      <w:color w:val="auto"/>
                      <w:u w:val="none"/>
                      <w:lang w:val="en-US" w:eastAsia="zh-CN"/>
                    </w:rPr>
                  </w:pPr>
                  <w:r>
                    <w:rPr>
                      <w:rFonts w:hint="eastAsia"/>
                      <w:color w:val="auto"/>
                      <w:u w:val="none"/>
                      <w:lang w:val="en-US" w:eastAsia="zh-CN"/>
                    </w:rPr>
                    <w:t>1</w:t>
                  </w:r>
                </w:p>
              </w:tc>
              <w:tc>
                <w:tcPr>
                  <w:tcW w:w="665" w:type="pct"/>
                  <w:tcBorders>
                    <w:tl2br w:val="nil"/>
                    <w:tr2bl w:val="nil"/>
                  </w:tcBorders>
                  <w:shd w:val="clear" w:color="auto" w:fill="auto"/>
                  <w:vAlign w:val="center"/>
                </w:tcPr>
                <w:p>
                  <w:pPr>
                    <w:pStyle w:val="45"/>
                    <w:spacing w:line="276" w:lineRule="auto"/>
                    <w:rPr>
                      <w:color w:val="auto"/>
                      <w:u w:val="none"/>
                    </w:rPr>
                  </w:pPr>
                  <w:r>
                    <w:rPr>
                      <w:color w:val="auto"/>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8" w:type="pct"/>
                  <w:gridSpan w:val="3"/>
                  <w:tcBorders>
                    <w:tl2br w:val="nil"/>
                    <w:tr2bl w:val="nil"/>
                  </w:tcBorders>
                  <w:shd w:val="clear" w:color="auto" w:fill="auto"/>
                  <w:vAlign w:val="center"/>
                </w:tcPr>
                <w:p>
                  <w:pPr>
                    <w:pStyle w:val="45"/>
                    <w:spacing w:line="276" w:lineRule="auto"/>
                    <w:rPr>
                      <w:color w:val="auto"/>
                      <w:u w:val="none"/>
                    </w:rPr>
                  </w:pPr>
                  <w:r>
                    <w:rPr>
                      <w:color w:val="auto"/>
                      <w:u w:val="none"/>
                    </w:rPr>
                    <w:t>是否达标</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是</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是</w:t>
                  </w:r>
                </w:p>
              </w:tc>
              <w:tc>
                <w:tcPr>
                  <w:tcW w:w="663" w:type="pct"/>
                  <w:tcBorders>
                    <w:tl2br w:val="nil"/>
                    <w:tr2bl w:val="nil"/>
                  </w:tcBorders>
                  <w:shd w:val="clear" w:color="auto" w:fill="auto"/>
                  <w:vAlign w:val="center"/>
                </w:tcPr>
                <w:p>
                  <w:pPr>
                    <w:pStyle w:val="45"/>
                    <w:spacing w:line="276" w:lineRule="auto"/>
                    <w:rPr>
                      <w:color w:val="auto"/>
                      <w:u w:val="none"/>
                    </w:rPr>
                  </w:pPr>
                  <w:r>
                    <w:rPr>
                      <w:color w:val="auto"/>
                      <w:u w:val="none"/>
                    </w:rPr>
                    <w:t>是</w:t>
                  </w:r>
                </w:p>
              </w:tc>
              <w:tc>
                <w:tcPr>
                  <w:tcW w:w="663" w:type="pct"/>
                  <w:tcBorders>
                    <w:tl2br w:val="nil"/>
                    <w:tr2bl w:val="nil"/>
                  </w:tcBorders>
                  <w:shd w:val="clear" w:color="auto" w:fill="auto"/>
                  <w:vAlign w:val="center"/>
                </w:tcPr>
                <w:p>
                  <w:pPr>
                    <w:pStyle w:val="45"/>
                    <w:spacing w:line="276" w:lineRule="auto"/>
                    <w:rPr>
                      <w:color w:val="auto"/>
                      <w:u w:val="none"/>
                    </w:rPr>
                  </w:pPr>
                  <w:r>
                    <w:rPr>
                      <w:rFonts w:hint="eastAsia"/>
                      <w:color w:val="auto"/>
                      <w:u w:val="none"/>
                    </w:rPr>
                    <w:t>是</w:t>
                  </w:r>
                </w:p>
              </w:tc>
              <w:tc>
                <w:tcPr>
                  <w:tcW w:w="665" w:type="pct"/>
                  <w:tcBorders>
                    <w:tl2br w:val="nil"/>
                    <w:tr2bl w:val="nil"/>
                  </w:tcBorders>
                  <w:shd w:val="clear" w:color="auto" w:fill="auto"/>
                  <w:vAlign w:val="center"/>
                </w:tcPr>
                <w:p>
                  <w:pPr>
                    <w:pStyle w:val="45"/>
                    <w:spacing w:line="276" w:lineRule="auto"/>
                    <w:rPr>
                      <w:color w:val="auto"/>
                      <w:u w:val="none"/>
                    </w:rPr>
                  </w:pPr>
                  <w:r>
                    <w:rPr>
                      <w:color w:val="auto"/>
                      <w:u w:val="none"/>
                    </w:rPr>
                    <w:t>是</w:t>
                  </w:r>
                </w:p>
              </w:tc>
            </w:tr>
          </w:tbl>
          <w:p>
            <w:pPr>
              <w:pStyle w:val="7"/>
              <w:ind w:firstLine="480"/>
              <w:rPr>
                <w:color w:val="auto"/>
                <w:u w:val="none"/>
              </w:rPr>
            </w:pPr>
            <w:r>
              <w:rPr>
                <w:color w:val="auto"/>
                <w:u w:val="none"/>
              </w:rPr>
              <w:t>从上表可以看出，</w:t>
            </w:r>
            <w:r>
              <w:rPr>
                <w:rFonts w:hint="eastAsia"/>
                <w:color w:val="auto"/>
                <w:u w:val="none"/>
                <w:lang w:val="en-US" w:eastAsia="zh-CN"/>
              </w:rPr>
              <w:t>本</w:t>
            </w:r>
            <w:r>
              <w:rPr>
                <w:color w:val="auto"/>
                <w:u w:val="none"/>
              </w:rPr>
              <w:t>卫生院污水处理站废气污染因子均达到《医疗机构水污染物排放标准》(GB18466-2005)表3</w:t>
            </w:r>
            <w:r>
              <w:rPr>
                <w:rFonts w:hint="eastAsia"/>
                <w:color w:val="auto"/>
                <w:u w:val="none"/>
              </w:rPr>
              <w:t>污水处理站周边大气污染物最高允许浓度要求</w:t>
            </w:r>
            <w:r>
              <w:rPr>
                <w:color w:val="auto"/>
                <w:u w:val="none"/>
              </w:rPr>
              <w:t>。</w:t>
            </w:r>
          </w:p>
          <w:p>
            <w:pPr>
              <w:pStyle w:val="7"/>
              <w:ind w:firstLine="480"/>
              <w:rPr>
                <w:color w:val="auto"/>
                <w:u w:val="none"/>
              </w:rPr>
            </w:pPr>
            <w:r>
              <w:rPr>
                <w:color w:val="auto"/>
                <w:u w:val="none"/>
              </w:rPr>
              <w:t>（</w:t>
            </w:r>
            <w:r>
              <w:rPr>
                <w:rFonts w:hint="eastAsia"/>
                <w:color w:val="auto"/>
                <w:u w:val="none"/>
                <w:lang w:val="en-US" w:eastAsia="zh-CN"/>
              </w:rPr>
              <w:t>2</w:t>
            </w:r>
            <w:r>
              <w:rPr>
                <w:color w:val="auto"/>
                <w:u w:val="none"/>
              </w:rPr>
              <w:t>）噪声</w:t>
            </w:r>
          </w:p>
          <w:p>
            <w:pPr>
              <w:pStyle w:val="7"/>
              <w:ind w:firstLine="480"/>
              <w:rPr>
                <w:color w:val="auto"/>
                <w:u w:val="none"/>
              </w:rPr>
            </w:pPr>
            <w:r>
              <w:rPr>
                <w:color w:val="auto"/>
                <w:u w:val="none"/>
              </w:rPr>
              <w:t>本项目噪声源主要为污水处理站风机、水泵、空调外机等产生的设备噪声以及人群活动产生的生活噪声。</w:t>
            </w:r>
          </w:p>
          <w:p>
            <w:pPr>
              <w:pStyle w:val="46"/>
              <w:rPr>
                <w:color w:val="auto"/>
                <w:u w:val="none"/>
              </w:rPr>
            </w:pPr>
            <w:r>
              <w:rPr>
                <w:color w:val="auto"/>
                <w:u w:val="none"/>
              </w:rPr>
              <w:t>表2.3-2噪声监测结果表[dB(A)]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942"/>
              <w:gridCol w:w="758"/>
              <w:gridCol w:w="790"/>
              <w:gridCol w:w="982"/>
              <w:gridCol w:w="680"/>
              <w:gridCol w:w="87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restart"/>
                  <w:tcBorders>
                    <w:tl2br w:val="nil"/>
                    <w:tr2bl w:val="nil"/>
                  </w:tcBorders>
                  <w:vAlign w:val="center"/>
                </w:tcPr>
                <w:p>
                  <w:pPr>
                    <w:pStyle w:val="45"/>
                    <w:spacing w:line="276" w:lineRule="auto"/>
                    <w:rPr>
                      <w:color w:val="auto"/>
                      <w:u w:val="none"/>
                    </w:rPr>
                  </w:pPr>
                  <w:r>
                    <w:rPr>
                      <w:color w:val="auto"/>
                      <w:u w:val="none"/>
                    </w:rPr>
                    <w:t>监测点位</w:t>
                  </w:r>
                </w:p>
              </w:tc>
              <w:tc>
                <w:tcPr>
                  <w:tcW w:w="2216" w:type="pct"/>
                  <w:gridSpan w:val="4"/>
                  <w:tcBorders>
                    <w:tl2br w:val="nil"/>
                    <w:tr2bl w:val="nil"/>
                  </w:tcBorders>
                  <w:vAlign w:val="center"/>
                </w:tcPr>
                <w:p>
                  <w:pPr>
                    <w:pStyle w:val="45"/>
                    <w:spacing w:line="276" w:lineRule="auto"/>
                    <w:rPr>
                      <w:color w:val="auto"/>
                      <w:u w:val="none"/>
                    </w:rPr>
                  </w:pPr>
                  <w:r>
                    <w:rPr>
                      <w:color w:val="auto"/>
                      <w:u w:val="none"/>
                    </w:rPr>
                    <w:t>检测结果</w:t>
                  </w:r>
                </w:p>
              </w:tc>
              <w:tc>
                <w:tcPr>
                  <w:tcW w:w="995" w:type="pct"/>
                  <w:gridSpan w:val="2"/>
                  <w:vMerge w:val="restart"/>
                  <w:tcBorders>
                    <w:tl2br w:val="nil"/>
                    <w:tr2bl w:val="nil"/>
                  </w:tcBorders>
                  <w:vAlign w:val="center"/>
                </w:tcPr>
                <w:p>
                  <w:pPr>
                    <w:pStyle w:val="45"/>
                    <w:spacing w:line="276" w:lineRule="auto"/>
                    <w:rPr>
                      <w:color w:val="auto"/>
                      <w:u w:val="none"/>
                    </w:rPr>
                  </w:pPr>
                  <w:r>
                    <w:rPr>
                      <w:color w:val="auto"/>
                      <w:u w:val="none"/>
                    </w:rPr>
                    <w:t>检测限值</w:t>
                  </w:r>
                </w:p>
              </w:tc>
              <w:tc>
                <w:tcPr>
                  <w:tcW w:w="418" w:type="pct"/>
                  <w:vMerge w:val="restart"/>
                  <w:tcBorders>
                    <w:tl2br w:val="nil"/>
                    <w:tr2bl w:val="nil"/>
                  </w:tcBorders>
                  <w:vAlign w:val="center"/>
                </w:tcPr>
                <w:p>
                  <w:pPr>
                    <w:pStyle w:val="45"/>
                    <w:spacing w:line="276" w:lineRule="auto"/>
                    <w:rPr>
                      <w:color w:val="auto"/>
                      <w:u w:val="none"/>
                    </w:rPr>
                  </w:pPr>
                  <w:r>
                    <w:rPr>
                      <w:color w:val="auto"/>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continue"/>
                  <w:tcBorders>
                    <w:tl2br w:val="nil"/>
                    <w:tr2bl w:val="nil"/>
                  </w:tcBorders>
                  <w:vAlign w:val="center"/>
                </w:tcPr>
                <w:p>
                  <w:pPr>
                    <w:pStyle w:val="45"/>
                    <w:spacing w:line="276" w:lineRule="auto"/>
                    <w:rPr>
                      <w:color w:val="auto"/>
                      <w:u w:val="none"/>
                    </w:rPr>
                  </w:pPr>
                </w:p>
              </w:tc>
              <w:tc>
                <w:tcPr>
                  <w:tcW w:w="1085" w:type="pct"/>
                  <w:gridSpan w:val="2"/>
                  <w:tcBorders>
                    <w:tl2br w:val="nil"/>
                    <w:tr2bl w:val="nil"/>
                  </w:tcBorders>
                  <w:vAlign w:val="center"/>
                </w:tcPr>
                <w:p>
                  <w:pPr>
                    <w:pStyle w:val="45"/>
                    <w:spacing w:line="276" w:lineRule="auto"/>
                    <w:rPr>
                      <w:rFonts w:hint="default" w:eastAsia="宋体"/>
                      <w:color w:val="auto"/>
                      <w:u w:val="none"/>
                      <w:lang w:val="en-US" w:eastAsia="zh-CN"/>
                    </w:rPr>
                  </w:pPr>
                  <w:r>
                    <w:rPr>
                      <w:rFonts w:hint="eastAsia"/>
                      <w:color w:val="auto"/>
                      <w:u w:val="none"/>
                      <w:lang w:val="en-US" w:eastAsia="zh-CN"/>
                    </w:rPr>
                    <w:t>2023.10.10</w:t>
                  </w:r>
                </w:p>
              </w:tc>
              <w:tc>
                <w:tcPr>
                  <w:tcW w:w="1131" w:type="pct"/>
                  <w:gridSpan w:val="2"/>
                  <w:tcBorders>
                    <w:tl2br w:val="nil"/>
                    <w:tr2bl w:val="nil"/>
                  </w:tcBorders>
                  <w:vAlign w:val="center"/>
                </w:tcPr>
                <w:p>
                  <w:pPr>
                    <w:pStyle w:val="45"/>
                    <w:spacing w:line="276" w:lineRule="auto"/>
                    <w:rPr>
                      <w:rFonts w:hint="default" w:eastAsia="宋体"/>
                      <w:color w:val="auto"/>
                      <w:u w:val="none"/>
                      <w:lang w:val="en-US" w:eastAsia="zh-CN"/>
                    </w:rPr>
                  </w:pPr>
                  <w:r>
                    <w:rPr>
                      <w:rFonts w:hint="eastAsia"/>
                      <w:color w:val="auto"/>
                      <w:u w:val="none"/>
                      <w:lang w:val="en-US" w:eastAsia="zh-CN"/>
                    </w:rPr>
                    <w:t>2023.10.11</w:t>
                  </w:r>
                </w:p>
              </w:tc>
              <w:tc>
                <w:tcPr>
                  <w:tcW w:w="995" w:type="pct"/>
                  <w:gridSpan w:val="2"/>
                  <w:vMerge w:val="continue"/>
                  <w:tcBorders>
                    <w:tl2br w:val="nil"/>
                    <w:tr2bl w:val="nil"/>
                  </w:tcBorders>
                  <w:vAlign w:val="center"/>
                </w:tcPr>
                <w:p>
                  <w:pPr>
                    <w:pStyle w:val="45"/>
                    <w:spacing w:line="276" w:lineRule="auto"/>
                    <w:rPr>
                      <w:color w:val="auto"/>
                      <w:u w:val="none"/>
                    </w:rPr>
                  </w:pPr>
                </w:p>
              </w:tc>
              <w:tc>
                <w:tcPr>
                  <w:tcW w:w="418" w:type="pct"/>
                  <w:vMerge w:val="continue"/>
                  <w:tcBorders>
                    <w:tl2br w:val="nil"/>
                    <w:tr2bl w:val="nil"/>
                  </w:tcBorders>
                  <w:vAlign w:val="center"/>
                </w:tcPr>
                <w:p>
                  <w:pPr>
                    <w:pStyle w:val="45"/>
                    <w:spacing w:line="276" w:lineRule="auto"/>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continue"/>
                  <w:tcBorders>
                    <w:tl2br w:val="nil"/>
                    <w:tr2bl w:val="nil"/>
                  </w:tcBorders>
                  <w:vAlign w:val="center"/>
                </w:tcPr>
                <w:p>
                  <w:pPr>
                    <w:pStyle w:val="45"/>
                    <w:spacing w:line="276" w:lineRule="auto"/>
                    <w:rPr>
                      <w:color w:val="auto"/>
                      <w:u w:val="none"/>
                    </w:rPr>
                  </w:pPr>
                </w:p>
              </w:tc>
              <w:tc>
                <w:tcPr>
                  <w:tcW w:w="601" w:type="pct"/>
                  <w:tcBorders>
                    <w:tl2br w:val="nil"/>
                    <w:tr2bl w:val="nil"/>
                  </w:tcBorders>
                  <w:vAlign w:val="center"/>
                </w:tcPr>
                <w:p>
                  <w:pPr>
                    <w:pStyle w:val="45"/>
                    <w:spacing w:line="276" w:lineRule="auto"/>
                    <w:rPr>
                      <w:color w:val="auto"/>
                      <w:u w:val="none"/>
                    </w:rPr>
                  </w:pPr>
                  <w:r>
                    <w:rPr>
                      <w:color w:val="auto"/>
                      <w:u w:val="none"/>
                    </w:rPr>
                    <w:t>昼间</w:t>
                  </w:r>
                </w:p>
              </w:tc>
              <w:tc>
                <w:tcPr>
                  <w:tcW w:w="484" w:type="pct"/>
                  <w:tcBorders>
                    <w:tl2br w:val="nil"/>
                    <w:tr2bl w:val="nil"/>
                  </w:tcBorders>
                  <w:vAlign w:val="center"/>
                </w:tcPr>
                <w:p>
                  <w:pPr>
                    <w:pStyle w:val="45"/>
                    <w:spacing w:line="276" w:lineRule="auto"/>
                    <w:rPr>
                      <w:color w:val="auto"/>
                      <w:u w:val="none"/>
                    </w:rPr>
                  </w:pPr>
                  <w:r>
                    <w:rPr>
                      <w:color w:val="auto"/>
                      <w:u w:val="none"/>
                    </w:rPr>
                    <w:t>夜间</w:t>
                  </w:r>
                </w:p>
              </w:tc>
              <w:tc>
                <w:tcPr>
                  <w:tcW w:w="504" w:type="pct"/>
                  <w:tcBorders>
                    <w:tl2br w:val="nil"/>
                    <w:tr2bl w:val="nil"/>
                  </w:tcBorders>
                  <w:vAlign w:val="center"/>
                </w:tcPr>
                <w:p>
                  <w:pPr>
                    <w:pStyle w:val="45"/>
                    <w:spacing w:line="276" w:lineRule="auto"/>
                    <w:rPr>
                      <w:color w:val="auto"/>
                      <w:u w:val="none"/>
                    </w:rPr>
                  </w:pPr>
                  <w:r>
                    <w:rPr>
                      <w:color w:val="auto"/>
                      <w:u w:val="none"/>
                    </w:rPr>
                    <w:t>昼间</w:t>
                  </w:r>
                </w:p>
              </w:tc>
              <w:tc>
                <w:tcPr>
                  <w:tcW w:w="626" w:type="pct"/>
                  <w:tcBorders>
                    <w:tl2br w:val="nil"/>
                    <w:tr2bl w:val="nil"/>
                  </w:tcBorders>
                  <w:vAlign w:val="center"/>
                </w:tcPr>
                <w:p>
                  <w:pPr>
                    <w:pStyle w:val="45"/>
                    <w:spacing w:line="276" w:lineRule="auto"/>
                    <w:rPr>
                      <w:color w:val="auto"/>
                      <w:u w:val="none"/>
                    </w:rPr>
                  </w:pPr>
                  <w:r>
                    <w:rPr>
                      <w:color w:val="auto"/>
                      <w:u w:val="none"/>
                    </w:rPr>
                    <w:t>夜间</w:t>
                  </w:r>
                </w:p>
              </w:tc>
              <w:tc>
                <w:tcPr>
                  <w:tcW w:w="434" w:type="pct"/>
                  <w:tcBorders>
                    <w:tl2br w:val="nil"/>
                    <w:tr2bl w:val="nil"/>
                  </w:tcBorders>
                  <w:vAlign w:val="center"/>
                </w:tcPr>
                <w:p>
                  <w:pPr>
                    <w:pStyle w:val="45"/>
                    <w:spacing w:line="276" w:lineRule="auto"/>
                    <w:rPr>
                      <w:color w:val="auto"/>
                      <w:u w:val="none"/>
                    </w:rPr>
                  </w:pPr>
                  <w:r>
                    <w:rPr>
                      <w:color w:val="auto"/>
                      <w:u w:val="none"/>
                    </w:rPr>
                    <w:t>昼间</w:t>
                  </w:r>
                </w:p>
              </w:tc>
              <w:tc>
                <w:tcPr>
                  <w:tcW w:w="561" w:type="pct"/>
                  <w:tcBorders>
                    <w:tl2br w:val="nil"/>
                    <w:tr2bl w:val="nil"/>
                  </w:tcBorders>
                  <w:vAlign w:val="center"/>
                </w:tcPr>
                <w:p>
                  <w:pPr>
                    <w:pStyle w:val="45"/>
                    <w:spacing w:line="276" w:lineRule="auto"/>
                    <w:rPr>
                      <w:color w:val="auto"/>
                      <w:u w:val="none"/>
                    </w:rPr>
                  </w:pPr>
                  <w:r>
                    <w:rPr>
                      <w:color w:val="auto"/>
                      <w:u w:val="none"/>
                    </w:rPr>
                    <w:t>夜间</w:t>
                  </w:r>
                </w:p>
              </w:tc>
              <w:tc>
                <w:tcPr>
                  <w:tcW w:w="418" w:type="pct"/>
                  <w:vMerge w:val="continue"/>
                  <w:tcBorders>
                    <w:tl2br w:val="nil"/>
                    <w:tr2bl w:val="nil"/>
                  </w:tcBorders>
                  <w:vAlign w:val="center"/>
                </w:tcPr>
                <w:p>
                  <w:pPr>
                    <w:pStyle w:val="45"/>
                    <w:spacing w:line="276" w:lineRule="auto"/>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u w:val="none"/>
                    </w:rPr>
                  </w:pPr>
                  <w:r>
                    <w:rPr>
                      <w:color w:val="auto"/>
                      <w:u w:val="none"/>
                    </w:rPr>
                    <w:t>N1厂界东侧外1m处</w:t>
                  </w:r>
                </w:p>
              </w:tc>
              <w:tc>
                <w:tcPr>
                  <w:tcW w:w="9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b w:val="0"/>
                      <w:bCs w:val="0"/>
                      <w:color w:val="auto"/>
                      <w:kern w:val="2"/>
                      <w:sz w:val="21"/>
                      <w:szCs w:val="21"/>
                      <w:u w:val="none"/>
                      <w:vertAlign w:val="baseline"/>
                      <w:lang w:val="en-US" w:eastAsia="zh-CN" w:bidi="ar-SA"/>
                    </w:rPr>
                    <w:t>53</w:t>
                  </w:r>
                </w:p>
              </w:tc>
              <w:tc>
                <w:tcPr>
                  <w:tcW w:w="75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40</w:t>
                  </w:r>
                </w:p>
              </w:tc>
              <w:tc>
                <w:tcPr>
                  <w:tcW w:w="79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b w:val="0"/>
                      <w:bCs w:val="0"/>
                      <w:color w:val="auto"/>
                      <w:kern w:val="2"/>
                      <w:sz w:val="21"/>
                      <w:szCs w:val="21"/>
                      <w:u w:val="none"/>
                      <w:vertAlign w:val="baseline"/>
                      <w:lang w:val="en-US" w:eastAsia="zh-CN" w:bidi="ar-SA"/>
                    </w:rPr>
                    <w:t>53</w:t>
                  </w:r>
                </w:p>
              </w:tc>
              <w:tc>
                <w:tcPr>
                  <w:tcW w:w="9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44</w:t>
                  </w:r>
                </w:p>
              </w:tc>
              <w:tc>
                <w:tcPr>
                  <w:tcW w:w="434" w:type="pct"/>
                  <w:vMerge w:val="restart"/>
                  <w:tcBorders>
                    <w:tl2br w:val="nil"/>
                    <w:tr2bl w:val="nil"/>
                  </w:tcBorders>
                  <w:vAlign w:val="center"/>
                </w:tcPr>
                <w:p>
                  <w:pPr>
                    <w:pStyle w:val="45"/>
                    <w:spacing w:line="276" w:lineRule="auto"/>
                    <w:rPr>
                      <w:color w:val="auto"/>
                      <w:u w:val="none"/>
                    </w:rPr>
                  </w:pPr>
                  <w:r>
                    <w:rPr>
                      <w:color w:val="auto"/>
                      <w:u w:val="none"/>
                    </w:rPr>
                    <w:t>60</w:t>
                  </w:r>
                </w:p>
              </w:tc>
              <w:tc>
                <w:tcPr>
                  <w:tcW w:w="561" w:type="pct"/>
                  <w:vMerge w:val="restart"/>
                  <w:tcBorders>
                    <w:tl2br w:val="nil"/>
                    <w:tr2bl w:val="nil"/>
                  </w:tcBorders>
                  <w:vAlign w:val="center"/>
                </w:tcPr>
                <w:p>
                  <w:pPr>
                    <w:pStyle w:val="45"/>
                    <w:spacing w:line="276" w:lineRule="auto"/>
                    <w:rPr>
                      <w:color w:val="auto"/>
                      <w:u w:val="none"/>
                    </w:rPr>
                  </w:pPr>
                  <w:r>
                    <w:rPr>
                      <w:color w:val="auto"/>
                      <w:u w:val="none"/>
                    </w:rPr>
                    <w:t>50</w:t>
                  </w:r>
                </w:p>
              </w:tc>
              <w:tc>
                <w:tcPr>
                  <w:tcW w:w="418" w:type="pct"/>
                  <w:tcBorders>
                    <w:tl2br w:val="nil"/>
                    <w:tr2bl w:val="nil"/>
                  </w:tcBorders>
                  <w:vAlign w:val="center"/>
                </w:tcPr>
                <w:p>
                  <w:pPr>
                    <w:adjustRightInd w:val="0"/>
                    <w:spacing w:line="276" w:lineRule="auto"/>
                    <w:jc w:val="center"/>
                    <w:textAlignment w:val="baseline"/>
                    <w:rPr>
                      <w:color w:val="auto"/>
                      <w:sz w:val="21"/>
                      <w:szCs w:val="21"/>
                      <w:u w:val="none"/>
                    </w:rPr>
                  </w:pPr>
                  <w:r>
                    <w:rPr>
                      <w:color w:val="auto"/>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u w:val="none"/>
                    </w:rPr>
                  </w:pPr>
                  <w:r>
                    <w:rPr>
                      <w:color w:val="auto"/>
                      <w:u w:val="none"/>
                    </w:rPr>
                    <w:t>N2厂界南侧外1m处</w:t>
                  </w:r>
                </w:p>
              </w:tc>
              <w:tc>
                <w:tcPr>
                  <w:tcW w:w="9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b w:val="0"/>
                      <w:bCs w:val="0"/>
                      <w:color w:val="auto"/>
                      <w:kern w:val="2"/>
                      <w:sz w:val="21"/>
                      <w:szCs w:val="21"/>
                      <w:u w:val="none"/>
                      <w:vertAlign w:val="baseline"/>
                      <w:lang w:val="en-US" w:eastAsia="zh-CN" w:bidi="ar-SA"/>
                    </w:rPr>
                    <w:t>52</w:t>
                  </w:r>
                </w:p>
              </w:tc>
              <w:tc>
                <w:tcPr>
                  <w:tcW w:w="75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42</w:t>
                  </w:r>
                </w:p>
              </w:tc>
              <w:tc>
                <w:tcPr>
                  <w:tcW w:w="79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b w:val="0"/>
                      <w:bCs w:val="0"/>
                      <w:color w:val="auto"/>
                      <w:kern w:val="2"/>
                      <w:sz w:val="21"/>
                      <w:szCs w:val="21"/>
                      <w:u w:val="none"/>
                      <w:vertAlign w:val="baseline"/>
                      <w:lang w:val="en-US" w:eastAsia="zh-CN" w:bidi="ar-SA"/>
                    </w:rPr>
                    <w:t>52</w:t>
                  </w:r>
                </w:p>
              </w:tc>
              <w:tc>
                <w:tcPr>
                  <w:tcW w:w="9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45</w:t>
                  </w:r>
                </w:p>
              </w:tc>
              <w:tc>
                <w:tcPr>
                  <w:tcW w:w="434" w:type="pct"/>
                  <w:vMerge w:val="continue"/>
                  <w:tcBorders>
                    <w:tl2br w:val="nil"/>
                    <w:tr2bl w:val="nil"/>
                  </w:tcBorders>
                  <w:vAlign w:val="center"/>
                </w:tcPr>
                <w:p>
                  <w:pPr>
                    <w:pStyle w:val="45"/>
                    <w:spacing w:line="276" w:lineRule="auto"/>
                    <w:rPr>
                      <w:color w:val="auto"/>
                      <w:u w:val="none"/>
                    </w:rPr>
                  </w:pPr>
                </w:p>
              </w:tc>
              <w:tc>
                <w:tcPr>
                  <w:tcW w:w="561" w:type="pct"/>
                  <w:vMerge w:val="continue"/>
                  <w:tcBorders>
                    <w:tl2br w:val="nil"/>
                    <w:tr2bl w:val="nil"/>
                  </w:tcBorders>
                  <w:vAlign w:val="center"/>
                </w:tcPr>
                <w:p>
                  <w:pPr>
                    <w:pStyle w:val="45"/>
                    <w:spacing w:line="276" w:lineRule="auto"/>
                    <w:rPr>
                      <w:color w:val="auto"/>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u w:val="none"/>
                    </w:rPr>
                  </w:pPr>
                  <w:r>
                    <w:rPr>
                      <w:color w:val="auto"/>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u w:val="none"/>
                    </w:rPr>
                  </w:pPr>
                  <w:r>
                    <w:rPr>
                      <w:color w:val="auto"/>
                      <w:u w:val="none"/>
                    </w:rPr>
                    <w:t>N3厂界西侧外1m处</w:t>
                  </w:r>
                </w:p>
              </w:tc>
              <w:tc>
                <w:tcPr>
                  <w:tcW w:w="9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b w:val="0"/>
                      <w:bCs w:val="0"/>
                      <w:color w:val="auto"/>
                      <w:kern w:val="2"/>
                      <w:sz w:val="21"/>
                      <w:szCs w:val="21"/>
                      <w:u w:val="none"/>
                      <w:vertAlign w:val="baseline"/>
                      <w:lang w:val="en-US" w:eastAsia="zh-CN" w:bidi="ar-SA"/>
                    </w:rPr>
                    <w:t>53</w:t>
                  </w:r>
                </w:p>
              </w:tc>
              <w:tc>
                <w:tcPr>
                  <w:tcW w:w="75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40</w:t>
                  </w:r>
                </w:p>
              </w:tc>
              <w:tc>
                <w:tcPr>
                  <w:tcW w:w="79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b w:val="0"/>
                      <w:bCs w:val="0"/>
                      <w:color w:val="auto"/>
                      <w:kern w:val="2"/>
                      <w:sz w:val="21"/>
                      <w:szCs w:val="21"/>
                      <w:u w:val="none"/>
                      <w:vertAlign w:val="baseline"/>
                      <w:lang w:val="en-US" w:eastAsia="zh-CN" w:bidi="ar-SA"/>
                    </w:rPr>
                    <w:t>53</w:t>
                  </w:r>
                </w:p>
              </w:tc>
              <w:tc>
                <w:tcPr>
                  <w:tcW w:w="9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45</w:t>
                  </w:r>
                </w:p>
              </w:tc>
              <w:tc>
                <w:tcPr>
                  <w:tcW w:w="434" w:type="pct"/>
                  <w:vMerge w:val="continue"/>
                  <w:tcBorders>
                    <w:tl2br w:val="nil"/>
                    <w:tr2bl w:val="nil"/>
                  </w:tcBorders>
                  <w:vAlign w:val="center"/>
                </w:tcPr>
                <w:p>
                  <w:pPr>
                    <w:pStyle w:val="45"/>
                    <w:spacing w:line="276" w:lineRule="auto"/>
                    <w:rPr>
                      <w:color w:val="auto"/>
                      <w:u w:val="none"/>
                    </w:rPr>
                  </w:pPr>
                </w:p>
              </w:tc>
              <w:tc>
                <w:tcPr>
                  <w:tcW w:w="561" w:type="pct"/>
                  <w:vMerge w:val="continue"/>
                  <w:tcBorders>
                    <w:tl2br w:val="nil"/>
                    <w:tr2bl w:val="nil"/>
                  </w:tcBorders>
                  <w:vAlign w:val="center"/>
                </w:tcPr>
                <w:p>
                  <w:pPr>
                    <w:pStyle w:val="45"/>
                    <w:spacing w:line="276" w:lineRule="auto"/>
                    <w:rPr>
                      <w:color w:val="auto"/>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u w:val="none"/>
                    </w:rPr>
                  </w:pPr>
                  <w:r>
                    <w:rPr>
                      <w:color w:val="auto"/>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u w:val="none"/>
                    </w:rPr>
                  </w:pPr>
                  <w:r>
                    <w:rPr>
                      <w:color w:val="auto"/>
                      <w:u w:val="none"/>
                    </w:rPr>
                    <w:t>N4厂界北侧外1m处</w:t>
                  </w:r>
                </w:p>
              </w:tc>
              <w:tc>
                <w:tcPr>
                  <w:tcW w:w="9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58</w:t>
                  </w:r>
                </w:p>
              </w:tc>
              <w:tc>
                <w:tcPr>
                  <w:tcW w:w="75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47</w:t>
                  </w:r>
                </w:p>
              </w:tc>
              <w:tc>
                <w:tcPr>
                  <w:tcW w:w="79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58</w:t>
                  </w:r>
                </w:p>
              </w:tc>
              <w:tc>
                <w:tcPr>
                  <w:tcW w:w="9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u w:val="none"/>
                    </w:rPr>
                  </w:pPr>
                  <w:r>
                    <w:rPr>
                      <w:rFonts w:hint="eastAsia" w:ascii="Times New Roman" w:hAnsi="Times New Roman" w:eastAsia="宋体" w:cs="Times New Roman"/>
                      <w:color w:val="auto"/>
                      <w:kern w:val="2"/>
                      <w:sz w:val="21"/>
                      <w:szCs w:val="21"/>
                      <w:u w:val="none"/>
                      <w:lang w:val="en-US" w:eastAsia="zh-CN" w:bidi="ar-SA"/>
                    </w:rPr>
                    <w:t>48</w:t>
                  </w:r>
                </w:p>
              </w:tc>
              <w:tc>
                <w:tcPr>
                  <w:tcW w:w="434" w:type="pct"/>
                  <w:vMerge w:val="continue"/>
                  <w:tcBorders>
                    <w:tl2br w:val="nil"/>
                    <w:tr2bl w:val="nil"/>
                  </w:tcBorders>
                  <w:vAlign w:val="center"/>
                </w:tcPr>
                <w:p>
                  <w:pPr>
                    <w:pStyle w:val="45"/>
                    <w:spacing w:line="276" w:lineRule="auto"/>
                    <w:rPr>
                      <w:color w:val="auto"/>
                      <w:u w:val="none"/>
                    </w:rPr>
                  </w:pPr>
                </w:p>
              </w:tc>
              <w:tc>
                <w:tcPr>
                  <w:tcW w:w="561" w:type="pct"/>
                  <w:vMerge w:val="continue"/>
                  <w:tcBorders>
                    <w:tl2br w:val="nil"/>
                    <w:tr2bl w:val="nil"/>
                  </w:tcBorders>
                  <w:vAlign w:val="center"/>
                </w:tcPr>
                <w:p>
                  <w:pPr>
                    <w:pStyle w:val="45"/>
                    <w:spacing w:line="276" w:lineRule="auto"/>
                    <w:rPr>
                      <w:color w:val="auto"/>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u w:val="none"/>
                    </w:rPr>
                  </w:pPr>
                  <w:r>
                    <w:rPr>
                      <w:color w:val="auto"/>
                      <w:sz w:val="21"/>
                      <w:szCs w:val="21"/>
                      <w:u w:val="none"/>
                    </w:rPr>
                    <w:t>是</w:t>
                  </w:r>
                </w:p>
              </w:tc>
            </w:tr>
          </w:tbl>
          <w:p>
            <w:pPr>
              <w:pStyle w:val="7"/>
              <w:ind w:firstLine="480"/>
              <w:rPr>
                <w:color w:val="auto"/>
                <w:u w:val="none"/>
              </w:rPr>
            </w:pPr>
            <w:r>
              <w:rPr>
                <w:color w:val="auto"/>
                <w:u w:val="none"/>
              </w:rPr>
              <w:t>从上表可以看出，厂界噪声均达到《工业企业厂界环境噪声排放标准》（GB 12348-2008）中2类标准限值。</w:t>
            </w:r>
          </w:p>
          <w:p>
            <w:pPr>
              <w:pStyle w:val="7"/>
              <w:ind w:firstLine="480"/>
              <w:rPr>
                <w:color w:val="auto"/>
                <w:u w:val="none"/>
              </w:rPr>
            </w:pPr>
            <w:r>
              <w:rPr>
                <w:color w:val="auto"/>
                <w:u w:val="none"/>
              </w:rPr>
              <w:t>（</w:t>
            </w:r>
            <w:r>
              <w:rPr>
                <w:rFonts w:hint="eastAsia"/>
                <w:color w:val="auto"/>
                <w:u w:val="none"/>
                <w:lang w:val="en-US" w:eastAsia="zh-CN"/>
              </w:rPr>
              <w:t>3</w:t>
            </w:r>
            <w:r>
              <w:rPr>
                <w:color w:val="auto"/>
                <w:u w:val="none"/>
              </w:rPr>
              <w:t>）废水</w:t>
            </w:r>
          </w:p>
          <w:p>
            <w:pPr>
              <w:pStyle w:val="7"/>
              <w:ind w:firstLine="480"/>
              <w:rPr>
                <w:color w:val="FF0000"/>
                <w:u w:val="none"/>
              </w:rPr>
            </w:pPr>
            <w:r>
              <w:rPr>
                <w:rFonts w:hint="eastAsia"/>
              </w:rPr>
              <w:t>医院内生活污水进入化粪池处理后与医疗废水进入厂内污水处理站处理后经市政污水管网进入</w:t>
            </w:r>
            <w:r>
              <w:rPr>
                <w:rFonts w:hint="eastAsia"/>
                <w:lang w:eastAsia="zh-CN"/>
              </w:rPr>
              <w:t>临湘市污水净化中心</w:t>
            </w:r>
            <w:r>
              <w:rPr>
                <w:rFonts w:hint="eastAsia"/>
              </w:rPr>
              <w:t>处理后达标排放。本项目污水处理设备与临湘市长安街道社区卫生服务中心（临湘市长安街道妇幼保健计划生育服务站）污水处理设备均出自瑞康科技公司，处理规模、工艺均相同，引用临湘市长安街道社区卫生服务中心（临湘市长安街道妇幼保健计划生育服务站）委托湖南衡润科技有限公司于2023年11月30日-12月01日对该院废水处理设施进口、总排口、接触池出口进行监测（检测报告编号：湘衡检字[HJ（2023）K]第108号），检测结果见下表</w:t>
            </w:r>
            <w:r>
              <w:rPr>
                <w:color w:val="auto"/>
                <w:u w:val="none"/>
              </w:rPr>
              <w:t>。</w:t>
            </w:r>
          </w:p>
          <w:p>
            <w:pPr>
              <w:pStyle w:val="46"/>
              <w:rPr>
                <w:color w:val="auto"/>
                <w:u w:val="none"/>
              </w:rPr>
            </w:pPr>
            <w:r>
              <w:rPr>
                <w:color w:val="auto"/>
                <w:u w:val="none"/>
              </w:rPr>
              <w:t>表2.3-</w:t>
            </w:r>
            <w:r>
              <w:rPr>
                <w:rFonts w:hint="eastAsia"/>
                <w:color w:val="auto"/>
                <w:u w:val="none"/>
                <w:lang w:val="en-US" w:eastAsia="zh-CN"/>
              </w:rPr>
              <w:t xml:space="preserve">3 </w:t>
            </w:r>
            <w:r>
              <w:rPr>
                <w:color w:val="auto"/>
                <w:u w:val="none"/>
              </w:rPr>
              <w:t>废水检测结果 单位mg/L</w:t>
            </w:r>
          </w:p>
          <w:tbl>
            <w:tblPr>
              <w:tblStyle w:val="31"/>
              <w:tblW w:w="7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882"/>
              <w:gridCol w:w="877"/>
              <w:gridCol w:w="4"/>
              <w:gridCol w:w="873"/>
              <w:gridCol w:w="8"/>
              <w:gridCol w:w="869"/>
              <w:gridCol w:w="12"/>
              <w:gridCol w:w="865"/>
              <w:gridCol w:w="16"/>
              <w:gridCol w:w="884"/>
              <w:gridCol w:w="660"/>
              <w:gridCol w:w="570"/>
              <w:gridCol w:w="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24" w:type="dxa"/>
                  <w:gridSpan w:val="14"/>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w:t>
                  </w:r>
                  <w:r>
                    <w:rPr>
                      <w:rFonts w:hint="eastAsia"/>
                      <w:color w:val="auto"/>
                      <w:u w:val="single"/>
                      <w:lang w:val="en-US" w:eastAsia="zh-CN"/>
                    </w:rPr>
                    <w:t>一</w:t>
                  </w:r>
                  <w:r>
                    <w:rPr>
                      <w:rFonts w:hint="default"/>
                      <w:color w:val="auto"/>
                      <w:u w:val="single"/>
                      <w:lang w:val="en-US" w:eastAsia="zh-CN"/>
                    </w:rPr>
                    <w:t>）检测结果</w:t>
                  </w:r>
                  <w:r>
                    <w:rPr>
                      <w:rFonts w:hint="eastAsia"/>
                      <w:color w:val="auto"/>
                      <w:u w:val="single"/>
                      <w:lang w:val="en-US" w:eastAsia="zh-CN"/>
                    </w:rPr>
                    <w:t>（2023.11.30）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检测点位</w:t>
                  </w: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检测</w:t>
                  </w:r>
                </w:p>
                <w:p>
                  <w:pPr>
                    <w:pStyle w:val="73"/>
                    <w:bidi w:val="0"/>
                    <w:rPr>
                      <w:rFonts w:hint="eastAsia"/>
                      <w:color w:val="auto"/>
                      <w:u w:val="single"/>
                      <w:lang w:val="en-US" w:eastAsia="zh-CN"/>
                    </w:rPr>
                  </w:pPr>
                  <w:r>
                    <w:rPr>
                      <w:rFonts w:hint="eastAsia"/>
                      <w:color w:val="auto"/>
                      <w:u w:val="single"/>
                      <w:lang w:val="en-US" w:eastAsia="zh-CN"/>
                    </w:rPr>
                    <w:t>项目</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第一次</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第二次</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第三次</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第四次</w:t>
                  </w:r>
                </w:p>
              </w:tc>
              <w:tc>
                <w:tcPr>
                  <w:tcW w:w="900" w:type="dxa"/>
                  <w:gridSpan w:val="2"/>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均值</w:t>
                  </w:r>
                </w:p>
              </w:tc>
              <w:tc>
                <w:tcPr>
                  <w:tcW w:w="660"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单位</w:t>
                  </w:r>
                </w:p>
              </w:tc>
              <w:tc>
                <w:tcPr>
                  <w:tcW w:w="57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限值</w:t>
                  </w:r>
                </w:p>
              </w:tc>
              <w:tc>
                <w:tcPr>
                  <w:tcW w:w="643"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restart"/>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W1废水处理设施进口</w:t>
                  </w: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流量</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0.35</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m</w:t>
                  </w:r>
                  <w:r>
                    <w:rPr>
                      <w:rFonts w:hint="eastAsia"/>
                      <w:color w:val="auto"/>
                      <w:u w:val="single"/>
                      <w:vertAlign w:val="superscript"/>
                      <w:lang w:val="en-US" w:eastAsia="zh-CN"/>
                    </w:rPr>
                    <w:t>3</w:t>
                  </w:r>
                  <w:r>
                    <w:rPr>
                      <w:rFonts w:hint="default"/>
                      <w:color w:val="auto"/>
                      <w:u w:val="single"/>
                      <w:lang w:val="en-US" w:eastAsia="zh-CN"/>
                    </w:rPr>
                    <w:t>/</w:t>
                  </w:r>
                  <w:r>
                    <w:rPr>
                      <w:rFonts w:hint="eastAsia"/>
                      <w:color w:val="auto"/>
                      <w:u w:val="single"/>
                      <w:lang w:val="en-US" w:eastAsia="zh-CN"/>
                    </w:rPr>
                    <w:t>h</w:t>
                  </w:r>
                </w:p>
              </w:tc>
              <w:tc>
                <w:tcPr>
                  <w:tcW w:w="570" w:type="dxa"/>
                  <w:tcBorders>
                    <w:tl2br w:val="nil"/>
                    <w:tr2bl w:val="nil"/>
                  </w:tcBorders>
                  <w:noWrap w:val="0"/>
                  <w:vAlign w:val="center"/>
                </w:tcPr>
                <w:p>
                  <w:pPr>
                    <w:pStyle w:val="73"/>
                    <w:bidi w:val="0"/>
                    <w:rPr>
                      <w:rFonts w:hint="default"/>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pH</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6.7</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6.5</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6.9</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6.9</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6.5~6.9</w:t>
                  </w:r>
                </w:p>
              </w:tc>
              <w:tc>
                <w:tcPr>
                  <w:tcW w:w="660" w:type="dxa"/>
                  <w:tcBorders>
                    <w:tl2br w:val="nil"/>
                    <w:tr2bl w:val="nil"/>
                  </w:tcBorders>
                  <w:noWrap w:val="0"/>
                  <w:vAlign w:val="center"/>
                </w:tcPr>
                <w:p>
                  <w:pPr>
                    <w:pStyle w:val="73"/>
                    <w:bidi w:val="0"/>
                    <w:rPr>
                      <w:rFonts w:hint="default"/>
                      <w:color w:val="auto"/>
                      <w:u w:val="single"/>
                    </w:rPr>
                  </w:pPr>
                  <w:r>
                    <w:rPr>
                      <w:rFonts w:hint="eastAsia"/>
                      <w:color w:val="auto"/>
                      <w:u w:val="single"/>
                      <w:lang w:val="en-US" w:eastAsia="zh-CN"/>
                    </w:rPr>
                    <w:t>无量纲</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悬浮物</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46</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45</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49</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average(C5:F5) \* MERGEFORMAT </w:instrText>
                  </w:r>
                  <w:r>
                    <w:rPr>
                      <w:rFonts w:hint="default"/>
                      <w:color w:val="auto"/>
                      <w:u w:val="single"/>
                      <w:lang w:val="en-US" w:eastAsia="zh-CN"/>
                    </w:rPr>
                    <w:fldChar w:fldCharType="separate"/>
                  </w:r>
                  <w:r>
                    <w:rPr>
                      <w:rFonts w:hint="eastAsia"/>
                      <w:color w:val="auto"/>
                      <w:u w:val="single"/>
                      <w:lang w:val="en-US" w:eastAsia="zh-CN"/>
                    </w:rPr>
                    <w:t>44</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化学需氧量</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177</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156</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148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184</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average(C6:F6) \* MERGEFORMAT </w:instrText>
                  </w:r>
                  <w:r>
                    <w:rPr>
                      <w:rFonts w:hint="default"/>
                      <w:color w:val="auto"/>
                      <w:u w:val="single"/>
                      <w:lang w:val="en-US" w:eastAsia="zh-CN"/>
                    </w:rPr>
                    <w:fldChar w:fldCharType="separate"/>
                  </w:r>
                  <w:r>
                    <w:rPr>
                      <w:rFonts w:hint="default"/>
                      <w:color w:val="auto"/>
                      <w:u w:val="single"/>
                      <w:lang w:val="en-US" w:eastAsia="zh-CN"/>
                    </w:rPr>
                    <w:t>1</w:t>
                  </w:r>
                  <w:r>
                    <w:rPr>
                      <w:rFonts w:hint="eastAsia"/>
                      <w:color w:val="auto"/>
                      <w:u w:val="single"/>
                      <w:lang w:val="en-US" w:eastAsia="zh-CN"/>
                    </w:rPr>
                    <w:t>6</w:t>
                  </w:r>
                  <w:r>
                    <w:rPr>
                      <w:rFonts w:hint="default"/>
                      <w:color w:val="auto"/>
                      <w:u w:val="single"/>
                      <w:lang w:val="en-US" w:eastAsia="zh-CN"/>
                    </w:rPr>
                    <w:fldChar w:fldCharType="end"/>
                  </w:r>
                  <w:r>
                    <w:rPr>
                      <w:rFonts w:hint="eastAsia"/>
                      <w:color w:val="auto"/>
                      <w:u w:val="single"/>
                      <w:lang w:val="en-US" w:eastAsia="zh-CN"/>
                    </w:rPr>
                    <w:t>6</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lang w:val="en-US" w:eastAsia="zh-CN"/>
                    </w:rPr>
                    <w:t>BOD</w:t>
                  </w:r>
                  <w:r>
                    <w:rPr>
                      <w:rFonts w:hint="default"/>
                      <w:color w:val="auto"/>
                      <w:u w:val="single"/>
                      <w:vertAlign w:val="subscript"/>
                      <w:lang w:val="en-US" w:eastAsia="zh-CN"/>
                    </w:rPr>
                    <w:t>5</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48.2</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45.8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44.1</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42.7</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average(C7:F7) \* MERGEFORMAT </w:instrText>
                  </w:r>
                  <w:r>
                    <w:rPr>
                      <w:rFonts w:hint="default"/>
                      <w:color w:val="auto"/>
                      <w:u w:val="single"/>
                      <w:lang w:val="en-US" w:eastAsia="zh-CN"/>
                    </w:rPr>
                    <w:fldChar w:fldCharType="separate"/>
                  </w:r>
                  <w:r>
                    <w:rPr>
                      <w:rFonts w:hint="eastAsia"/>
                      <w:color w:val="auto"/>
                      <w:u w:val="single"/>
                      <w:lang w:val="en-US" w:eastAsia="zh-CN"/>
                    </w:rPr>
                    <w:t>4</w:t>
                  </w:r>
                  <w:r>
                    <w:rPr>
                      <w:rFonts w:hint="default"/>
                      <w:color w:val="auto"/>
                      <w:u w:val="single"/>
                      <w:lang w:val="en-US" w:eastAsia="zh-CN"/>
                    </w:rPr>
                    <w:t>5.2</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氨氮</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51.0</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52.8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55.4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51.9</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average(C8:F8) \* MERGEFORMAT </w:instrText>
                  </w:r>
                  <w:r>
                    <w:rPr>
                      <w:rFonts w:hint="default"/>
                      <w:color w:val="auto"/>
                      <w:u w:val="single"/>
                      <w:lang w:val="en-US" w:eastAsia="zh-CN"/>
                    </w:rPr>
                    <w:fldChar w:fldCharType="separate"/>
                  </w:r>
                  <w:r>
                    <w:rPr>
                      <w:rFonts w:hint="eastAsia"/>
                      <w:color w:val="auto"/>
                      <w:u w:val="single"/>
                      <w:lang w:val="en-US" w:eastAsia="zh-CN"/>
                    </w:rPr>
                    <w:t>5</w:t>
                  </w:r>
                  <w:r>
                    <w:rPr>
                      <w:rFonts w:hint="default"/>
                      <w:color w:val="auto"/>
                      <w:u w:val="single"/>
                      <w:lang w:val="en-US" w:eastAsia="zh-CN"/>
                    </w:rPr>
                    <w:t>2.</w:t>
                  </w:r>
                  <w:r>
                    <w:rPr>
                      <w:rFonts w:hint="eastAsia"/>
                      <w:color w:val="auto"/>
                      <w:u w:val="single"/>
                      <w:lang w:val="en-US" w:eastAsia="zh-CN"/>
                    </w:rPr>
                    <w:t>8</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动植物油</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0.12</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0.10</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0.16</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average(C9:F9) \* MERGEFORMAT </w:instrText>
                  </w:r>
                  <w:r>
                    <w:rPr>
                      <w:rFonts w:hint="default"/>
                      <w:color w:val="auto"/>
                      <w:u w:val="single"/>
                      <w:lang w:val="en-US" w:eastAsia="zh-CN"/>
                    </w:rPr>
                    <w:fldChar w:fldCharType="separate"/>
                  </w:r>
                  <w:r>
                    <w:rPr>
                      <w:rFonts w:hint="default"/>
                      <w:color w:val="auto"/>
                      <w:u w:val="single"/>
                      <w:lang w:val="en-US" w:eastAsia="zh-CN"/>
                    </w:rPr>
                    <w:t>0.1</w:t>
                  </w:r>
                  <w:r>
                    <w:rPr>
                      <w:rFonts w:hint="eastAsia"/>
                      <w:color w:val="auto"/>
                      <w:u w:val="single"/>
                      <w:lang w:val="en-US" w:eastAsia="zh-CN"/>
                    </w:rPr>
                    <w:t>2</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石油类</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0.50</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0.46</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0.47</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0.41</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average(C10:F10) \* MERGEFORMAT </w:instrText>
                  </w:r>
                  <w:r>
                    <w:rPr>
                      <w:rFonts w:hint="default"/>
                      <w:color w:val="auto"/>
                      <w:u w:val="single"/>
                      <w:lang w:val="en-US" w:eastAsia="zh-CN"/>
                    </w:rPr>
                    <w:fldChar w:fldCharType="separate"/>
                  </w:r>
                  <w:r>
                    <w:rPr>
                      <w:rFonts w:hint="default"/>
                      <w:color w:val="auto"/>
                      <w:u w:val="single"/>
                      <w:lang w:val="en-US" w:eastAsia="zh-CN"/>
                    </w:rPr>
                    <w:t>0.46</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LAS</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0.16</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0.15</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0.15</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0.15</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average(C11:F11) \* MERGEFORMAT </w:instrText>
                  </w:r>
                  <w:r>
                    <w:rPr>
                      <w:rFonts w:hint="default"/>
                      <w:color w:val="auto"/>
                      <w:u w:val="single"/>
                      <w:lang w:val="en-US" w:eastAsia="zh-CN"/>
                    </w:rPr>
                    <w:fldChar w:fldCharType="separate"/>
                  </w:r>
                  <w:r>
                    <w:rPr>
                      <w:rFonts w:hint="default"/>
                      <w:color w:val="auto"/>
                      <w:u w:val="single"/>
                      <w:lang w:val="en-US" w:eastAsia="zh-CN"/>
                    </w:rPr>
                    <w:t>0.15</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挥发酚</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0.028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0.022</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0.041</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0.022</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average(C12:F12) \* MERGEFORMAT </w:instrText>
                  </w:r>
                  <w:r>
                    <w:rPr>
                      <w:rFonts w:hint="default"/>
                      <w:color w:val="auto"/>
                      <w:u w:val="single"/>
                      <w:lang w:val="en-US" w:eastAsia="zh-CN"/>
                    </w:rPr>
                    <w:fldChar w:fldCharType="separate"/>
                  </w:r>
                  <w:r>
                    <w:rPr>
                      <w:rFonts w:hint="default"/>
                      <w:color w:val="auto"/>
                      <w:u w:val="single"/>
                      <w:lang w:val="en-US" w:eastAsia="zh-CN"/>
                    </w:rPr>
                    <w:t>0.028</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总氰化物</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粪大肠菌群</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1.7</w:t>
                  </w:r>
                  <w:r>
                    <w:rPr>
                      <w:rFonts w:hint="default"/>
                      <w:color w:val="auto"/>
                      <w:u w:val="single"/>
                      <w:lang w:val="en-US" w:eastAsia="zh-CN"/>
                    </w:rPr>
                    <w:t>×10</w:t>
                  </w:r>
                  <w:r>
                    <w:rPr>
                      <w:rFonts w:hint="eastAsia"/>
                      <w:color w:val="auto"/>
                      <w:u w:val="single"/>
                      <w:vertAlign w:val="superscript"/>
                      <w:lang w:val="en-US" w:eastAsia="zh-CN"/>
                    </w:rPr>
                    <w:t>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2.1</w:t>
                  </w:r>
                  <w:r>
                    <w:rPr>
                      <w:rFonts w:hint="default"/>
                      <w:color w:val="auto"/>
                      <w:u w:val="single"/>
                      <w:lang w:val="en-US" w:eastAsia="zh-CN"/>
                    </w:rPr>
                    <w:t>×10</w:t>
                  </w:r>
                  <w:r>
                    <w:rPr>
                      <w:rFonts w:hint="eastAsia"/>
                      <w:color w:val="auto"/>
                      <w:u w:val="single"/>
                      <w:vertAlign w:val="superscript"/>
                      <w:lang w:val="en-US" w:eastAsia="zh-CN"/>
                    </w:rPr>
                    <w:t>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2.3</w:t>
                  </w:r>
                  <w:r>
                    <w:rPr>
                      <w:rFonts w:hint="default"/>
                      <w:color w:val="auto"/>
                      <w:u w:val="single"/>
                      <w:lang w:val="en-US" w:eastAsia="zh-CN"/>
                    </w:rPr>
                    <w:t>×10</w:t>
                  </w:r>
                  <w:r>
                    <w:rPr>
                      <w:rFonts w:hint="eastAsia"/>
                      <w:color w:val="auto"/>
                      <w:u w:val="single"/>
                      <w:vertAlign w:val="superscript"/>
                      <w:lang w:val="en-US" w:eastAsia="zh-CN"/>
                    </w:rPr>
                    <w:t>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3.3</w:t>
                  </w:r>
                  <w:r>
                    <w:rPr>
                      <w:rFonts w:hint="default"/>
                      <w:color w:val="auto"/>
                      <w:u w:val="single"/>
                      <w:lang w:val="en-US" w:eastAsia="zh-CN"/>
                    </w:rPr>
                    <w:t>×10</w:t>
                  </w:r>
                  <w:r>
                    <w:rPr>
                      <w:rFonts w:hint="eastAsia"/>
                      <w:color w:val="auto"/>
                      <w:u w:val="single"/>
                      <w:vertAlign w:val="superscript"/>
                      <w:lang w:val="en-US" w:eastAsia="zh-CN"/>
                    </w:rPr>
                    <w:t>4</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average(C14:F14) \* MERGEFORMAT </w:instrText>
                  </w:r>
                  <w:r>
                    <w:rPr>
                      <w:rFonts w:hint="default"/>
                      <w:color w:val="auto"/>
                      <w:u w:val="single"/>
                      <w:lang w:val="en-US" w:eastAsia="zh-CN"/>
                    </w:rPr>
                    <w:fldChar w:fldCharType="separate"/>
                  </w:r>
                  <w:r>
                    <w:rPr>
                      <w:rFonts w:hint="default"/>
                      <w:color w:val="auto"/>
                      <w:u w:val="single"/>
                      <w:lang w:val="en-US" w:eastAsia="zh-CN"/>
                    </w:rPr>
                    <w:t>2.</w:t>
                  </w:r>
                  <w:r>
                    <w:rPr>
                      <w:rFonts w:hint="eastAsia"/>
                      <w:color w:val="auto"/>
                      <w:u w:val="single"/>
                      <w:lang w:val="en-US" w:eastAsia="zh-CN"/>
                    </w:rPr>
                    <w:t>4</w:t>
                  </w:r>
                  <w:r>
                    <w:rPr>
                      <w:rFonts w:hint="default"/>
                      <w:color w:val="auto"/>
                      <w:u w:val="single"/>
                      <w:lang w:val="en-US" w:eastAsia="zh-CN"/>
                    </w:rPr>
                    <w:fldChar w:fldCharType="end"/>
                  </w:r>
                  <w:r>
                    <w:rPr>
                      <w:rFonts w:hint="default"/>
                      <w:color w:val="auto"/>
                      <w:u w:val="single"/>
                      <w:lang w:val="en-US" w:eastAsia="zh-CN"/>
                    </w:rPr>
                    <w:t>×10</w:t>
                  </w:r>
                  <w:r>
                    <w:rPr>
                      <w:rFonts w:hint="eastAsia"/>
                      <w:color w:val="auto"/>
                      <w:u w:val="single"/>
                      <w:vertAlign w:val="superscript"/>
                      <w:lang w:val="en-US" w:eastAsia="zh-CN"/>
                    </w:rPr>
                    <w:t>4</w:t>
                  </w:r>
                </w:p>
              </w:tc>
              <w:tc>
                <w:tcPr>
                  <w:tcW w:w="660"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rPr>
                    <w:t>MPN</w:t>
                  </w:r>
                  <w:r>
                    <w:rPr>
                      <w:rFonts w:hint="eastAsia"/>
                      <w:color w:val="auto"/>
                      <w:u w:val="single"/>
                      <w:lang w:val="en-US" w:eastAsia="zh-CN"/>
                    </w:rPr>
                    <w:t>/L</w:t>
                  </w:r>
                </w:p>
              </w:tc>
              <w:tc>
                <w:tcPr>
                  <w:tcW w:w="570" w:type="dxa"/>
                  <w:tcBorders>
                    <w:tl2br w:val="nil"/>
                    <w:tr2bl w:val="nil"/>
                  </w:tcBorders>
                  <w:noWrap w:val="0"/>
                  <w:vAlign w:val="center"/>
                </w:tcPr>
                <w:p>
                  <w:pPr>
                    <w:pStyle w:val="73"/>
                    <w:bidi w:val="0"/>
                    <w:rPr>
                      <w:rFonts w:hint="default"/>
                      <w:lang w:val="en-US" w:eastAsia="zh-CN"/>
                    </w:rPr>
                  </w:pPr>
                  <w:r>
                    <w:rPr>
                      <w:rFonts w:hint="eastAsia"/>
                      <w:lang w:val="en-US" w:eastAsia="zh-CN"/>
                    </w:rPr>
                    <w:t>/</w:t>
                  </w:r>
                </w:p>
              </w:tc>
              <w:tc>
                <w:tcPr>
                  <w:tcW w:w="643" w:type="dxa"/>
                  <w:tcBorders>
                    <w:tl2br w:val="nil"/>
                    <w:tr2bl w:val="nil"/>
                  </w:tcBorders>
                  <w:noWrap w:val="0"/>
                  <w:vAlign w:val="center"/>
                </w:tcPr>
                <w:p>
                  <w:pPr>
                    <w:pStyle w:val="73"/>
                    <w:bidi w:val="0"/>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restart"/>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rPr>
                    <w:t>W2废水总排口</w:t>
                  </w: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流量</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0.35</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m</w:t>
                  </w:r>
                  <w:r>
                    <w:rPr>
                      <w:rFonts w:hint="eastAsia"/>
                      <w:color w:val="auto"/>
                      <w:u w:val="single"/>
                      <w:vertAlign w:val="superscript"/>
                      <w:lang w:val="en-US" w:eastAsia="zh-CN"/>
                    </w:rPr>
                    <w:t>3</w:t>
                  </w:r>
                  <w:r>
                    <w:rPr>
                      <w:rFonts w:hint="default"/>
                      <w:color w:val="auto"/>
                      <w:u w:val="single"/>
                      <w:lang w:val="en-US" w:eastAsia="zh-CN"/>
                    </w:rPr>
                    <w:t>/</w:t>
                  </w:r>
                  <w:r>
                    <w:rPr>
                      <w:rFonts w:hint="eastAsia"/>
                      <w:color w:val="auto"/>
                      <w:u w:val="single"/>
                      <w:lang w:val="en-US" w:eastAsia="zh-CN"/>
                    </w:rPr>
                    <w:t>h</w:t>
                  </w:r>
                </w:p>
              </w:tc>
              <w:tc>
                <w:tcPr>
                  <w:tcW w:w="570" w:type="dxa"/>
                  <w:tcBorders>
                    <w:tl2br w:val="nil"/>
                    <w:tr2bl w:val="nil"/>
                  </w:tcBorders>
                  <w:noWrap w:val="0"/>
                  <w:vAlign w:val="center"/>
                </w:tcPr>
                <w:p>
                  <w:pPr>
                    <w:pStyle w:val="73"/>
                    <w:bidi w:val="0"/>
                    <w:rPr>
                      <w:rFonts w:hint="default"/>
                      <w:lang w:val="en-US" w:eastAsia="zh-CN"/>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default"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pH</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7.0</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7.1</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7.1</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7.2</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7.0~7.2</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无量纲</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6-9</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悬浮物</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25</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27</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24</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average(C17:F17) \* MERGEFORMAT </w:instrText>
                  </w:r>
                  <w:r>
                    <w:rPr>
                      <w:rFonts w:hint="default"/>
                      <w:color w:val="auto"/>
                      <w:u w:val="single"/>
                      <w:lang w:val="en-US" w:eastAsia="zh-CN"/>
                    </w:rPr>
                    <w:fldChar w:fldCharType="separate"/>
                  </w:r>
                  <w:r>
                    <w:rPr>
                      <w:rFonts w:hint="eastAsia"/>
                      <w:color w:val="auto"/>
                      <w:u w:val="single"/>
                      <w:lang w:val="en-US" w:eastAsia="zh-CN"/>
                    </w:rPr>
                    <w:t>26</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60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化学需氧量</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55</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50</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average(C18:F18) \* MERGEFORMAT </w:instrText>
                  </w:r>
                  <w:r>
                    <w:rPr>
                      <w:rFonts w:hint="default"/>
                      <w:color w:val="auto"/>
                      <w:u w:val="single"/>
                      <w:lang w:val="en-US" w:eastAsia="zh-CN"/>
                    </w:rPr>
                    <w:fldChar w:fldCharType="separate"/>
                  </w:r>
                  <w:r>
                    <w:rPr>
                      <w:rFonts w:hint="default"/>
                      <w:color w:val="auto"/>
                      <w:u w:val="single"/>
                      <w:lang w:val="en-US" w:eastAsia="zh-CN"/>
                    </w:rPr>
                    <w:t>49</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250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lang w:val="en-US" w:eastAsia="zh-CN"/>
                    </w:rPr>
                    <w:t>BOD</w:t>
                  </w:r>
                  <w:r>
                    <w:rPr>
                      <w:rFonts w:hint="default"/>
                      <w:color w:val="auto"/>
                      <w:u w:val="single"/>
                      <w:vertAlign w:val="subscript"/>
                      <w:lang w:val="en-US" w:eastAsia="zh-CN"/>
                    </w:rPr>
                    <w:t>5</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21.8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20.9</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22.0</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21.5</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average(C19:F19) \* MERGEFORMAT </w:instrText>
                  </w:r>
                  <w:r>
                    <w:rPr>
                      <w:rFonts w:hint="default"/>
                      <w:color w:val="auto"/>
                      <w:u w:val="single"/>
                      <w:lang w:val="en-US" w:eastAsia="zh-CN"/>
                    </w:rPr>
                    <w:fldChar w:fldCharType="separate"/>
                  </w:r>
                  <w:r>
                    <w:rPr>
                      <w:rFonts w:hint="eastAsia"/>
                      <w:color w:val="auto"/>
                      <w:u w:val="single"/>
                      <w:lang w:val="en-US" w:eastAsia="zh-CN"/>
                    </w:rPr>
                    <w:t>2</w:t>
                  </w:r>
                  <w:r>
                    <w:rPr>
                      <w:rFonts w:hint="default"/>
                      <w:color w:val="auto"/>
                      <w:u w:val="single"/>
                      <w:lang w:val="en-US" w:eastAsia="zh-CN"/>
                    </w:rPr>
                    <w:t>1.</w:t>
                  </w:r>
                  <w:r>
                    <w:rPr>
                      <w:rFonts w:hint="eastAsia"/>
                      <w:color w:val="auto"/>
                      <w:u w:val="single"/>
                      <w:lang w:val="en-US" w:eastAsia="zh-CN"/>
                    </w:rPr>
                    <w:t>6</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100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氨氮</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34.3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34.3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34.4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34.4</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average(C20:F20) \* MERGEFORMAT </w:instrText>
                  </w:r>
                  <w:r>
                    <w:rPr>
                      <w:rFonts w:hint="default"/>
                      <w:color w:val="auto"/>
                      <w:u w:val="single"/>
                      <w:lang w:val="en-US" w:eastAsia="zh-CN"/>
                    </w:rPr>
                    <w:fldChar w:fldCharType="separate"/>
                  </w:r>
                  <w:r>
                    <w:rPr>
                      <w:rFonts w:hint="default"/>
                      <w:color w:val="auto"/>
                      <w:u w:val="single"/>
                      <w:lang w:val="en-US" w:eastAsia="zh-CN"/>
                    </w:rPr>
                    <w:t>34.</w:t>
                  </w:r>
                  <w:r>
                    <w:rPr>
                      <w:rFonts w:hint="eastAsia"/>
                      <w:color w:val="auto"/>
                      <w:u w:val="single"/>
                      <w:lang w:val="en-US" w:eastAsia="zh-CN"/>
                    </w:rPr>
                    <w:t>4</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default"/>
                      <w:lang w:val="en-US" w:eastAsia="zh-CN"/>
                    </w:rPr>
                  </w:pPr>
                  <w:r>
                    <w:rPr>
                      <w:rFonts w:hint="eastAsia" w:ascii="Times New Roman" w:hAnsi="Times New Roman" w:eastAsia="宋体" w:cs="Times New Roman"/>
                      <w:kern w:val="2"/>
                      <w:sz w:val="21"/>
                      <w:szCs w:val="24"/>
                      <w:lang w:val="en-US" w:eastAsia="zh-CN" w:bidi="ar-SA"/>
                    </w:rPr>
                    <w:t>50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动植物油</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20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石油类</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20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LAS</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0.05</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10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挥发酚</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0.014</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0.011</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0.018</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average(C24:F24) \* MERGEFORMAT </w:instrText>
                  </w:r>
                  <w:r>
                    <w:rPr>
                      <w:rFonts w:hint="default"/>
                      <w:color w:val="auto"/>
                      <w:u w:val="single"/>
                      <w:lang w:val="en-US" w:eastAsia="zh-CN"/>
                    </w:rPr>
                    <w:fldChar w:fldCharType="separate"/>
                  </w:r>
                  <w:r>
                    <w:rPr>
                      <w:rFonts w:hint="default"/>
                      <w:color w:val="auto"/>
                      <w:u w:val="single"/>
                      <w:lang w:val="en-US" w:eastAsia="zh-CN"/>
                    </w:rPr>
                    <w:t>0.012</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1.0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总氰化物</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eastAsia"/>
                      <w:lang w:val="en-US" w:eastAsia="zh-CN"/>
                    </w:rPr>
                  </w:pPr>
                  <w:r>
                    <w:rPr>
                      <w:rFonts w:hint="eastAsia"/>
                      <w:lang w:val="en-US" w:eastAsia="zh-CN"/>
                    </w:rPr>
                    <w:t>0.5</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粪大肠菌群</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1.1</w:t>
                  </w:r>
                  <w:r>
                    <w:rPr>
                      <w:rFonts w:hint="default"/>
                      <w:color w:val="auto"/>
                      <w:u w:val="single"/>
                      <w:lang w:val="en-US" w:eastAsia="zh-CN"/>
                    </w:rPr>
                    <w:t>×10</w:t>
                  </w:r>
                  <w:r>
                    <w:rPr>
                      <w:rFonts w:hint="eastAsia"/>
                      <w:color w:val="auto"/>
                      <w:u w:val="single"/>
                      <w:vertAlign w:val="superscript"/>
                      <w:lang w:val="en-US" w:eastAsia="zh-CN"/>
                    </w:rPr>
                    <w:t>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1.3</w:t>
                  </w:r>
                  <w:r>
                    <w:rPr>
                      <w:rFonts w:hint="default"/>
                      <w:color w:val="auto"/>
                      <w:u w:val="single"/>
                      <w:lang w:val="en-US" w:eastAsia="zh-CN"/>
                    </w:rPr>
                    <w:t>×10</w:t>
                  </w:r>
                  <w:r>
                    <w:rPr>
                      <w:rFonts w:hint="eastAsia"/>
                      <w:color w:val="auto"/>
                      <w:u w:val="single"/>
                      <w:vertAlign w:val="superscript"/>
                      <w:lang w:val="en-US" w:eastAsia="zh-CN"/>
                    </w:rPr>
                    <w:t>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1.4</w:t>
                  </w:r>
                  <w:r>
                    <w:rPr>
                      <w:rFonts w:hint="default"/>
                      <w:color w:val="auto"/>
                      <w:u w:val="single"/>
                      <w:lang w:val="en-US" w:eastAsia="zh-CN"/>
                    </w:rPr>
                    <w:t>×10</w:t>
                  </w:r>
                  <w:r>
                    <w:rPr>
                      <w:rFonts w:hint="eastAsia"/>
                      <w:color w:val="auto"/>
                      <w:u w:val="single"/>
                      <w:vertAlign w:val="superscript"/>
                      <w:lang w:val="en-US" w:eastAsia="zh-CN"/>
                    </w:rPr>
                    <w:t>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1.4</w:t>
                  </w:r>
                  <w:r>
                    <w:rPr>
                      <w:rFonts w:hint="default"/>
                      <w:color w:val="auto"/>
                      <w:u w:val="single"/>
                      <w:lang w:val="en-US" w:eastAsia="zh-CN"/>
                    </w:rPr>
                    <w:t>×10</w:t>
                  </w:r>
                  <w:r>
                    <w:rPr>
                      <w:rFonts w:hint="eastAsia"/>
                      <w:color w:val="auto"/>
                      <w:u w:val="single"/>
                      <w:vertAlign w:val="superscript"/>
                      <w:lang w:val="en-US" w:eastAsia="zh-CN"/>
                    </w:rPr>
                    <w:t>3</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average(C26:F26) \* MERGEFORMAT </w:instrText>
                  </w:r>
                  <w:r>
                    <w:rPr>
                      <w:rFonts w:hint="default"/>
                      <w:color w:val="auto"/>
                      <w:u w:val="single"/>
                      <w:lang w:val="en-US" w:eastAsia="zh-CN"/>
                    </w:rPr>
                    <w:fldChar w:fldCharType="separate"/>
                  </w:r>
                  <w:r>
                    <w:rPr>
                      <w:rFonts w:hint="default"/>
                      <w:color w:val="auto"/>
                      <w:u w:val="single"/>
                      <w:lang w:val="en-US" w:eastAsia="zh-CN"/>
                    </w:rPr>
                    <w:t>1.3</w:t>
                  </w:r>
                  <w:r>
                    <w:rPr>
                      <w:rFonts w:hint="default"/>
                      <w:color w:val="auto"/>
                      <w:u w:val="single"/>
                      <w:lang w:val="en-US" w:eastAsia="zh-CN"/>
                    </w:rPr>
                    <w:fldChar w:fldCharType="end"/>
                  </w:r>
                  <w:r>
                    <w:rPr>
                      <w:rFonts w:hint="default"/>
                      <w:color w:val="auto"/>
                      <w:u w:val="single"/>
                      <w:lang w:val="en-US" w:eastAsia="zh-CN"/>
                    </w:rPr>
                    <w:t>×10</w:t>
                  </w:r>
                  <w:r>
                    <w:rPr>
                      <w:rFonts w:hint="eastAsia"/>
                      <w:color w:val="auto"/>
                      <w:u w:val="single"/>
                      <w:vertAlign w:val="superscript"/>
                      <w:lang w:val="en-US" w:eastAsia="zh-CN"/>
                    </w:rPr>
                    <w:t>3</w:t>
                  </w:r>
                </w:p>
              </w:tc>
              <w:tc>
                <w:tcPr>
                  <w:tcW w:w="660"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rPr>
                    <w:t>MPN</w:t>
                  </w:r>
                  <w:r>
                    <w:rPr>
                      <w:rFonts w:hint="eastAsia"/>
                      <w:color w:val="auto"/>
                      <w:u w:val="single"/>
                      <w:lang w:val="en-US" w:eastAsia="zh-CN"/>
                    </w:rPr>
                    <w:t>/L</w:t>
                  </w:r>
                </w:p>
              </w:tc>
              <w:tc>
                <w:tcPr>
                  <w:tcW w:w="570" w:type="dxa"/>
                  <w:tcBorders>
                    <w:tl2br w:val="nil"/>
                    <w:tr2bl w:val="nil"/>
                  </w:tcBorders>
                  <w:noWrap w:val="0"/>
                  <w:vAlign w:val="center"/>
                </w:tcPr>
                <w:p>
                  <w:pPr>
                    <w:pStyle w:val="73"/>
                    <w:bidi w:val="0"/>
                    <w:rPr>
                      <w:rFonts w:hint="default"/>
                    </w:rPr>
                  </w:pPr>
                  <w:r>
                    <w:rPr>
                      <w:rFonts w:hint="eastAsia"/>
                      <w:lang w:val="en-US" w:eastAsia="zh-CN"/>
                    </w:rPr>
                    <w:t>5000</w:t>
                  </w:r>
                </w:p>
              </w:tc>
              <w:tc>
                <w:tcPr>
                  <w:tcW w:w="643" w:type="dxa"/>
                  <w:tcBorders>
                    <w:tl2br w:val="nil"/>
                    <w:tr2bl w:val="nil"/>
                  </w:tcBorders>
                  <w:noWrap w:val="0"/>
                  <w:vAlign w:val="center"/>
                </w:tcPr>
                <w:p>
                  <w:pPr>
                    <w:pStyle w:val="73"/>
                    <w:bidi w:val="0"/>
                    <w:ind w:firstLine="0" w:firstLineChars="0"/>
                    <w:rPr>
                      <w:rFonts w:hint="default"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W3接触池出口</w:t>
                  </w: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总余氯</w:t>
                  </w:r>
                </w:p>
              </w:tc>
              <w:tc>
                <w:tcPr>
                  <w:tcW w:w="877"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2.73</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2.69</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2.66</w:t>
                  </w:r>
                </w:p>
              </w:tc>
              <w:tc>
                <w:tcPr>
                  <w:tcW w:w="877"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2.70</w:t>
                  </w:r>
                </w:p>
              </w:tc>
              <w:tc>
                <w:tcPr>
                  <w:tcW w:w="900" w:type="dxa"/>
                  <w:gridSpan w:val="2"/>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average(C27:F27) \* MERGEFORMAT </w:instrText>
                  </w:r>
                  <w:r>
                    <w:rPr>
                      <w:rFonts w:hint="default"/>
                      <w:color w:val="auto"/>
                      <w:u w:val="single"/>
                      <w:lang w:val="en-US" w:eastAsia="zh-CN"/>
                    </w:rPr>
                    <w:fldChar w:fldCharType="separate"/>
                  </w:r>
                  <w:r>
                    <w:rPr>
                      <w:rFonts w:hint="eastAsia"/>
                      <w:color w:val="auto"/>
                      <w:u w:val="single"/>
                      <w:lang w:val="en-US" w:eastAsia="zh-CN"/>
                    </w:rPr>
                    <w:t>2</w:t>
                  </w:r>
                  <w:r>
                    <w:rPr>
                      <w:rFonts w:hint="default"/>
                      <w:color w:val="auto"/>
                      <w:u w:val="single"/>
                      <w:lang w:val="en-US" w:eastAsia="zh-CN"/>
                    </w:rPr>
                    <w:t>.</w:t>
                  </w:r>
                  <w:r>
                    <w:rPr>
                      <w:rFonts w:hint="eastAsia"/>
                      <w:color w:val="auto"/>
                      <w:u w:val="single"/>
                      <w:lang w:val="en-US" w:eastAsia="zh-CN"/>
                    </w:rPr>
                    <w:t>7</w:t>
                  </w:r>
                  <w:r>
                    <w:rPr>
                      <w:rFonts w:hint="default"/>
                      <w:color w:val="auto"/>
                      <w:u w:val="single"/>
                      <w:lang w:val="en-US" w:eastAsia="zh-CN"/>
                    </w:rPr>
                    <w:fldChar w:fldCharType="end"/>
                  </w:r>
                  <w:r>
                    <w:rPr>
                      <w:rFonts w:hint="eastAsia"/>
                      <w:color w:val="auto"/>
                      <w:u w:val="single"/>
                      <w:lang w:val="en-US" w:eastAsia="zh-CN"/>
                    </w:rPr>
                    <w:t>0</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rPr>
                      <w:rFonts w:hint="default"/>
                      <w:lang w:val="en-US" w:eastAsia="zh-CN"/>
                    </w:rPr>
                  </w:pPr>
                  <w:r>
                    <w:rPr>
                      <w:rFonts w:hint="eastAsia"/>
                      <w:lang w:val="en-US" w:eastAsia="zh-CN"/>
                    </w:rPr>
                    <w:t>2~8</w:t>
                  </w:r>
                </w:p>
              </w:tc>
              <w:tc>
                <w:tcPr>
                  <w:tcW w:w="643"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4" w:type="dxa"/>
                  <w:gridSpan w:val="14"/>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（二）检测结果</w:t>
                  </w:r>
                  <w:r>
                    <w:rPr>
                      <w:rFonts w:hint="eastAsia"/>
                      <w:color w:val="auto"/>
                      <w:u w:val="single"/>
                      <w:lang w:val="en-US" w:eastAsia="zh-CN"/>
                    </w:rPr>
                    <w:t>（2023.12.01）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检测点位</w:t>
                  </w: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检测</w:t>
                  </w:r>
                </w:p>
                <w:p>
                  <w:pPr>
                    <w:pStyle w:val="73"/>
                    <w:bidi w:val="0"/>
                    <w:rPr>
                      <w:rFonts w:hint="eastAsia"/>
                      <w:color w:val="auto"/>
                      <w:u w:val="single"/>
                      <w:lang w:val="en-US" w:eastAsia="zh-CN"/>
                    </w:rPr>
                  </w:pPr>
                  <w:r>
                    <w:rPr>
                      <w:rFonts w:hint="eastAsia"/>
                      <w:color w:val="auto"/>
                      <w:u w:val="single"/>
                      <w:lang w:val="en-US" w:eastAsia="zh-CN"/>
                    </w:rPr>
                    <w:t>项目</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第一次</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第二次</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第三次</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第四次</w:t>
                  </w:r>
                </w:p>
              </w:tc>
              <w:tc>
                <w:tcPr>
                  <w:tcW w:w="884"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均值</w:t>
                  </w:r>
                </w:p>
              </w:tc>
              <w:tc>
                <w:tcPr>
                  <w:tcW w:w="660"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单位</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限值</w:t>
                  </w:r>
                </w:p>
              </w:tc>
              <w:tc>
                <w:tcPr>
                  <w:tcW w:w="643" w:type="dxa"/>
                  <w:tcBorders>
                    <w:tl2br w:val="nil"/>
                    <w:tr2bl w:val="nil"/>
                  </w:tcBorders>
                  <w:noWrap w:val="0"/>
                  <w:vAlign w:val="center"/>
                </w:tcPr>
                <w:p>
                  <w:pPr>
                    <w:pStyle w:val="73"/>
                    <w:bidi w:val="0"/>
                    <w:ind w:firstLine="0" w:firstLineChars="0"/>
                    <w:rPr>
                      <w:rFonts w:hint="eastAsia"/>
                      <w:color w:val="auto"/>
                      <w:u w:val="single"/>
                      <w:lang w:val="en-US" w:eastAsia="zh-CN"/>
                    </w:rPr>
                  </w:pPr>
                  <w:r>
                    <w:rPr>
                      <w:rFonts w:hint="eastAsia"/>
                      <w:color w:val="auto"/>
                      <w:u w:val="single"/>
                      <w:lang w:val="en-US" w:eastAsia="zh-CN"/>
                    </w:rPr>
                    <w:t>是否</w:t>
                  </w:r>
                </w:p>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restart"/>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W1废水处理设施进口</w:t>
                  </w: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流量</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0.35</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m</w:t>
                  </w:r>
                  <w:r>
                    <w:rPr>
                      <w:rFonts w:hint="eastAsia"/>
                      <w:color w:val="auto"/>
                      <w:u w:val="single"/>
                      <w:vertAlign w:val="superscript"/>
                      <w:lang w:val="en-US" w:eastAsia="zh-CN"/>
                    </w:rPr>
                    <w:t>3</w:t>
                  </w:r>
                  <w:r>
                    <w:rPr>
                      <w:rFonts w:hint="default"/>
                      <w:color w:val="auto"/>
                      <w:u w:val="single"/>
                      <w:lang w:val="en-US" w:eastAsia="zh-CN"/>
                    </w:rPr>
                    <w:t>/</w:t>
                  </w:r>
                  <w:r>
                    <w:rPr>
                      <w:rFonts w:hint="eastAsia"/>
                      <w:color w:val="auto"/>
                      <w:u w:val="single"/>
                      <w:lang w:val="en-US" w:eastAsia="zh-CN"/>
                    </w:rPr>
                    <w:t>h</w:t>
                  </w:r>
                </w:p>
              </w:tc>
              <w:tc>
                <w:tcPr>
                  <w:tcW w:w="570"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pH</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6.7</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6.9</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6.8</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6.7~6.9</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无量纲</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悬浮物</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44</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47</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average(C5:F5) \* MERGEFORMAT </w:instrText>
                  </w:r>
                  <w:r>
                    <w:rPr>
                      <w:rFonts w:hint="default"/>
                      <w:color w:val="auto"/>
                      <w:u w:val="single"/>
                      <w:lang w:val="en-US" w:eastAsia="zh-CN"/>
                    </w:rPr>
                    <w:fldChar w:fldCharType="separate"/>
                  </w:r>
                  <w:r>
                    <w:rPr>
                      <w:rFonts w:hint="eastAsia"/>
                      <w:color w:val="auto"/>
                      <w:u w:val="single"/>
                      <w:lang w:val="en-US" w:eastAsia="zh-CN"/>
                    </w:rPr>
                    <w:t>45</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化学需氧量</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145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156</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160</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149</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average(C6:F6) \* MERGEFORMAT </w:instrText>
                  </w:r>
                  <w:r>
                    <w:rPr>
                      <w:rFonts w:hint="default"/>
                      <w:color w:val="auto"/>
                      <w:u w:val="single"/>
                      <w:lang w:val="en-US" w:eastAsia="zh-CN"/>
                    </w:rPr>
                    <w:fldChar w:fldCharType="separate"/>
                  </w:r>
                  <w:r>
                    <w:rPr>
                      <w:rFonts w:hint="default"/>
                      <w:color w:val="auto"/>
                      <w:u w:val="single"/>
                      <w:lang w:val="en-US" w:eastAsia="zh-CN"/>
                    </w:rPr>
                    <w:t>1</w:t>
                  </w:r>
                  <w:r>
                    <w:rPr>
                      <w:rFonts w:hint="eastAsia"/>
                      <w:color w:val="auto"/>
                      <w:u w:val="single"/>
                      <w:lang w:val="en-US" w:eastAsia="zh-CN"/>
                    </w:rPr>
                    <w:t>5</w:t>
                  </w:r>
                  <w:r>
                    <w:rPr>
                      <w:rFonts w:hint="default"/>
                      <w:color w:val="auto"/>
                      <w:u w:val="single"/>
                      <w:lang w:val="en-US" w:eastAsia="zh-CN"/>
                    </w:rPr>
                    <w:t>2</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lang w:val="en-US" w:eastAsia="zh-CN"/>
                    </w:rPr>
                    <w:t>BOD</w:t>
                  </w:r>
                  <w:r>
                    <w:rPr>
                      <w:rFonts w:hint="default"/>
                      <w:color w:val="auto"/>
                      <w:u w:val="single"/>
                      <w:vertAlign w:val="subscript"/>
                      <w:lang w:val="en-US" w:eastAsia="zh-CN"/>
                    </w:rPr>
                    <w:t>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41.5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42.6</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44.8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43.7</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average(C7:F7) \* MERGEFORMAT </w:instrText>
                  </w:r>
                  <w:r>
                    <w:rPr>
                      <w:rFonts w:hint="default"/>
                      <w:color w:val="auto"/>
                      <w:u w:val="single"/>
                      <w:lang w:val="en-US" w:eastAsia="zh-CN"/>
                    </w:rPr>
                    <w:fldChar w:fldCharType="separate"/>
                  </w:r>
                  <w:r>
                    <w:rPr>
                      <w:rFonts w:hint="eastAsia"/>
                      <w:color w:val="auto"/>
                      <w:u w:val="single"/>
                      <w:lang w:val="en-US" w:eastAsia="zh-CN"/>
                    </w:rPr>
                    <w:t>4</w:t>
                  </w:r>
                  <w:r>
                    <w:rPr>
                      <w:rFonts w:hint="default"/>
                      <w:color w:val="auto"/>
                      <w:u w:val="single"/>
                      <w:lang w:val="en-US" w:eastAsia="zh-CN"/>
                    </w:rPr>
                    <w:t>3.</w:t>
                  </w:r>
                  <w:r>
                    <w:rPr>
                      <w:rFonts w:hint="eastAsia"/>
                      <w:color w:val="auto"/>
                      <w:u w:val="single"/>
                      <w:lang w:val="en-US" w:eastAsia="zh-CN"/>
                    </w:rPr>
                    <w:t>2</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氨氮</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48.3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47.8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47.2</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48.1</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average(C8:F8) \* MERGEFORMAT </w:instrText>
                  </w:r>
                  <w:r>
                    <w:rPr>
                      <w:rFonts w:hint="default"/>
                      <w:color w:val="auto"/>
                      <w:u w:val="single"/>
                      <w:lang w:val="en-US" w:eastAsia="zh-CN"/>
                    </w:rPr>
                    <w:fldChar w:fldCharType="separate"/>
                  </w:r>
                  <w:r>
                    <w:rPr>
                      <w:rFonts w:hint="eastAsia"/>
                      <w:color w:val="auto"/>
                      <w:u w:val="single"/>
                      <w:lang w:val="en-US" w:eastAsia="zh-CN"/>
                    </w:rPr>
                    <w:t>4</w:t>
                  </w:r>
                  <w:r>
                    <w:rPr>
                      <w:rFonts w:hint="default"/>
                      <w:color w:val="auto"/>
                      <w:u w:val="single"/>
                      <w:lang w:val="en-US" w:eastAsia="zh-CN"/>
                    </w:rPr>
                    <w:t>7.8</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动植物油</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0.30</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0.19</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average(C9:F9) \* MERGEFORMAT </w:instrText>
                  </w:r>
                  <w:r>
                    <w:rPr>
                      <w:rFonts w:hint="default"/>
                      <w:color w:val="auto"/>
                      <w:u w:val="single"/>
                      <w:lang w:val="en-US" w:eastAsia="zh-CN"/>
                    </w:rPr>
                    <w:fldChar w:fldCharType="separate"/>
                  </w:r>
                  <w:r>
                    <w:rPr>
                      <w:rFonts w:hint="default"/>
                      <w:color w:val="auto"/>
                      <w:u w:val="single"/>
                      <w:lang w:val="en-US" w:eastAsia="zh-CN"/>
                    </w:rPr>
                    <w:t>0.1</w:t>
                  </w:r>
                  <w:r>
                    <w:rPr>
                      <w:rFonts w:hint="eastAsia"/>
                      <w:color w:val="auto"/>
                      <w:u w:val="single"/>
                      <w:lang w:val="en-US" w:eastAsia="zh-CN"/>
                    </w:rPr>
                    <w:t>4</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石油类</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0.31</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0.25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0.28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0.22</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average(C10:F10) \* MERGEFORMAT </w:instrText>
                  </w:r>
                  <w:r>
                    <w:rPr>
                      <w:rFonts w:hint="default"/>
                      <w:color w:val="auto"/>
                      <w:u w:val="single"/>
                      <w:lang w:val="en-US" w:eastAsia="zh-CN"/>
                    </w:rPr>
                    <w:fldChar w:fldCharType="separate"/>
                  </w:r>
                  <w:r>
                    <w:rPr>
                      <w:rFonts w:hint="default"/>
                      <w:color w:val="auto"/>
                      <w:u w:val="single"/>
                      <w:lang w:val="en-US" w:eastAsia="zh-CN"/>
                    </w:rPr>
                    <w:t>0.26</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LAS</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0.10</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0.10</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0.07</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average(C11:F11) \* MERGEFORMAT </w:instrText>
                  </w:r>
                  <w:r>
                    <w:rPr>
                      <w:rFonts w:hint="default"/>
                      <w:color w:val="auto"/>
                      <w:u w:val="single"/>
                      <w:lang w:val="en-US" w:eastAsia="zh-CN"/>
                    </w:rPr>
                    <w:fldChar w:fldCharType="separate"/>
                  </w:r>
                  <w:r>
                    <w:rPr>
                      <w:rFonts w:hint="default"/>
                      <w:color w:val="auto"/>
                      <w:u w:val="single"/>
                      <w:lang w:val="en-US" w:eastAsia="zh-CN"/>
                    </w:rPr>
                    <w:t>0.1</w:t>
                  </w:r>
                  <w:r>
                    <w:rPr>
                      <w:rFonts w:hint="default"/>
                      <w:color w:val="auto"/>
                      <w:u w:val="single"/>
                      <w:lang w:val="en-US" w:eastAsia="zh-CN"/>
                    </w:rPr>
                    <w:fldChar w:fldCharType="end"/>
                  </w:r>
                  <w:r>
                    <w:rPr>
                      <w:rFonts w:hint="eastAsia"/>
                      <w:color w:val="auto"/>
                      <w:u w:val="single"/>
                      <w:lang w:val="en-US" w:eastAsia="zh-CN"/>
                    </w:rPr>
                    <w:t>0</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挥发酚</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0.020</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0.026</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average(C12:F12) \* MERGEFORMAT </w:instrText>
                  </w:r>
                  <w:r>
                    <w:rPr>
                      <w:rFonts w:hint="default"/>
                      <w:color w:val="auto"/>
                      <w:u w:val="single"/>
                      <w:lang w:val="en-US" w:eastAsia="zh-CN"/>
                    </w:rPr>
                    <w:fldChar w:fldCharType="separate"/>
                  </w:r>
                  <w:r>
                    <w:rPr>
                      <w:rFonts w:hint="default"/>
                      <w:color w:val="auto"/>
                      <w:u w:val="single"/>
                      <w:lang w:val="en-US" w:eastAsia="zh-CN"/>
                    </w:rPr>
                    <w:t>0.014</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总氰化物</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粪大肠菌群</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1.7</w:t>
                  </w:r>
                  <w:r>
                    <w:rPr>
                      <w:rFonts w:hint="default"/>
                      <w:color w:val="auto"/>
                      <w:u w:val="single"/>
                      <w:lang w:val="en-US" w:eastAsia="zh-CN"/>
                    </w:rPr>
                    <w:t>×10</w:t>
                  </w:r>
                  <w:r>
                    <w:rPr>
                      <w:rFonts w:hint="eastAsia"/>
                      <w:color w:val="auto"/>
                      <w:u w:val="single"/>
                      <w:vertAlign w:val="superscript"/>
                      <w:lang w:val="en-US" w:eastAsia="zh-CN"/>
                    </w:rPr>
                    <w:t>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2.4</w:t>
                  </w:r>
                  <w:r>
                    <w:rPr>
                      <w:rFonts w:hint="default"/>
                      <w:color w:val="auto"/>
                      <w:u w:val="single"/>
                      <w:lang w:val="en-US" w:eastAsia="zh-CN"/>
                    </w:rPr>
                    <w:t>×10</w:t>
                  </w:r>
                  <w:r>
                    <w:rPr>
                      <w:rFonts w:hint="eastAsia"/>
                      <w:color w:val="auto"/>
                      <w:u w:val="single"/>
                      <w:vertAlign w:val="superscript"/>
                      <w:lang w:val="en-US" w:eastAsia="zh-CN"/>
                    </w:rPr>
                    <w:t>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2.1</w:t>
                  </w:r>
                  <w:r>
                    <w:rPr>
                      <w:rFonts w:hint="default"/>
                      <w:color w:val="auto"/>
                      <w:u w:val="single"/>
                      <w:lang w:val="en-US" w:eastAsia="zh-CN"/>
                    </w:rPr>
                    <w:t>×10</w:t>
                  </w:r>
                  <w:r>
                    <w:rPr>
                      <w:rFonts w:hint="eastAsia"/>
                      <w:color w:val="auto"/>
                      <w:u w:val="single"/>
                      <w:vertAlign w:val="superscript"/>
                      <w:lang w:val="en-US" w:eastAsia="zh-CN"/>
                    </w:rPr>
                    <w:t>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1.4</w:t>
                  </w:r>
                  <w:r>
                    <w:rPr>
                      <w:rFonts w:hint="default"/>
                      <w:color w:val="auto"/>
                      <w:u w:val="single"/>
                      <w:lang w:val="en-US" w:eastAsia="zh-CN"/>
                    </w:rPr>
                    <w:t>×10</w:t>
                  </w:r>
                  <w:r>
                    <w:rPr>
                      <w:rFonts w:hint="eastAsia"/>
                      <w:color w:val="auto"/>
                      <w:u w:val="single"/>
                      <w:vertAlign w:val="superscript"/>
                      <w:lang w:val="en-US" w:eastAsia="zh-CN"/>
                    </w:rPr>
                    <w:t>3</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average(C14:F14) \* MERGEFORMAT </w:instrText>
                  </w:r>
                  <w:r>
                    <w:rPr>
                      <w:rFonts w:hint="default"/>
                      <w:color w:val="auto"/>
                      <w:u w:val="single"/>
                      <w:lang w:val="en-US" w:eastAsia="zh-CN"/>
                    </w:rPr>
                    <w:fldChar w:fldCharType="separate"/>
                  </w:r>
                  <w:r>
                    <w:rPr>
                      <w:rFonts w:hint="default"/>
                      <w:color w:val="auto"/>
                      <w:u w:val="single"/>
                      <w:lang w:val="en-US" w:eastAsia="zh-CN"/>
                    </w:rPr>
                    <w:t>1.9</w:t>
                  </w:r>
                  <w:r>
                    <w:rPr>
                      <w:rFonts w:hint="default"/>
                      <w:color w:val="auto"/>
                      <w:u w:val="single"/>
                      <w:lang w:val="en-US" w:eastAsia="zh-CN"/>
                    </w:rPr>
                    <w:fldChar w:fldCharType="end"/>
                  </w:r>
                  <w:r>
                    <w:rPr>
                      <w:rFonts w:hint="default"/>
                      <w:color w:val="auto"/>
                      <w:u w:val="single"/>
                      <w:lang w:val="en-US" w:eastAsia="zh-CN"/>
                    </w:rPr>
                    <w:t>×10</w:t>
                  </w:r>
                  <w:r>
                    <w:rPr>
                      <w:rFonts w:hint="eastAsia"/>
                      <w:color w:val="auto"/>
                      <w:u w:val="single"/>
                      <w:vertAlign w:val="superscript"/>
                      <w:lang w:val="en-US" w:eastAsia="zh-CN"/>
                    </w:rPr>
                    <w:t>3</w:t>
                  </w:r>
                </w:p>
              </w:tc>
              <w:tc>
                <w:tcPr>
                  <w:tcW w:w="660"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rPr>
                    <w:t>MPN</w:t>
                  </w:r>
                  <w:r>
                    <w:rPr>
                      <w:rFonts w:hint="eastAsia"/>
                      <w:color w:val="auto"/>
                      <w:u w:val="single"/>
                      <w:lang w:val="en-US" w:eastAsia="zh-CN"/>
                    </w:rPr>
                    <w:t>/L</w:t>
                  </w:r>
                </w:p>
              </w:tc>
              <w:tc>
                <w:tcPr>
                  <w:tcW w:w="570"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restart"/>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rPr>
                    <w:t>W2废水总排口</w:t>
                  </w: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流量</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0.4</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0.35</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t>m</w:t>
                  </w:r>
                  <w:r>
                    <w:rPr>
                      <w:rFonts w:hint="eastAsia"/>
                      <w:color w:val="auto"/>
                      <w:u w:val="single"/>
                      <w:vertAlign w:val="superscript"/>
                      <w:lang w:val="en-US" w:eastAsia="zh-CN"/>
                    </w:rPr>
                    <w:t>3</w:t>
                  </w:r>
                  <w:r>
                    <w:rPr>
                      <w:rFonts w:hint="default"/>
                      <w:color w:val="auto"/>
                      <w:u w:val="single"/>
                      <w:lang w:val="en-US" w:eastAsia="zh-CN"/>
                    </w:rPr>
                    <w:t>/</w:t>
                  </w:r>
                  <w:r>
                    <w:rPr>
                      <w:rFonts w:hint="eastAsia"/>
                      <w:color w:val="auto"/>
                      <w:u w:val="single"/>
                      <w:lang w:val="en-US" w:eastAsia="zh-CN"/>
                    </w:rPr>
                    <w:t>h</w:t>
                  </w:r>
                </w:p>
              </w:tc>
              <w:tc>
                <w:tcPr>
                  <w:tcW w:w="570"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p>
              </w:tc>
              <w:tc>
                <w:tcPr>
                  <w:tcW w:w="643" w:type="dxa"/>
                  <w:tcBorders>
                    <w:tl2br w:val="nil"/>
                    <w:tr2bl w:val="nil"/>
                  </w:tcBorders>
                  <w:noWrap w:val="0"/>
                  <w:vAlign w:val="center"/>
                </w:tcPr>
                <w:p>
                  <w:pPr>
                    <w:pStyle w:val="73"/>
                    <w:bidi w:val="0"/>
                    <w:ind w:firstLine="0" w:firstLineChars="0"/>
                    <w:rPr>
                      <w:rFonts w:hint="default"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pH</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7.1</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7.1</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7.1</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7.2</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7.1~7.2</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无量纲</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6-9</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悬浮物</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27</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29</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27</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60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化学需氧量</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39</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32</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48</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average(C18:F18) \* MERGEFORMAT </w:instrText>
                  </w:r>
                  <w:r>
                    <w:rPr>
                      <w:rFonts w:hint="default"/>
                      <w:color w:val="auto"/>
                      <w:u w:val="single"/>
                      <w:lang w:val="en-US" w:eastAsia="zh-CN"/>
                    </w:rPr>
                    <w:fldChar w:fldCharType="separate"/>
                  </w:r>
                  <w:r>
                    <w:rPr>
                      <w:rFonts w:hint="default"/>
                      <w:color w:val="auto"/>
                      <w:u w:val="single"/>
                      <w:lang w:val="en-US" w:eastAsia="zh-CN"/>
                    </w:rPr>
                    <w:t>41</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250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lang w:val="en-US" w:eastAsia="zh-CN"/>
                    </w:rPr>
                    <w:t>BOD</w:t>
                  </w:r>
                  <w:r>
                    <w:rPr>
                      <w:rFonts w:hint="default"/>
                      <w:color w:val="auto"/>
                      <w:u w:val="single"/>
                      <w:vertAlign w:val="subscript"/>
                      <w:lang w:val="en-US" w:eastAsia="zh-CN"/>
                    </w:rPr>
                    <w:t>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19.5</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20.6</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19.8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21.0</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average(C19:F19) \* MERGEFORMAT </w:instrText>
                  </w:r>
                  <w:r>
                    <w:rPr>
                      <w:rFonts w:hint="default"/>
                      <w:color w:val="auto"/>
                      <w:u w:val="single"/>
                      <w:lang w:val="en-US" w:eastAsia="zh-CN"/>
                    </w:rPr>
                    <w:fldChar w:fldCharType="separate"/>
                  </w:r>
                  <w:r>
                    <w:rPr>
                      <w:rFonts w:hint="eastAsia"/>
                      <w:color w:val="auto"/>
                      <w:u w:val="single"/>
                      <w:lang w:val="en-US" w:eastAsia="zh-CN"/>
                    </w:rPr>
                    <w:t>2</w:t>
                  </w:r>
                  <w:r>
                    <w:rPr>
                      <w:rFonts w:hint="default"/>
                      <w:color w:val="auto"/>
                      <w:u w:val="single"/>
                      <w:lang w:val="en-US" w:eastAsia="zh-CN"/>
                    </w:rPr>
                    <w:t>0.2</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100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氨氮</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32.7</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32.8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32.8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32.8</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average(C20:F20) \* MERGEFORMAT </w:instrText>
                  </w:r>
                  <w:r>
                    <w:rPr>
                      <w:rFonts w:hint="default"/>
                      <w:color w:val="auto"/>
                      <w:u w:val="single"/>
                      <w:lang w:val="en-US" w:eastAsia="zh-CN"/>
                    </w:rPr>
                    <w:fldChar w:fldCharType="separate"/>
                  </w:r>
                  <w:r>
                    <w:rPr>
                      <w:rFonts w:hint="default"/>
                      <w:color w:val="auto"/>
                      <w:u w:val="single"/>
                      <w:lang w:val="en-US" w:eastAsia="zh-CN"/>
                    </w:rPr>
                    <w:t>32.</w:t>
                  </w:r>
                  <w:r>
                    <w:rPr>
                      <w:rFonts w:hint="eastAsia"/>
                      <w:color w:val="auto"/>
                      <w:u w:val="single"/>
                      <w:lang w:val="en-US" w:eastAsia="zh-CN"/>
                    </w:rPr>
                    <w:t>8</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动植物油</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石油类</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LAS</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10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挥发酚</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0.011</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1.0</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总氰化物</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ND</w:t>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0.5</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vMerge w:val="continue"/>
                  <w:tcBorders>
                    <w:tl2br w:val="nil"/>
                    <w:tr2bl w:val="nil"/>
                  </w:tcBorders>
                  <w:noWrap w:val="0"/>
                  <w:vAlign w:val="center"/>
                </w:tcPr>
                <w:p>
                  <w:pPr>
                    <w:pStyle w:val="73"/>
                    <w:bidi w:val="0"/>
                    <w:rPr>
                      <w:rFonts w:hint="eastAsia"/>
                      <w:color w:val="auto"/>
                      <w:u w:val="single"/>
                      <w:lang w:val="en-US" w:eastAsia="zh-CN"/>
                    </w:rPr>
                  </w:pP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粪大肠菌群</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1.3</w:t>
                  </w:r>
                  <w:r>
                    <w:rPr>
                      <w:rFonts w:hint="default"/>
                      <w:color w:val="auto"/>
                      <w:u w:val="single"/>
                      <w:lang w:val="en-US" w:eastAsia="zh-CN"/>
                    </w:rPr>
                    <w:t>×10</w:t>
                  </w:r>
                  <w:r>
                    <w:rPr>
                      <w:rFonts w:hint="eastAsia"/>
                      <w:color w:val="auto"/>
                      <w:u w:val="single"/>
                      <w:vertAlign w:val="superscript"/>
                      <w:lang w:val="en-US" w:eastAsia="zh-CN"/>
                    </w:rPr>
                    <w:t>2</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1.7</w:t>
                  </w:r>
                  <w:r>
                    <w:rPr>
                      <w:rFonts w:hint="default"/>
                      <w:color w:val="auto"/>
                      <w:u w:val="single"/>
                      <w:lang w:val="en-US" w:eastAsia="zh-CN"/>
                    </w:rPr>
                    <w:t>×10</w:t>
                  </w:r>
                  <w:r>
                    <w:rPr>
                      <w:rFonts w:hint="eastAsia"/>
                      <w:color w:val="auto"/>
                      <w:u w:val="single"/>
                      <w:vertAlign w:val="superscript"/>
                      <w:lang w:val="en-US" w:eastAsia="zh-CN"/>
                    </w:rPr>
                    <w:t>2</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1.3</w:t>
                  </w:r>
                  <w:r>
                    <w:rPr>
                      <w:rFonts w:hint="default"/>
                      <w:color w:val="auto"/>
                      <w:u w:val="single"/>
                      <w:lang w:val="en-US" w:eastAsia="zh-CN"/>
                    </w:rPr>
                    <w:t>×10</w:t>
                  </w:r>
                  <w:r>
                    <w:rPr>
                      <w:rFonts w:hint="eastAsia"/>
                      <w:color w:val="auto"/>
                      <w:u w:val="single"/>
                      <w:vertAlign w:val="superscript"/>
                      <w:lang w:val="en-US" w:eastAsia="zh-CN"/>
                    </w:rPr>
                    <w:t>2</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1.7</w:t>
                  </w:r>
                  <w:r>
                    <w:rPr>
                      <w:rFonts w:hint="default"/>
                      <w:color w:val="auto"/>
                      <w:u w:val="single"/>
                      <w:lang w:val="en-US" w:eastAsia="zh-CN"/>
                    </w:rPr>
                    <w:t>×10</w:t>
                  </w:r>
                  <w:r>
                    <w:rPr>
                      <w:rFonts w:hint="eastAsia"/>
                      <w:color w:val="auto"/>
                      <w:u w:val="single"/>
                      <w:vertAlign w:val="superscript"/>
                      <w:lang w:val="en-US" w:eastAsia="zh-CN"/>
                    </w:rPr>
                    <w:t>2</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average(C26:F26) \* MERGEFORMAT </w:instrText>
                  </w:r>
                  <w:r>
                    <w:rPr>
                      <w:rFonts w:hint="default"/>
                      <w:color w:val="auto"/>
                      <w:u w:val="single"/>
                      <w:lang w:val="en-US" w:eastAsia="zh-CN"/>
                    </w:rPr>
                    <w:fldChar w:fldCharType="separate"/>
                  </w:r>
                  <w:r>
                    <w:rPr>
                      <w:rFonts w:hint="default"/>
                      <w:color w:val="auto"/>
                      <w:u w:val="single"/>
                      <w:lang w:val="en-US" w:eastAsia="zh-CN"/>
                    </w:rPr>
                    <w:t>1.5</w:t>
                  </w:r>
                  <w:r>
                    <w:rPr>
                      <w:rFonts w:hint="default"/>
                      <w:color w:val="auto"/>
                      <w:u w:val="single"/>
                      <w:lang w:val="en-US" w:eastAsia="zh-CN"/>
                    </w:rPr>
                    <w:fldChar w:fldCharType="end"/>
                  </w:r>
                  <w:r>
                    <w:rPr>
                      <w:rFonts w:hint="default"/>
                      <w:color w:val="auto"/>
                      <w:u w:val="single"/>
                      <w:lang w:val="en-US" w:eastAsia="zh-CN"/>
                    </w:rPr>
                    <w:t>×10</w:t>
                  </w:r>
                  <w:r>
                    <w:rPr>
                      <w:rFonts w:hint="eastAsia"/>
                      <w:color w:val="auto"/>
                      <w:u w:val="single"/>
                      <w:vertAlign w:val="superscript"/>
                      <w:lang w:val="en-US" w:eastAsia="zh-CN"/>
                    </w:rPr>
                    <w:t>2</w:t>
                  </w:r>
                </w:p>
              </w:tc>
              <w:tc>
                <w:tcPr>
                  <w:tcW w:w="660" w:type="dxa"/>
                  <w:tcBorders>
                    <w:tl2br w:val="nil"/>
                    <w:tr2bl w:val="nil"/>
                  </w:tcBorders>
                  <w:noWrap w:val="0"/>
                  <w:vAlign w:val="center"/>
                </w:tcPr>
                <w:p>
                  <w:pPr>
                    <w:pStyle w:val="73"/>
                    <w:bidi w:val="0"/>
                    <w:rPr>
                      <w:rFonts w:hint="eastAsia"/>
                      <w:color w:val="auto"/>
                      <w:u w:val="single"/>
                      <w:lang w:val="en-US" w:eastAsia="zh-CN"/>
                    </w:rPr>
                  </w:pPr>
                  <w:r>
                    <w:rPr>
                      <w:rFonts w:hint="default"/>
                      <w:color w:val="auto"/>
                      <w:u w:val="single"/>
                    </w:rPr>
                    <w:t>MPN</w:t>
                  </w:r>
                  <w:r>
                    <w:rPr>
                      <w:rFonts w:hint="eastAsia"/>
                      <w:color w:val="auto"/>
                      <w:u w:val="single"/>
                      <w:lang w:val="en-US" w:eastAsia="zh-CN"/>
                    </w:rPr>
                    <w:t>/L</w:t>
                  </w:r>
                </w:p>
              </w:tc>
              <w:tc>
                <w:tcPr>
                  <w:tcW w:w="570" w:type="dxa"/>
                  <w:tcBorders>
                    <w:tl2br w:val="nil"/>
                    <w:tr2bl w:val="nil"/>
                  </w:tcBorders>
                  <w:noWrap w:val="0"/>
                  <w:vAlign w:val="center"/>
                </w:tcPr>
                <w:p>
                  <w:pPr>
                    <w:pStyle w:val="73"/>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5000</w:t>
                  </w:r>
                </w:p>
              </w:tc>
              <w:tc>
                <w:tcPr>
                  <w:tcW w:w="643" w:type="dxa"/>
                  <w:tcBorders>
                    <w:tl2br w:val="nil"/>
                    <w:tr2bl w:val="nil"/>
                  </w:tcBorders>
                  <w:noWrap w:val="0"/>
                  <w:vAlign w:val="center"/>
                </w:tcPr>
                <w:p>
                  <w:pPr>
                    <w:pStyle w:val="73"/>
                    <w:bidi w:val="0"/>
                    <w:ind w:firstLine="0" w:firstLineChars="0"/>
                    <w:rPr>
                      <w:rFonts w:hint="default"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1"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W3接触池出口</w:t>
                  </w:r>
                </w:p>
              </w:tc>
              <w:tc>
                <w:tcPr>
                  <w:tcW w:w="882" w:type="dxa"/>
                  <w:tcBorders>
                    <w:tl2br w:val="nil"/>
                    <w:tr2bl w:val="nil"/>
                  </w:tcBorders>
                  <w:noWrap w:val="0"/>
                  <w:vAlign w:val="center"/>
                </w:tcPr>
                <w:p>
                  <w:pPr>
                    <w:pStyle w:val="73"/>
                    <w:bidi w:val="0"/>
                    <w:rPr>
                      <w:rFonts w:hint="eastAsia"/>
                      <w:color w:val="auto"/>
                      <w:u w:val="single"/>
                      <w:lang w:val="en-US" w:eastAsia="zh-CN"/>
                    </w:rPr>
                  </w:pPr>
                  <w:r>
                    <w:rPr>
                      <w:rFonts w:hint="eastAsia"/>
                      <w:color w:val="auto"/>
                      <w:u w:val="single"/>
                      <w:lang w:val="en-US" w:eastAsia="zh-CN"/>
                    </w:rPr>
                    <w:t>总余氯</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2.68</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2.72</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2.61</w:t>
                  </w:r>
                </w:p>
              </w:tc>
              <w:tc>
                <w:tcPr>
                  <w:tcW w:w="881" w:type="dxa"/>
                  <w:gridSpan w:val="2"/>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2.64</w:t>
                  </w:r>
                </w:p>
              </w:tc>
              <w:tc>
                <w:tcPr>
                  <w:tcW w:w="884" w:type="dxa"/>
                  <w:tcBorders>
                    <w:tl2br w:val="nil"/>
                    <w:tr2bl w:val="nil"/>
                  </w:tcBorders>
                  <w:noWrap w:val="0"/>
                  <w:vAlign w:val="center"/>
                </w:tcPr>
                <w:p>
                  <w:pPr>
                    <w:pStyle w:val="73"/>
                    <w:bidi w:val="0"/>
                    <w:rPr>
                      <w:rFonts w:hint="default"/>
                      <w:color w:val="auto"/>
                      <w:u w:val="single"/>
                      <w:lang w:val="en-US" w:eastAsia="zh-CN"/>
                    </w:rPr>
                  </w:pPr>
                  <w:r>
                    <w:rPr>
                      <w:rFonts w:hint="default"/>
                      <w:color w:val="auto"/>
                      <w:u w:val="single"/>
                      <w:lang w:val="en-US" w:eastAsia="zh-CN"/>
                    </w:rPr>
                    <w:fldChar w:fldCharType="begin"/>
                  </w:r>
                  <w:r>
                    <w:rPr>
                      <w:rFonts w:hint="default"/>
                      <w:color w:val="auto"/>
                      <w:u w:val="single"/>
                      <w:lang w:val="en-US" w:eastAsia="zh-CN"/>
                    </w:rPr>
                    <w:instrText xml:space="preserve"> = average(C27:F27) \* MERGEFORMAT </w:instrText>
                  </w:r>
                  <w:r>
                    <w:rPr>
                      <w:rFonts w:hint="default"/>
                      <w:color w:val="auto"/>
                      <w:u w:val="single"/>
                      <w:lang w:val="en-US" w:eastAsia="zh-CN"/>
                    </w:rPr>
                    <w:fldChar w:fldCharType="separate"/>
                  </w:r>
                  <w:r>
                    <w:rPr>
                      <w:rFonts w:hint="eastAsia"/>
                      <w:color w:val="auto"/>
                      <w:u w:val="single"/>
                      <w:lang w:val="en-US" w:eastAsia="zh-CN"/>
                    </w:rPr>
                    <w:t>2</w:t>
                  </w:r>
                  <w:r>
                    <w:rPr>
                      <w:rFonts w:hint="default"/>
                      <w:color w:val="auto"/>
                      <w:u w:val="single"/>
                      <w:lang w:val="en-US" w:eastAsia="zh-CN"/>
                    </w:rPr>
                    <w:t>.66</w:t>
                  </w:r>
                  <w:r>
                    <w:rPr>
                      <w:rFonts w:hint="default"/>
                      <w:color w:val="auto"/>
                      <w:u w:val="single"/>
                      <w:lang w:val="en-US" w:eastAsia="zh-CN"/>
                    </w:rPr>
                    <w:fldChar w:fldCharType="end"/>
                  </w:r>
                </w:p>
              </w:tc>
              <w:tc>
                <w:tcPr>
                  <w:tcW w:w="660" w:type="dxa"/>
                  <w:tcBorders>
                    <w:tl2br w:val="nil"/>
                    <w:tr2bl w:val="nil"/>
                  </w:tcBorders>
                  <w:noWrap w:val="0"/>
                  <w:vAlign w:val="center"/>
                </w:tcPr>
                <w:p>
                  <w:pPr>
                    <w:pStyle w:val="73"/>
                    <w:bidi w:val="0"/>
                    <w:rPr>
                      <w:rFonts w:hint="default"/>
                      <w:color w:val="auto"/>
                      <w:u w:val="single"/>
                      <w:lang w:val="en-US" w:eastAsia="zh-CN"/>
                    </w:rPr>
                  </w:pPr>
                  <w:r>
                    <w:rPr>
                      <w:rFonts w:hint="eastAsia"/>
                      <w:color w:val="auto"/>
                      <w:u w:val="single"/>
                      <w:lang w:val="en-US" w:eastAsia="zh-CN"/>
                    </w:rPr>
                    <w:t>mg/L</w:t>
                  </w:r>
                </w:p>
              </w:tc>
              <w:tc>
                <w:tcPr>
                  <w:tcW w:w="570" w:type="dxa"/>
                  <w:tcBorders>
                    <w:tl2br w:val="nil"/>
                    <w:tr2bl w:val="nil"/>
                  </w:tcBorders>
                  <w:noWrap w:val="0"/>
                  <w:vAlign w:val="center"/>
                </w:tcPr>
                <w:p>
                  <w:pPr>
                    <w:pStyle w:val="73"/>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2~8</w:t>
                  </w:r>
                </w:p>
              </w:tc>
              <w:tc>
                <w:tcPr>
                  <w:tcW w:w="643" w:type="dxa"/>
                  <w:tcBorders>
                    <w:tl2br w:val="nil"/>
                    <w:tr2bl w:val="nil"/>
                  </w:tcBorders>
                  <w:noWrap w:val="0"/>
                  <w:vAlign w:val="center"/>
                </w:tcPr>
                <w:p>
                  <w:pPr>
                    <w:pStyle w:val="73"/>
                    <w:bidi w:val="0"/>
                    <w:ind w:firstLine="0" w:firstLineChars="0"/>
                    <w:rPr>
                      <w:rFonts w:hint="eastAsia" w:ascii="Times New Roman" w:hAnsi="Times New Roman" w:eastAsia="宋体" w:cs="Times New Roman"/>
                      <w:color w:val="auto"/>
                      <w:kern w:val="2"/>
                      <w:sz w:val="21"/>
                      <w:szCs w:val="24"/>
                      <w:u w:val="single"/>
                      <w:lang w:val="en-US" w:eastAsia="zh-CN" w:bidi="ar-SA"/>
                    </w:rPr>
                  </w:pPr>
                  <w:r>
                    <w:rPr>
                      <w:rFonts w:hint="eastAsia"/>
                      <w:color w:val="auto"/>
                      <w:u w:val="single"/>
                      <w:lang w:val="en-US" w:eastAsia="zh-CN"/>
                    </w:rPr>
                    <w:t>是</w:t>
                  </w:r>
                </w:p>
              </w:tc>
            </w:tr>
          </w:tbl>
          <w:p>
            <w:pPr>
              <w:pStyle w:val="7"/>
              <w:ind w:firstLine="480"/>
              <w:rPr>
                <w:color w:val="auto"/>
                <w:u w:val="single"/>
              </w:rPr>
            </w:pPr>
            <w:r>
              <w:rPr>
                <w:color w:val="auto"/>
                <w:u w:val="none"/>
              </w:rPr>
              <w:t>从上表可以看出，医疗废水各污染因子均达到《医疗机构水污染物排放标准》(GB18466-2005)表2中预处理标准</w:t>
            </w:r>
            <w:r>
              <w:rPr>
                <w:rFonts w:hint="eastAsia"/>
                <w:color w:val="auto"/>
                <w:u w:val="none"/>
                <w:lang w:val="en-US" w:eastAsia="zh-CN"/>
              </w:rPr>
              <w:t>及</w:t>
            </w:r>
            <w:r>
              <w:rPr>
                <w:rFonts w:hint="eastAsia"/>
                <w:color w:val="auto"/>
                <w:u w:val="single"/>
                <w:lang w:val="en-US" w:eastAsia="zh-CN"/>
              </w:rPr>
              <w:t>临湘市污水净化中心纳管标准中的较严值</w:t>
            </w:r>
            <w:r>
              <w:rPr>
                <w:color w:val="auto"/>
                <w:u w:val="single"/>
              </w:rPr>
              <w:t>。</w:t>
            </w:r>
          </w:p>
          <w:p>
            <w:pPr>
              <w:pStyle w:val="7"/>
              <w:spacing w:line="460" w:lineRule="exact"/>
              <w:ind w:firstLine="480"/>
              <w:rPr>
                <w:color w:val="auto"/>
                <w:u w:val="none"/>
              </w:rPr>
            </w:pPr>
            <w:r>
              <w:rPr>
                <w:color w:val="auto"/>
                <w:u w:val="none"/>
              </w:rPr>
              <w:t>（4）固体废物</w:t>
            </w:r>
          </w:p>
          <w:p>
            <w:pPr>
              <w:pStyle w:val="7"/>
              <w:spacing w:line="460" w:lineRule="exact"/>
              <w:ind w:firstLine="480"/>
              <w:rPr>
                <w:color w:val="auto"/>
                <w:u w:val="none"/>
              </w:rPr>
            </w:pPr>
            <w:r>
              <w:rPr>
                <w:rFonts w:hint="eastAsia"/>
                <w:color w:val="auto"/>
                <w:u w:val="none"/>
              </w:rPr>
              <w:t>项目固体废物主要有医疗废物、污水处理站产生的污泥与生活垃圾。医院设置有危险废物暂存间，医疗废物分类收集于危废暂存间，并定期委托岳阳市方向固废安全处置有限公司处置。医院污水处理站栅渣和污泥属于危险废物，评价要求污泥清掏前应进行消毒和检测，《医疗机构水污染物排放标准》（GB18466-2005）表4中综合医疗机构和其他医疗机构满足粪大肠菌群数小于100MPN/g，蛔虫卵死亡率＞95%限值要求后方可进行清掏，再分类暂存于危废暂存间，定期委托有资质单位处理。</w:t>
            </w:r>
            <w:r>
              <w:rPr>
                <w:color w:val="auto"/>
                <w:u w:val="none"/>
              </w:rPr>
              <w:t>现有的医疗废物暂存间已采取了如下措施：</w:t>
            </w:r>
          </w:p>
          <w:p>
            <w:pPr>
              <w:pStyle w:val="7"/>
              <w:spacing w:line="460" w:lineRule="exact"/>
              <w:ind w:firstLine="480"/>
              <w:rPr>
                <w:color w:val="auto"/>
                <w:u w:val="none"/>
              </w:rPr>
            </w:pPr>
            <w:r>
              <w:rPr>
                <w:color w:val="auto"/>
                <w:u w:val="none"/>
              </w:rPr>
              <w:t>①建设单位已分类收集本单位产生的医疗废物，并按照类别分置于防渗漏、防锐器穿透的专用包装物或者密闭的容器内，医疗废物专用包装物、容器，设置有明显的警示标识和警示说明。</w:t>
            </w:r>
          </w:p>
          <w:p>
            <w:pPr>
              <w:pStyle w:val="7"/>
              <w:spacing w:line="460" w:lineRule="exact"/>
              <w:ind w:firstLine="480"/>
              <w:rPr>
                <w:color w:val="auto"/>
                <w:u w:val="none"/>
              </w:rPr>
            </w:pPr>
            <w:r>
              <w:rPr>
                <w:color w:val="auto"/>
                <w:u w:val="none"/>
              </w:rPr>
              <w:t>②建设单位设置医疗废物已远离医疗区、食品加工区和人员活动区以及生活垃圾存放场所，设置明显的警示标识和防渗漏、防鼠、防蚊蝇、防蟑螂、防盗以及预防儿童接触等安全措施，并应当定期消毒和清洁。</w:t>
            </w:r>
          </w:p>
          <w:p>
            <w:pPr>
              <w:pStyle w:val="7"/>
              <w:spacing w:line="460" w:lineRule="exact"/>
              <w:ind w:firstLine="480"/>
              <w:rPr>
                <w:color w:val="auto"/>
                <w:u w:val="none"/>
              </w:rPr>
            </w:pPr>
            <w:r>
              <w:rPr>
                <w:color w:val="auto"/>
                <w:u w:val="none"/>
              </w:rPr>
              <w:t>③现有项目产生的医疗废物定期交由有医疗废弃物回收资质的单位（岳阳市方向固废安全处置有限公司）进行无害化处置，并按《危险废物转移联单管理办法》已做好申报转移记录。</w:t>
            </w:r>
          </w:p>
          <w:p>
            <w:pPr>
              <w:pStyle w:val="7"/>
              <w:spacing w:line="460" w:lineRule="exact"/>
              <w:ind w:firstLine="480"/>
              <w:rPr>
                <w:color w:val="auto"/>
                <w:u w:val="none"/>
              </w:rPr>
            </w:pPr>
            <w:r>
              <w:rPr>
                <w:color w:val="auto"/>
                <w:u w:val="none"/>
              </w:rPr>
              <w:t>项目设置的医疗废物暂存间满足《医疗废物管理条例》中的相关规定，建设单位落实医疗废物转移制度，不会对周围环境产生明显不良影响。医院设专人负责，在每个科室配置专用的转运箱，对不同性质的医疗废物严格进行分类，以不同颜色标识区分，各科室产生的医疗废物由专人打包收集后送至医疗废物暂存间并逐一登记。定期对医疗废物暂存间进行消毒处理。医疗废物全部交由岳阳市方向固废安全处置有限公司转运和无害化处理，该公司危废资质类别包括HW01中的5类，能满足危废处置的要求；医用玻璃瓶、塑料输液瓶（袋）交由专门单位转运并处置；定期清理的污泥属于危险废物HW01（841-001-01）。</w:t>
            </w:r>
          </w:p>
          <w:p>
            <w:pPr>
              <w:spacing w:line="460" w:lineRule="exact"/>
              <w:rPr>
                <w:color w:val="auto"/>
                <w:u w:val="none"/>
              </w:rPr>
            </w:pPr>
            <w:r>
              <w:rPr>
                <w:color w:val="auto"/>
                <w:u w:val="none"/>
              </w:rPr>
              <w:t>3、存在的主要环境问题及整改措施</w:t>
            </w:r>
          </w:p>
          <w:p>
            <w:pPr>
              <w:pStyle w:val="7"/>
              <w:spacing w:line="460" w:lineRule="exact"/>
              <w:ind w:firstLine="480"/>
              <w:rPr>
                <w:color w:val="auto"/>
                <w:u w:val="none"/>
              </w:rPr>
            </w:pPr>
            <w:r>
              <w:rPr>
                <w:rFonts w:hint="eastAsia"/>
                <w:color w:val="auto"/>
                <w:u w:val="none"/>
                <w:lang w:eastAsia="zh-CN"/>
              </w:rPr>
              <w:t>临湘市五里牌街道社区卫生服务中心（临湘市五里牌街道妇幼保健计划生育服务站）</w:t>
            </w:r>
            <w:r>
              <w:rPr>
                <w:color w:val="auto"/>
                <w:u w:val="none"/>
              </w:rPr>
              <w:t>各种环保设施、设备比较齐全，废水排放基本上做到了雨污分流。卫生院建成以来没有收到过环保投诉。但也存在如下环保问题：</w:t>
            </w:r>
          </w:p>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b/>
                <w:kern w:val="0"/>
                <w:sz w:val="21"/>
                <w:szCs w:val="21"/>
                <w:u w:val="single"/>
                <w:lang w:val="en-US" w:eastAsia="zh-CN" w:bidi="ar-SA"/>
              </w:rPr>
            </w:pPr>
            <w:r>
              <w:rPr>
                <w:rFonts w:hint="eastAsia" w:ascii="Times New Roman" w:hAnsi="Times New Roman" w:eastAsia="宋体" w:cs="Times New Roman"/>
                <w:b/>
                <w:kern w:val="0"/>
                <w:sz w:val="21"/>
                <w:szCs w:val="21"/>
                <w:u w:val="single"/>
                <w:lang w:val="en-US" w:eastAsia="zh-CN" w:bidi="ar-SA"/>
              </w:rPr>
              <w:t>表2.3-4</w:t>
            </w:r>
            <w:r>
              <w:rPr>
                <w:rFonts w:hint="eastAsia" w:cs="Times New Roman"/>
                <w:b/>
                <w:kern w:val="0"/>
                <w:sz w:val="21"/>
                <w:szCs w:val="21"/>
                <w:u w:val="single"/>
                <w:lang w:val="en-US" w:eastAsia="zh-CN" w:bidi="ar-SA"/>
              </w:rPr>
              <w:t xml:space="preserve"> </w:t>
            </w:r>
            <w:r>
              <w:rPr>
                <w:rFonts w:hint="eastAsia" w:ascii="Times New Roman" w:hAnsi="Times New Roman" w:eastAsia="宋体" w:cs="Times New Roman"/>
                <w:b/>
                <w:kern w:val="0"/>
                <w:sz w:val="21"/>
                <w:szCs w:val="21"/>
                <w:u w:val="single"/>
                <w:lang w:val="en-US" w:eastAsia="zh-CN" w:bidi="ar-SA"/>
              </w:rPr>
              <w:t>主要环境问题及整改措施一览表</w:t>
            </w:r>
          </w:p>
          <w:tbl>
            <w:tblPr>
              <w:tblStyle w:val="3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587"/>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2" w:type="dxa"/>
                  <w:vAlign w:val="center"/>
                </w:tcPr>
                <w:p>
                  <w:pPr>
                    <w:pStyle w:val="45"/>
                    <w:bidi w:val="0"/>
                    <w:rPr>
                      <w:rFonts w:hint="default"/>
                      <w:u w:val="single"/>
                      <w:lang w:val="en-US" w:eastAsia="zh-CN"/>
                    </w:rPr>
                  </w:pPr>
                  <w:r>
                    <w:rPr>
                      <w:rFonts w:hint="eastAsia"/>
                      <w:u w:val="single"/>
                      <w:lang w:val="en-US" w:eastAsia="zh-CN"/>
                    </w:rPr>
                    <w:t>序号</w:t>
                  </w:r>
                </w:p>
              </w:tc>
              <w:tc>
                <w:tcPr>
                  <w:tcW w:w="3587" w:type="dxa"/>
                  <w:vAlign w:val="center"/>
                </w:tcPr>
                <w:p>
                  <w:pPr>
                    <w:pStyle w:val="45"/>
                    <w:bidi w:val="0"/>
                    <w:rPr>
                      <w:rFonts w:hint="default"/>
                      <w:u w:val="single"/>
                      <w:lang w:val="en-US" w:eastAsia="zh-CN"/>
                    </w:rPr>
                  </w:pPr>
                  <w:r>
                    <w:rPr>
                      <w:rFonts w:hint="eastAsia"/>
                      <w:u w:val="single"/>
                      <w:lang w:val="en-US" w:eastAsia="zh-CN"/>
                    </w:rPr>
                    <w:t>现有环境问题</w:t>
                  </w:r>
                </w:p>
              </w:tc>
              <w:tc>
                <w:tcPr>
                  <w:tcW w:w="3588" w:type="dxa"/>
                  <w:vAlign w:val="center"/>
                </w:tcPr>
                <w:p>
                  <w:pPr>
                    <w:pStyle w:val="45"/>
                    <w:bidi w:val="0"/>
                    <w:rPr>
                      <w:rFonts w:hint="default"/>
                      <w:u w:val="single"/>
                      <w:lang w:val="en-US" w:eastAsia="zh-CN"/>
                    </w:rPr>
                  </w:pPr>
                  <w:r>
                    <w:rPr>
                      <w:rFonts w:hint="eastAsia"/>
                      <w:u w:val="single"/>
                      <w:lang w:val="en-US"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2" w:type="dxa"/>
                  <w:vAlign w:val="center"/>
                </w:tcPr>
                <w:p>
                  <w:pPr>
                    <w:pStyle w:val="45"/>
                    <w:bidi w:val="0"/>
                    <w:rPr>
                      <w:rFonts w:hint="default"/>
                      <w:u w:val="single"/>
                      <w:lang w:val="en-US" w:eastAsia="zh-CN"/>
                    </w:rPr>
                  </w:pPr>
                  <w:r>
                    <w:rPr>
                      <w:rFonts w:hint="eastAsia"/>
                      <w:u w:val="single"/>
                      <w:lang w:val="en-US" w:eastAsia="zh-CN"/>
                    </w:rPr>
                    <w:t>1</w:t>
                  </w:r>
                </w:p>
              </w:tc>
              <w:tc>
                <w:tcPr>
                  <w:tcW w:w="3587" w:type="dxa"/>
                  <w:vAlign w:val="center"/>
                </w:tcPr>
                <w:p>
                  <w:pPr>
                    <w:pStyle w:val="45"/>
                    <w:bidi w:val="0"/>
                    <w:rPr>
                      <w:rFonts w:hint="eastAsia"/>
                      <w:u w:val="single"/>
                      <w:lang w:val="en-US" w:eastAsia="zh-CN"/>
                    </w:rPr>
                  </w:pPr>
                  <w:r>
                    <w:rPr>
                      <w:rFonts w:hint="eastAsia"/>
                      <w:u w:val="single"/>
                      <w:lang w:val="en-US" w:eastAsia="zh-CN"/>
                    </w:rPr>
                    <w:t>医院未设立雨水排口标识</w:t>
                  </w:r>
                  <w:r>
                    <w:rPr>
                      <w:rFonts w:hint="default"/>
                      <w:u w:val="single"/>
                      <w:lang w:eastAsia="zh-CN"/>
                    </w:rPr>
                    <w:t>标牌</w:t>
                  </w:r>
                </w:p>
              </w:tc>
              <w:tc>
                <w:tcPr>
                  <w:tcW w:w="3588" w:type="dxa"/>
                  <w:vAlign w:val="center"/>
                </w:tcPr>
                <w:p>
                  <w:pPr>
                    <w:pStyle w:val="45"/>
                    <w:bidi w:val="0"/>
                    <w:rPr>
                      <w:rFonts w:hint="eastAsia"/>
                      <w:u w:val="single"/>
                      <w:lang w:val="en-US" w:eastAsia="zh-CN"/>
                    </w:rPr>
                  </w:pPr>
                  <w:r>
                    <w:rPr>
                      <w:rFonts w:hint="eastAsia"/>
                      <w:u w:val="single"/>
                      <w:lang w:val="en-US" w:eastAsia="zh-CN"/>
                    </w:rPr>
                    <w:t>增加雨水排口标识</w:t>
                  </w:r>
                  <w:r>
                    <w:rPr>
                      <w:rFonts w:hint="default"/>
                      <w:u w:val="single"/>
                      <w:lang w:eastAsia="zh-CN"/>
                    </w:rPr>
                    <w:t>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62" w:type="dxa"/>
                  <w:vAlign w:val="center"/>
                </w:tcPr>
                <w:p>
                  <w:pPr>
                    <w:pStyle w:val="45"/>
                    <w:bidi w:val="0"/>
                    <w:rPr>
                      <w:rFonts w:hint="default"/>
                      <w:u w:val="single"/>
                      <w:lang w:val="en-US" w:eastAsia="zh-CN"/>
                    </w:rPr>
                  </w:pPr>
                  <w:r>
                    <w:rPr>
                      <w:rFonts w:hint="eastAsia"/>
                      <w:u w:val="single"/>
                      <w:lang w:val="en-US" w:eastAsia="zh-CN"/>
                    </w:rPr>
                    <w:t>2</w:t>
                  </w:r>
                </w:p>
              </w:tc>
              <w:tc>
                <w:tcPr>
                  <w:tcW w:w="3587" w:type="dxa"/>
                  <w:vAlign w:val="center"/>
                </w:tcPr>
                <w:p>
                  <w:pPr>
                    <w:pStyle w:val="45"/>
                    <w:bidi w:val="0"/>
                    <w:rPr>
                      <w:rFonts w:hint="eastAsia"/>
                      <w:u w:val="single"/>
                      <w:lang w:val="en-US" w:eastAsia="zh-CN"/>
                    </w:rPr>
                  </w:pPr>
                  <w:r>
                    <w:rPr>
                      <w:rFonts w:hint="default"/>
                      <w:u w:val="single"/>
                      <w:lang w:eastAsia="zh-CN"/>
                    </w:rPr>
                    <w:t>污水处理设备中污泥未进行消毒处理</w:t>
                  </w:r>
                </w:p>
              </w:tc>
              <w:tc>
                <w:tcPr>
                  <w:tcW w:w="3588" w:type="dxa"/>
                  <w:vAlign w:val="center"/>
                </w:tcPr>
                <w:p>
                  <w:pPr>
                    <w:pStyle w:val="45"/>
                    <w:bidi w:val="0"/>
                    <w:rPr>
                      <w:rFonts w:hint="eastAsia"/>
                      <w:u w:val="single"/>
                      <w:lang w:val="en-US" w:eastAsia="zh-CN"/>
                    </w:rPr>
                  </w:pPr>
                  <w:r>
                    <w:rPr>
                      <w:rFonts w:hint="default"/>
                      <w:u w:val="single"/>
                      <w:lang w:eastAsia="zh-CN"/>
                    </w:rPr>
                    <w:t>污水处理设备中污泥</w:t>
                  </w:r>
                  <w:r>
                    <w:rPr>
                      <w:rFonts w:hint="eastAsia"/>
                      <w:u w:val="single"/>
                      <w:lang w:val="en-US" w:eastAsia="zh-CN"/>
                    </w:rPr>
                    <w:t>应进行</w:t>
                  </w:r>
                  <w:r>
                    <w:rPr>
                      <w:rFonts w:hint="default"/>
                      <w:u w:val="single"/>
                      <w:lang w:eastAsia="zh-CN"/>
                    </w:rPr>
                    <w:t>消毒处理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62" w:type="dxa"/>
                  <w:vAlign w:val="center"/>
                </w:tcPr>
                <w:p>
                  <w:pPr>
                    <w:pStyle w:val="45"/>
                    <w:bidi w:val="0"/>
                    <w:rPr>
                      <w:rFonts w:hint="default"/>
                      <w:u w:val="single"/>
                      <w:lang w:val="en-US" w:eastAsia="zh-CN"/>
                    </w:rPr>
                  </w:pPr>
                  <w:r>
                    <w:rPr>
                      <w:rFonts w:hint="eastAsia"/>
                      <w:u w:val="single"/>
                      <w:lang w:val="en-US" w:eastAsia="zh-CN"/>
                    </w:rPr>
                    <w:t>3</w:t>
                  </w:r>
                </w:p>
              </w:tc>
              <w:tc>
                <w:tcPr>
                  <w:tcW w:w="3587" w:type="dxa"/>
                  <w:vAlign w:val="center"/>
                </w:tcPr>
                <w:p>
                  <w:pPr>
                    <w:pStyle w:val="45"/>
                    <w:bidi w:val="0"/>
                    <w:rPr>
                      <w:rFonts w:hint="eastAsia"/>
                      <w:u w:val="single"/>
                      <w:lang w:val="en-US" w:eastAsia="zh-CN"/>
                    </w:rPr>
                  </w:pPr>
                  <w:r>
                    <w:rPr>
                      <w:rFonts w:hint="eastAsia"/>
                      <w:u w:val="single"/>
                      <w:lang w:val="en-US" w:eastAsia="zh-CN"/>
                    </w:rPr>
                    <w:t>危废间未按要求建设</w:t>
                  </w:r>
                </w:p>
              </w:tc>
              <w:tc>
                <w:tcPr>
                  <w:tcW w:w="3588" w:type="dxa"/>
                  <w:vAlign w:val="center"/>
                </w:tcPr>
                <w:p>
                  <w:pPr>
                    <w:pStyle w:val="45"/>
                    <w:bidi w:val="0"/>
                    <w:rPr>
                      <w:rFonts w:hint="eastAsia"/>
                      <w:u w:val="single"/>
                      <w:lang w:val="en-US" w:eastAsia="zh-CN"/>
                    </w:rPr>
                  </w:pPr>
                  <w:r>
                    <w:rPr>
                      <w:rFonts w:hint="eastAsia"/>
                      <w:u w:val="single"/>
                      <w:lang w:val="en-US" w:eastAsia="zh-CN"/>
                    </w:rPr>
                    <w:t>按照《危险废物贮存污染控制标准》（GB18597-2023）要求完善危废暂存间的建设</w:t>
                  </w:r>
                </w:p>
              </w:tc>
            </w:tr>
          </w:tbl>
          <w:p>
            <w:pPr>
              <w:pStyle w:val="8"/>
              <w:ind w:left="0" w:leftChars="0" w:firstLine="0"/>
              <w:rPr>
                <w:color w:val="FF0000"/>
              </w:rPr>
            </w:pPr>
          </w:p>
        </w:tc>
      </w:tr>
    </w:tbl>
    <w:p>
      <w:pPr>
        <w:pStyle w:val="27"/>
        <w:jc w:val="center"/>
        <w:rPr>
          <w:rFonts w:ascii="黑体" w:hAnsi="黑体" w:eastAsia="黑体"/>
          <w:snapToGrid w:val="0"/>
          <w:color w:val="FF0000"/>
          <w:sz w:val="36"/>
          <w:szCs w:val="36"/>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
        <w:ind w:firstLine="321" w:firstLineChars="100"/>
        <w:rPr>
          <w:color w:val="auto"/>
        </w:rPr>
      </w:pPr>
      <w:bookmarkStart w:id="40" w:name="_Toc7369"/>
      <w:bookmarkStart w:id="41" w:name="_Toc21265"/>
      <w:bookmarkStart w:id="42" w:name="_Toc5669"/>
      <w:bookmarkStart w:id="43" w:name="_Toc15282"/>
      <w:bookmarkStart w:id="44" w:name="_Toc4412"/>
      <w:bookmarkStart w:id="45" w:name="_Toc29312"/>
      <w:bookmarkStart w:id="46" w:name="_Toc314"/>
      <w:bookmarkStart w:id="47" w:name="_Toc30825"/>
      <w:bookmarkStart w:id="48" w:name="_Toc32221"/>
      <w:bookmarkStart w:id="49" w:name="_Toc26000"/>
      <w:bookmarkStart w:id="50" w:name="_Toc21175"/>
      <w:bookmarkStart w:id="51" w:name="_Toc5995"/>
      <w:bookmarkStart w:id="52" w:name="_Toc32146"/>
      <w:bookmarkStart w:id="53" w:name="_Toc22215"/>
      <w:r>
        <w:rPr>
          <w:rFonts w:hint="eastAsia"/>
          <w:color w:val="auto"/>
        </w:rPr>
        <w:t>三、区域环境质量现状、环境保护目标及评价标准</w:t>
      </w:r>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Style w:val="31"/>
        <w:tblW w:w="85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8"/>
        <w:gridCol w:w="81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auto"/>
                <w:kern w:val="0"/>
              </w:rPr>
            </w:pPr>
            <w:r>
              <w:rPr>
                <w:rFonts w:hint="eastAsia" w:ascii="宋体" w:hAnsi="宋体" w:cs="宋体"/>
                <w:color w:val="auto"/>
                <w:kern w:val="0"/>
              </w:rPr>
              <w:t>区域</w:t>
            </w:r>
          </w:p>
          <w:p>
            <w:pPr>
              <w:adjustRightInd w:val="0"/>
              <w:snapToGrid w:val="0"/>
              <w:jc w:val="center"/>
              <w:rPr>
                <w:rFonts w:ascii="宋体" w:hAnsi="宋体" w:cs="宋体"/>
                <w:color w:val="auto"/>
                <w:kern w:val="0"/>
              </w:rPr>
            </w:pPr>
            <w:r>
              <w:rPr>
                <w:rFonts w:hint="eastAsia" w:ascii="宋体" w:hAnsi="宋体" w:cs="宋体"/>
                <w:color w:val="auto"/>
                <w:kern w:val="0"/>
              </w:rPr>
              <w:t>环境</w:t>
            </w:r>
          </w:p>
          <w:p>
            <w:pPr>
              <w:adjustRightInd w:val="0"/>
              <w:snapToGrid w:val="0"/>
              <w:jc w:val="center"/>
              <w:rPr>
                <w:rFonts w:ascii="宋体" w:hAnsi="宋体" w:cs="宋体"/>
                <w:color w:val="auto"/>
                <w:kern w:val="0"/>
              </w:rPr>
            </w:pPr>
            <w:r>
              <w:rPr>
                <w:rFonts w:hint="eastAsia" w:ascii="宋体" w:hAnsi="宋体" w:cs="宋体"/>
                <w:color w:val="auto"/>
                <w:kern w:val="0"/>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rPr>
              <w:t>现状</w:t>
            </w:r>
          </w:p>
        </w:tc>
        <w:tc>
          <w:tcPr>
            <w:tcW w:w="8185" w:type="dxa"/>
            <w:noWrap/>
            <w:vAlign w:val="center"/>
          </w:tcPr>
          <w:p>
            <w:pPr>
              <w:pStyle w:val="7"/>
              <w:numPr>
                <w:ilvl w:val="0"/>
                <w:numId w:val="6"/>
              </w:numPr>
              <w:ind w:firstLine="480"/>
              <w:rPr>
                <w:color w:val="auto"/>
              </w:rPr>
            </w:pPr>
            <w:r>
              <w:rPr>
                <w:color w:val="auto"/>
              </w:rPr>
              <w:t>环境空气质量现状</w:t>
            </w:r>
          </w:p>
          <w:p>
            <w:pPr>
              <w:adjustRightInd w:val="0"/>
              <w:snapToGrid w:val="0"/>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（1）基本污染物环境质量现状</w:t>
            </w:r>
          </w:p>
          <w:p>
            <w:pPr>
              <w:adjustRightInd w:val="0"/>
              <w:snapToGrid w:val="0"/>
              <w:ind w:firstLine="480" w:firstLineChars="200"/>
              <w:rPr>
                <w:color w:val="auto"/>
                <w:kern w:val="0"/>
              </w:rPr>
            </w:pPr>
            <w:r>
              <w:rPr>
                <w:rFonts w:hint="eastAsia" w:ascii="Times New Roman" w:hAnsi="Times New Roman" w:eastAsia="宋体" w:cs="Times New Roman"/>
                <w:color w:val="auto"/>
                <w:kern w:val="2"/>
                <w:sz w:val="24"/>
                <w:szCs w:val="24"/>
                <w:lang w:val="en-US" w:eastAsia="zh-CN" w:bidi="ar-SA"/>
              </w:rPr>
              <w:t>项目所在区域大气环境属二类功能区，执行《环境空气质量标准》 （GB3095-2012）二级标准。为了解本项目所在区域大气环境质量现状，本次 区域大气环境质量现状收集了2022年临湘市省控点的大气全年监测数据统计资 料，监测数据见下表</w:t>
            </w:r>
            <w:r>
              <w:rPr>
                <w:rFonts w:hint="eastAsia"/>
                <w:color w:val="auto"/>
                <w:kern w:val="0"/>
              </w:rPr>
              <w:t>。</w:t>
            </w:r>
          </w:p>
          <w:p>
            <w:pPr>
              <w:pStyle w:val="63"/>
              <w:widowControl w:val="0"/>
              <w:rPr>
                <w:color w:val="auto"/>
                <w:kern w:val="2"/>
                <w:sz w:val="24"/>
                <w:szCs w:val="32"/>
                <w:u w:val="none"/>
              </w:rPr>
            </w:pPr>
            <w:r>
              <w:rPr>
                <w:rFonts w:hint="eastAsia" w:ascii="Times New Roman" w:hAnsi="Times New Roman" w:eastAsia="宋体" w:cs="Times New Roman"/>
                <w:b/>
                <w:kern w:val="0"/>
                <w:sz w:val="21"/>
                <w:szCs w:val="21"/>
                <w:u w:val="none"/>
                <w:lang w:val="en-US" w:eastAsia="zh-CN" w:bidi="ar-SA"/>
              </w:rPr>
              <w:t>表3.1-1  2022年区域空气质量现状评价表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011"/>
              <w:gridCol w:w="1946"/>
              <w:gridCol w:w="1189"/>
              <w:gridCol w:w="1365"/>
              <w:gridCol w:w="823"/>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pStyle w:val="60"/>
                    <w:spacing w:line="276" w:lineRule="auto"/>
                    <w:rPr>
                      <w:color w:val="auto"/>
                      <w:kern w:val="0"/>
                      <w:sz w:val="21"/>
                      <w:szCs w:val="21"/>
                    </w:rPr>
                  </w:pPr>
                  <w:r>
                    <w:rPr>
                      <w:color w:val="auto"/>
                      <w:sz w:val="21"/>
                      <w:szCs w:val="21"/>
                    </w:rPr>
                    <w:t>所在区域</w:t>
                  </w:r>
                </w:p>
              </w:tc>
              <w:tc>
                <w:tcPr>
                  <w:tcW w:w="635" w:type="pct"/>
                  <w:vAlign w:val="center"/>
                </w:tcPr>
                <w:p>
                  <w:pPr>
                    <w:pStyle w:val="60"/>
                    <w:spacing w:line="276" w:lineRule="auto"/>
                    <w:rPr>
                      <w:color w:val="auto"/>
                      <w:sz w:val="21"/>
                      <w:szCs w:val="21"/>
                    </w:rPr>
                  </w:pPr>
                  <w:r>
                    <w:rPr>
                      <w:color w:val="auto"/>
                      <w:sz w:val="21"/>
                      <w:szCs w:val="21"/>
                    </w:rPr>
                    <w:t>监测</w:t>
                  </w:r>
                </w:p>
                <w:p>
                  <w:pPr>
                    <w:pStyle w:val="60"/>
                    <w:spacing w:line="276" w:lineRule="auto"/>
                    <w:rPr>
                      <w:color w:val="auto"/>
                      <w:kern w:val="0"/>
                      <w:sz w:val="21"/>
                      <w:szCs w:val="21"/>
                    </w:rPr>
                  </w:pPr>
                  <w:r>
                    <w:rPr>
                      <w:color w:val="auto"/>
                      <w:sz w:val="21"/>
                      <w:szCs w:val="21"/>
                    </w:rPr>
                    <w:t>项目</w:t>
                  </w:r>
                </w:p>
              </w:tc>
              <w:tc>
                <w:tcPr>
                  <w:tcW w:w="1223" w:type="pct"/>
                  <w:vAlign w:val="center"/>
                </w:tcPr>
                <w:p>
                  <w:pPr>
                    <w:pStyle w:val="60"/>
                    <w:spacing w:line="276" w:lineRule="auto"/>
                    <w:rPr>
                      <w:color w:val="auto"/>
                      <w:kern w:val="0"/>
                      <w:sz w:val="21"/>
                      <w:szCs w:val="21"/>
                    </w:rPr>
                  </w:pPr>
                  <w:r>
                    <w:rPr>
                      <w:color w:val="auto"/>
                      <w:sz w:val="21"/>
                      <w:szCs w:val="21"/>
                    </w:rPr>
                    <w:t>年评价指标</w:t>
                  </w:r>
                </w:p>
              </w:tc>
              <w:tc>
                <w:tcPr>
                  <w:tcW w:w="747" w:type="pct"/>
                  <w:vAlign w:val="center"/>
                </w:tcPr>
                <w:p>
                  <w:pPr>
                    <w:pStyle w:val="60"/>
                    <w:spacing w:line="276" w:lineRule="auto"/>
                    <w:rPr>
                      <w:color w:val="auto"/>
                      <w:kern w:val="0"/>
                      <w:sz w:val="21"/>
                      <w:szCs w:val="21"/>
                    </w:rPr>
                  </w:pPr>
                  <w:r>
                    <w:rPr>
                      <w:color w:val="auto"/>
                      <w:sz w:val="21"/>
                      <w:szCs w:val="21"/>
                    </w:rPr>
                    <w:t>现状浓度（ug/m</w:t>
                  </w:r>
                  <w:r>
                    <w:rPr>
                      <w:color w:val="auto"/>
                      <w:sz w:val="21"/>
                      <w:szCs w:val="21"/>
                      <w:vertAlign w:val="superscript"/>
                    </w:rPr>
                    <w:t>3</w:t>
                  </w:r>
                  <w:r>
                    <w:rPr>
                      <w:color w:val="auto"/>
                      <w:sz w:val="21"/>
                      <w:szCs w:val="21"/>
                    </w:rPr>
                    <w:t>）</w:t>
                  </w:r>
                </w:p>
              </w:tc>
              <w:tc>
                <w:tcPr>
                  <w:tcW w:w="858" w:type="pct"/>
                  <w:vAlign w:val="center"/>
                </w:tcPr>
                <w:p>
                  <w:pPr>
                    <w:pStyle w:val="60"/>
                    <w:spacing w:line="276" w:lineRule="auto"/>
                    <w:rPr>
                      <w:color w:val="auto"/>
                      <w:sz w:val="21"/>
                      <w:szCs w:val="21"/>
                    </w:rPr>
                  </w:pPr>
                  <w:r>
                    <w:rPr>
                      <w:color w:val="auto"/>
                      <w:sz w:val="21"/>
                      <w:szCs w:val="21"/>
                    </w:rPr>
                    <w:t>标准值</w:t>
                  </w:r>
                </w:p>
                <w:p>
                  <w:pPr>
                    <w:pStyle w:val="60"/>
                    <w:spacing w:line="276" w:lineRule="auto"/>
                    <w:rPr>
                      <w:color w:val="auto"/>
                      <w:kern w:val="0"/>
                      <w:sz w:val="21"/>
                      <w:szCs w:val="21"/>
                    </w:rPr>
                  </w:pPr>
                  <w:r>
                    <w:rPr>
                      <w:color w:val="auto"/>
                      <w:sz w:val="21"/>
                      <w:szCs w:val="21"/>
                    </w:rPr>
                    <w:t>（ug/m</w:t>
                  </w:r>
                  <w:r>
                    <w:rPr>
                      <w:color w:val="auto"/>
                      <w:sz w:val="21"/>
                      <w:szCs w:val="21"/>
                      <w:vertAlign w:val="superscript"/>
                    </w:rPr>
                    <w:t>3</w:t>
                  </w:r>
                  <w:r>
                    <w:rPr>
                      <w:color w:val="auto"/>
                      <w:sz w:val="21"/>
                      <w:szCs w:val="21"/>
                    </w:rPr>
                    <w:t>）</w:t>
                  </w:r>
                </w:p>
              </w:tc>
              <w:tc>
                <w:tcPr>
                  <w:tcW w:w="517" w:type="pct"/>
                  <w:vAlign w:val="center"/>
                </w:tcPr>
                <w:p>
                  <w:pPr>
                    <w:pStyle w:val="60"/>
                    <w:spacing w:line="276" w:lineRule="auto"/>
                    <w:rPr>
                      <w:rFonts w:hint="eastAsia" w:eastAsia="宋体"/>
                      <w:color w:val="auto"/>
                      <w:kern w:val="0"/>
                      <w:sz w:val="21"/>
                      <w:szCs w:val="21"/>
                      <w:lang w:eastAsia="zh-CN"/>
                    </w:rPr>
                  </w:pPr>
                  <w:r>
                    <w:rPr>
                      <w:rFonts w:hint="eastAsia"/>
                      <w:color w:val="auto"/>
                      <w:sz w:val="21"/>
                      <w:szCs w:val="21"/>
                      <w:lang w:val="en-US" w:eastAsia="zh-CN"/>
                    </w:rPr>
                    <w:t>占标率（%）</w:t>
                  </w:r>
                </w:p>
              </w:tc>
              <w:tc>
                <w:tcPr>
                  <w:tcW w:w="520" w:type="pct"/>
                  <w:vAlign w:val="center"/>
                </w:tcPr>
                <w:p>
                  <w:pPr>
                    <w:pStyle w:val="60"/>
                    <w:spacing w:line="276" w:lineRule="auto"/>
                    <w:rPr>
                      <w:color w:val="auto"/>
                      <w:kern w:val="0"/>
                      <w:sz w:val="21"/>
                      <w:szCs w:val="21"/>
                    </w:rPr>
                  </w:pPr>
                  <w:r>
                    <w:rPr>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vAlign w:val="center"/>
                </w:tcPr>
                <w:p>
                  <w:pPr>
                    <w:pStyle w:val="60"/>
                    <w:spacing w:line="276" w:lineRule="auto"/>
                    <w:rPr>
                      <w:rFonts w:hint="eastAsia" w:eastAsia="宋体"/>
                      <w:color w:val="auto"/>
                      <w:kern w:val="0"/>
                      <w:sz w:val="21"/>
                      <w:szCs w:val="21"/>
                      <w:lang w:eastAsia="zh-CN"/>
                    </w:rPr>
                  </w:pPr>
                  <w:r>
                    <w:rPr>
                      <w:rFonts w:hint="eastAsia"/>
                      <w:color w:val="auto"/>
                      <w:sz w:val="21"/>
                      <w:szCs w:val="21"/>
                      <w:lang w:val="en-US" w:eastAsia="zh-CN"/>
                    </w:rPr>
                    <w:t>临湘市</w:t>
                  </w:r>
                </w:p>
              </w:tc>
              <w:tc>
                <w:tcPr>
                  <w:tcW w:w="635" w:type="pct"/>
                  <w:vAlign w:val="center"/>
                </w:tcPr>
                <w:p>
                  <w:pPr>
                    <w:pStyle w:val="60"/>
                    <w:spacing w:line="276" w:lineRule="auto"/>
                    <w:rPr>
                      <w:color w:val="auto"/>
                      <w:kern w:val="0"/>
                      <w:sz w:val="21"/>
                      <w:szCs w:val="21"/>
                    </w:rPr>
                  </w:pPr>
                  <w:r>
                    <w:rPr>
                      <w:color w:val="auto"/>
                      <w:sz w:val="21"/>
                      <w:szCs w:val="21"/>
                    </w:rPr>
                    <w:t>SO</w:t>
                  </w:r>
                  <w:r>
                    <w:rPr>
                      <w:color w:val="auto"/>
                      <w:sz w:val="21"/>
                      <w:szCs w:val="21"/>
                      <w:vertAlign w:val="subscript"/>
                    </w:rPr>
                    <w:t>2</w:t>
                  </w:r>
                </w:p>
              </w:tc>
              <w:tc>
                <w:tcPr>
                  <w:tcW w:w="1223" w:type="pct"/>
                  <w:vAlign w:val="center"/>
                </w:tcPr>
                <w:p>
                  <w:pPr>
                    <w:pStyle w:val="60"/>
                    <w:spacing w:line="276" w:lineRule="auto"/>
                    <w:rPr>
                      <w:color w:val="auto"/>
                      <w:kern w:val="0"/>
                      <w:sz w:val="21"/>
                      <w:szCs w:val="21"/>
                    </w:rPr>
                  </w:pPr>
                  <w:r>
                    <w:rPr>
                      <w:color w:val="auto"/>
                      <w:sz w:val="21"/>
                      <w:szCs w:val="21"/>
                    </w:rPr>
                    <w:t>年平均质量浓度</w:t>
                  </w:r>
                </w:p>
              </w:tc>
              <w:tc>
                <w:tcPr>
                  <w:tcW w:w="747" w:type="pct"/>
                  <w:vAlign w:val="center"/>
                </w:tcPr>
                <w:p>
                  <w:pPr>
                    <w:pStyle w:val="43"/>
                    <w:snapToGrid w:val="0"/>
                    <w:spacing w:line="276" w:lineRule="auto"/>
                    <w:rPr>
                      <w:rFonts w:hint="eastAsia"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5</w:t>
                  </w:r>
                </w:p>
              </w:tc>
              <w:tc>
                <w:tcPr>
                  <w:tcW w:w="858" w:type="pct"/>
                  <w:vAlign w:val="center"/>
                </w:tcPr>
                <w:p>
                  <w:pPr>
                    <w:spacing w:line="276" w:lineRule="auto"/>
                    <w:jc w:val="center"/>
                    <w:rPr>
                      <w:color w:val="auto"/>
                      <w:kern w:val="0"/>
                      <w:sz w:val="21"/>
                      <w:szCs w:val="21"/>
                    </w:rPr>
                  </w:pPr>
                  <w:r>
                    <w:rPr>
                      <w:color w:val="auto"/>
                      <w:sz w:val="21"/>
                      <w:szCs w:val="21"/>
                    </w:rPr>
                    <w:t>60</w:t>
                  </w:r>
                </w:p>
              </w:tc>
              <w:tc>
                <w:tcPr>
                  <w:tcW w:w="517" w:type="pct"/>
                  <w:vAlign w:val="center"/>
                </w:tcPr>
                <w:p>
                  <w:pPr>
                    <w:pStyle w:val="60"/>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8.33</w:t>
                  </w:r>
                </w:p>
              </w:tc>
              <w:tc>
                <w:tcPr>
                  <w:tcW w:w="520" w:type="pct"/>
                  <w:vAlign w:val="center"/>
                </w:tcPr>
                <w:p>
                  <w:pPr>
                    <w:pStyle w:val="60"/>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rPr>
                  </w:pPr>
                </w:p>
              </w:tc>
              <w:tc>
                <w:tcPr>
                  <w:tcW w:w="635" w:type="pct"/>
                  <w:vAlign w:val="center"/>
                </w:tcPr>
                <w:p>
                  <w:pPr>
                    <w:pStyle w:val="60"/>
                    <w:spacing w:line="276" w:lineRule="auto"/>
                    <w:rPr>
                      <w:color w:val="auto"/>
                      <w:kern w:val="0"/>
                      <w:sz w:val="21"/>
                      <w:szCs w:val="21"/>
                    </w:rPr>
                  </w:pPr>
                  <w:r>
                    <w:rPr>
                      <w:color w:val="auto"/>
                      <w:sz w:val="21"/>
                      <w:szCs w:val="21"/>
                    </w:rPr>
                    <w:t>NO</w:t>
                  </w:r>
                  <w:r>
                    <w:rPr>
                      <w:color w:val="auto"/>
                      <w:sz w:val="21"/>
                      <w:szCs w:val="21"/>
                      <w:vertAlign w:val="subscript"/>
                    </w:rPr>
                    <w:t>2</w:t>
                  </w:r>
                </w:p>
              </w:tc>
              <w:tc>
                <w:tcPr>
                  <w:tcW w:w="1223" w:type="pct"/>
                  <w:vAlign w:val="center"/>
                </w:tcPr>
                <w:p>
                  <w:pPr>
                    <w:pStyle w:val="60"/>
                    <w:spacing w:line="276" w:lineRule="auto"/>
                    <w:rPr>
                      <w:color w:val="auto"/>
                      <w:kern w:val="0"/>
                      <w:sz w:val="21"/>
                      <w:szCs w:val="21"/>
                    </w:rPr>
                  </w:pPr>
                  <w:r>
                    <w:rPr>
                      <w:color w:val="auto"/>
                      <w:sz w:val="21"/>
                      <w:szCs w:val="21"/>
                    </w:rPr>
                    <w:t>年平均质量浓度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27</w:t>
                  </w:r>
                </w:p>
              </w:tc>
              <w:tc>
                <w:tcPr>
                  <w:tcW w:w="858" w:type="pct"/>
                  <w:vAlign w:val="center"/>
                </w:tcPr>
                <w:p>
                  <w:pPr>
                    <w:spacing w:line="276" w:lineRule="auto"/>
                    <w:jc w:val="center"/>
                    <w:rPr>
                      <w:color w:val="auto"/>
                      <w:kern w:val="0"/>
                      <w:sz w:val="21"/>
                      <w:szCs w:val="21"/>
                    </w:rPr>
                  </w:pPr>
                  <w:r>
                    <w:rPr>
                      <w:color w:val="auto"/>
                      <w:sz w:val="21"/>
                      <w:szCs w:val="21"/>
                    </w:rPr>
                    <w:t>40</w:t>
                  </w:r>
                </w:p>
              </w:tc>
              <w:tc>
                <w:tcPr>
                  <w:tcW w:w="517" w:type="pct"/>
                  <w:vAlign w:val="center"/>
                </w:tcPr>
                <w:p>
                  <w:pPr>
                    <w:pStyle w:val="60"/>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67.50</w:t>
                  </w:r>
                </w:p>
              </w:tc>
              <w:tc>
                <w:tcPr>
                  <w:tcW w:w="520" w:type="pct"/>
                  <w:vAlign w:val="center"/>
                </w:tcPr>
                <w:p>
                  <w:pPr>
                    <w:pStyle w:val="60"/>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rPr>
                  </w:pPr>
                </w:p>
              </w:tc>
              <w:tc>
                <w:tcPr>
                  <w:tcW w:w="635" w:type="pct"/>
                  <w:vAlign w:val="center"/>
                </w:tcPr>
                <w:p>
                  <w:pPr>
                    <w:pStyle w:val="60"/>
                    <w:spacing w:line="276" w:lineRule="auto"/>
                    <w:rPr>
                      <w:color w:val="auto"/>
                      <w:kern w:val="0"/>
                      <w:sz w:val="21"/>
                      <w:szCs w:val="21"/>
                    </w:rPr>
                  </w:pPr>
                  <w:r>
                    <w:rPr>
                      <w:color w:val="auto"/>
                      <w:sz w:val="21"/>
                      <w:szCs w:val="21"/>
                    </w:rPr>
                    <w:t>PM</w:t>
                  </w:r>
                  <w:r>
                    <w:rPr>
                      <w:color w:val="auto"/>
                      <w:sz w:val="21"/>
                      <w:szCs w:val="21"/>
                      <w:vertAlign w:val="subscript"/>
                    </w:rPr>
                    <w:t>10</w:t>
                  </w:r>
                </w:p>
              </w:tc>
              <w:tc>
                <w:tcPr>
                  <w:tcW w:w="1223" w:type="pct"/>
                  <w:vAlign w:val="center"/>
                </w:tcPr>
                <w:p>
                  <w:pPr>
                    <w:pStyle w:val="60"/>
                    <w:spacing w:line="276" w:lineRule="auto"/>
                    <w:rPr>
                      <w:color w:val="auto"/>
                      <w:kern w:val="0"/>
                      <w:sz w:val="21"/>
                      <w:szCs w:val="21"/>
                    </w:rPr>
                  </w:pPr>
                  <w:r>
                    <w:rPr>
                      <w:color w:val="auto"/>
                      <w:sz w:val="21"/>
                      <w:szCs w:val="21"/>
                    </w:rPr>
                    <w:t>年平均质量浓度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w:t>
                  </w:r>
                </w:p>
              </w:tc>
              <w:tc>
                <w:tcPr>
                  <w:tcW w:w="858" w:type="pct"/>
                  <w:vAlign w:val="center"/>
                </w:tcPr>
                <w:p>
                  <w:pPr>
                    <w:spacing w:line="276" w:lineRule="auto"/>
                    <w:jc w:val="center"/>
                    <w:rPr>
                      <w:color w:val="auto"/>
                      <w:kern w:val="0"/>
                      <w:sz w:val="21"/>
                      <w:szCs w:val="21"/>
                    </w:rPr>
                  </w:pPr>
                  <w:r>
                    <w:rPr>
                      <w:color w:val="auto"/>
                      <w:sz w:val="21"/>
                      <w:szCs w:val="21"/>
                    </w:rPr>
                    <w:t>70</w:t>
                  </w:r>
                </w:p>
              </w:tc>
              <w:tc>
                <w:tcPr>
                  <w:tcW w:w="517" w:type="pct"/>
                  <w:vAlign w:val="center"/>
                </w:tcPr>
                <w:p>
                  <w:pPr>
                    <w:pStyle w:val="60"/>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68.57</w:t>
                  </w:r>
                </w:p>
              </w:tc>
              <w:tc>
                <w:tcPr>
                  <w:tcW w:w="520" w:type="pct"/>
                  <w:vAlign w:val="center"/>
                </w:tcPr>
                <w:p>
                  <w:pPr>
                    <w:pStyle w:val="60"/>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rPr>
                  </w:pPr>
                </w:p>
              </w:tc>
              <w:tc>
                <w:tcPr>
                  <w:tcW w:w="635" w:type="pct"/>
                  <w:vAlign w:val="center"/>
                </w:tcPr>
                <w:p>
                  <w:pPr>
                    <w:pStyle w:val="60"/>
                    <w:spacing w:line="276" w:lineRule="auto"/>
                    <w:rPr>
                      <w:color w:val="auto"/>
                      <w:kern w:val="0"/>
                      <w:sz w:val="21"/>
                      <w:szCs w:val="21"/>
                    </w:rPr>
                  </w:pPr>
                  <w:r>
                    <w:rPr>
                      <w:color w:val="auto"/>
                      <w:sz w:val="21"/>
                      <w:szCs w:val="21"/>
                    </w:rPr>
                    <w:t>PM</w:t>
                  </w:r>
                  <w:r>
                    <w:rPr>
                      <w:color w:val="auto"/>
                      <w:sz w:val="21"/>
                      <w:szCs w:val="21"/>
                      <w:vertAlign w:val="subscript"/>
                    </w:rPr>
                    <w:t>2.5</w:t>
                  </w:r>
                </w:p>
              </w:tc>
              <w:tc>
                <w:tcPr>
                  <w:tcW w:w="1223" w:type="pct"/>
                  <w:vAlign w:val="center"/>
                </w:tcPr>
                <w:p>
                  <w:pPr>
                    <w:pStyle w:val="60"/>
                    <w:spacing w:line="276" w:lineRule="auto"/>
                    <w:rPr>
                      <w:color w:val="auto"/>
                      <w:kern w:val="0"/>
                      <w:sz w:val="21"/>
                      <w:szCs w:val="21"/>
                    </w:rPr>
                  </w:pPr>
                  <w:r>
                    <w:rPr>
                      <w:color w:val="auto"/>
                      <w:sz w:val="21"/>
                      <w:szCs w:val="21"/>
                    </w:rPr>
                    <w:t>年平均质量浓度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34</w:t>
                  </w:r>
                </w:p>
              </w:tc>
              <w:tc>
                <w:tcPr>
                  <w:tcW w:w="858" w:type="pct"/>
                  <w:vAlign w:val="center"/>
                </w:tcPr>
                <w:p>
                  <w:pPr>
                    <w:spacing w:line="276" w:lineRule="auto"/>
                    <w:jc w:val="center"/>
                    <w:rPr>
                      <w:color w:val="auto"/>
                      <w:kern w:val="0"/>
                      <w:sz w:val="21"/>
                      <w:szCs w:val="21"/>
                    </w:rPr>
                  </w:pPr>
                  <w:r>
                    <w:rPr>
                      <w:color w:val="auto"/>
                      <w:sz w:val="21"/>
                      <w:szCs w:val="21"/>
                    </w:rPr>
                    <w:t>35</w:t>
                  </w:r>
                </w:p>
              </w:tc>
              <w:tc>
                <w:tcPr>
                  <w:tcW w:w="517" w:type="pct"/>
                  <w:vAlign w:val="center"/>
                </w:tcPr>
                <w:p>
                  <w:pPr>
                    <w:pStyle w:val="60"/>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97.14</w:t>
                  </w:r>
                </w:p>
              </w:tc>
              <w:tc>
                <w:tcPr>
                  <w:tcW w:w="520" w:type="pct"/>
                  <w:vAlign w:val="center"/>
                </w:tcPr>
                <w:p>
                  <w:pPr>
                    <w:pStyle w:val="60"/>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rPr>
                  </w:pPr>
                </w:p>
              </w:tc>
              <w:tc>
                <w:tcPr>
                  <w:tcW w:w="635" w:type="pct"/>
                  <w:vAlign w:val="center"/>
                </w:tcPr>
                <w:p>
                  <w:pPr>
                    <w:pStyle w:val="60"/>
                    <w:spacing w:line="276" w:lineRule="auto"/>
                    <w:rPr>
                      <w:color w:val="auto"/>
                      <w:kern w:val="0"/>
                      <w:sz w:val="21"/>
                      <w:szCs w:val="21"/>
                    </w:rPr>
                  </w:pPr>
                  <w:r>
                    <w:rPr>
                      <w:color w:val="auto"/>
                      <w:sz w:val="21"/>
                      <w:szCs w:val="21"/>
                    </w:rPr>
                    <w:t>CO</w:t>
                  </w:r>
                </w:p>
              </w:tc>
              <w:tc>
                <w:tcPr>
                  <w:tcW w:w="1223" w:type="pct"/>
                  <w:vAlign w:val="center"/>
                </w:tcPr>
                <w:p>
                  <w:pPr>
                    <w:pStyle w:val="60"/>
                    <w:spacing w:line="276" w:lineRule="auto"/>
                    <w:rPr>
                      <w:color w:val="auto"/>
                      <w:kern w:val="0"/>
                      <w:sz w:val="21"/>
                      <w:szCs w:val="21"/>
                    </w:rPr>
                  </w:pPr>
                  <w:r>
                    <w:rPr>
                      <w:color w:val="auto"/>
                      <w:sz w:val="21"/>
                      <w:szCs w:val="21"/>
                    </w:rPr>
                    <w:t>95百分位数日平均质量浓度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1000</w:t>
                  </w:r>
                </w:p>
              </w:tc>
              <w:tc>
                <w:tcPr>
                  <w:tcW w:w="858" w:type="pct"/>
                  <w:vAlign w:val="center"/>
                </w:tcPr>
                <w:p>
                  <w:pPr>
                    <w:spacing w:line="276" w:lineRule="auto"/>
                    <w:jc w:val="center"/>
                    <w:rPr>
                      <w:color w:val="auto"/>
                      <w:kern w:val="0"/>
                      <w:sz w:val="21"/>
                      <w:szCs w:val="21"/>
                    </w:rPr>
                  </w:pPr>
                  <w:r>
                    <w:rPr>
                      <w:color w:val="auto"/>
                      <w:sz w:val="21"/>
                      <w:szCs w:val="21"/>
                    </w:rPr>
                    <w:t>4000</w:t>
                  </w:r>
                </w:p>
              </w:tc>
              <w:tc>
                <w:tcPr>
                  <w:tcW w:w="517" w:type="pct"/>
                  <w:vAlign w:val="center"/>
                </w:tcPr>
                <w:p>
                  <w:pPr>
                    <w:pStyle w:val="60"/>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25.00</w:t>
                  </w:r>
                </w:p>
              </w:tc>
              <w:tc>
                <w:tcPr>
                  <w:tcW w:w="520" w:type="pct"/>
                  <w:vAlign w:val="center"/>
                </w:tcPr>
                <w:p>
                  <w:pPr>
                    <w:pStyle w:val="60"/>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rPr>
                  </w:pPr>
                </w:p>
              </w:tc>
              <w:tc>
                <w:tcPr>
                  <w:tcW w:w="635" w:type="pct"/>
                  <w:vAlign w:val="center"/>
                </w:tcPr>
                <w:p>
                  <w:pPr>
                    <w:pStyle w:val="60"/>
                    <w:spacing w:line="276" w:lineRule="auto"/>
                    <w:rPr>
                      <w:color w:val="auto"/>
                      <w:kern w:val="0"/>
                      <w:sz w:val="21"/>
                      <w:szCs w:val="21"/>
                    </w:rPr>
                  </w:pPr>
                  <w:r>
                    <w:rPr>
                      <w:color w:val="auto"/>
                      <w:sz w:val="21"/>
                      <w:szCs w:val="21"/>
                    </w:rPr>
                    <w:t>O</w:t>
                  </w:r>
                  <w:r>
                    <w:rPr>
                      <w:color w:val="auto"/>
                      <w:sz w:val="21"/>
                      <w:szCs w:val="21"/>
                      <w:vertAlign w:val="subscript"/>
                    </w:rPr>
                    <w:t>3</w:t>
                  </w:r>
                </w:p>
              </w:tc>
              <w:tc>
                <w:tcPr>
                  <w:tcW w:w="1223" w:type="pct"/>
                  <w:vAlign w:val="center"/>
                </w:tcPr>
                <w:p>
                  <w:pPr>
                    <w:pStyle w:val="60"/>
                    <w:spacing w:line="276" w:lineRule="auto"/>
                    <w:rPr>
                      <w:color w:val="auto"/>
                      <w:kern w:val="0"/>
                      <w:sz w:val="21"/>
                      <w:szCs w:val="21"/>
                    </w:rPr>
                  </w:pPr>
                  <w:r>
                    <w:rPr>
                      <w:color w:val="auto"/>
                      <w:sz w:val="21"/>
                      <w:szCs w:val="21"/>
                    </w:rPr>
                    <w:t>90百分位数最大8小时平均质量浓度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none"/>
                      <w:lang w:val="en-US" w:eastAsia="zh-CN"/>
                    </w:rPr>
                    <w:t>147</w:t>
                  </w:r>
                </w:p>
              </w:tc>
              <w:tc>
                <w:tcPr>
                  <w:tcW w:w="858" w:type="pct"/>
                  <w:vAlign w:val="center"/>
                </w:tcPr>
                <w:p>
                  <w:pPr>
                    <w:spacing w:line="276" w:lineRule="auto"/>
                    <w:jc w:val="center"/>
                    <w:rPr>
                      <w:color w:val="auto"/>
                      <w:kern w:val="0"/>
                      <w:sz w:val="21"/>
                      <w:szCs w:val="21"/>
                    </w:rPr>
                  </w:pPr>
                  <w:r>
                    <w:rPr>
                      <w:color w:val="auto"/>
                      <w:sz w:val="21"/>
                      <w:szCs w:val="21"/>
                    </w:rPr>
                    <w:t>160</w:t>
                  </w:r>
                </w:p>
              </w:tc>
              <w:tc>
                <w:tcPr>
                  <w:tcW w:w="517" w:type="pct"/>
                  <w:vAlign w:val="center"/>
                </w:tcPr>
                <w:p>
                  <w:pPr>
                    <w:pStyle w:val="60"/>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91.88</w:t>
                  </w:r>
                </w:p>
              </w:tc>
              <w:tc>
                <w:tcPr>
                  <w:tcW w:w="520" w:type="pct"/>
                  <w:vAlign w:val="center"/>
                </w:tcPr>
                <w:p>
                  <w:pPr>
                    <w:pStyle w:val="60"/>
                    <w:spacing w:line="276" w:lineRule="auto"/>
                    <w:rPr>
                      <w:color w:val="auto"/>
                      <w:kern w:val="0"/>
                      <w:sz w:val="21"/>
                      <w:szCs w:val="21"/>
                    </w:rPr>
                  </w:pPr>
                  <w:r>
                    <w:rPr>
                      <w:color w:val="auto"/>
                      <w:sz w:val="21"/>
                      <w:szCs w:val="21"/>
                    </w:rPr>
                    <w:t>达标</w:t>
                  </w:r>
                </w:p>
              </w:tc>
            </w:tr>
          </w:tbl>
          <w:p>
            <w:pPr>
              <w:pStyle w:val="7"/>
              <w:ind w:firstLine="480"/>
              <w:rPr>
                <w:color w:val="auto"/>
              </w:rPr>
            </w:pPr>
            <w:r>
              <w:rPr>
                <w:color w:val="auto"/>
              </w:rPr>
              <w:t>由上表可知，</w:t>
            </w:r>
            <w:r>
              <w:rPr>
                <w:rFonts w:hint="eastAsia"/>
                <w:color w:val="auto"/>
              </w:rPr>
              <w:t>项目所在区域的监测因子均达到《环境空气质量标准》（GB3095-2012）二级标准要求，区域环境质量较好，属于达标区。</w:t>
            </w:r>
          </w:p>
          <w:p>
            <w:pPr>
              <w:pStyle w:val="7"/>
              <w:ind w:firstLine="480"/>
              <w:rPr>
                <w:color w:val="auto"/>
              </w:rPr>
            </w:pPr>
            <w:r>
              <w:rPr>
                <w:rFonts w:hint="eastAsia"/>
                <w:color w:val="auto"/>
              </w:rPr>
              <w:t>（2）特征污染物环境质量现状评价</w:t>
            </w:r>
          </w:p>
          <w:p>
            <w:pPr>
              <w:pStyle w:val="7"/>
              <w:ind w:firstLine="480"/>
              <w:rPr>
                <w:rFonts w:hint="default" w:ascii="Times New Roman" w:hAnsi="Times New Roman" w:eastAsia="宋体" w:cs="Times New Roman"/>
                <w:color w:val="auto"/>
                <w:u w:val="none"/>
                <w:lang w:val="en-US" w:eastAsia="zh-CN"/>
              </w:rPr>
            </w:pPr>
            <w:r>
              <w:rPr>
                <w:rFonts w:hint="eastAsia"/>
                <w:color w:val="auto"/>
                <w:u w:val="none"/>
              </w:rPr>
              <w:t>本次地表水质量现状引用湖南</w:t>
            </w:r>
            <w:r>
              <w:rPr>
                <w:rFonts w:hint="eastAsia"/>
                <w:color w:val="auto"/>
                <w:u w:val="none"/>
                <w:lang w:val="en-US" w:eastAsia="zh-CN"/>
              </w:rPr>
              <w:t>衡润</w:t>
            </w:r>
            <w:r>
              <w:rPr>
                <w:rFonts w:hint="eastAsia"/>
                <w:color w:val="auto"/>
                <w:u w:val="none"/>
              </w:rPr>
              <w:t>科技有限公司出具的《临湘市长安街道社区卫生服务中心建设项目环境质量现状监测》，湖南</w:t>
            </w:r>
            <w:r>
              <w:rPr>
                <w:rFonts w:hint="eastAsia"/>
                <w:color w:val="auto"/>
                <w:u w:val="none"/>
                <w:lang w:val="en-US" w:eastAsia="zh-CN"/>
              </w:rPr>
              <w:t>衡润</w:t>
            </w:r>
            <w:r>
              <w:rPr>
                <w:rFonts w:hint="eastAsia"/>
                <w:color w:val="auto"/>
                <w:u w:val="none"/>
              </w:rPr>
              <w:t>科技有限公司于 202</w:t>
            </w:r>
            <w:r>
              <w:rPr>
                <w:rFonts w:hint="eastAsia"/>
                <w:color w:val="auto"/>
                <w:u w:val="none"/>
                <w:lang w:val="en-US" w:eastAsia="zh-CN"/>
              </w:rPr>
              <w:t>3</w:t>
            </w:r>
            <w:r>
              <w:rPr>
                <w:rFonts w:hint="eastAsia"/>
                <w:color w:val="auto"/>
                <w:u w:val="none"/>
              </w:rPr>
              <w:t xml:space="preserve"> 年</w:t>
            </w:r>
            <w:r>
              <w:rPr>
                <w:rFonts w:hint="eastAsia"/>
                <w:color w:val="auto"/>
                <w:u w:val="none"/>
                <w:lang w:val="en-US" w:eastAsia="zh-CN"/>
              </w:rPr>
              <w:t>10</w:t>
            </w:r>
            <w:r>
              <w:rPr>
                <w:rFonts w:hint="eastAsia"/>
                <w:color w:val="auto"/>
                <w:u w:val="none"/>
              </w:rPr>
              <w:t>月</w:t>
            </w:r>
            <w:r>
              <w:rPr>
                <w:rFonts w:hint="eastAsia"/>
                <w:color w:val="auto"/>
                <w:u w:val="none"/>
                <w:lang w:val="en-US" w:eastAsia="zh-CN"/>
              </w:rPr>
              <w:t>10</w:t>
            </w:r>
            <w:r>
              <w:rPr>
                <w:rFonts w:hint="eastAsia"/>
                <w:color w:val="auto"/>
                <w:u w:val="none"/>
              </w:rPr>
              <w:t>日至</w:t>
            </w:r>
            <w:r>
              <w:rPr>
                <w:rFonts w:hint="eastAsia"/>
                <w:color w:val="auto"/>
                <w:u w:val="none"/>
                <w:lang w:val="en-US" w:eastAsia="zh-CN"/>
              </w:rPr>
              <w:t>12</w:t>
            </w:r>
            <w:r>
              <w:rPr>
                <w:rFonts w:hint="eastAsia"/>
                <w:color w:val="auto"/>
                <w:u w:val="none"/>
              </w:rPr>
              <w:t>日对长安街道社区卫生服务中心</w:t>
            </w:r>
            <w:r>
              <w:rPr>
                <w:rFonts w:hint="eastAsia"/>
                <w:color w:val="auto"/>
                <w:u w:val="none"/>
                <w:lang w:val="en-US" w:eastAsia="zh-CN"/>
              </w:rPr>
              <w:t>下风向</w:t>
            </w:r>
            <w:r>
              <w:rPr>
                <w:rFonts w:hint="eastAsia"/>
                <w:color w:val="auto"/>
                <w:u w:val="none"/>
              </w:rPr>
              <w:t>监测点位进行了采样监测，其在</w:t>
            </w:r>
            <w:r>
              <w:rPr>
                <w:rFonts w:hint="eastAsia"/>
                <w:color w:val="auto"/>
                <w:u w:val="none"/>
                <w:lang w:val="en-US" w:eastAsia="zh-CN"/>
              </w:rPr>
              <w:t>厂界下风向</w:t>
            </w:r>
            <w:r>
              <w:rPr>
                <w:rFonts w:hint="eastAsia"/>
                <w:color w:val="auto"/>
                <w:u w:val="none"/>
              </w:rPr>
              <w:t>共布设了</w:t>
            </w:r>
            <w:r>
              <w:rPr>
                <w:rFonts w:hint="eastAsia"/>
                <w:color w:val="auto"/>
                <w:u w:val="none"/>
                <w:lang w:val="en-US" w:eastAsia="zh-CN"/>
              </w:rPr>
              <w:t>1</w:t>
            </w:r>
            <w:r>
              <w:rPr>
                <w:rFonts w:hint="eastAsia"/>
                <w:color w:val="auto"/>
                <w:u w:val="none"/>
              </w:rPr>
              <w:t>个监测</w:t>
            </w:r>
            <w:r>
              <w:rPr>
                <w:rFonts w:hint="eastAsia"/>
                <w:color w:val="auto"/>
                <w:u w:val="none"/>
                <w:lang w:val="en-US" w:eastAsia="zh-CN"/>
              </w:rPr>
              <w:t>点</w:t>
            </w:r>
            <w:r>
              <w:rPr>
                <w:rFonts w:hint="eastAsia"/>
                <w:color w:val="auto"/>
                <w:u w:val="none"/>
              </w:rPr>
              <w:t>，即项目</w:t>
            </w:r>
            <w:r>
              <w:rPr>
                <w:rFonts w:hint="eastAsia"/>
                <w:color w:val="auto"/>
                <w:u w:val="none"/>
                <w:lang w:val="en-US" w:eastAsia="zh-CN"/>
              </w:rPr>
              <w:t>西南侧</w:t>
            </w:r>
            <w:r>
              <w:rPr>
                <w:rFonts w:hint="eastAsia"/>
                <w:color w:val="auto"/>
                <w:u w:val="none"/>
              </w:rPr>
              <w:t>（</w:t>
            </w:r>
            <w:r>
              <w:rPr>
                <w:rFonts w:hint="eastAsia"/>
                <w:color w:val="auto"/>
                <w:u w:val="none"/>
                <w:lang w:val="en-US" w:eastAsia="zh-CN"/>
              </w:rPr>
              <w:t>G1</w:t>
            </w:r>
            <w:r>
              <w:rPr>
                <w:rFonts w:hint="eastAsia"/>
                <w:color w:val="auto"/>
                <w:u w:val="none"/>
              </w:rPr>
              <w:t>），引用的监测数据为 3 年内，</w:t>
            </w:r>
            <w:r>
              <w:rPr>
                <w:rFonts w:hint="eastAsia"/>
                <w:color w:val="auto"/>
                <w:u w:val="none"/>
                <w:lang w:val="en-US" w:eastAsia="zh-CN"/>
              </w:rPr>
              <w:t>距本项目2.943km，直线距离在5km之内，</w:t>
            </w:r>
            <w:r>
              <w:rPr>
                <w:rFonts w:hint="eastAsia"/>
                <w:color w:val="auto"/>
                <w:u w:val="none"/>
              </w:rPr>
              <w:t>数据</w:t>
            </w:r>
            <w:r>
              <w:rPr>
                <w:rFonts w:hint="eastAsia" w:ascii="Times New Roman" w:hAnsi="Times New Roman" w:eastAsia="宋体" w:cs="Times New Roman"/>
                <w:color w:val="auto"/>
                <w:u w:val="none"/>
              </w:rPr>
              <w:t>有效。</w:t>
            </w:r>
            <w:r>
              <w:rPr>
                <w:rFonts w:hint="eastAsia" w:ascii="Times New Roman" w:hAnsi="Times New Roman" w:eastAsia="宋体" w:cs="Times New Roman"/>
                <w:color w:val="auto"/>
                <w:u w:val="none"/>
                <w:lang w:val="en-US" w:eastAsia="zh-CN"/>
              </w:rPr>
              <w:t>具体情况如下：</w:t>
            </w:r>
          </w:p>
          <w:p>
            <w:pPr>
              <w:pStyle w:val="7"/>
              <w:ind w:firstLine="480"/>
              <w:rPr>
                <w:color w:val="auto"/>
              </w:rPr>
            </w:pPr>
            <w:r>
              <w:rPr>
                <w:rFonts w:hint="eastAsia"/>
                <w:color w:val="auto"/>
              </w:rPr>
              <w:t>①监测点位及因子</w:t>
            </w:r>
          </w:p>
          <w:p>
            <w:pPr>
              <w:pStyle w:val="7"/>
              <w:ind w:firstLine="480"/>
              <w:rPr>
                <w:color w:val="auto"/>
              </w:rPr>
            </w:pPr>
            <w:r>
              <w:rPr>
                <w:rFonts w:hint="eastAsia"/>
                <w:color w:val="auto"/>
              </w:rPr>
              <w:t>监测点位：</w:t>
            </w:r>
            <w:r>
              <w:rPr>
                <w:color w:val="auto"/>
              </w:rPr>
              <w:t>项目区域下风向</w:t>
            </w:r>
            <w:r>
              <w:rPr>
                <w:rFonts w:hint="eastAsia"/>
                <w:color w:val="auto"/>
              </w:rPr>
              <w:t>G1。</w:t>
            </w:r>
          </w:p>
          <w:p>
            <w:pPr>
              <w:pStyle w:val="7"/>
              <w:ind w:firstLine="480"/>
              <w:rPr>
                <w:color w:val="auto"/>
              </w:rPr>
            </w:pPr>
            <w:r>
              <w:rPr>
                <w:rFonts w:hint="eastAsia"/>
                <w:color w:val="auto"/>
              </w:rPr>
              <w:t>监测因子：硫化氢、氨、氯气。</w:t>
            </w:r>
          </w:p>
          <w:p>
            <w:pPr>
              <w:pStyle w:val="7"/>
              <w:ind w:firstLine="480"/>
              <w:rPr>
                <w:color w:val="auto"/>
              </w:rPr>
            </w:pPr>
            <w:r>
              <w:rPr>
                <w:rFonts w:hint="eastAsia"/>
                <w:color w:val="auto"/>
              </w:rPr>
              <w:t>②监测时间和和频率</w:t>
            </w:r>
          </w:p>
          <w:p>
            <w:pPr>
              <w:pStyle w:val="7"/>
              <w:ind w:firstLine="480"/>
              <w:rPr>
                <w:color w:val="auto"/>
              </w:rPr>
            </w:pPr>
            <w:r>
              <w:rPr>
                <w:rFonts w:hint="eastAsia"/>
                <w:color w:val="auto"/>
              </w:rPr>
              <w:t>连续监测</w:t>
            </w:r>
            <w:r>
              <w:rPr>
                <w:rFonts w:hint="eastAsia"/>
                <w:color w:val="auto"/>
                <w:lang w:val="en-US" w:eastAsia="zh-CN"/>
              </w:rPr>
              <w:t>3</w:t>
            </w:r>
            <w:r>
              <w:rPr>
                <w:rFonts w:hint="eastAsia"/>
                <w:color w:val="auto"/>
              </w:rPr>
              <w:t>天（2023</w:t>
            </w:r>
            <w:r>
              <w:rPr>
                <w:rFonts w:hint="eastAsia"/>
                <w:color w:val="auto"/>
                <w:lang w:val="en-US" w:eastAsia="zh-CN"/>
              </w:rPr>
              <w:t>.10-12</w:t>
            </w:r>
            <w:r>
              <w:rPr>
                <w:rFonts w:hint="eastAsia"/>
                <w:color w:val="auto"/>
              </w:rPr>
              <w:t>）。</w:t>
            </w:r>
          </w:p>
          <w:p>
            <w:pPr>
              <w:pStyle w:val="7"/>
              <w:ind w:firstLine="480"/>
              <w:rPr>
                <w:color w:val="auto"/>
              </w:rPr>
            </w:pPr>
            <w:r>
              <w:rPr>
                <w:rFonts w:hint="eastAsia"/>
                <w:color w:val="auto"/>
              </w:rPr>
              <w:t>③监测及分析方法：</w:t>
            </w:r>
          </w:p>
          <w:p>
            <w:pPr>
              <w:pStyle w:val="7"/>
              <w:ind w:firstLine="480"/>
              <w:rPr>
                <w:color w:val="auto"/>
              </w:rPr>
            </w:pPr>
            <w:r>
              <w:rPr>
                <w:rFonts w:hint="eastAsia"/>
                <w:color w:val="auto"/>
              </w:rPr>
              <w:t>采样及监测分析方法按</w:t>
            </w:r>
            <w:r>
              <w:rPr>
                <w:color w:val="auto"/>
              </w:rPr>
              <w:t>《</w:t>
            </w:r>
            <w:r>
              <w:rPr>
                <w:rFonts w:hint="eastAsia"/>
                <w:color w:val="auto"/>
              </w:rPr>
              <w:t>环境空气质量手工监测技术规范</w:t>
            </w:r>
            <w:r>
              <w:rPr>
                <w:color w:val="auto"/>
              </w:rPr>
              <w:t xml:space="preserve">》HJ/T </w:t>
            </w:r>
            <w:r>
              <w:rPr>
                <w:rFonts w:hint="eastAsia"/>
                <w:color w:val="auto"/>
              </w:rPr>
              <w:t>194-2017中相关规定。</w:t>
            </w:r>
          </w:p>
          <w:p>
            <w:pPr>
              <w:pStyle w:val="7"/>
              <w:ind w:firstLine="480"/>
              <w:rPr>
                <w:color w:val="auto"/>
              </w:rPr>
            </w:pPr>
            <w:r>
              <w:rPr>
                <w:rFonts w:hint="eastAsia"/>
                <w:color w:val="auto"/>
              </w:rPr>
              <w:t>④评价标准</w:t>
            </w:r>
          </w:p>
          <w:p>
            <w:pPr>
              <w:pStyle w:val="7"/>
              <w:ind w:firstLine="480"/>
              <w:rPr>
                <w:color w:val="auto"/>
              </w:rPr>
            </w:pPr>
            <w:r>
              <w:rPr>
                <w:rFonts w:hint="eastAsia"/>
                <w:color w:val="auto"/>
              </w:rPr>
              <w:t>硫化氢、氨执行《环境影响评价技术导则 大气环境》（HJ2.2-2018）中附录D标准。</w:t>
            </w:r>
          </w:p>
          <w:p>
            <w:pPr>
              <w:pStyle w:val="7"/>
              <w:ind w:firstLine="480"/>
              <w:rPr>
                <w:color w:val="auto"/>
              </w:rPr>
            </w:pPr>
            <w:r>
              <w:rPr>
                <w:rFonts w:hint="eastAsia"/>
                <w:color w:val="auto"/>
              </w:rPr>
              <w:t>⑤评价方法</w:t>
            </w:r>
          </w:p>
          <w:p>
            <w:pPr>
              <w:pStyle w:val="7"/>
              <w:ind w:firstLine="480"/>
              <w:rPr>
                <w:color w:val="auto"/>
              </w:rPr>
            </w:pPr>
            <w:r>
              <w:rPr>
                <w:color w:val="auto"/>
              </w:rPr>
              <w:t>本次大气环境质量现状评价采用超标率、最大超标倍数法进行评价。</w:t>
            </w:r>
          </w:p>
          <w:p>
            <w:pPr>
              <w:pStyle w:val="7"/>
              <w:ind w:firstLine="480"/>
              <w:rPr>
                <w:color w:val="auto"/>
              </w:rPr>
            </w:pPr>
            <w:r>
              <w:rPr>
                <w:rFonts w:hint="eastAsia"/>
                <w:color w:val="auto"/>
              </w:rPr>
              <w:t>⑥监测结果及评价</w:t>
            </w:r>
          </w:p>
          <w:p>
            <w:pPr>
              <w:tabs>
                <w:tab w:val="left" w:pos="1021"/>
              </w:tabs>
              <w:ind w:firstLine="480" w:firstLineChars="200"/>
              <w:rPr>
                <w:color w:val="auto"/>
              </w:rPr>
            </w:pPr>
            <w:r>
              <w:rPr>
                <w:rFonts w:hint="eastAsia"/>
                <w:color w:val="auto"/>
              </w:rPr>
              <w:t>评价区域环境空气污染物现状监测结果统计分析见下表。</w:t>
            </w:r>
          </w:p>
          <w:p>
            <w:pPr>
              <w:pStyle w:val="46"/>
              <w:rPr>
                <w:color w:val="auto"/>
              </w:rPr>
            </w:pPr>
            <w:r>
              <w:rPr>
                <w:rFonts w:hint="eastAsia" w:ascii="Times New Roman" w:hAnsi="Times New Roman" w:eastAsia="宋体" w:cs="Times New Roman"/>
                <w:b/>
                <w:kern w:val="0"/>
                <w:sz w:val="21"/>
                <w:szCs w:val="21"/>
                <w:u w:val="none"/>
                <w:lang w:val="en-US" w:eastAsia="zh-CN" w:bidi="ar-SA"/>
              </w:rPr>
              <w:t>表3.1-2  环境空气监测评价结果（单位</w:t>
            </w:r>
            <w:r>
              <w:rPr>
                <w:color w:val="auto"/>
                <w:u w:val="none"/>
              </w:rPr>
              <w:t>：m</w:t>
            </w:r>
            <w:r>
              <w:rPr>
                <w:color w:val="auto"/>
              </w:rPr>
              <w:t>g/m³）</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280"/>
              <w:gridCol w:w="1249"/>
              <w:gridCol w:w="1070"/>
              <w:gridCol w:w="1410"/>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pct"/>
                  <w:vMerge w:val="restart"/>
                  <w:tcBorders>
                    <w:tl2br w:val="nil"/>
                    <w:tr2bl w:val="nil"/>
                  </w:tcBorders>
                  <w:vAlign w:val="center"/>
                </w:tcPr>
                <w:p>
                  <w:pPr>
                    <w:pStyle w:val="45"/>
                    <w:rPr>
                      <w:color w:val="auto"/>
                    </w:rPr>
                  </w:pPr>
                  <w:r>
                    <w:rPr>
                      <w:color w:val="auto"/>
                    </w:rPr>
                    <w:t>监测点位</w:t>
                  </w:r>
                </w:p>
              </w:tc>
              <w:tc>
                <w:tcPr>
                  <w:tcW w:w="804" w:type="pct"/>
                  <w:vMerge w:val="restart"/>
                  <w:tcBorders>
                    <w:tl2br w:val="nil"/>
                    <w:tr2bl w:val="nil"/>
                  </w:tcBorders>
                  <w:vAlign w:val="center"/>
                </w:tcPr>
                <w:p>
                  <w:pPr>
                    <w:pStyle w:val="45"/>
                    <w:rPr>
                      <w:color w:val="auto"/>
                    </w:rPr>
                  </w:pPr>
                  <w:r>
                    <w:rPr>
                      <w:color w:val="auto"/>
                    </w:rPr>
                    <w:t>监测日期</w:t>
                  </w:r>
                </w:p>
              </w:tc>
              <w:tc>
                <w:tcPr>
                  <w:tcW w:w="784" w:type="pct"/>
                  <w:vMerge w:val="restart"/>
                  <w:tcBorders>
                    <w:tl2br w:val="nil"/>
                    <w:tr2bl w:val="nil"/>
                  </w:tcBorders>
                  <w:vAlign w:val="center"/>
                </w:tcPr>
                <w:p>
                  <w:pPr>
                    <w:pStyle w:val="45"/>
                    <w:rPr>
                      <w:color w:val="auto"/>
                    </w:rPr>
                  </w:pPr>
                  <w:r>
                    <w:rPr>
                      <w:color w:val="auto"/>
                    </w:rPr>
                    <w:t>监测频次</w:t>
                  </w:r>
                </w:p>
              </w:tc>
              <w:tc>
                <w:tcPr>
                  <w:tcW w:w="2637" w:type="pct"/>
                  <w:gridSpan w:val="3"/>
                  <w:tcBorders>
                    <w:tl2br w:val="nil"/>
                    <w:tr2bl w:val="nil"/>
                  </w:tcBorders>
                  <w:vAlign w:val="center"/>
                </w:tcPr>
                <w:p>
                  <w:pPr>
                    <w:pStyle w:val="45"/>
                    <w:rPr>
                      <w:color w:val="auto"/>
                    </w:rPr>
                  </w:pPr>
                  <w:r>
                    <w:rPr>
                      <w:rFonts w:hint="eastAsia"/>
                      <w:color w:val="auto"/>
                    </w:rPr>
                    <w:t>检测</w:t>
                  </w:r>
                  <w:r>
                    <w:rPr>
                      <w:color w:val="auto"/>
                    </w:rPr>
                    <w:t>结果</w:t>
                  </w:r>
                  <w:r>
                    <w:rPr>
                      <w:rFonts w:hint="eastAsia"/>
                      <w:color w:val="auto"/>
                    </w:rPr>
                    <w:t>（小时值）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tcPr>
                <w:p>
                  <w:pPr>
                    <w:pStyle w:val="45"/>
                    <w:rPr>
                      <w:color w:val="auto"/>
                    </w:rPr>
                  </w:pPr>
                </w:p>
              </w:tc>
              <w:tc>
                <w:tcPr>
                  <w:tcW w:w="784" w:type="pct"/>
                  <w:vMerge w:val="continue"/>
                  <w:tcBorders>
                    <w:tl2br w:val="nil"/>
                    <w:tr2bl w:val="nil"/>
                  </w:tcBorders>
                  <w:vAlign w:val="center"/>
                </w:tcPr>
                <w:p>
                  <w:pPr>
                    <w:pStyle w:val="45"/>
                    <w:rPr>
                      <w:color w:val="auto"/>
                    </w:rPr>
                  </w:pPr>
                </w:p>
              </w:tc>
              <w:tc>
                <w:tcPr>
                  <w:tcW w:w="672" w:type="pct"/>
                  <w:tcBorders>
                    <w:tl2br w:val="nil"/>
                    <w:tr2bl w:val="nil"/>
                  </w:tcBorders>
                  <w:vAlign w:val="center"/>
                </w:tcPr>
                <w:p>
                  <w:pPr>
                    <w:pStyle w:val="45"/>
                    <w:rPr>
                      <w:color w:val="auto"/>
                    </w:rPr>
                  </w:pPr>
                  <w:r>
                    <w:rPr>
                      <w:rFonts w:hint="eastAsia"/>
                      <w:color w:val="auto"/>
                    </w:rPr>
                    <w:t>氨mg/m</w:t>
                  </w:r>
                  <w:r>
                    <w:rPr>
                      <w:rFonts w:hint="eastAsia"/>
                      <w:color w:val="auto"/>
                      <w:vertAlign w:val="superscript"/>
                    </w:rPr>
                    <w:t>3</w:t>
                  </w:r>
                </w:p>
              </w:tc>
              <w:tc>
                <w:tcPr>
                  <w:tcW w:w="886" w:type="pct"/>
                  <w:tcBorders>
                    <w:tl2br w:val="nil"/>
                    <w:tr2bl w:val="nil"/>
                  </w:tcBorders>
                  <w:vAlign w:val="center"/>
                </w:tcPr>
                <w:p>
                  <w:pPr>
                    <w:pStyle w:val="45"/>
                    <w:rPr>
                      <w:color w:val="auto"/>
                    </w:rPr>
                  </w:pPr>
                  <w:r>
                    <w:rPr>
                      <w:rFonts w:hint="eastAsia"/>
                      <w:color w:val="auto"/>
                    </w:rPr>
                    <w:t>氯气mg/m</w:t>
                  </w:r>
                  <w:r>
                    <w:rPr>
                      <w:rFonts w:hint="eastAsia"/>
                      <w:color w:val="auto"/>
                      <w:vertAlign w:val="superscript"/>
                    </w:rPr>
                    <w:t>3</w:t>
                  </w:r>
                </w:p>
              </w:tc>
              <w:tc>
                <w:tcPr>
                  <w:tcW w:w="1079" w:type="pct"/>
                  <w:tcBorders>
                    <w:tl2br w:val="nil"/>
                    <w:tr2bl w:val="nil"/>
                  </w:tcBorders>
                  <w:vAlign w:val="center"/>
                </w:tcPr>
                <w:p>
                  <w:pPr>
                    <w:pStyle w:val="45"/>
                    <w:rPr>
                      <w:color w:val="auto"/>
                    </w:rPr>
                  </w:pPr>
                  <w:r>
                    <w:rPr>
                      <w:rFonts w:hint="eastAsia"/>
                      <w:color w:val="auto"/>
                    </w:rPr>
                    <w:t>硫化氢mg/m</w:t>
                  </w:r>
                  <w:r>
                    <w:rPr>
                      <w:rFonts w:hint="eastAsia"/>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restar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G1厂址下风向</w:t>
                  </w:r>
                </w:p>
              </w:tc>
              <w:tc>
                <w:tcPr>
                  <w:tcW w:w="804" w:type="pct"/>
                  <w:vMerge w:val="restart"/>
                  <w:tcBorders>
                    <w:tl2br w:val="nil"/>
                    <w:tr2bl w:val="nil"/>
                  </w:tcBorders>
                  <w:vAlign w:val="center"/>
                </w:tcPr>
                <w:p>
                  <w:pPr>
                    <w:pStyle w:val="45"/>
                    <w:rPr>
                      <w:rFonts w:hint="default" w:eastAsia="宋体"/>
                      <w:color w:val="auto"/>
                      <w:lang w:val="en-US" w:eastAsia="zh-CN"/>
                    </w:rPr>
                  </w:pPr>
                  <w:r>
                    <w:rPr>
                      <w:rFonts w:hint="eastAsia"/>
                      <w:color w:val="auto"/>
                    </w:rPr>
                    <w:t>2023.</w:t>
                  </w:r>
                  <w:r>
                    <w:rPr>
                      <w:rFonts w:hint="eastAsia"/>
                      <w:color w:val="auto"/>
                      <w:lang w:val="en-US" w:eastAsia="zh-CN"/>
                    </w:rPr>
                    <w:t>10.10</w:t>
                  </w:r>
                </w:p>
              </w:tc>
              <w:tc>
                <w:tcPr>
                  <w:tcW w:w="784" w:type="pct"/>
                  <w:tcBorders>
                    <w:tl2br w:val="nil"/>
                    <w:tr2bl w:val="nil"/>
                  </w:tcBorders>
                  <w:vAlign w:val="center"/>
                </w:tcPr>
                <w:p>
                  <w:pPr>
                    <w:pStyle w:val="45"/>
                    <w:rPr>
                      <w:color w:val="auto"/>
                    </w:rPr>
                  </w:pPr>
                  <w:r>
                    <w:rPr>
                      <w:rFonts w:hint="eastAsia"/>
                      <w:color w:val="auto"/>
                    </w:rPr>
                    <w:t>第一次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0.01</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color w:val="auto"/>
                    </w:rPr>
                  </w:pPr>
                  <w:r>
                    <w:rPr>
                      <w:rFonts w:hint="eastAsia"/>
                      <w:color w:val="auto"/>
                    </w:rPr>
                    <w:t>第二次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color w:val="auto"/>
                    </w:rPr>
                  </w:pPr>
                  <w:r>
                    <w:rPr>
                      <w:rFonts w:hint="eastAsia"/>
                      <w:color w:val="auto"/>
                    </w:rPr>
                    <w:t>第三次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0.01</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color w:val="auto"/>
                    </w:rPr>
                  </w:pPr>
                  <w:r>
                    <w:rPr>
                      <w:rFonts w:hint="eastAsia"/>
                      <w:color w:val="auto"/>
                    </w:rPr>
                    <w:t>第四次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0.02</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restart"/>
                  <w:tcBorders>
                    <w:tl2br w:val="nil"/>
                    <w:tr2bl w:val="nil"/>
                  </w:tcBorders>
                  <w:vAlign w:val="center"/>
                </w:tcPr>
                <w:p>
                  <w:pPr>
                    <w:pStyle w:val="45"/>
                    <w:rPr>
                      <w:rFonts w:hint="default"/>
                      <w:color w:val="auto"/>
                      <w:lang w:val="en-US"/>
                    </w:rPr>
                  </w:pPr>
                  <w:r>
                    <w:rPr>
                      <w:rFonts w:hint="eastAsia"/>
                      <w:color w:val="auto"/>
                    </w:rPr>
                    <w:t>2023.</w:t>
                  </w:r>
                  <w:r>
                    <w:rPr>
                      <w:rFonts w:hint="eastAsia"/>
                      <w:color w:val="auto"/>
                      <w:lang w:val="en-US" w:eastAsia="zh-CN"/>
                    </w:rPr>
                    <w:t>10.11</w:t>
                  </w:r>
                </w:p>
              </w:tc>
              <w:tc>
                <w:tcPr>
                  <w:tcW w:w="784" w:type="pct"/>
                  <w:tcBorders>
                    <w:tl2br w:val="nil"/>
                    <w:tr2bl w:val="nil"/>
                  </w:tcBorders>
                  <w:vAlign w:val="center"/>
                </w:tcPr>
                <w:p>
                  <w:pPr>
                    <w:pStyle w:val="45"/>
                    <w:rPr>
                      <w:rFonts w:hint="eastAsia"/>
                      <w:color w:val="auto"/>
                    </w:rPr>
                  </w:pPr>
                  <w:r>
                    <w:rPr>
                      <w:rFonts w:hint="eastAsia"/>
                      <w:color w:val="auto"/>
                    </w:rPr>
                    <w:t>第一次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0.01</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rFonts w:hint="eastAsia"/>
                      <w:color w:val="auto"/>
                    </w:rPr>
                  </w:pPr>
                  <w:r>
                    <w:rPr>
                      <w:rFonts w:hint="eastAsia"/>
                      <w:color w:val="auto"/>
                    </w:rPr>
                    <w:t>第二次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0.02</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rFonts w:hint="eastAsia"/>
                      <w:color w:val="auto"/>
                    </w:rPr>
                  </w:pPr>
                  <w:r>
                    <w:rPr>
                      <w:rFonts w:hint="eastAsia"/>
                      <w:color w:val="auto"/>
                    </w:rPr>
                    <w:t>第三次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0.06</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rFonts w:hint="eastAsia"/>
                      <w:color w:val="auto"/>
                    </w:rPr>
                  </w:pPr>
                  <w:r>
                    <w:rPr>
                      <w:rFonts w:hint="eastAsia"/>
                      <w:color w:val="auto"/>
                    </w:rPr>
                    <w:t>第四次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restart"/>
                  <w:tcBorders>
                    <w:tl2br w:val="nil"/>
                    <w:tr2bl w:val="nil"/>
                  </w:tcBorders>
                  <w:vAlign w:val="center"/>
                </w:tcPr>
                <w:p>
                  <w:pPr>
                    <w:pStyle w:val="45"/>
                    <w:rPr>
                      <w:rFonts w:hint="default"/>
                      <w:color w:val="auto"/>
                      <w:lang w:val="en-US"/>
                    </w:rPr>
                  </w:pPr>
                  <w:r>
                    <w:rPr>
                      <w:rFonts w:hint="eastAsia"/>
                      <w:color w:val="auto"/>
                    </w:rPr>
                    <w:t>2023.</w:t>
                  </w:r>
                  <w:r>
                    <w:rPr>
                      <w:rFonts w:hint="eastAsia"/>
                      <w:color w:val="auto"/>
                      <w:lang w:val="en-US" w:eastAsia="zh-CN"/>
                    </w:rPr>
                    <w:t>10.12</w:t>
                  </w:r>
                </w:p>
              </w:tc>
              <w:tc>
                <w:tcPr>
                  <w:tcW w:w="784" w:type="pct"/>
                  <w:tcBorders>
                    <w:tl2br w:val="nil"/>
                    <w:tr2bl w:val="nil"/>
                  </w:tcBorders>
                  <w:vAlign w:val="center"/>
                </w:tcPr>
                <w:p>
                  <w:pPr>
                    <w:pStyle w:val="45"/>
                    <w:rPr>
                      <w:rFonts w:hint="eastAsia"/>
                      <w:color w:val="auto"/>
                    </w:rPr>
                  </w:pPr>
                  <w:r>
                    <w:rPr>
                      <w:rFonts w:hint="eastAsia"/>
                      <w:color w:val="auto"/>
                    </w:rPr>
                    <w:t>第一次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rFonts w:hint="eastAsia"/>
                      <w:color w:val="auto"/>
                    </w:rPr>
                  </w:pPr>
                  <w:r>
                    <w:rPr>
                      <w:rFonts w:hint="eastAsia"/>
                      <w:color w:val="auto"/>
                    </w:rPr>
                    <w:t>第二次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rFonts w:hint="eastAsia"/>
                      <w:color w:val="auto"/>
                    </w:rPr>
                  </w:pPr>
                  <w:r>
                    <w:rPr>
                      <w:rFonts w:hint="eastAsia"/>
                      <w:color w:val="auto"/>
                    </w:rPr>
                    <w:t>第三次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0.04</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rPr>
                  </w:pPr>
                </w:p>
              </w:tc>
              <w:tc>
                <w:tcPr>
                  <w:tcW w:w="804" w:type="pct"/>
                  <w:vMerge w:val="continue"/>
                  <w:tcBorders>
                    <w:tl2br w:val="nil"/>
                    <w:tr2bl w:val="nil"/>
                  </w:tcBorders>
                  <w:vAlign w:val="center"/>
                </w:tcPr>
                <w:p>
                  <w:pPr>
                    <w:pStyle w:val="45"/>
                    <w:rPr>
                      <w:color w:val="auto"/>
                    </w:rPr>
                  </w:pPr>
                </w:p>
              </w:tc>
              <w:tc>
                <w:tcPr>
                  <w:tcW w:w="784" w:type="pct"/>
                  <w:tcBorders>
                    <w:tl2br w:val="nil"/>
                    <w:tr2bl w:val="nil"/>
                  </w:tcBorders>
                  <w:vAlign w:val="center"/>
                </w:tcPr>
                <w:p>
                  <w:pPr>
                    <w:pStyle w:val="45"/>
                    <w:rPr>
                      <w:rFonts w:hint="eastAsia"/>
                      <w:color w:val="auto"/>
                    </w:rPr>
                  </w:pPr>
                  <w:r>
                    <w:rPr>
                      <w:rFonts w:hint="eastAsia"/>
                      <w:color w:val="auto"/>
                    </w:rPr>
                    <w:t>第四次</w:t>
                  </w:r>
                </w:p>
              </w:tc>
              <w:tc>
                <w:tcPr>
                  <w:tcW w:w="672"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0.04</w:t>
                  </w:r>
                </w:p>
              </w:tc>
              <w:tc>
                <w:tcPr>
                  <w:tcW w:w="886"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rPr>
                      <w:color w:val="auto"/>
                    </w:rPr>
                  </w:pPr>
                  <w:r>
                    <w:rPr>
                      <w:rFonts w:hint="eastAsia"/>
                      <w:color w:val="auto"/>
                    </w:rPr>
                    <w:t>标准限值</w:t>
                  </w:r>
                </w:p>
              </w:tc>
              <w:tc>
                <w:tcPr>
                  <w:tcW w:w="672" w:type="pct"/>
                  <w:tcBorders>
                    <w:tl2br w:val="nil"/>
                    <w:tr2bl w:val="nil"/>
                  </w:tcBorders>
                  <w:vAlign w:val="center"/>
                </w:tcPr>
                <w:p>
                  <w:pPr>
                    <w:pStyle w:val="45"/>
                    <w:rPr>
                      <w:rFonts w:hint="eastAsia"/>
                      <w:color w:val="auto"/>
                      <w:lang w:val="en-US" w:eastAsia="zh-CN"/>
                    </w:rPr>
                  </w:pPr>
                  <w:r>
                    <w:rPr>
                      <w:rFonts w:hint="eastAsia"/>
                      <w:color w:val="auto"/>
                      <w:lang w:val="en-US" w:eastAsia="zh-CN"/>
                    </w:rPr>
                    <w:t>0.2</w:t>
                  </w:r>
                </w:p>
              </w:tc>
              <w:tc>
                <w:tcPr>
                  <w:tcW w:w="886" w:type="pct"/>
                  <w:tcBorders>
                    <w:tl2br w:val="nil"/>
                    <w:tr2bl w:val="nil"/>
                  </w:tcBorders>
                  <w:vAlign w:val="center"/>
                </w:tcPr>
                <w:p>
                  <w:pPr>
                    <w:pStyle w:val="45"/>
                    <w:rPr>
                      <w:rFonts w:hint="eastAsia"/>
                      <w:color w:val="auto"/>
                      <w:lang w:val="en-US" w:eastAsia="zh-CN"/>
                    </w:rPr>
                  </w:pPr>
                  <w:r>
                    <w:rPr>
                      <w:rFonts w:hint="eastAsia"/>
                      <w:color w:val="auto"/>
                      <w:lang w:val="en-US" w:eastAsia="zh-CN"/>
                    </w:rPr>
                    <w:t>0.1</w:t>
                  </w:r>
                </w:p>
              </w:tc>
              <w:tc>
                <w:tcPr>
                  <w:tcW w:w="1079" w:type="pct"/>
                  <w:tcBorders>
                    <w:tl2br w:val="nil"/>
                    <w:tr2bl w:val="nil"/>
                  </w:tcBorders>
                  <w:vAlign w:val="center"/>
                </w:tcPr>
                <w:p>
                  <w:pPr>
                    <w:pStyle w:val="45"/>
                    <w:rPr>
                      <w:rFonts w:hint="eastAsia"/>
                      <w:color w:val="auto"/>
                      <w:lang w:val="en-US" w:eastAsia="zh-CN"/>
                    </w:rPr>
                  </w:pPr>
                  <w:r>
                    <w:rPr>
                      <w:rFonts w:hint="eastAsia"/>
                      <w:color w:val="auto"/>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tabs>
                      <w:tab w:val="left" w:pos="1021"/>
                    </w:tabs>
                    <w:adjustRightInd/>
                    <w:textAlignment w:val="auto"/>
                    <w:rPr>
                      <w:color w:val="auto"/>
                    </w:rPr>
                  </w:pPr>
                  <w:r>
                    <w:rPr>
                      <w:rFonts w:hint="eastAsia"/>
                      <w:color w:val="auto"/>
                    </w:rPr>
                    <w:t>最大值</w:t>
                  </w:r>
                </w:p>
              </w:tc>
              <w:tc>
                <w:tcPr>
                  <w:tcW w:w="672" w:type="pct"/>
                  <w:tcBorders>
                    <w:tl2br w:val="nil"/>
                    <w:tr2bl w:val="nil"/>
                  </w:tcBorders>
                  <w:vAlign w:val="center"/>
                </w:tcPr>
                <w:p>
                  <w:pPr>
                    <w:pStyle w:val="45"/>
                    <w:rPr>
                      <w:color w:val="auto"/>
                    </w:rPr>
                  </w:pPr>
                  <w:r>
                    <w:rPr>
                      <w:rFonts w:hint="eastAsia"/>
                      <w:color w:val="auto"/>
                      <w:lang w:val="en-US" w:eastAsia="zh-CN"/>
                    </w:rPr>
                    <w:t>0.06</w:t>
                  </w:r>
                </w:p>
              </w:tc>
              <w:tc>
                <w:tcPr>
                  <w:tcW w:w="886" w:type="pct"/>
                  <w:tcBorders>
                    <w:tl2br w:val="nil"/>
                    <w:tr2bl w:val="nil"/>
                  </w:tcBorders>
                  <w:vAlign w:val="center"/>
                </w:tcPr>
                <w:p>
                  <w:pPr>
                    <w:pStyle w:val="45"/>
                    <w:rPr>
                      <w:color w:val="auto"/>
                    </w:rPr>
                  </w:pPr>
                  <w:r>
                    <w:rPr>
                      <w:rFonts w:hint="default" w:ascii="Times New Roman" w:hAnsi="Times New Roman" w:eastAsia="宋体" w:cs="Times New Roman"/>
                      <w:color w:val="auto"/>
                      <w:lang w:val="en-US" w:eastAsia="zh-CN"/>
                    </w:rPr>
                    <w:t>&lt;0.03</w:t>
                  </w:r>
                </w:p>
              </w:tc>
              <w:tc>
                <w:tcPr>
                  <w:tcW w:w="1079" w:type="pct"/>
                  <w:tcBorders>
                    <w:tl2br w:val="nil"/>
                    <w:tr2bl w:val="nil"/>
                  </w:tcBorders>
                  <w:vAlign w:val="center"/>
                </w:tcPr>
                <w:p>
                  <w:pPr>
                    <w:pStyle w:val="45"/>
                    <w:rPr>
                      <w:color w:val="auto"/>
                    </w:rPr>
                  </w:pPr>
                  <w:r>
                    <w:rPr>
                      <w:rFonts w:hint="default" w:ascii="Times New Roman" w:hAnsi="Times New Roman" w:eastAsia="宋体"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tabs>
                      <w:tab w:val="left" w:pos="1021"/>
                    </w:tabs>
                    <w:adjustRightInd/>
                    <w:textAlignment w:val="auto"/>
                    <w:rPr>
                      <w:color w:val="auto"/>
                    </w:rPr>
                  </w:pPr>
                  <w:r>
                    <w:rPr>
                      <w:rFonts w:hint="eastAsia"/>
                      <w:color w:val="auto"/>
                    </w:rPr>
                    <w:t>超标率</w:t>
                  </w:r>
                </w:p>
              </w:tc>
              <w:tc>
                <w:tcPr>
                  <w:tcW w:w="672" w:type="pct"/>
                  <w:tcBorders>
                    <w:tl2br w:val="nil"/>
                    <w:tr2bl w:val="nil"/>
                  </w:tcBorders>
                  <w:vAlign w:val="center"/>
                </w:tcPr>
                <w:p>
                  <w:pPr>
                    <w:pStyle w:val="45"/>
                    <w:tabs>
                      <w:tab w:val="left" w:pos="1021"/>
                    </w:tabs>
                    <w:adjustRightInd/>
                    <w:textAlignment w:val="auto"/>
                    <w:rPr>
                      <w:color w:val="auto"/>
                    </w:rPr>
                  </w:pPr>
                  <w:r>
                    <w:rPr>
                      <w:rFonts w:hint="eastAsia"/>
                      <w:color w:val="auto"/>
                    </w:rPr>
                    <w:t>0</w:t>
                  </w:r>
                </w:p>
              </w:tc>
              <w:tc>
                <w:tcPr>
                  <w:tcW w:w="886" w:type="pct"/>
                  <w:tcBorders>
                    <w:tl2br w:val="nil"/>
                    <w:tr2bl w:val="nil"/>
                  </w:tcBorders>
                  <w:vAlign w:val="center"/>
                </w:tcPr>
                <w:p>
                  <w:pPr>
                    <w:pStyle w:val="45"/>
                    <w:tabs>
                      <w:tab w:val="left" w:pos="1021"/>
                    </w:tabs>
                    <w:adjustRightInd/>
                    <w:textAlignment w:val="auto"/>
                    <w:rPr>
                      <w:color w:val="auto"/>
                    </w:rPr>
                  </w:pPr>
                  <w:r>
                    <w:rPr>
                      <w:rFonts w:hint="eastAsia"/>
                      <w:color w:val="auto"/>
                    </w:rPr>
                    <w:t>0</w:t>
                  </w:r>
                </w:p>
              </w:tc>
              <w:tc>
                <w:tcPr>
                  <w:tcW w:w="1079" w:type="pct"/>
                  <w:tcBorders>
                    <w:tl2br w:val="nil"/>
                    <w:tr2bl w:val="nil"/>
                  </w:tcBorders>
                  <w:vAlign w:val="center"/>
                </w:tcPr>
                <w:p>
                  <w:pPr>
                    <w:pStyle w:val="45"/>
                    <w:tabs>
                      <w:tab w:val="left" w:pos="1021"/>
                    </w:tabs>
                    <w:adjustRightInd/>
                    <w:textAlignment w:val="auto"/>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tabs>
                      <w:tab w:val="left" w:pos="1021"/>
                    </w:tabs>
                    <w:adjustRightInd/>
                    <w:textAlignment w:val="auto"/>
                    <w:rPr>
                      <w:color w:val="auto"/>
                    </w:rPr>
                  </w:pPr>
                  <w:r>
                    <w:rPr>
                      <w:rFonts w:hint="eastAsia"/>
                      <w:color w:val="auto"/>
                    </w:rPr>
                    <w:t>最大超标倍数</w:t>
                  </w:r>
                </w:p>
              </w:tc>
              <w:tc>
                <w:tcPr>
                  <w:tcW w:w="672" w:type="pct"/>
                  <w:tcBorders>
                    <w:tl2br w:val="nil"/>
                    <w:tr2bl w:val="nil"/>
                  </w:tcBorders>
                  <w:vAlign w:val="center"/>
                </w:tcPr>
                <w:p>
                  <w:pPr>
                    <w:pStyle w:val="45"/>
                    <w:tabs>
                      <w:tab w:val="left" w:pos="1021"/>
                    </w:tabs>
                    <w:adjustRightInd/>
                    <w:textAlignment w:val="auto"/>
                    <w:rPr>
                      <w:color w:val="auto"/>
                    </w:rPr>
                  </w:pPr>
                  <w:r>
                    <w:rPr>
                      <w:rFonts w:hint="eastAsia"/>
                      <w:color w:val="auto"/>
                    </w:rPr>
                    <w:t>0</w:t>
                  </w:r>
                </w:p>
              </w:tc>
              <w:tc>
                <w:tcPr>
                  <w:tcW w:w="886" w:type="pct"/>
                  <w:tcBorders>
                    <w:tl2br w:val="nil"/>
                    <w:tr2bl w:val="nil"/>
                  </w:tcBorders>
                  <w:vAlign w:val="center"/>
                </w:tcPr>
                <w:p>
                  <w:pPr>
                    <w:pStyle w:val="45"/>
                    <w:tabs>
                      <w:tab w:val="left" w:pos="1021"/>
                    </w:tabs>
                    <w:adjustRightInd/>
                    <w:textAlignment w:val="auto"/>
                    <w:rPr>
                      <w:color w:val="auto"/>
                    </w:rPr>
                  </w:pPr>
                  <w:r>
                    <w:rPr>
                      <w:rFonts w:hint="eastAsia"/>
                      <w:color w:val="auto"/>
                    </w:rPr>
                    <w:t>0</w:t>
                  </w:r>
                </w:p>
              </w:tc>
              <w:tc>
                <w:tcPr>
                  <w:tcW w:w="1079" w:type="pct"/>
                  <w:tcBorders>
                    <w:tl2br w:val="nil"/>
                    <w:tr2bl w:val="nil"/>
                  </w:tcBorders>
                  <w:vAlign w:val="center"/>
                </w:tcPr>
                <w:p>
                  <w:pPr>
                    <w:pStyle w:val="45"/>
                    <w:tabs>
                      <w:tab w:val="left" w:pos="1021"/>
                    </w:tabs>
                    <w:adjustRightInd/>
                    <w:textAlignment w:val="auto"/>
                    <w:rPr>
                      <w:color w:val="auto"/>
                    </w:rPr>
                  </w:pPr>
                  <w:r>
                    <w:rPr>
                      <w:rFonts w:hint="eastAsia"/>
                      <w:color w:val="auto"/>
                    </w:rPr>
                    <w:t>0</w:t>
                  </w:r>
                </w:p>
              </w:tc>
            </w:tr>
          </w:tbl>
          <w:p>
            <w:pPr>
              <w:pStyle w:val="7"/>
              <w:ind w:firstLine="480"/>
              <w:rPr>
                <w:color w:val="auto"/>
              </w:rPr>
            </w:pPr>
            <w:r>
              <w:rPr>
                <w:rFonts w:hint="eastAsia"/>
                <w:color w:val="auto"/>
                <w:szCs w:val="22"/>
              </w:rPr>
              <w:t>根据大气环境质量现状监测结果表明，</w:t>
            </w:r>
            <w:r>
              <w:rPr>
                <w:color w:val="auto"/>
              </w:rPr>
              <w:t>项目</w:t>
            </w:r>
            <w:r>
              <w:rPr>
                <w:rFonts w:hint="eastAsia"/>
                <w:color w:val="auto"/>
              </w:rPr>
              <w:t>地</w:t>
            </w:r>
            <w:r>
              <w:rPr>
                <w:color w:val="auto"/>
              </w:rPr>
              <w:t>监测点</w:t>
            </w:r>
            <w:r>
              <w:rPr>
                <w:rFonts w:hint="eastAsia"/>
                <w:color w:val="auto"/>
              </w:rPr>
              <w:t>硫化氢、氨</w:t>
            </w:r>
            <w:r>
              <w:rPr>
                <w:rFonts w:hint="eastAsia"/>
                <w:color w:val="auto"/>
                <w:lang w:eastAsia="zh-CN"/>
              </w:rPr>
              <w:t>、</w:t>
            </w:r>
            <w:r>
              <w:rPr>
                <w:rFonts w:hint="eastAsia"/>
                <w:color w:val="auto"/>
                <w:lang w:val="en-US" w:eastAsia="zh-CN"/>
              </w:rPr>
              <w:t>氯气</w:t>
            </w:r>
            <w:r>
              <w:rPr>
                <w:rFonts w:hint="eastAsia"/>
                <w:color w:val="auto"/>
              </w:rPr>
              <w:t>1h均值</w:t>
            </w:r>
            <w:r>
              <w:rPr>
                <w:color w:val="auto"/>
              </w:rPr>
              <w:t>浓度均符合</w:t>
            </w:r>
            <w:r>
              <w:rPr>
                <w:rFonts w:hint="eastAsia"/>
                <w:color w:val="auto"/>
              </w:rPr>
              <w:t>《环境影响评价技术导则 大气环境》（HJ2.2-2018）中附录D标准</w:t>
            </w:r>
            <w:r>
              <w:rPr>
                <w:color w:val="auto"/>
              </w:rPr>
              <w:t>。</w:t>
            </w:r>
          </w:p>
          <w:p>
            <w:pPr>
              <w:pStyle w:val="7"/>
              <w:ind w:firstLine="480"/>
              <w:rPr>
                <w:color w:val="auto"/>
                <w:u w:val="none"/>
              </w:rPr>
            </w:pPr>
            <w:r>
              <w:rPr>
                <w:color w:val="auto"/>
                <w:u w:val="none"/>
              </w:rPr>
              <w:t>2、水环境质量现状</w:t>
            </w:r>
          </w:p>
          <w:p>
            <w:pPr>
              <w:pStyle w:val="7"/>
              <w:ind w:firstLine="480"/>
              <w:rPr>
                <w:rFonts w:hint="eastAsia"/>
                <w:color w:val="auto"/>
                <w:u w:val="none"/>
                <w:lang w:val="en-US" w:eastAsia="zh-CN"/>
              </w:rPr>
            </w:pPr>
            <w:r>
              <w:rPr>
                <w:rFonts w:hint="eastAsia"/>
                <w:color w:val="auto"/>
                <w:u w:val="none"/>
              </w:rPr>
              <w:t>项目废水通过本项目污水处理站预处理达到《医疗机构水污染物排放标准》（GB18466-2005）表 2 中的预处理标准要求后依托临湘市污水净化中心深度处理外排</w:t>
            </w:r>
            <w:r>
              <w:rPr>
                <w:rFonts w:hint="eastAsia"/>
                <w:color w:val="auto"/>
                <w:u w:val="none"/>
                <w:lang w:eastAsia="zh-CN"/>
              </w:rPr>
              <w:t>至</w:t>
            </w:r>
            <w:r>
              <w:rPr>
                <w:rFonts w:hint="eastAsia"/>
                <w:color w:val="auto"/>
                <w:u w:val="none"/>
              </w:rPr>
              <w:t>源潭河，又称长安河，本次地表水质量现状引用</w:t>
            </w:r>
            <w:r>
              <w:rPr>
                <w:rFonts w:hint="eastAsia"/>
                <w:color w:val="auto"/>
                <w:u w:val="none"/>
                <w:lang w:eastAsia="zh-CN"/>
              </w:rPr>
              <w:t>湖南省生态环境厅发布的湖南省</w:t>
            </w:r>
            <w:r>
              <w:rPr>
                <w:rFonts w:hint="eastAsia"/>
                <w:color w:val="auto"/>
                <w:u w:val="none"/>
                <w:lang w:val="en-US" w:eastAsia="zh-CN"/>
              </w:rPr>
              <w:t>2023年5月地表水水质状况“一、江河水质状况”中“表1 2023年5月地表水断面水质状况一览表”。</w:t>
            </w:r>
          </w:p>
          <w:p>
            <w:pPr>
              <w:pStyle w:val="46"/>
              <w:rPr>
                <w:color w:val="auto"/>
              </w:rPr>
            </w:pPr>
            <w:r>
              <w:rPr>
                <w:rFonts w:hint="eastAsia" w:ascii="Times New Roman" w:hAnsi="Times New Roman" w:eastAsia="宋体" w:cs="Times New Roman"/>
                <w:b/>
                <w:kern w:val="0"/>
                <w:sz w:val="21"/>
                <w:szCs w:val="21"/>
                <w:u w:val="none"/>
                <w:lang w:val="en-US" w:eastAsia="zh-CN" w:bidi="ar-SA"/>
              </w:rPr>
              <w:t>表3.1-3  2023年5月地表水断面水质状况一览表（仅引用源潭河）</w:t>
            </w:r>
          </w:p>
          <w:tbl>
            <w:tblPr>
              <w:tblStyle w:val="32"/>
              <w:tblW w:w="7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087"/>
              <w:gridCol w:w="1013"/>
              <w:gridCol w:w="1087"/>
              <w:gridCol w:w="775"/>
              <w:gridCol w:w="788"/>
              <w:gridCol w:w="10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25" w:type="dxa"/>
                  <w:vAlign w:val="center"/>
                </w:tcPr>
                <w:p>
                  <w:pPr>
                    <w:pStyle w:val="45"/>
                    <w:bidi w:val="0"/>
                    <w:rPr>
                      <w:rFonts w:hint="eastAsia"/>
                      <w:lang w:val="en-US" w:eastAsia="zh-CN"/>
                    </w:rPr>
                  </w:pPr>
                  <w:r>
                    <w:rPr>
                      <w:rFonts w:hint="eastAsia"/>
                      <w:lang w:val="en-US" w:eastAsia="zh-CN"/>
                    </w:rPr>
                    <w:t>所属流域</w:t>
                  </w:r>
                </w:p>
              </w:tc>
              <w:tc>
                <w:tcPr>
                  <w:tcW w:w="1087" w:type="dxa"/>
                  <w:vAlign w:val="center"/>
                </w:tcPr>
                <w:p>
                  <w:pPr>
                    <w:pStyle w:val="45"/>
                    <w:bidi w:val="0"/>
                    <w:rPr>
                      <w:rFonts w:hint="eastAsia"/>
                      <w:lang w:val="en-US" w:eastAsia="zh-CN"/>
                    </w:rPr>
                  </w:pPr>
                  <w:r>
                    <w:rPr>
                      <w:rFonts w:hint="eastAsia"/>
                      <w:lang w:val="en-US" w:eastAsia="zh-CN"/>
                    </w:rPr>
                    <w:t>所在河流/湖库名称</w:t>
                  </w:r>
                </w:p>
              </w:tc>
              <w:tc>
                <w:tcPr>
                  <w:tcW w:w="1013" w:type="dxa"/>
                  <w:vAlign w:val="center"/>
                </w:tcPr>
                <w:p>
                  <w:pPr>
                    <w:pStyle w:val="45"/>
                    <w:bidi w:val="0"/>
                    <w:rPr>
                      <w:rFonts w:hint="eastAsia"/>
                      <w:lang w:val="en-US" w:eastAsia="zh-CN"/>
                    </w:rPr>
                  </w:pPr>
                  <w:r>
                    <w:rPr>
                      <w:rFonts w:hint="eastAsia"/>
                      <w:lang w:val="en-US" w:eastAsia="zh-CN"/>
                    </w:rPr>
                    <w:t>城市名称</w:t>
                  </w:r>
                </w:p>
              </w:tc>
              <w:tc>
                <w:tcPr>
                  <w:tcW w:w="1087" w:type="dxa"/>
                  <w:vAlign w:val="center"/>
                </w:tcPr>
                <w:p>
                  <w:pPr>
                    <w:pStyle w:val="45"/>
                    <w:bidi w:val="0"/>
                    <w:rPr>
                      <w:rFonts w:hint="eastAsia"/>
                      <w:lang w:val="en-US" w:eastAsia="zh-CN"/>
                    </w:rPr>
                  </w:pPr>
                  <w:r>
                    <w:rPr>
                      <w:rFonts w:hint="eastAsia"/>
                      <w:lang w:val="en-US" w:eastAsia="zh-CN"/>
                    </w:rPr>
                    <w:t>所在地区（县市区）</w:t>
                  </w:r>
                </w:p>
              </w:tc>
              <w:tc>
                <w:tcPr>
                  <w:tcW w:w="775" w:type="dxa"/>
                  <w:vAlign w:val="center"/>
                </w:tcPr>
                <w:p>
                  <w:pPr>
                    <w:pStyle w:val="45"/>
                    <w:bidi w:val="0"/>
                    <w:rPr>
                      <w:rFonts w:hint="eastAsia"/>
                      <w:lang w:val="en-US" w:eastAsia="zh-CN"/>
                    </w:rPr>
                  </w:pPr>
                  <w:r>
                    <w:rPr>
                      <w:rFonts w:hint="eastAsia"/>
                      <w:lang w:val="en-US" w:eastAsia="zh-CN"/>
                    </w:rPr>
                    <w:t>断面名称</w:t>
                  </w:r>
                </w:p>
              </w:tc>
              <w:tc>
                <w:tcPr>
                  <w:tcW w:w="788" w:type="dxa"/>
                  <w:vAlign w:val="center"/>
                </w:tcPr>
                <w:p>
                  <w:pPr>
                    <w:pStyle w:val="45"/>
                    <w:bidi w:val="0"/>
                    <w:rPr>
                      <w:rFonts w:hint="eastAsia"/>
                      <w:lang w:val="en-US" w:eastAsia="zh-CN"/>
                    </w:rPr>
                  </w:pPr>
                  <w:r>
                    <w:rPr>
                      <w:rFonts w:hint="eastAsia"/>
                      <w:lang w:val="en-US" w:eastAsia="zh-CN"/>
                    </w:rPr>
                    <w:t>水质</w:t>
                  </w:r>
                </w:p>
                <w:p>
                  <w:pPr>
                    <w:pStyle w:val="45"/>
                    <w:bidi w:val="0"/>
                    <w:rPr>
                      <w:rFonts w:hint="eastAsia"/>
                      <w:lang w:val="en-US" w:eastAsia="zh-CN"/>
                    </w:rPr>
                  </w:pPr>
                  <w:r>
                    <w:rPr>
                      <w:rFonts w:hint="eastAsia"/>
                      <w:lang w:val="en-US" w:eastAsia="zh-CN"/>
                    </w:rPr>
                    <w:t>类别</w:t>
                  </w:r>
                </w:p>
              </w:tc>
              <w:tc>
                <w:tcPr>
                  <w:tcW w:w="1097" w:type="dxa"/>
                  <w:vAlign w:val="center"/>
                </w:tcPr>
                <w:p>
                  <w:pPr>
                    <w:pStyle w:val="45"/>
                    <w:bidi w:val="0"/>
                    <w:rPr>
                      <w:rFonts w:hint="eastAsia"/>
                      <w:lang w:val="en-US" w:eastAsia="zh-CN"/>
                    </w:rPr>
                  </w:pPr>
                  <w:r>
                    <w:rPr>
                      <w:rFonts w:hint="eastAsia"/>
                      <w:lang w:val="en-US" w:eastAsia="zh-CN"/>
                    </w:rPr>
                    <w:t>超标污染物(倍数)</w:t>
                  </w:r>
                </w:p>
              </w:tc>
              <w:tc>
                <w:tcPr>
                  <w:tcW w:w="997" w:type="dxa"/>
                  <w:vAlign w:val="center"/>
                </w:tcPr>
                <w:p>
                  <w:pPr>
                    <w:pStyle w:val="45"/>
                    <w:bidi w:val="0"/>
                    <w:rPr>
                      <w:rFonts w:hint="eastAsia"/>
                      <w:lang w:val="en-US" w:eastAsia="zh-CN"/>
                    </w:rPr>
                  </w:pPr>
                  <w:r>
                    <w:rPr>
                      <w:rFonts w:hint="eastAsia"/>
                      <w:lang w:val="en-US" w:eastAsia="zh-CN"/>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pStyle w:val="45"/>
                    <w:bidi w:val="0"/>
                    <w:rPr>
                      <w:rFonts w:hint="eastAsia"/>
                      <w:lang w:val="en-US" w:eastAsia="zh-CN"/>
                    </w:rPr>
                  </w:pPr>
                  <w:r>
                    <w:rPr>
                      <w:rFonts w:hint="eastAsia"/>
                      <w:lang w:val="en-US" w:eastAsia="zh-CN"/>
                    </w:rPr>
                    <w:t>源潭河</w:t>
                  </w:r>
                </w:p>
              </w:tc>
              <w:tc>
                <w:tcPr>
                  <w:tcW w:w="1087" w:type="dxa"/>
                  <w:vAlign w:val="center"/>
                </w:tcPr>
                <w:p>
                  <w:pPr>
                    <w:pStyle w:val="45"/>
                    <w:bidi w:val="0"/>
                    <w:rPr>
                      <w:rFonts w:hint="eastAsia"/>
                      <w:lang w:val="en-US" w:eastAsia="zh-CN"/>
                    </w:rPr>
                  </w:pPr>
                  <w:r>
                    <w:rPr>
                      <w:rFonts w:hint="eastAsia"/>
                      <w:lang w:val="en-US" w:eastAsia="zh-CN"/>
                    </w:rPr>
                    <w:t>源潭河</w:t>
                  </w:r>
                </w:p>
              </w:tc>
              <w:tc>
                <w:tcPr>
                  <w:tcW w:w="1013" w:type="dxa"/>
                  <w:vAlign w:val="center"/>
                </w:tcPr>
                <w:p>
                  <w:pPr>
                    <w:pStyle w:val="45"/>
                    <w:bidi w:val="0"/>
                    <w:rPr>
                      <w:rFonts w:hint="eastAsia"/>
                      <w:lang w:val="en-US" w:eastAsia="zh-CN"/>
                    </w:rPr>
                  </w:pPr>
                  <w:r>
                    <w:rPr>
                      <w:rFonts w:hint="eastAsia"/>
                      <w:lang w:val="en-US" w:eastAsia="zh-CN"/>
                    </w:rPr>
                    <w:t>岳阳市</w:t>
                  </w:r>
                </w:p>
              </w:tc>
              <w:tc>
                <w:tcPr>
                  <w:tcW w:w="1087" w:type="dxa"/>
                  <w:vAlign w:val="center"/>
                </w:tcPr>
                <w:p>
                  <w:pPr>
                    <w:pStyle w:val="45"/>
                    <w:bidi w:val="0"/>
                    <w:rPr>
                      <w:rFonts w:hint="eastAsia"/>
                      <w:lang w:val="en-US" w:eastAsia="zh-CN"/>
                    </w:rPr>
                  </w:pPr>
                  <w:r>
                    <w:rPr>
                      <w:rFonts w:hint="eastAsia"/>
                      <w:lang w:val="en-US" w:eastAsia="zh-CN"/>
                    </w:rPr>
                    <w:t>临湘市</w:t>
                  </w:r>
                </w:p>
              </w:tc>
              <w:tc>
                <w:tcPr>
                  <w:tcW w:w="775" w:type="dxa"/>
                  <w:vAlign w:val="center"/>
                </w:tcPr>
                <w:p>
                  <w:pPr>
                    <w:pStyle w:val="45"/>
                    <w:bidi w:val="0"/>
                    <w:rPr>
                      <w:rFonts w:hint="eastAsia"/>
                      <w:lang w:val="en-US" w:eastAsia="zh-CN"/>
                    </w:rPr>
                  </w:pPr>
                  <w:r>
                    <w:rPr>
                      <w:rFonts w:hint="eastAsia"/>
                      <w:lang w:val="en-US" w:eastAsia="zh-CN"/>
                    </w:rPr>
                    <w:t>长源</w:t>
                  </w:r>
                </w:p>
              </w:tc>
              <w:tc>
                <w:tcPr>
                  <w:tcW w:w="788" w:type="dxa"/>
                  <w:vAlign w:val="center"/>
                </w:tcPr>
                <w:p>
                  <w:pPr>
                    <w:pStyle w:val="45"/>
                    <w:bidi w:val="0"/>
                    <w:rPr>
                      <w:rFonts w:hint="eastAsia"/>
                      <w:lang w:val="en-US" w:eastAsia="zh-CN"/>
                    </w:rPr>
                  </w:pPr>
                  <w:r>
                    <w:rPr>
                      <w:rFonts w:hint="eastAsia"/>
                    </w:rPr>
                    <w:t>Ⅲ类</w:t>
                  </w:r>
                </w:p>
              </w:tc>
              <w:tc>
                <w:tcPr>
                  <w:tcW w:w="1097" w:type="dxa"/>
                  <w:vAlign w:val="center"/>
                </w:tcPr>
                <w:p>
                  <w:pPr>
                    <w:pStyle w:val="45"/>
                    <w:bidi w:val="0"/>
                    <w:rPr>
                      <w:rFonts w:hint="eastAsia"/>
                      <w:lang w:val="en-US" w:eastAsia="zh-CN"/>
                    </w:rPr>
                  </w:pPr>
                </w:p>
              </w:tc>
              <w:tc>
                <w:tcPr>
                  <w:tcW w:w="997" w:type="dxa"/>
                  <w:vAlign w:val="center"/>
                </w:tcPr>
                <w:p>
                  <w:pPr>
                    <w:pStyle w:val="45"/>
                    <w:bidi w:val="0"/>
                    <w:rPr>
                      <w:rFonts w:hint="eastAsia"/>
                      <w:lang w:val="en-US" w:eastAsia="zh-CN"/>
                    </w:rPr>
                  </w:pPr>
                  <w:r>
                    <w:rPr>
                      <w:rFonts w:hint="eastAsia"/>
                      <w:lang w:val="en-US" w:eastAsia="zh-CN"/>
                    </w:rPr>
                    <w:t>省控</w:t>
                  </w:r>
                </w:p>
              </w:tc>
            </w:tr>
          </w:tbl>
          <w:p>
            <w:pPr>
              <w:pStyle w:val="7"/>
              <w:ind w:firstLine="480"/>
              <w:rPr>
                <w:rFonts w:hint="eastAsia" w:ascii="Times New Roman" w:hAnsi="Times New Roman" w:eastAsia="宋体" w:cs="Times New Roman"/>
                <w:color w:val="auto"/>
              </w:rPr>
            </w:pPr>
            <w:r>
              <w:rPr>
                <w:rFonts w:hint="eastAsia" w:cs="Times New Roman"/>
                <w:color w:val="auto"/>
                <w:u w:val="none"/>
                <w:lang w:eastAsia="zh-CN"/>
              </w:rPr>
              <w:t>由以上引用数据可知</w:t>
            </w:r>
            <w:r>
              <w:rPr>
                <w:rFonts w:hint="eastAsia"/>
                <w:color w:val="auto"/>
                <w:u w:val="none"/>
                <w:lang w:val="en-US" w:eastAsia="zh-CN"/>
              </w:rPr>
              <w:t>，源潭河水质可满足</w:t>
            </w:r>
            <w:r>
              <w:rPr>
                <w:rFonts w:hint="eastAsia"/>
                <w:color w:val="auto"/>
                <w:sz w:val="24"/>
                <w:szCs w:val="32"/>
                <w:u w:val="none"/>
              </w:rPr>
              <w:t>《地表水环境质量标准》（GB3838-2002）中的</w:t>
            </w:r>
            <w:r>
              <w:rPr>
                <w:rFonts w:hint="eastAsia"/>
                <w:color w:val="auto"/>
                <w:u w:val="none"/>
              </w:rPr>
              <w:t>Ⅲ</w:t>
            </w:r>
            <w:r>
              <w:rPr>
                <w:rFonts w:hint="eastAsia"/>
                <w:color w:val="auto"/>
                <w:sz w:val="24"/>
                <w:szCs w:val="32"/>
                <w:u w:val="none"/>
              </w:rPr>
              <w:t>类标准。</w:t>
            </w:r>
          </w:p>
          <w:p>
            <w:pPr>
              <w:pStyle w:val="7"/>
              <w:ind w:firstLine="480"/>
              <w:rPr>
                <w:color w:val="auto"/>
                <w:u w:val="none"/>
              </w:rPr>
            </w:pPr>
            <w:r>
              <w:rPr>
                <w:rFonts w:hint="eastAsia"/>
                <w:color w:val="auto"/>
                <w:u w:val="none"/>
              </w:rPr>
              <w:t>3</w:t>
            </w:r>
            <w:r>
              <w:rPr>
                <w:color w:val="auto"/>
                <w:u w:val="none"/>
              </w:rPr>
              <w:t>、声环境质量现状</w:t>
            </w:r>
          </w:p>
          <w:p>
            <w:pPr>
              <w:pStyle w:val="7"/>
              <w:ind w:firstLine="480"/>
              <w:rPr>
                <w:color w:val="FF0000"/>
                <w:u w:val="none"/>
              </w:rPr>
            </w:pPr>
            <w:r>
              <w:rPr>
                <w:rFonts w:hint="eastAsia"/>
                <w:color w:val="auto"/>
                <w:u w:val="none"/>
              </w:rPr>
              <w:t>根据《声环境功能区划分技术规范》（</w:t>
            </w:r>
            <w:r>
              <w:rPr>
                <w:color w:val="auto"/>
                <w:u w:val="none"/>
              </w:rPr>
              <w:t>GB/T15190-2014</w:t>
            </w:r>
            <w:r>
              <w:rPr>
                <w:rFonts w:hint="eastAsia"/>
                <w:color w:val="auto"/>
                <w:u w:val="none"/>
              </w:rPr>
              <w:t>）的规定，项目所在地声环境质量执行《声环境质量标准》（</w:t>
            </w:r>
            <w:r>
              <w:rPr>
                <w:color w:val="auto"/>
                <w:u w:val="none"/>
              </w:rPr>
              <w:t>GB3096-2008</w:t>
            </w:r>
            <w:r>
              <w:rPr>
                <w:rFonts w:hint="eastAsia"/>
                <w:color w:val="auto"/>
                <w:u w:val="none"/>
              </w:rPr>
              <w:t>）中</w:t>
            </w:r>
            <w:r>
              <w:rPr>
                <w:color w:val="auto"/>
                <w:u w:val="none"/>
              </w:rPr>
              <w:t>2</w:t>
            </w:r>
            <w:r>
              <w:rPr>
                <w:rFonts w:hint="eastAsia"/>
                <w:color w:val="auto"/>
                <w:u w:val="none"/>
              </w:rPr>
              <w:t>类标准。</w:t>
            </w:r>
          </w:p>
          <w:p>
            <w:pPr>
              <w:pStyle w:val="7"/>
              <w:ind w:firstLine="480"/>
              <w:rPr>
                <w:color w:val="auto"/>
                <w:u w:val="none"/>
              </w:rPr>
            </w:pPr>
            <w:r>
              <w:rPr>
                <w:rFonts w:hint="eastAsia"/>
                <w:color w:val="auto"/>
                <w:u w:val="none"/>
              </w:rPr>
              <w:t>根据现场调查，项目周边50m范围内主要环境敏感点位于东、南、西</w:t>
            </w:r>
            <w:r>
              <w:rPr>
                <w:rFonts w:hint="eastAsia"/>
                <w:color w:val="auto"/>
                <w:u w:val="none"/>
                <w:lang w:eastAsia="zh-CN"/>
              </w:rPr>
              <w:t>、</w:t>
            </w:r>
            <w:r>
              <w:rPr>
                <w:rFonts w:hint="eastAsia"/>
                <w:color w:val="auto"/>
                <w:u w:val="none"/>
                <w:lang w:val="en-US" w:eastAsia="zh-CN"/>
              </w:rPr>
              <w:t>北</w:t>
            </w:r>
            <w:r>
              <w:rPr>
                <w:rFonts w:hint="eastAsia"/>
                <w:color w:val="auto"/>
                <w:u w:val="none"/>
              </w:rPr>
              <w:t>侧居民点，</w:t>
            </w:r>
            <w:r>
              <w:rPr>
                <w:color w:val="auto"/>
                <w:u w:val="none"/>
              </w:rPr>
              <w:t>建设单位特委托</w:t>
            </w:r>
            <w:r>
              <w:rPr>
                <w:rFonts w:hint="eastAsia"/>
                <w:color w:val="auto"/>
                <w:u w:val="none"/>
              </w:rPr>
              <w:t>湖南</w:t>
            </w:r>
            <w:r>
              <w:rPr>
                <w:rFonts w:hint="eastAsia"/>
                <w:color w:val="auto"/>
                <w:u w:val="none"/>
                <w:lang w:eastAsia="zh-CN"/>
              </w:rPr>
              <w:t>衡润科技</w:t>
            </w:r>
            <w:r>
              <w:rPr>
                <w:rFonts w:hint="eastAsia"/>
                <w:color w:val="auto"/>
                <w:u w:val="none"/>
              </w:rPr>
              <w:t>有限公司</w:t>
            </w:r>
            <w:r>
              <w:rPr>
                <w:color w:val="auto"/>
                <w:u w:val="none"/>
              </w:rPr>
              <w:t>于</w:t>
            </w:r>
            <w:r>
              <w:rPr>
                <w:rFonts w:hint="eastAsia"/>
                <w:color w:val="auto"/>
                <w:u w:val="none"/>
              </w:rPr>
              <w:t>2023</w:t>
            </w:r>
            <w:r>
              <w:rPr>
                <w:color w:val="auto"/>
                <w:u w:val="none"/>
              </w:rPr>
              <w:t>年</w:t>
            </w:r>
            <w:r>
              <w:rPr>
                <w:rFonts w:hint="eastAsia"/>
                <w:color w:val="auto"/>
                <w:u w:val="none"/>
                <w:lang w:val="en-US" w:eastAsia="zh-CN"/>
              </w:rPr>
              <w:t>10</w:t>
            </w:r>
            <w:r>
              <w:rPr>
                <w:color w:val="auto"/>
                <w:u w:val="none"/>
              </w:rPr>
              <w:t>月</w:t>
            </w:r>
            <w:r>
              <w:rPr>
                <w:rFonts w:hint="eastAsia"/>
                <w:color w:val="auto"/>
                <w:u w:val="none"/>
                <w:lang w:val="en-US" w:eastAsia="zh-CN"/>
              </w:rPr>
              <w:t>10</w:t>
            </w:r>
            <w:r>
              <w:rPr>
                <w:color w:val="auto"/>
                <w:u w:val="none"/>
              </w:rPr>
              <w:t>日</w:t>
            </w:r>
            <w:r>
              <w:rPr>
                <w:rFonts w:hint="eastAsia"/>
                <w:color w:val="auto"/>
                <w:u w:val="none"/>
                <w:lang w:val="en-US" w:eastAsia="zh-CN"/>
              </w:rPr>
              <w:t>至11日</w:t>
            </w:r>
            <w:r>
              <w:rPr>
                <w:color w:val="auto"/>
                <w:u w:val="none"/>
              </w:rPr>
              <w:t>对厂界四周</w:t>
            </w:r>
            <w:r>
              <w:rPr>
                <w:rFonts w:hint="eastAsia"/>
                <w:color w:val="auto"/>
                <w:u w:val="none"/>
              </w:rPr>
              <w:t>居民点</w:t>
            </w:r>
            <w:r>
              <w:rPr>
                <w:color w:val="auto"/>
                <w:u w:val="none"/>
              </w:rPr>
              <w:t>进行了监测，监测结果见下表</w:t>
            </w:r>
            <w:r>
              <w:rPr>
                <w:rFonts w:hint="eastAsia"/>
                <w:color w:val="auto"/>
                <w:u w:val="none"/>
              </w:rPr>
              <w:t>。</w:t>
            </w:r>
          </w:p>
          <w:p>
            <w:pPr>
              <w:pStyle w:val="46"/>
              <w:tabs>
                <w:tab w:val="left" w:pos="1021"/>
              </w:tabs>
              <w:rPr>
                <w:color w:val="auto"/>
                <w:u w:val="none"/>
              </w:rPr>
            </w:pPr>
            <w:r>
              <w:rPr>
                <w:rFonts w:hint="eastAsia" w:ascii="Times New Roman" w:hAnsi="Times New Roman" w:eastAsia="宋体" w:cs="Times New Roman"/>
                <w:b/>
                <w:kern w:val="0"/>
                <w:sz w:val="21"/>
                <w:szCs w:val="21"/>
                <w:u w:val="none"/>
                <w:lang w:val="en-US" w:eastAsia="zh-CN" w:bidi="ar-SA"/>
              </w:rPr>
              <w:t>表3.1-4  声环境现状监测数据单位：dB(A)</w:t>
            </w:r>
          </w:p>
          <w:tbl>
            <w:tblPr>
              <w:tblStyle w:val="31"/>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973"/>
              <w:gridCol w:w="933"/>
              <w:gridCol w:w="1057"/>
              <w:gridCol w:w="1468"/>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56" w:type="dxa"/>
                  <w:tcBorders>
                    <w:tl2br w:val="nil"/>
                    <w:tr2bl w:val="nil"/>
                  </w:tcBorders>
                  <w:vAlign w:val="center"/>
                </w:tcPr>
                <w:p>
                  <w:pPr>
                    <w:pStyle w:val="45"/>
                    <w:rPr>
                      <w:color w:val="auto"/>
                      <w:u w:val="none"/>
                    </w:rPr>
                  </w:pPr>
                  <w:r>
                    <w:rPr>
                      <w:color w:val="auto"/>
                      <w:u w:val="none"/>
                    </w:rPr>
                    <w:t>监测日期</w:t>
                  </w:r>
                </w:p>
              </w:tc>
              <w:tc>
                <w:tcPr>
                  <w:tcW w:w="1973" w:type="dxa"/>
                  <w:tcBorders>
                    <w:tl2br w:val="nil"/>
                    <w:tr2bl w:val="nil"/>
                  </w:tcBorders>
                  <w:vAlign w:val="center"/>
                </w:tcPr>
                <w:p>
                  <w:pPr>
                    <w:pStyle w:val="45"/>
                    <w:rPr>
                      <w:color w:val="auto"/>
                      <w:u w:val="none"/>
                    </w:rPr>
                  </w:pPr>
                  <w:r>
                    <w:rPr>
                      <w:color w:val="auto"/>
                      <w:u w:val="none"/>
                    </w:rPr>
                    <w:t>监测点位</w:t>
                  </w:r>
                </w:p>
              </w:tc>
              <w:tc>
                <w:tcPr>
                  <w:tcW w:w="1990" w:type="dxa"/>
                  <w:gridSpan w:val="2"/>
                  <w:tcBorders>
                    <w:tl2br w:val="nil"/>
                    <w:tr2bl w:val="nil"/>
                  </w:tcBorders>
                  <w:vAlign w:val="center"/>
                </w:tcPr>
                <w:p>
                  <w:pPr>
                    <w:pStyle w:val="45"/>
                    <w:rPr>
                      <w:color w:val="auto"/>
                      <w:u w:val="none"/>
                    </w:rPr>
                  </w:pPr>
                  <w:r>
                    <w:rPr>
                      <w:color w:val="auto"/>
                      <w:u w:val="none"/>
                    </w:rPr>
                    <w:t>测量值</w:t>
                  </w:r>
                </w:p>
              </w:tc>
              <w:tc>
                <w:tcPr>
                  <w:tcW w:w="1468" w:type="dxa"/>
                  <w:tcBorders>
                    <w:tl2br w:val="nil"/>
                    <w:tr2bl w:val="nil"/>
                  </w:tcBorders>
                  <w:vAlign w:val="center"/>
                </w:tcPr>
                <w:p>
                  <w:pPr>
                    <w:pStyle w:val="45"/>
                    <w:rPr>
                      <w:color w:val="auto"/>
                      <w:u w:val="none"/>
                    </w:rPr>
                  </w:pPr>
                  <w:r>
                    <w:rPr>
                      <w:color w:val="auto"/>
                      <w:u w:val="none"/>
                    </w:rPr>
                    <w:t>标准限值</w:t>
                  </w:r>
                </w:p>
              </w:tc>
              <w:tc>
                <w:tcPr>
                  <w:tcW w:w="1469" w:type="dxa"/>
                  <w:tcBorders>
                    <w:tl2br w:val="nil"/>
                    <w:tr2bl w:val="nil"/>
                  </w:tcBorders>
                  <w:vAlign w:val="center"/>
                </w:tcPr>
                <w:p>
                  <w:pPr>
                    <w:pStyle w:val="45"/>
                    <w:rPr>
                      <w:color w:val="auto"/>
                      <w:u w:val="none"/>
                    </w:rPr>
                  </w:pPr>
                  <w:r>
                    <w:rPr>
                      <w:rFonts w:hint="eastAsia"/>
                      <w:color w:val="auto"/>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tcBorders>
                    <w:tl2br w:val="nil"/>
                    <w:tr2bl w:val="nil"/>
                  </w:tcBorders>
                  <w:vAlign w:val="center"/>
                </w:tcPr>
                <w:p>
                  <w:pPr>
                    <w:pStyle w:val="45"/>
                    <w:rPr>
                      <w:rFonts w:hint="default" w:eastAsia="宋体"/>
                      <w:color w:val="auto"/>
                      <w:u w:val="none"/>
                      <w:lang w:val="en-US" w:eastAsia="zh-CN"/>
                    </w:rPr>
                  </w:pPr>
                  <w:r>
                    <w:rPr>
                      <w:rFonts w:hint="eastAsia"/>
                      <w:color w:val="auto"/>
                      <w:u w:val="none"/>
                    </w:rPr>
                    <w:t>2023.</w:t>
                  </w:r>
                  <w:r>
                    <w:rPr>
                      <w:rFonts w:hint="eastAsia"/>
                      <w:color w:val="auto"/>
                      <w:u w:val="none"/>
                      <w:lang w:val="en-US" w:eastAsia="zh-CN"/>
                    </w:rPr>
                    <w:t>10.10</w:t>
                  </w: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1</w:t>
                  </w:r>
                  <w:r>
                    <w:rPr>
                      <w:color w:val="auto"/>
                      <w:u w:val="none"/>
                    </w:rPr>
                    <w:t>厂界</w:t>
                  </w:r>
                  <w:r>
                    <w:rPr>
                      <w:rFonts w:hint="eastAsia"/>
                      <w:color w:val="auto"/>
                      <w:u w:val="none"/>
                    </w:rPr>
                    <w:t>东</w:t>
                  </w:r>
                  <w:r>
                    <w:rPr>
                      <w:color w:val="auto"/>
                      <w:u w:val="none"/>
                    </w:rPr>
                    <w:t>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53</w:t>
                  </w:r>
                </w:p>
              </w:tc>
              <w:tc>
                <w:tcPr>
                  <w:tcW w:w="1468" w:type="dxa"/>
                  <w:tcBorders>
                    <w:tl2br w:val="nil"/>
                    <w:tr2bl w:val="nil"/>
                  </w:tcBorders>
                  <w:vAlign w:val="center"/>
                </w:tcPr>
                <w:p>
                  <w:pPr>
                    <w:pStyle w:val="45"/>
                    <w:rPr>
                      <w:color w:val="auto"/>
                      <w:u w:val="none"/>
                    </w:rPr>
                  </w:pPr>
                  <w:r>
                    <w:rPr>
                      <w:rFonts w:hint="eastAsia"/>
                      <w:color w:val="auto"/>
                      <w:u w:val="none"/>
                    </w:rPr>
                    <w:t>60</w:t>
                  </w:r>
                </w:p>
              </w:tc>
              <w:tc>
                <w:tcPr>
                  <w:tcW w:w="1469" w:type="dxa"/>
                  <w:tcBorders>
                    <w:tl2br w:val="nil"/>
                    <w:tr2bl w:val="nil"/>
                  </w:tcBorders>
                  <w:vAlign w:val="center"/>
                </w:tcPr>
                <w:p>
                  <w:pPr>
                    <w:pStyle w:val="45"/>
                    <w:rPr>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40</w:t>
                  </w:r>
                </w:p>
              </w:tc>
              <w:tc>
                <w:tcPr>
                  <w:tcW w:w="1468" w:type="dxa"/>
                  <w:tcBorders>
                    <w:tl2br w:val="nil"/>
                    <w:tr2bl w:val="nil"/>
                  </w:tcBorders>
                  <w:vAlign w:val="center"/>
                </w:tcPr>
                <w:p>
                  <w:pPr>
                    <w:pStyle w:val="45"/>
                    <w:rPr>
                      <w:color w:val="auto"/>
                      <w:u w:val="none"/>
                    </w:rPr>
                  </w:pPr>
                  <w:r>
                    <w:rPr>
                      <w:rFonts w:hint="eastAsia"/>
                      <w:color w:val="auto"/>
                      <w:u w:val="none"/>
                    </w:rPr>
                    <w:t>50</w:t>
                  </w:r>
                </w:p>
              </w:tc>
              <w:tc>
                <w:tcPr>
                  <w:tcW w:w="1469" w:type="dxa"/>
                  <w:tcBorders>
                    <w:tl2br w:val="nil"/>
                    <w:tr2bl w:val="nil"/>
                  </w:tcBorders>
                  <w:vAlign w:val="center"/>
                </w:tcPr>
                <w:p>
                  <w:pPr>
                    <w:pStyle w:val="45"/>
                    <w:rPr>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2</w:t>
                  </w:r>
                  <w:r>
                    <w:rPr>
                      <w:color w:val="auto"/>
                      <w:u w:val="none"/>
                    </w:rPr>
                    <w:t>厂界南侧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52</w:t>
                  </w:r>
                </w:p>
              </w:tc>
              <w:tc>
                <w:tcPr>
                  <w:tcW w:w="1468" w:type="dxa"/>
                  <w:tcBorders>
                    <w:tl2br w:val="nil"/>
                    <w:tr2bl w:val="nil"/>
                  </w:tcBorders>
                  <w:vAlign w:val="center"/>
                </w:tcPr>
                <w:p>
                  <w:pPr>
                    <w:pStyle w:val="45"/>
                    <w:rPr>
                      <w:color w:val="auto"/>
                      <w:u w:val="none"/>
                    </w:rPr>
                  </w:pPr>
                  <w:r>
                    <w:rPr>
                      <w:rFonts w:hint="eastAsia"/>
                      <w:color w:val="auto"/>
                      <w:u w:val="none"/>
                    </w:rPr>
                    <w:t>60</w:t>
                  </w:r>
                </w:p>
              </w:tc>
              <w:tc>
                <w:tcPr>
                  <w:tcW w:w="1469" w:type="dxa"/>
                  <w:tcBorders>
                    <w:tl2br w:val="nil"/>
                    <w:tr2bl w:val="nil"/>
                  </w:tcBorders>
                  <w:vAlign w:val="center"/>
                </w:tcPr>
                <w:p>
                  <w:pPr>
                    <w:pStyle w:val="45"/>
                    <w:rPr>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42</w:t>
                  </w:r>
                </w:p>
              </w:tc>
              <w:tc>
                <w:tcPr>
                  <w:tcW w:w="1468" w:type="dxa"/>
                  <w:tcBorders>
                    <w:tl2br w:val="nil"/>
                    <w:tr2bl w:val="nil"/>
                  </w:tcBorders>
                  <w:vAlign w:val="center"/>
                </w:tcPr>
                <w:p>
                  <w:pPr>
                    <w:pStyle w:val="45"/>
                    <w:rPr>
                      <w:color w:val="auto"/>
                      <w:u w:val="none"/>
                    </w:rPr>
                  </w:pPr>
                  <w:r>
                    <w:rPr>
                      <w:rFonts w:hint="eastAsia"/>
                      <w:color w:val="auto"/>
                      <w:u w:val="none"/>
                    </w:rPr>
                    <w:t>50</w:t>
                  </w:r>
                </w:p>
              </w:tc>
              <w:tc>
                <w:tcPr>
                  <w:tcW w:w="1469" w:type="dxa"/>
                  <w:tcBorders>
                    <w:tl2br w:val="nil"/>
                    <w:tr2bl w:val="nil"/>
                  </w:tcBorders>
                  <w:vAlign w:val="center"/>
                </w:tcPr>
                <w:p>
                  <w:pPr>
                    <w:pStyle w:val="45"/>
                    <w:rPr>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3</w:t>
                  </w:r>
                  <w:r>
                    <w:rPr>
                      <w:color w:val="auto"/>
                      <w:u w:val="none"/>
                    </w:rPr>
                    <w:t>厂界</w:t>
                  </w:r>
                  <w:r>
                    <w:rPr>
                      <w:rFonts w:hint="eastAsia"/>
                      <w:color w:val="auto"/>
                      <w:u w:val="none"/>
                    </w:rPr>
                    <w:t>西侧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53</w:t>
                  </w:r>
                </w:p>
              </w:tc>
              <w:tc>
                <w:tcPr>
                  <w:tcW w:w="1468" w:type="dxa"/>
                  <w:tcBorders>
                    <w:tl2br w:val="nil"/>
                    <w:tr2bl w:val="nil"/>
                  </w:tcBorders>
                  <w:vAlign w:val="center"/>
                </w:tcPr>
                <w:p>
                  <w:pPr>
                    <w:pStyle w:val="45"/>
                    <w:rPr>
                      <w:color w:val="auto"/>
                      <w:u w:val="none"/>
                    </w:rPr>
                  </w:pPr>
                  <w:r>
                    <w:rPr>
                      <w:rFonts w:hint="eastAsia"/>
                      <w:color w:val="auto"/>
                      <w:u w:val="none"/>
                    </w:rPr>
                    <w:t>60</w:t>
                  </w:r>
                </w:p>
              </w:tc>
              <w:tc>
                <w:tcPr>
                  <w:tcW w:w="1469" w:type="dxa"/>
                  <w:tcBorders>
                    <w:tl2br w:val="nil"/>
                    <w:tr2bl w:val="nil"/>
                  </w:tcBorders>
                  <w:vAlign w:val="center"/>
                </w:tcPr>
                <w:p>
                  <w:pPr>
                    <w:pStyle w:val="45"/>
                    <w:rPr>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40</w:t>
                  </w:r>
                </w:p>
              </w:tc>
              <w:tc>
                <w:tcPr>
                  <w:tcW w:w="1468" w:type="dxa"/>
                  <w:tcBorders>
                    <w:tl2br w:val="nil"/>
                    <w:tr2bl w:val="nil"/>
                  </w:tcBorders>
                  <w:vAlign w:val="center"/>
                </w:tcPr>
                <w:p>
                  <w:pPr>
                    <w:pStyle w:val="45"/>
                    <w:rPr>
                      <w:color w:val="auto"/>
                      <w:u w:val="none"/>
                    </w:rPr>
                  </w:pPr>
                  <w:r>
                    <w:rPr>
                      <w:rFonts w:hint="eastAsia"/>
                      <w:color w:val="auto"/>
                      <w:u w:val="none"/>
                    </w:rPr>
                    <w:t>50</w:t>
                  </w:r>
                </w:p>
              </w:tc>
              <w:tc>
                <w:tcPr>
                  <w:tcW w:w="1469" w:type="dxa"/>
                  <w:tcBorders>
                    <w:tl2br w:val="nil"/>
                    <w:tr2bl w:val="nil"/>
                  </w:tcBorders>
                  <w:vAlign w:val="center"/>
                </w:tcPr>
                <w:p>
                  <w:pPr>
                    <w:pStyle w:val="45"/>
                    <w:rPr>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4</w:t>
                  </w:r>
                  <w:r>
                    <w:rPr>
                      <w:color w:val="auto"/>
                      <w:u w:val="none"/>
                    </w:rPr>
                    <w:t>厂界</w:t>
                  </w:r>
                  <w:r>
                    <w:rPr>
                      <w:rFonts w:hint="eastAsia"/>
                      <w:color w:val="auto"/>
                      <w:u w:val="none"/>
                      <w:lang w:val="en-US" w:eastAsia="zh-CN"/>
                    </w:rPr>
                    <w:t>北</w:t>
                  </w:r>
                  <w:r>
                    <w:rPr>
                      <w:rFonts w:hint="eastAsia"/>
                      <w:color w:val="auto"/>
                      <w:u w:val="none"/>
                    </w:rPr>
                    <w:t>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58</w:t>
                  </w:r>
                </w:p>
              </w:tc>
              <w:tc>
                <w:tcPr>
                  <w:tcW w:w="1468" w:type="dxa"/>
                  <w:tcBorders>
                    <w:tl2br w:val="nil"/>
                    <w:tr2bl w:val="nil"/>
                  </w:tcBorders>
                  <w:vAlign w:val="center"/>
                </w:tcPr>
                <w:p>
                  <w:pPr>
                    <w:pStyle w:val="45"/>
                    <w:rPr>
                      <w:rFonts w:hint="eastAsia"/>
                      <w:color w:val="auto"/>
                      <w:u w:val="none"/>
                    </w:rPr>
                  </w:pPr>
                  <w:r>
                    <w:rPr>
                      <w:rFonts w:hint="eastAsia"/>
                      <w:color w:val="auto"/>
                      <w:u w:val="non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47</w:t>
                  </w:r>
                </w:p>
              </w:tc>
              <w:tc>
                <w:tcPr>
                  <w:tcW w:w="1468" w:type="dxa"/>
                  <w:tcBorders>
                    <w:tl2br w:val="nil"/>
                    <w:tr2bl w:val="nil"/>
                  </w:tcBorders>
                  <w:vAlign w:val="center"/>
                </w:tcPr>
                <w:p>
                  <w:pPr>
                    <w:pStyle w:val="45"/>
                    <w:rPr>
                      <w:rFonts w:hint="eastAsia"/>
                      <w:color w:val="auto"/>
                      <w:u w:val="none"/>
                    </w:rPr>
                  </w:pPr>
                  <w:r>
                    <w:rPr>
                      <w:rFonts w:hint="eastAsia"/>
                      <w:color w:val="auto"/>
                      <w:u w:val="non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single"/>
                    </w:rPr>
                  </w:pPr>
                  <w:r>
                    <w:rPr>
                      <w:color w:val="auto"/>
                      <w:u w:val="single"/>
                    </w:rPr>
                    <w:t>N</w:t>
                  </w:r>
                  <w:r>
                    <w:rPr>
                      <w:rFonts w:hint="eastAsia"/>
                      <w:color w:val="auto"/>
                      <w:u w:val="single"/>
                      <w:lang w:val="en-US" w:eastAsia="zh-CN"/>
                    </w:rPr>
                    <w:t>5</w:t>
                  </w:r>
                  <w:r>
                    <w:rPr>
                      <w:color w:val="auto"/>
                      <w:u w:val="single"/>
                    </w:rPr>
                    <w:t>厂界</w:t>
                  </w:r>
                  <w:r>
                    <w:rPr>
                      <w:rFonts w:hint="eastAsia"/>
                      <w:color w:val="auto"/>
                      <w:u w:val="single"/>
                    </w:rPr>
                    <w:t>西侧</w:t>
                  </w:r>
                  <w:r>
                    <w:rPr>
                      <w:rFonts w:hint="eastAsia"/>
                      <w:color w:val="auto"/>
                      <w:szCs w:val="24"/>
                      <w:u w:val="single"/>
                    </w:rPr>
                    <w:t>居民点</w:t>
                  </w:r>
                </w:p>
              </w:tc>
              <w:tc>
                <w:tcPr>
                  <w:tcW w:w="933" w:type="dxa"/>
                  <w:tcBorders>
                    <w:tl2br w:val="nil"/>
                    <w:tr2bl w:val="nil"/>
                  </w:tcBorders>
                  <w:vAlign w:val="center"/>
                </w:tcPr>
                <w:p>
                  <w:pPr>
                    <w:pStyle w:val="45"/>
                    <w:rPr>
                      <w:color w:val="auto"/>
                      <w:u w:val="single"/>
                    </w:rPr>
                  </w:pPr>
                  <w:r>
                    <w:rPr>
                      <w:color w:val="auto"/>
                      <w:u w:val="single"/>
                    </w:rPr>
                    <w:t>昼间</w:t>
                  </w:r>
                </w:p>
              </w:tc>
              <w:tc>
                <w:tcPr>
                  <w:tcW w:w="1057" w:type="dxa"/>
                  <w:tcBorders>
                    <w:tl2br w:val="nil"/>
                    <w:tr2bl w:val="nil"/>
                  </w:tcBorders>
                  <w:vAlign w:val="center"/>
                </w:tcPr>
                <w:p>
                  <w:pPr>
                    <w:pStyle w:val="45"/>
                    <w:rPr>
                      <w:rFonts w:hint="default"/>
                      <w:color w:val="auto"/>
                      <w:u w:val="single"/>
                      <w:lang w:val="en-US" w:eastAsia="zh-CN"/>
                    </w:rPr>
                  </w:pPr>
                  <w:r>
                    <w:rPr>
                      <w:rFonts w:hint="eastAsia"/>
                      <w:color w:val="auto"/>
                      <w:u w:val="single"/>
                      <w:lang w:val="en-US" w:eastAsia="zh-CN"/>
                    </w:rPr>
                    <w:t>51</w:t>
                  </w:r>
                </w:p>
              </w:tc>
              <w:tc>
                <w:tcPr>
                  <w:tcW w:w="1468" w:type="dxa"/>
                  <w:tcBorders>
                    <w:tl2br w:val="nil"/>
                    <w:tr2bl w:val="nil"/>
                  </w:tcBorders>
                  <w:vAlign w:val="center"/>
                </w:tcPr>
                <w:p>
                  <w:pPr>
                    <w:pStyle w:val="45"/>
                    <w:rPr>
                      <w:rFonts w:hint="eastAsia"/>
                      <w:color w:val="auto"/>
                      <w:u w:val="single"/>
                    </w:rPr>
                  </w:pPr>
                  <w:r>
                    <w:rPr>
                      <w:rFonts w:hint="eastAsia"/>
                      <w:color w:val="auto"/>
                      <w:u w:val="singl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single"/>
                    </w:rPr>
                  </w:pPr>
                </w:p>
              </w:tc>
              <w:tc>
                <w:tcPr>
                  <w:tcW w:w="933" w:type="dxa"/>
                  <w:tcBorders>
                    <w:tl2br w:val="nil"/>
                    <w:tr2bl w:val="nil"/>
                  </w:tcBorders>
                  <w:vAlign w:val="center"/>
                </w:tcPr>
                <w:p>
                  <w:pPr>
                    <w:pStyle w:val="45"/>
                    <w:rPr>
                      <w:color w:val="auto"/>
                      <w:u w:val="single"/>
                    </w:rPr>
                  </w:pPr>
                  <w:r>
                    <w:rPr>
                      <w:color w:val="auto"/>
                      <w:u w:val="single"/>
                    </w:rPr>
                    <w:t>夜间</w:t>
                  </w:r>
                </w:p>
              </w:tc>
              <w:tc>
                <w:tcPr>
                  <w:tcW w:w="1057" w:type="dxa"/>
                  <w:tcBorders>
                    <w:tl2br w:val="nil"/>
                    <w:tr2bl w:val="nil"/>
                  </w:tcBorders>
                  <w:vAlign w:val="center"/>
                </w:tcPr>
                <w:p>
                  <w:pPr>
                    <w:pStyle w:val="45"/>
                    <w:rPr>
                      <w:rFonts w:hint="default"/>
                      <w:color w:val="auto"/>
                      <w:u w:val="single"/>
                      <w:lang w:val="en-US" w:eastAsia="zh-CN"/>
                    </w:rPr>
                  </w:pPr>
                  <w:r>
                    <w:rPr>
                      <w:rFonts w:hint="eastAsia"/>
                      <w:color w:val="auto"/>
                      <w:u w:val="single"/>
                      <w:lang w:val="en-US" w:eastAsia="zh-CN"/>
                    </w:rPr>
                    <w:t>43</w:t>
                  </w:r>
                </w:p>
              </w:tc>
              <w:tc>
                <w:tcPr>
                  <w:tcW w:w="1468" w:type="dxa"/>
                  <w:tcBorders>
                    <w:tl2br w:val="nil"/>
                    <w:tr2bl w:val="nil"/>
                  </w:tcBorders>
                  <w:vAlign w:val="center"/>
                </w:tcPr>
                <w:p>
                  <w:pPr>
                    <w:pStyle w:val="45"/>
                    <w:rPr>
                      <w:rFonts w:hint="eastAsia"/>
                      <w:color w:val="auto"/>
                      <w:u w:val="single"/>
                    </w:rPr>
                  </w:pPr>
                  <w:r>
                    <w:rPr>
                      <w:rFonts w:hint="eastAsia"/>
                      <w:color w:val="auto"/>
                      <w:u w:val="singl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tcBorders>
                    <w:tl2br w:val="nil"/>
                    <w:tr2bl w:val="nil"/>
                  </w:tcBorders>
                  <w:vAlign w:val="center"/>
                </w:tcPr>
                <w:p>
                  <w:pPr>
                    <w:pStyle w:val="45"/>
                    <w:rPr>
                      <w:rFonts w:hint="default"/>
                      <w:color w:val="auto"/>
                      <w:u w:val="none"/>
                      <w:lang w:val="en-US"/>
                    </w:rPr>
                  </w:pPr>
                  <w:r>
                    <w:rPr>
                      <w:rFonts w:hint="eastAsia"/>
                      <w:color w:val="auto"/>
                      <w:u w:val="none"/>
                    </w:rPr>
                    <w:t>2023.</w:t>
                  </w:r>
                  <w:r>
                    <w:rPr>
                      <w:rFonts w:hint="eastAsia"/>
                      <w:color w:val="auto"/>
                      <w:u w:val="none"/>
                      <w:lang w:val="en-US" w:eastAsia="zh-CN"/>
                    </w:rPr>
                    <w:t>10.11</w:t>
                  </w: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1</w:t>
                  </w:r>
                  <w:r>
                    <w:rPr>
                      <w:color w:val="auto"/>
                      <w:u w:val="none"/>
                    </w:rPr>
                    <w:t>厂界</w:t>
                  </w:r>
                  <w:r>
                    <w:rPr>
                      <w:rFonts w:hint="eastAsia"/>
                      <w:color w:val="auto"/>
                      <w:u w:val="none"/>
                    </w:rPr>
                    <w:t>东</w:t>
                  </w:r>
                  <w:r>
                    <w:rPr>
                      <w:color w:val="auto"/>
                      <w:u w:val="none"/>
                    </w:rPr>
                    <w:t>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53</w:t>
                  </w:r>
                </w:p>
              </w:tc>
              <w:tc>
                <w:tcPr>
                  <w:tcW w:w="1468" w:type="dxa"/>
                  <w:tcBorders>
                    <w:tl2br w:val="nil"/>
                    <w:tr2bl w:val="nil"/>
                  </w:tcBorders>
                  <w:vAlign w:val="center"/>
                </w:tcPr>
                <w:p>
                  <w:pPr>
                    <w:pStyle w:val="45"/>
                    <w:rPr>
                      <w:rFonts w:hint="eastAsia"/>
                      <w:color w:val="auto"/>
                      <w:u w:val="none"/>
                    </w:rPr>
                  </w:pPr>
                  <w:r>
                    <w:rPr>
                      <w:rFonts w:hint="eastAsia"/>
                      <w:color w:val="auto"/>
                      <w:u w:val="non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44</w:t>
                  </w:r>
                </w:p>
              </w:tc>
              <w:tc>
                <w:tcPr>
                  <w:tcW w:w="1468" w:type="dxa"/>
                  <w:tcBorders>
                    <w:tl2br w:val="nil"/>
                    <w:tr2bl w:val="nil"/>
                  </w:tcBorders>
                  <w:vAlign w:val="center"/>
                </w:tcPr>
                <w:p>
                  <w:pPr>
                    <w:pStyle w:val="45"/>
                    <w:rPr>
                      <w:rFonts w:hint="eastAsia"/>
                      <w:color w:val="auto"/>
                      <w:u w:val="none"/>
                    </w:rPr>
                  </w:pPr>
                  <w:r>
                    <w:rPr>
                      <w:rFonts w:hint="eastAsia"/>
                      <w:color w:val="auto"/>
                      <w:u w:val="non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2</w:t>
                  </w:r>
                  <w:r>
                    <w:rPr>
                      <w:color w:val="auto"/>
                      <w:u w:val="none"/>
                    </w:rPr>
                    <w:t>厂界南侧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52</w:t>
                  </w:r>
                </w:p>
              </w:tc>
              <w:tc>
                <w:tcPr>
                  <w:tcW w:w="1468" w:type="dxa"/>
                  <w:tcBorders>
                    <w:tl2br w:val="nil"/>
                    <w:tr2bl w:val="nil"/>
                  </w:tcBorders>
                  <w:vAlign w:val="center"/>
                </w:tcPr>
                <w:p>
                  <w:pPr>
                    <w:pStyle w:val="45"/>
                    <w:rPr>
                      <w:rFonts w:hint="eastAsia"/>
                      <w:color w:val="auto"/>
                      <w:u w:val="none"/>
                    </w:rPr>
                  </w:pPr>
                  <w:r>
                    <w:rPr>
                      <w:rFonts w:hint="eastAsia"/>
                      <w:color w:val="auto"/>
                      <w:u w:val="non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45</w:t>
                  </w:r>
                </w:p>
              </w:tc>
              <w:tc>
                <w:tcPr>
                  <w:tcW w:w="1468" w:type="dxa"/>
                  <w:tcBorders>
                    <w:tl2br w:val="nil"/>
                    <w:tr2bl w:val="nil"/>
                  </w:tcBorders>
                  <w:vAlign w:val="center"/>
                </w:tcPr>
                <w:p>
                  <w:pPr>
                    <w:pStyle w:val="45"/>
                    <w:rPr>
                      <w:rFonts w:hint="eastAsia"/>
                      <w:color w:val="auto"/>
                      <w:u w:val="none"/>
                    </w:rPr>
                  </w:pPr>
                  <w:r>
                    <w:rPr>
                      <w:rFonts w:hint="eastAsia"/>
                      <w:color w:val="auto"/>
                      <w:u w:val="non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3</w:t>
                  </w:r>
                  <w:r>
                    <w:rPr>
                      <w:color w:val="auto"/>
                      <w:u w:val="none"/>
                    </w:rPr>
                    <w:t>厂界</w:t>
                  </w:r>
                  <w:r>
                    <w:rPr>
                      <w:rFonts w:hint="eastAsia"/>
                      <w:color w:val="auto"/>
                      <w:u w:val="none"/>
                    </w:rPr>
                    <w:t>西侧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53</w:t>
                  </w:r>
                </w:p>
              </w:tc>
              <w:tc>
                <w:tcPr>
                  <w:tcW w:w="1468" w:type="dxa"/>
                  <w:tcBorders>
                    <w:tl2br w:val="nil"/>
                    <w:tr2bl w:val="nil"/>
                  </w:tcBorders>
                  <w:vAlign w:val="center"/>
                </w:tcPr>
                <w:p>
                  <w:pPr>
                    <w:pStyle w:val="45"/>
                    <w:rPr>
                      <w:rFonts w:hint="eastAsia"/>
                      <w:color w:val="auto"/>
                      <w:u w:val="none"/>
                    </w:rPr>
                  </w:pPr>
                  <w:r>
                    <w:rPr>
                      <w:rFonts w:hint="eastAsia"/>
                      <w:color w:val="auto"/>
                      <w:u w:val="non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45</w:t>
                  </w:r>
                </w:p>
              </w:tc>
              <w:tc>
                <w:tcPr>
                  <w:tcW w:w="1468" w:type="dxa"/>
                  <w:tcBorders>
                    <w:tl2br w:val="nil"/>
                    <w:tr2bl w:val="nil"/>
                  </w:tcBorders>
                  <w:vAlign w:val="center"/>
                </w:tcPr>
                <w:p>
                  <w:pPr>
                    <w:pStyle w:val="45"/>
                    <w:rPr>
                      <w:rFonts w:hint="eastAsia"/>
                      <w:color w:val="auto"/>
                      <w:u w:val="none"/>
                    </w:rPr>
                  </w:pPr>
                  <w:r>
                    <w:rPr>
                      <w:rFonts w:hint="eastAsia"/>
                      <w:color w:val="auto"/>
                      <w:u w:val="non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none"/>
                    </w:rPr>
                  </w:pPr>
                  <w:r>
                    <w:rPr>
                      <w:color w:val="auto"/>
                      <w:u w:val="none"/>
                    </w:rPr>
                    <w:t>N</w:t>
                  </w:r>
                  <w:r>
                    <w:rPr>
                      <w:rFonts w:hint="eastAsia"/>
                      <w:color w:val="auto"/>
                      <w:u w:val="none"/>
                      <w:lang w:val="en-US" w:eastAsia="zh-CN"/>
                    </w:rPr>
                    <w:t>4</w:t>
                  </w:r>
                  <w:r>
                    <w:rPr>
                      <w:color w:val="auto"/>
                      <w:u w:val="none"/>
                    </w:rPr>
                    <w:t>厂界</w:t>
                  </w:r>
                  <w:r>
                    <w:rPr>
                      <w:rFonts w:hint="eastAsia"/>
                      <w:color w:val="auto"/>
                      <w:u w:val="none"/>
                      <w:lang w:val="en-US" w:eastAsia="zh-CN"/>
                    </w:rPr>
                    <w:t>北</w:t>
                  </w:r>
                  <w:r>
                    <w:rPr>
                      <w:rFonts w:hint="eastAsia"/>
                      <w:color w:val="auto"/>
                      <w:u w:val="none"/>
                    </w:rPr>
                    <w:t>侧</w:t>
                  </w:r>
                  <w:r>
                    <w:rPr>
                      <w:rFonts w:hint="eastAsia"/>
                      <w:color w:val="auto"/>
                      <w:szCs w:val="24"/>
                      <w:u w:val="none"/>
                    </w:rPr>
                    <w:t>居民点</w:t>
                  </w:r>
                </w:p>
              </w:tc>
              <w:tc>
                <w:tcPr>
                  <w:tcW w:w="933" w:type="dxa"/>
                  <w:tcBorders>
                    <w:tl2br w:val="nil"/>
                    <w:tr2bl w:val="nil"/>
                  </w:tcBorders>
                  <w:vAlign w:val="center"/>
                </w:tcPr>
                <w:p>
                  <w:pPr>
                    <w:pStyle w:val="45"/>
                    <w:rPr>
                      <w:color w:val="auto"/>
                      <w:u w:val="none"/>
                    </w:rPr>
                  </w:pPr>
                  <w:r>
                    <w:rPr>
                      <w:color w:val="auto"/>
                      <w:u w:val="none"/>
                    </w:rPr>
                    <w:t>昼间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58</w:t>
                  </w:r>
                </w:p>
              </w:tc>
              <w:tc>
                <w:tcPr>
                  <w:tcW w:w="1468" w:type="dxa"/>
                  <w:tcBorders>
                    <w:tl2br w:val="nil"/>
                    <w:tr2bl w:val="nil"/>
                  </w:tcBorders>
                  <w:vAlign w:val="center"/>
                </w:tcPr>
                <w:p>
                  <w:pPr>
                    <w:pStyle w:val="45"/>
                    <w:rPr>
                      <w:rFonts w:hint="eastAsia"/>
                      <w:color w:val="auto"/>
                      <w:u w:val="none"/>
                    </w:rPr>
                  </w:pPr>
                  <w:r>
                    <w:rPr>
                      <w:rFonts w:hint="eastAsia"/>
                      <w:color w:val="auto"/>
                      <w:u w:val="non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none"/>
                    </w:rPr>
                  </w:pPr>
                  <w:r>
                    <w:rPr>
                      <w:color w:val="auto"/>
                      <w:u w:val="none"/>
                    </w:rPr>
                    <w:t>夜间</w:t>
                  </w:r>
                </w:p>
              </w:tc>
              <w:tc>
                <w:tcPr>
                  <w:tcW w:w="1057" w:type="dxa"/>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48</w:t>
                  </w:r>
                </w:p>
              </w:tc>
              <w:tc>
                <w:tcPr>
                  <w:tcW w:w="1468" w:type="dxa"/>
                  <w:tcBorders>
                    <w:tl2br w:val="nil"/>
                    <w:tr2bl w:val="nil"/>
                  </w:tcBorders>
                  <w:vAlign w:val="center"/>
                </w:tcPr>
                <w:p>
                  <w:pPr>
                    <w:pStyle w:val="45"/>
                    <w:rPr>
                      <w:rFonts w:hint="eastAsia"/>
                      <w:color w:val="auto"/>
                      <w:u w:val="none"/>
                    </w:rPr>
                  </w:pPr>
                  <w:r>
                    <w:rPr>
                      <w:rFonts w:hint="eastAsia"/>
                      <w:color w:val="auto"/>
                      <w:u w:val="non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restart"/>
                  <w:tcBorders>
                    <w:tl2br w:val="nil"/>
                    <w:tr2bl w:val="nil"/>
                  </w:tcBorders>
                  <w:vAlign w:val="center"/>
                </w:tcPr>
                <w:p>
                  <w:pPr>
                    <w:pStyle w:val="45"/>
                    <w:rPr>
                      <w:color w:val="auto"/>
                      <w:u w:val="single"/>
                    </w:rPr>
                  </w:pPr>
                  <w:r>
                    <w:rPr>
                      <w:color w:val="auto"/>
                      <w:u w:val="single"/>
                    </w:rPr>
                    <w:t>N</w:t>
                  </w:r>
                  <w:r>
                    <w:rPr>
                      <w:rFonts w:hint="eastAsia"/>
                      <w:color w:val="auto"/>
                      <w:u w:val="single"/>
                      <w:lang w:val="en-US" w:eastAsia="zh-CN"/>
                    </w:rPr>
                    <w:t>5</w:t>
                  </w:r>
                  <w:r>
                    <w:rPr>
                      <w:color w:val="auto"/>
                      <w:u w:val="single"/>
                    </w:rPr>
                    <w:t>厂界</w:t>
                  </w:r>
                  <w:r>
                    <w:rPr>
                      <w:rFonts w:hint="eastAsia"/>
                      <w:color w:val="auto"/>
                      <w:u w:val="single"/>
                    </w:rPr>
                    <w:t>西侧</w:t>
                  </w:r>
                  <w:r>
                    <w:rPr>
                      <w:rFonts w:hint="eastAsia"/>
                      <w:color w:val="auto"/>
                      <w:szCs w:val="24"/>
                      <w:u w:val="single"/>
                    </w:rPr>
                    <w:t>居民点</w:t>
                  </w:r>
                </w:p>
              </w:tc>
              <w:tc>
                <w:tcPr>
                  <w:tcW w:w="933" w:type="dxa"/>
                  <w:tcBorders>
                    <w:tl2br w:val="nil"/>
                    <w:tr2bl w:val="nil"/>
                  </w:tcBorders>
                  <w:vAlign w:val="center"/>
                </w:tcPr>
                <w:p>
                  <w:pPr>
                    <w:pStyle w:val="45"/>
                    <w:rPr>
                      <w:color w:val="auto"/>
                      <w:u w:val="single"/>
                    </w:rPr>
                  </w:pPr>
                  <w:r>
                    <w:rPr>
                      <w:color w:val="auto"/>
                      <w:u w:val="single"/>
                    </w:rPr>
                    <w:t>昼间</w:t>
                  </w:r>
                </w:p>
              </w:tc>
              <w:tc>
                <w:tcPr>
                  <w:tcW w:w="1057" w:type="dxa"/>
                  <w:tcBorders>
                    <w:tl2br w:val="nil"/>
                    <w:tr2bl w:val="nil"/>
                  </w:tcBorders>
                  <w:vAlign w:val="center"/>
                </w:tcPr>
                <w:p>
                  <w:pPr>
                    <w:pStyle w:val="45"/>
                    <w:rPr>
                      <w:rFonts w:hint="default"/>
                      <w:color w:val="auto"/>
                      <w:u w:val="single"/>
                      <w:lang w:val="en-US" w:eastAsia="zh-CN"/>
                    </w:rPr>
                  </w:pPr>
                  <w:r>
                    <w:rPr>
                      <w:rFonts w:hint="eastAsia"/>
                      <w:color w:val="auto"/>
                      <w:u w:val="single"/>
                      <w:lang w:val="en-US" w:eastAsia="zh-CN"/>
                    </w:rPr>
                    <w:t>54</w:t>
                  </w:r>
                </w:p>
              </w:tc>
              <w:tc>
                <w:tcPr>
                  <w:tcW w:w="1468" w:type="dxa"/>
                  <w:tcBorders>
                    <w:tl2br w:val="nil"/>
                    <w:tr2bl w:val="nil"/>
                  </w:tcBorders>
                  <w:vAlign w:val="center"/>
                </w:tcPr>
                <w:p>
                  <w:pPr>
                    <w:pStyle w:val="45"/>
                    <w:rPr>
                      <w:rFonts w:hint="eastAsia"/>
                      <w:color w:val="auto"/>
                      <w:u w:val="single"/>
                    </w:rPr>
                  </w:pPr>
                  <w:r>
                    <w:rPr>
                      <w:rFonts w:hint="eastAsia"/>
                      <w:color w:val="auto"/>
                      <w:u w:val="single"/>
                    </w:rPr>
                    <w:t>60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vAlign w:val="center"/>
                </w:tcPr>
                <w:p>
                  <w:pPr>
                    <w:pStyle w:val="45"/>
                    <w:rPr>
                      <w:color w:val="auto"/>
                      <w:u w:val="none"/>
                    </w:rPr>
                  </w:pPr>
                </w:p>
              </w:tc>
              <w:tc>
                <w:tcPr>
                  <w:tcW w:w="1973" w:type="dxa"/>
                  <w:vMerge w:val="continue"/>
                  <w:tcBorders>
                    <w:tl2br w:val="nil"/>
                    <w:tr2bl w:val="nil"/>
                  </w:tcBorders>
                  <w:vAlign w:val="center"/>
                </w:tcPr>
                <w:p>
                  <w:pPr>
                    <w:pStyle w:val="45"/>
                    <w:rPr>
                      <w:color w:val="auto"/>
                      <w:u w:val="none"/>
                    </w:rPr>
                  </w:pPr>
                </w:p>
              </w:tc>
              <w:tc>
                <w:tcPr>
                  <w:tcW w:w="933" w:type="dxa"/>
                  <w:tcBorders>
                    <w:tl2br w:val="nil"/>
                    <w:tr2bl w:val="nil"/>
                  </w:tcBorders>
                  <w:vAlign w:val="center"/>
                </w:tcPr>
                <w:p>
                  <w:pPr>
                    <w:pStyle w:val="45"/>
                    <w:rPr>
                      <w:color w:val="auto"/>
                      <w:u w:val="single"/>
                    </w:rPr>
                  </w:pPr>
                  <w:r>
                    <w:rPr>
                      <w:color w:val="auto"/>
                      <w:u w:val="single"/>
                    </w:rPr>
                    <w:t>夜间</w:t>
                  </w:r>
                </w:p>
              </w:tc>
              <w:tc>
                <w:tcPr>
                  <w:tcW w:w="1057" w:type="dxa"/>
                  <w:tcBorders>
                    <w:tl2br w:val="nil"/>
                    <w:tr2bl w:val="nil"/>
                  </w:tcBorders>
                  <w:vAlign w:val="center"/>
                </w:tcPr>
                <w:p>
                  <w:pPr>
                    <w:pStyle w:val="45"/>
                    <w:rPr>
                      <w:rFonts w:hint="default"/>
                      <w:color w:val="auto"/>
                      <w:u w:val="single"/>
                      <w:lang w:val="en-US" w:eastAsia="zh-CN"/>
                    </w:rPr>
                  </w:pPr>
                  <w:r>
                    <w:rPr>
                      <w:rFonts w:hint="eastAsia"/>
                      <w:color w:val="auto"/>
                      <w:u w:val="single"/>
                      <w:lang w:val="en-US" w:eastAsia="zh-CN"/>
                    </w:rPr>
                    <w:t>45</w:t>
                  </w:r>
                </w:p>
              </w:tc>
              <w:tc>
                <w:tcPr>
                  <w:tcW w:w="1468" w:type="dxa"/>
                  <w:tcBorders>
                    <w:tl2br w:val="nil"/>
                    <w:tr2bl w:val="nil"/>
                  </w:tcBorders>
                  <w:vAlign w:val="center"/>
                </w:tcPr>
                <w:p>
                  <w:pPr>
                    <w:pStyle w:val="45"/>
                    <w:rPr>
                      <w:rFonts w:hint="eastAsia"/>
                      <w:color w:val="auto"/>
                      <w:u w:val="single"/>
                    </w:rPr>
                  </w:pPr>
                  <w:r>
                    <w:rPr>
                      <w:rFonts w:hint="eastAsia"/>
                      <w:color w:val="auto"/>
                      <w:u w:val="single"/>
                    </w:rPr>
                    <w:t>50</w:t>
                  </w:r>
                </w:p>
              </w:tc>
              <w:tc>
                <w:tcPr>
                  <w:tcW w:w="1469" w:type="dxa"/>
                  <w:tcBorders>
                    <w:tl2br w:val="nil"/>
                    <w:tr2bl w:val="nil"/>
                  </w:tcBorders>
                  <w:vAlign w:val="center"/>
                </w:tcPr>
                <w:p>
                  <w:pPr>
                    <w:pStyle w:val="45"/>
                    <w:rPr>
                      <w:rFonts w:hint="eastAsia"/>
                      <w:color w:val="auto"/>
                      <w:u w:val="none"/>
                    </w:rPr>
                  </w:pPr>
                  <w:r>
                    <w:rPr>
                      <w:rFonts w:hint="eastAsia"/>
                      <w:color w:val="auto"/>
                      <w:u w:val="none"/>
                    </w:rPr>
                    <w:t>是</w:t>
                  </w:r>
                </w:p>
              </w:tc>
            </w:tr>
          </w:tbl>
          <w:p>
            <w:pPr>
              <w:pStyle w:val="7"/>
              <w:ind w:firstLine="480"/>
              <w:rPr>
                <w:rFonts w:ascii="宋体" w:hAnsi="宋体" w:cs="宋体"/>
                <w:color w:val="FF0000"/>
                <w:kern w:val="0"/>
                <w:szCs w:val="21"/>
              </w:rPr>
            </w:pPr>
            <w:r>
              <w:rPr>
                <w:color w:val="000000" w:themeColor="text1"/>
                <w:u w:val="none"/>
              </w:rPr>
              <w:t>由</w:t>
            </w:r>
            <w:r>
              <w:rPr>
                <w:rFonts w:hint="eastAsia"/>
                <w:color w:val="000000" w:themeColor="text1"/>
                <w:u w:val="none"/>
              </w:rPr>
              <w:t>上</w:t>
            </w:r>
            <w:r>
              <w:rPr>
                <w:color w:val="000000" w:themeColor="text1"/>
                <w:u w:val="none"/>
              </w:rPr>
              <w:t>表噪声监测数据可知，卫生院厂界</w:t>
            </w:r>
            <w:r>
              <w:rPr>
                <w:rFonts w:hint="eastAsia"/>
                <w:color w:val="000000" w:themeColor="text1"/>
                <w:u w:val="none"/>
              </w:rPr>
              <w:t>外</w:t>
            </w:r>
            <w:r>
              <w:rPr>
                <w:color w:val="000000" w:themeColor="text1"/>
                <w:u w:val="none"/>
              </w:rPr>
              <w:t>侧</w:t>
            </w:r>
            <w:r>
              <w:rPr>
                <w:rFonts w:hint="eastAsia"/>
                <w:color w:val="000000" w:themeColor="text1"/>
                <w:u w:val="none"/>
              </w:rPr>
              <w:t>居民点</w:t>
            </w:r>
            <w:r>
              <w:rPr>
                <w:color w:val="000000" w:themeColor="text1"/>
                <w:u w:val="none"/>
              </w:rPr>
              <w:t>监测值均能达到《声环境质量标准》（GB3096-2008）中2类标准的要求。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auto"/>
                <w:kern w:val="0"/>
              </w:rPr>
            </w:pPr>
            <w:r>
              <w:rPr>
                <w:rFonts w:hint="eastAsia" w:ascii="宋体" w:hAnsi="宋体" w:cs="宋体"/>
                <w:color w:val="auto"/>
                <w:kern w:val="0"/>
              </w:rPr>
              <w:t>环境</w:t>
            </w:r>
          </w:p>
          <w:p>
            <w:pPr>
              <w:adjustRightInd w:val="0"/>
              <w:snapToGrid w:val="0"/>
              <w:jc w:val="center"/>
              <w:rPr>
                <w:rFonts w:ascii="宋体" w:hAnsi="宋体" w:cs="宋体"/>
                <w:color w:val="auto"/>
                <w:kern w:val="0"/>
              </w:rPr>
            </w:pPr>
            <w:r>
              <w:rPr>
                <w:rFonts w:hint="eastAsia" w:ascii="宋体" w:hAnsi="宋体" w:cs="宋体"/>
                <w:color w:val="auto"/>
                <w:kern w:val="0"/>
              </w:rPr>
              <w:t>保护</w:t>
            </w:r>
          </w:p>
          <w:p>
            <w:pPr>
              <w:adjustRightInd w:val="0"/>
              <w:snapToGrid w:val="0"/>
              <w:jc w:val="center"/>
              <w:rPr>
                <w:rFonts w:ascii="宋体" w:hAnsi="宋体" w:cs="宋体"/>
                <w:color w:val="FF0000"/>
                <w:kern w:val="0"/>
                <w:szCs w:val="21"/>
              </w:rPr>
            </w:pPr>
            <w:r>
              <w:rPr>
                <w:rFonts w:hint="eastAsia" w:ascii="宋体" w:hAnsi="宋体" w:cs="宋体"/>
                <w:color w:val="auto"/>
                <w:kern w:val="0"/>
              </w:rPr>
              <w:t>目标</w:t>
            </w:r>
          </w:p>
        </w:tc>
        <w:tc>
          <w:tcPr>
            <w:tcW w:w="8185" w:type="dxa"/>
            <w:noWrap/>
            <w:vAlign w:val="center"/>
          </w:tcPr>
          <w:p>
            <w:pPr>
              <w:pStyle w:val="7"/>
              <w:ind w:firstLine="480"/>
              <w:rPr>
                <w:color w:val="auto"/>
              </w:rPr>
            </w:pPr>
            <w:r>
              <w:rPr>
                <w:rFonts w:hint="eastAsia"/>
                <w:color w:val="auto"/>
              </w:rPr>
              <w:t>通过现场调查了解，本项目场界外 500m 范围内无自然保护区、风景名胜区等，主要环境空气保护目标为居民区。本项目厂界外 50m 范围内无学校等声环境保护目标，主要声环境保护目标为居民区，500m 范围内无地下水集中式饮用水水源和热水、矿泉水、温泉等特殊地下水资源。环保目标如下表所示</w:t>
            </w:r>
            <w:r>
              <w:rPr>
                <w:color w:val="auto"/>
              </w:rPr>
              <w:t>。</w:t>
            </w:r>
          </w:p>
          <w:p>
            <w:pPr>
              <w:pStyle w:val="46"/>
              <w:tabs>
                <w:tab w:val="left" w:pos="1021"/>
              </w:tabs>
              <w:rPr>
                <w:color w:val="auto"/>
                <w:u w:val="none"/>
              </w:rPr>
            </w:pPr>
            <w:r>
              <w:rPr>
                <w:rFonts w:hint="eastAsia" w:ascii="Times New Roman" w:hAnsi="Times New Roman" w:eastAsia="宋体" w:cs="Times New Roman"/>
                <w:b/>
                <w:kern w:val="0"/>
                <w:sz w:val="21"/>
                <w:szCs w:val="21"/>
                <w:u w:val="none"/>
                <w:lang w:val="en-US" w:eastAsia="zh-CN" w:bidi="ar-SA"/>
              </w:rPr>
              <w:t>表3.2-1  主要环境保护目标及保护对象</w:t>
            </w:r>
          </w:p>
          <w:tbl>
            <w:tblPr>
              <w:tblStyle w:val="31"/>
              <w:tblW w:w="805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5"/>
              <w:gridCol w:w="686"/>
              <w:gridCol w:w="1106"/>
              <w:gridCol w:w="1095"/>
              <w:gridCol w:w="802"/>
              <w:gridCol w:w="781"/>
              <w:gridCol w:w="818"/>
              <w:gridCol w:w="444"/>
              <w:gridCol w:w="876"/>
              <w:gridCol w:w="71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tcBorders>
                    <w:tl2br w:val="nil"/>
                    <w:tr2bl w:val="nil"/>
                  </w:tcBorders>
                  <w:vAlign w:val="center"/>
                </w:tcPr>
                <w:p>
                  <w:pPr>
                    <w:pStyle w:val="45"/>
                    <w:rPr>
                      <w:color w:val="auto"/>
                      <w:u w:val="none"/>
                    </w:rPr>
                  </w:pPr>
                  <w:r>
                    <w:rPr>
                      <w:rFonts w:hint="eastAsia"/>
                      <w:color w:val="auto"/>
                      <w:u w:val="none"/>
                    </w:rPr>
                    <w:t>环境要素</w:t>
                  </w:r>
                </w:p>
              </w:tc>
              <w:tc>
                <w:tcPr>
                  <w:tcW w:w="426" w:type="pct"/>
                  <w:tcBorders>
                    <w:tl2br w:val="nil"/>
                    <w:tr2bl w:val="nil"/>
                  </w:tcBorders>
                  <w:vAlign w:val="center"/>
                </w:tcPr>
                <w:p>
                  <w:pPr>
                    <w:pStyle w:val="45"/>
                    <w:rPr>
                      <w:color w:val="auto"/>
                      <w:u w:val="none"/>
                    </w:rPr>
                  </w:pPr>
                  <w:r>
                    <w:rPr>
                      <w:rFonts w:hint="eastAsia"/>
                      <w:color w:val="auto"/>
                      <w:u w:val="none"/>
                    </w:rPr>
                    <w:t>名称</w:t>
                  </w:r>
                </w:p>
              </w:tc>
              <w:tc>
                <w:tcPr>
                  <w:tcW w:w="68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none"/>
                    </w:rPr>
                  </w:pPr>
                  <w:r>
                    <w:rPr>
                      <w:rFonts w:hint="eastAsia"/>
                      <w:color w:val="auto"/>
                      <w:u w:val="single"/>
                      <w:lang w:val="en-US" w:eastAsia="zh-CN"/>
                    </w:rPr>
                    <w:t>X</w:t>
                  </w:r>
                </w:p>
              </w:tc>
              <w:tc>
                <w:tcPr>
                  <w:tcW w:w="680"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none"/>
                    </w:rPr>
                  </w:pPr>
                  <w:r>
                    <w:rPr>
                      <w:rFonts w:hint="eastAsia"/>
                      <w:color w:val="auto"/>
                      <w:u w:val="single"/>
                      <w:lang w:val="en-US" w:eastAsia="zh-CN"/>
                    </w:rPr>
                    <w:t>Y</w:t>
                  </w:r>
                </w:p>
              </w:tc>
              <w:tc>
                <w:tcPr>
                  <w:tcW w:w="498" w:type="pct"/>
                  <w:tcBorders>
                    <w:tl2br w:val="nil"/>
                    <w:tr2bl w:val="nil"/>
                  </w:tcBorders>
                  <w:vAlign w:val="center"/>
                </w:tcPr>
                <w:p>
                  <w:pPr>
                    <w:pStyle w:val="45"/>
                    <w:rPr>
                      <w:color w:val="auto"/>
                      <w:u w:val="none"/>
                    </w:rPr>
                  </w:pPr>
                  <w:r>
                    <w:rPr>
                      <w:color w:val="auto"/>
                      <w:u w:val="none"/>
                    </w:rPr>
                    <w:t>保护对象</w:t>
                  </w:r>
                </w:p>
              </w:tc>
              <w:tc>
                <w:tcPr>
                  <w:tcW w:w="483" w:type="pct"/>
                  <w:tcBorders>
                    <w:tl2br w:val="nil"/>
                    <w:tr2bl w:val="nil"/>
                  </w:tcBorders>
                  <w:vAlign w:val="center"/>
                </w:tcPr>
                <w:p>
                  <w:pPr>
                    <w:pStyle w:val="45"/>
                    <w:rPr>
                      <w:rFonts w:hint="default" w:eastAsia="宋体"/>
                      <w:color w:val="auto"/>
                      <w:u w:val="none"/>
                      <w:lang w:val="en-US" w:eastAsia="zh-CN"/>
                    </w:rPr>
                  </w:pPr>
                  <w:r>
                    <w:rPr>
                      <w:rFonts w:hint="eastAsia"/>
                      <w:color w:val="auto"/>
                      <w:u w:val="none"/>
                      <w:lang w:val="en-US" w:eastAsia="zh-CN"/>
                    </w:rPr>
                    <w:t>规模/人</w:t>
                  </w:r>
                </w:p>
              </w:tc>
              <w:tc>
                <w:tcPr>
                  <w:tcW w:w="508" w:type="pct"/>
                  <w:tcBorders>
                    <w:tl2br w:val="nil"/>
                    <w:tr2bl w:val="nil"/>
                  </w:tcBorders>
                  <w:vAlign w:val="center"/>
                </w:tcPr>
                <w:p>
                  <w:pPr>
                    <w:pStyle w:val="45"/>
                    <w:rPr>
                      <w:color w:val="auto"/>
                      <w:u w:val="none"/>
                    </w:rPr>
                  </w:pPr>
                  <w:r>
                    <w:rPr>
                      <w:color w:val="auto"/>
                      <w:u w:val="none"/>
                    </w:rPr>
                    <w:t>环境功能区</w:t>
                  </w:r>
                </w:p>
              </w:tc>
              <w:tc>
                <w:tcPr>
                  <w:tcW w:w="276" w:type="pct"/>
                  <w:tcBorders>
                    <w:tl2br w:val="nil"/>
                    <w:tr2bl w:val="nil"/>
                  </w:tcBorders>
                  <w:vAlign w:val="center"/>
                </w:tcPr>
                <w:p>
                  <w:pPr>
                    <w:pStyle w:val="45"/>
                    <w:rPr>
                      <w:color w:val="auto"/>
                      <w:u w:val="none"/>
                    </w:rPr>
                  </w:pPr>
                  <w:r>
                    <w:rPr>
                      <w:color w:val="auto"/>
                      <w:u w:val="none"/>
                    </w:rPr>
                    <w:t>方位</w:t>
                  </w:r>
                </w:p>
              </w:tc>
              <w:tc>
                <w:tcPr>
                  <w:tcW w:w="544" w:type="pct"/>
                  <w:tcBorders>
                    <w:tl2br w:val="nil"/>
                    <w:tr2bl w:val="nil"/>
                  </w:tcBorders>
                  <w:vAlign w:val="center"/>
                </w:tcPr>
                <w:p>
                  <w:pPr>
                    <w:pStyle w:val="45"/>
                    <w:rPr>
                      <w:color w:val="auto"/>
                      <w:u w:val="none"/>
                    </w:rPr>
                  </w:pPr>
                  <w:r>
                    <w:rPr>
                      <w:color w:val="auto"/>
                      <w:u w:val="none"/>
                    </w:rPr>
                    <w:t>相对厂界距离/m</w:t>
                  </w:r>
                </w:p>
              </w:tc>
              <w:tc>
                <w:tcPr>
                  <w:tcW w:w="444"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val="0"/>
                    <w:snapToGrid/>
                    <w:jc w:val="center"/>
                    <w:textAlignment w:val="baseline"/>
                    <w:rPr>
                      <w:color w:val="auto"/>
                      <w:u w:val="none"/>
                    </w:rPr>
                  </w:pPr>
                  <w:r>
                    <w:rPr>
                      <w:color w:val="auto"/>
                      <w:u w:val="single"/>
                    </w:rPr>
                    <w:t>保护</w:t>
                  </w:r>
                  <w:r>
                    <w:rPr>
                      <w:rFonts w:hint="eastAsia"/>
                      <w:color w:val="auto"/>
                      <w:u w:val="single"/>
                      <w:lang w:val="en-US" w:eastAsia="zh-CN"/>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restar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环境</w:t>
                  </w:r>
                </w:p>
                <w:p>
                  <w:pPr>
                    <w:pStyle w:val="45"/>
                    <w:rPr>
                      <w:rFonts w:hint="eastAsia"/>
                      <w:color w:val="auto"/>
                      <w:u w:val="none"/>
                      <w:lang w:val="en-US" w:eastAsia="zh-CN"/>
                    </w:rPr>
                  </w:pPr>
                  <w:r>
                    <w:rPr>
                      <w:rFonts w:hint="eastAsia"/>
                      <w:color w:val="auto"/>
                      <w:u w:val="none"/>
                      <w:lang w:val="en-US" w:eastAsia="zh-CN"/>
                    </w:rPr>
                    <w:t>空气</w:t>
                  </w: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龙之源幼儿园</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113.476688595</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29.475412746</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师生</w:t>
                  </w:r>
                </w:p>
              </w:tc>
              <w:tc>
                <w:tcPr>
                  <w:tcW w:w="483"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100</w:t>
                  </w:r>
                </w:p>
              </w:tc>
              <w:tc>
                <w:tcPr>
                  <w:tcW w:w="508" w:type="pct"/>
                  <w:vMerge w:val="restar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二类区</w:t>
                  </w: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东</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140</w:t>
                  </w:r>
                </w:p>
              </w:tc>
              <w:tc>
                <w:tcPr>
                  <w:tcW w:w="444" w:type="pct"/>
                  <w:vMerge w:val="restar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none"/>
                      <w:lang w:val="en-US" w:eastAsia="zh-CN"/>
                    </w:rPr>
                  </w:pPr>
                  <w:r>
                    <w:rPr>
                      <w:rFonts w:hint="eastAsia"/>
                      <w:color w:val="auto"/>
                      <w:u w:val="single"/>
                      <w:lang w:val="en-US" w:eastAsia="zh-CN"/>
                    </w:rPr>
                    <w:t>《环境空气质量标准》（</w:t>
                  </w:r>
                  <w:r>
                    <w:rPr>
                      <w:rFonts w:hint="default"/>
                      <w:color w:val="auto"/>
                      <w:u w:val="single"/>
                      <w:lang w:val="en-US" w:eastAsia="zh-CN"/>
                    </w:rPr>
                    <w:t>GB 3095-2012</w:t>
                  </w:r>
                  <w:r>
                    <w:rPr>
                      <w:rFonts w:hint="eastAsia"/>
                      <w:color w:val="auto"/>
                      <w:u w:val="single"/>
                      <w:lang w:val="en-US" w:eastAsia="zh-CN"/>
                    </w:rPr>
                    <w:t>）和</w:t>
                  </w:r>
                  <w:r>
                    <w:rPr>
                      <w:rFonts w:hint="default"/>
                      <w:color w:val="auto"/>
                      <w:u w:val="single"/>
                      <w:lang w:val="en-US" w:eastAsia="zh-CN"/>
                    </w:rPr>
                    <w:t xml:space="preserve">2018 </w:t>
                  </w:r>
                  <w:r>
                    <w:rPr>
                      <w:rFonts w:hint="eastAsia"/>
                      <w:color w:val="auto"/>
                      <w:u w:val="single"/>
                      <w:lang w:val="en-US" w:eastAsia="zh-CN"/>
                    </w:rPr>
                    <w:t>修改单的二级标准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童心实验幼儿园</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113.476358684</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29.476085981</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学生</w:t>
                  </w:r>
                </w:p>
              </w:tc>
              <w:tc>
                <w:tcPr>
                  <w:tcW w:w="483"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100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东</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130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福桥花园</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113.478515180</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29.474819978</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居民</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3200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东</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320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临湘市第二完小</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113.476809295</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29.471933921</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师生</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300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南</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395</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南侧居民</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113.475039037</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29.474948724</w:t>
                  </w:r>
                </w:p>
              </w:tc>
              <w:tc>
                <w:tcPr>
                  <w:tcW w:w="498"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居民</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18000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南</w:t>
                  </w:r>
                </w:p>
              </w:tc>
              <w:tc>
                <w:tcPr>
                  <w:tcW w:w="544"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1-500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西侧居民</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113.474406035</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29.475120385</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居民</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15000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西</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北侧居民</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113.475157054</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29.476085981</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居民</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12500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北</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25-500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苗苗幼儿园</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113.473354609</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29.479615768</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师生</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北</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470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426"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临湘市第七中学</w:t>
                  </w:r>
                </w:p>
              </w:tc>
              <w:tc>
                <w:tcPr>
                  <w:tcW w:w="687"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113.473086389</w:t>
                  </w:r>
                </w:p>
              </w:tc>
              <w:tc>
                <w:tcPr>
                  <w:tcW w:w="680" w:type="pct"/>
                  <w:tcBorders>
                    <w:tl2br w:val="nil"/>
                    <w:tr2bl w:val="nil"/>
                  </w:tcBorders>
                  <w:vAlign w:val="center"/>
                </w:tcPr>
                <w:p>
                  <w:pPr>
                    <w:pStyle w:val="45"/>
                    <w:rPr>
                      <w:rFonts w:hint="eastAsia"/>
                      <w:color w:val="auto"/>
                      <w:u w:val="single"/>
                      <w:lang w:val="en-US" w:eastAsia="zh-CN"/>
                    </w:rPr>
                  </w:pPr>
                  <w:r>
                    <w:rPr>
                      <w:rFonts w:hint="eastAsia"/>
                      <w:color w:val="auto"/>
                      <w:u w:val="single"/>
                      <w:lang w:val="en-US" w:eastAsia="zh-CN"/>
                    </w:rPr>
                    <w:t>29.479862531</w:t>
                  </w:r>
                </w:p>
              </w:tc>
              <w:tc>
                <w:tcPr>
                  <w:tcW w:w="498"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师生</w:t>
                  </w:r>
                </w:p>
              </w:tc>
              <w:tc>
                <w:tcPr>
                  <w:tcW w:w="483"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1200</w:t>
                  </w: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北</w:t>
                  </w:r>
                </w:p>
              </w:tc>
              <w:tc>
                <w:tcPr>
                  <w:tcW w:w="544"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restar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声环境</w:t>
                  </w:r>
                </w:p>
              </w:tc>
              <w:tc>
                <w:tcPr>
                  <w:tcW w:w="2776" w:type="pct"/>
                  <w:gridSpan w:val="5"/>
                  <w:vMerge w:val="restar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五里牌街道居民</w:t>
                  </w:r>
                </w:p>
              </w:tc>
              <w:tc>
                <w:tcPr>
                  <w:tcW w:w="508" w:type="pct"/>
                  <w:vMerge w:val="restar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二类区</w:t>
                  </w: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东</w:t>
                  </w:r>
                </w:p>
              </w:tc>
              <w:tc>
                <w:tcPr>
                  <w:tcW w:w="544"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1-500</w:t>
                  </w:r>
                </w:p>
              </w:tc>
              <w:tc>
                <w:tcPr>
                  <w:tcW w:w="444" w:type="pct"/>
                  <w:vMerge w:val="restart"/>
                  <w:tcBorders>
                    <w:tl2br w:val="nil"/>
                    <w:tr2bl w:val="nil"/>
                  </w:tcBorders>
                  <w:vAlign w:val="center"/>
                </w:tcPr>
                <w:p>
                  <w:pPr>
                    <w:pStyle w:val="45"/>
                    <w:rPr>
                      <w:rFonts w:hint="eastAsia"/>
                      <w:color w:val="auto"/>
                      <w:u w:val="none"/>
                      <w:lang w:val="en-US" w:eastAsia="zh-CN"/>
                    </w:rPr>
                  </w:pPr>
                  <w:r>
                    <w:rPr>
                      <w:rFonts w:hint="eastAsia" w:ascii="宋体" w:hAnsi="宋体" w:eastAsia="宋体" w:cs="宋体"/>
                      <w:color w:val="auto"/>
                      <w:kern w:val="0"/>
                      <w:sz w:val="20"/>
                      <w:szCs w:val="20"/>
                      <w:lang w:val="en-US" w:eastAsia="zh-CN" w:bidi="ar"/>
                    </w:rPr>
                    <w:t>《声环境质量标准》（</w:t>
                  </w:r>
                  <w:r>
                    <w:rPr>
                      <w:rFonts w:hint="default" w:ascii="Times New Roman" w:hAnsi="Times New Roman" w:eastAsia="宋体" w:cs="Times New Roman"/>
                      <w:color w:val="auto"/>
                      <w:kern w:val="0"/>
                      <w:sz w:val="21"/>
                      <w:szCs w:val="21"/>
                      <w:lang w:val="en-US" w:eastAsia="zh-CN" w:bidi="ar"/>
                    </w:rPr>
                    <w:t>GB3096-2008</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2776" w:type="pct"/>
                  <w:gridSpan w:val="5"/>
                  <w:vMerge w:val="continue"/>
                  <w:tcBorders>
                    <w:tl2br w:val="nil"/>
                    <w:tr2bl w:val="nil"/>
                  </w:tcBorders>
                  <w:vAlign w:val="center"/>
                </w:tcPr>
                <w:p>
                  <w:pPr>
                    <w:pStyle w:val="45"/>
                    <w:rPr>
                      <w:rFonts w:hint="eastAsia"/>
                      <w:color w:val="auto"/>
                      <w:u w:val="none"/>
                      <w:lang w:val="en-US" w:eastAsia="zh-CN"/>
                    </w:rPr>
                  </w:pP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南</w:t>
                  </w:r>
                </w:p>
              </w:tc>
              <w:tc>
                <w:tcPr>
                  <w:tcW w:w="544"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1-500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2776" w:type="pct"/>
                  <w:gridSpan w:val="5"/>
                  <w:vMerge w:val="continue"/>
                  <w:tcBorders>
                    <w:tl2br w:val="nil"/>
                    <w:tr2bl w:val="nil"/>
                  </w:tcBorders>
                  <w:vAlign w:val="center"/>
                </w:tcPr>
                <w:p>
                  <w:pPr>
                    <w:pStyle w:val="45"/>
                    <w:rPr>
                      <w:rFonts w:hint="eastAsia"/>
                      <w:color w:val="auto"/>
                      <w:u w:val="none"/>
                      <w:lang w:val="en-US" w:eastAsia="zh-CN"/>
                    </w:rPr>
                  </w:pP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西</w:t>
                  </w:r>
                </w:p>
              </w:tc>
              <w:tc>
                <w:tcPr>
                  <w:tcW w:w="544"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1-500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vMerge w:val="continue"/>
                  <w:tcBorders>
                    <w:tl2br w:val="nil"/>
                    <w:tr2bl w:val="nil"/>
                  </w:tcBorders>
                  <w:vAlign w:val="center"/>
                </w:tcPr>
                <w:p>
                  <w:pPr>
                    <w:pStyle w:val="45"/>
                    <w:rPr>
                      <w:rFonts w:hint="eastAsia"/>
                      <w:color w:val="auto"/>
                      <w:u w:val="none"/>
                      <w:lang w:val="en-US" w:eastAsia="zh-CN"/>
                    </w:rPr>
                  </w:pPr>
                </w:p>
              </w:tc>
              <w:tc>
                <w:tcPr>
                  <w:tcW w:w="2776" w:type="pct"/>
                  <w:gridSpan w:val="5"/>
                  <w:vMerge w:val="continue"/>
                  <w:tcBorders>
                    <w:tl2br w:val="nil"/>
                    <w:tr2bl w:val="nil"/>
                  </w:tcBorders>
                  <w:vAlign w:val="center"/>
                </w:tcPr>
                <w:p>
                  <w:pPr>
                    <w:pStyle w:val="45"/>
                    <w:rPr>
                      <w:rFonts w:hint="eastAsia"/>
                      <w:color w:val="auto"/>
                      <w:u w:val="none"/>
                      <w:lang w:val="en-US" w:eastAsia="zh-CN"/>
                    </w:rPr>
                  </w:pPr>
                </w:p>
              </w:tc>
              <w:tc>
                <w:tcPr>
                  <w:tcW w:w="508" w:type="pct"/>
                  <w:vMerge w:val="continue"/>
                  <w:tcBorders>
                    <w:tl2br w:val="nil"/>
                    <w:tr2bl w:val="nil"/>
                  </w:tcBorders>
                  <w:vAlign w:val="center"/>
                </w:tcPr>
                <w:p>
                  <w:pPr>
                    <w:pStyle w:val="45"/>
                    <w:rPr>
                      <w:rFonts w:hint="eastAsia"/>
                      <w:color w:val="auto"/>
                      <w:u w:val="none"/>
                      <w:lang w:val="en-US" w:eastAsia="zh-CN"/>
                    </w:rPr>
                  </w:pPr>
                </w:p>
              </w:tc>
              <w:tc>
                <w:tcPr>
                  <w:tcW w:w="276"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北</w:t>
                  </w:r>
                </w:p>
              </w:tc>
              <w:tc>
                <w:tcPr>
                  <w:tcW w:w="544"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25-500</w:t>
                  </w:r>
                </w:p>
              </w:tc>
              <w:tc>
                <w:tcPr>
                  <w:tcW w:w="444" w:type="pct"/>
                  <w:vMerge w:val="continue"/>
                  <w:tcBorders>
                    <w:tl2br w:val="nil"/>
                    <w:tr2bl w:val="nil"/>
                  </w:tcBorders>
                  <w:vAlign w:val="center"/>
                </w:tcPr>
                <w:p>
                  <w:pPr>
                    <w:pStyle w:val="45"/>
                    <w:rPr>
                      <w:rFonts w:hint="eastAsia"/>
                      <w:color w:val="auto"/>
                      <w:u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tcBorders>
                    <w:tl2br w:val="nil"/>
                    <w:tr2bl w:val="nil"/>
                  </w:tcBorders>
                  <w:vAlign w:val="center"/>
                </w:tcPr>
                <w:p>
                  <w:pPr>
                    <w:pStyle w:val="45"/>
                    <w:rPr>
                      <w:rFonts w:hint="default"/>
                      <w:color w:val="auto"/>
                      <w:u w:val="none"/>
                      <w:lang w:val="en-US" w:eastAsia="zh-CN"/>
                    </w:rPr>
                  </w:pPr>
                  <w:r>
                    <w:rPr>
                      <w:rFonts w:hint="eastAsia"/>
                      <w:color w:val="auto"/>
                      <w:u w:val="none"/>
                      <w:lang w:val="en-US" w:eastAsia="zh-CN"/>
                    </w:rPr>
                    <w:t>地下水环境</w:t>
                  </w:r>
                </w:p>
              </w:tc>
              <w:tc>
                <w:tcPr>
                  <w:tcW w:w="4549" w:type="pct"/>
                  <w:gridSpan w:val="9"/>
                  <w:tcBorders>
                    <w:tl2br w:val="nil"/>
                    <w:tr2bl w:val="nil"/>
                  </w:tcBorders>
                  <w:vAlign w:val="center"/>
                </w:tcPr>
                <w:p>
                  <w:pPr>
                    <w:pStyle w:val="45"/>
                    <w:jc w:val="left"/>
                    <w:rPr>
                      <w:rFonts w:hint="eastAsia"/>
                      <w:color w:val="auto"/>
                      <w:u w:val="none"/>
                      <w:lang w:val="en-US" w:eastAsia="zh-CN"/>
                    </w:rPr>
                  </w:pPr>
                  <w:r>
                    <w:rPr>
                      <w:rFonts w:hint="eastAsia"/>
                      <w:color w:val="auto"/>
                      <w:u w:val="none"/>
                      <w:lang w:val="en-US" w:eastAsia="zh-CN"/>
                    </w:rPr>
                    <w:t>项目厂界外 500m 范围内无地下水集中式饮用水水源和热水、矿泉水、温泉等特殊地下水资源。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0" w:type="pc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生态环境</w:t>
                  </w:r>
                </w:p>
              </w:tc>
              <w:tc>
                <w:tcPr>
                  <w:tcW w:w="4549" w:type="pct"/>
                  <w:gridSpan w:val="9"/>
                  <w:tcBorders>
                    <w:tl2br w:val="nil"/>
                    <w:tr2bl w:val="nil"/>
                  </w:tcBorders>
                  <w:vAlign w:val="center"/>
                </w:tcPr>
                <w:p>
                  <w:pPr>
                    <w:pStyle w:val="45"/>
                    <w:jc w:val="left"/>
                    <w:rPr>
                      <w:rFonts w:hint="eastAsia"/>
                      <w:color w:val="auto"/>
                      <w:u w:val="none"/>
                      <w:lang w:val="en-US" w:eastAsia="zh-CN"/>
                    </w:rPr>
                  </w:pPr>
                  <w:r>
                    <w:rPr>
                      <w:rFonts w:hint="eastAsia"/>
                      <w:color w:val="auto"/>
                      <w:u w:val="none"/>
                      <w:lang w:val="en-US" w:eastAsia="zh-CN"/>
                    </w:rPr>
                    <w:t>项目所在地为城市建成区。区域城市建设绿化以各单位自行绿化和道路绿化为主，各单位以四周的种植观赏树木、花草为主，道路两侧全部为道路绿化。项目所在区域内没有珍稀植物和古树木及国家保护的珍稀植物。</w:t>
                  </w:r>
                </w:p>
              </w:tc>
            </w:tr>
          </w:tbl>
          <w:p>
            <w:pPr>
              <w:jc w:val="both"/>
              <w:rPr>
                <w:color w:val="FF0000"/>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tcMar>
              <w:left w:w="28" w:type="dxa"/>
              <w:right w:w="28" w:type="dxa"/>
            </w:tcMar>
            <w:vAlign w:val="center"/>
          </w:tcPr>
          <w:p>
            <w:pPr>
              <w:adjustRightInd w:val="0"/>
              <w:snapToGrid w:val="0"/>
              <w:jc w:val="center"/>
              <w:rPr>
                <w:rFonts w:ascii="宋体" w:hAnsi="宋体" w:cs="宋体"/>
                <w:color w:val="auto"/>
                <w:kern w:val="0"/>
              </w:rPr>
            </w:pPr>
            <w:r>
              <w:rPr>
                <w:rFonts w:hint="eastAsia" w:ascii="宋体" w:hAnsi="宋体" w:cs="宋体"/>
                <w:color w:val="auto"/>
                <w:kern w:val="0"/>
              </w:rPr>
              <w:t>污染</w:t>
            </w:r>
          </w:p>
          <w:p>
            <w:pPr>
              <w:adjustRightInd w:val="0"/>
              <w:snapToGrid w:val="0"/>
              <w:jc w:val="center"/>
              <w:rPr>
                <w:rFonts w:ascii="宋体" w:hAnsi="宋体" w:cs="宋体"/>
                <w:color w:val="auto"/>
                <w:kern w:val="0"/>
              </w:rPr>
            </w:pPr>
            <w:r>
              <w:rPr>
                <w:rFonts w:hint="eastAsia" w:ascii="宋体" w:hAnsi="宋体" w:cs="宋体"/>
                <w:color w:val="auto"/>
                <w:kern w:val="0"/>
              </w:rPr>
              <w:t>物排</w:t>
            </w:r>
          </w:p>
          <w:p>
            <w:pPr>
              <w:adjustRightInd w:val="0"/>
              <w:snapToGrid w:val="0"/>
              <w:jc w:val="center"/>
              <w:rPr>
                <w:rFonts w:ascii="宋体" w:hAnsi="宋体" w:cs="宋体"/>
                <w:color w:val="auto"/>
                <w:kern w:val="0"/>
              </w:rPr>
            </w:pPr>
            <w:r>
              <w:rPr>
                <w:rFonts w:hint="eastAsia" w:ascii="宋体" w:hAnsi="宋体" w:cs="宋体"/>
                <w:color w:val="auto"/>
                <w:kern w:val="0"/>
              </w:rPr>
              <w:t>放控</w:t>
            </w:r>
          </w:p>
          <w:p>
            <w:pPr>
              <w:adjustRightInd w:val="0"/>
              <w:snapToGrid w:val="0"/>
              <w:jc w:val="center"/>
              <w:rPr>
                <w:rFonts w:ascii="宋体" w:hAnsi="宋体" w:cs="宋体"/>
                <w:color w:val="auto"/>
                <w:kern w:val="0"/>
              </w:rPr>
            </w:pPr>
            <w:r>
              <w:rPr>
                <w:rFonts w:hint="eastAsia" w:ascii="宋体" w:hAnsi="宋体" w:cs="宋体"/>
                <w:color w:val="auto"/>
                <w:kern w:val="0"/>
              </w:rPr>
              <w:t>制标</w:t>
            </w:r>
          </w:p>
          <w:p>
            <w:pPr>
              <w:adjustRightInd w:val="0"/>
              <w:snapToGrid w:val="0"/>
              <w:jc w:val="center"/>
              <w:rPr>
                <w:rFonts w:ascii="宋体" w:hAnsi="宋体" w:cs="宋体"/>
                <w:color w:val="FF0000"/>
                <w:kern w:val="0"/>
                <w:szCs w:val="21"/>
              </w:rPr>
            </w:pPr>
            <w:r>
              <w:rPr>
                <w:rFonts w:hint="eastAsia" w:ascii="宋体" w:hAnsi="宋体" w:cs="宋体"/>
                <w:color w:val="auto"/>
                <w:kern w:val="0"/>
              </w:rPr>
              <w:t>准</w:t>
            </w:r>
          </w:p>
        </w:tc>
        <w:tc>
          <w:tcPr>
            <w:tcW w:w="8185" w:type="dxa"/>
            <w:noWrap/>
            <w:vAlign w:val="center"/>
          </w:tcPr>
          <w:p>
            <w:pPr>
              <w:pStyle w:val="7"/>
              <w:ind w:firstLine="480"/>
              <w:rPr>
                <w:color w:val="auto"/>
              </w:rPr>
            </w:pPr>
            <w:r>
              <w:rPr>
                <w:color w:val="auto"/>
              </w:rPr>
              <w:t>1、废水污染物排放标准</w:t>
            </w:r>
          </w:p>
          <w:p>
            <w:pPr>
              <w:pStyle w:val="7"/>
              <w:ind w:firstLine="480"/>
              <w:rPr>
                <w:color w:val="auto"/>
              </w:rPr>
            </w:pPr>
            <w:r>
              <w:rPr>
                <w:rFonts w:hint="eastAsia" w:ascii="Times New Roman" w:hAnsi="Times New Roman" w:eastAsia="宋体" w:cs="Times New Roman"/>
                <w:color w:val="auto"/>
                <w:kern w:val="2"/>
                <w:sz w:val="24"/>
                <w:szCs w:val="32"/>
                <w:highlight w:val="none"/>
                <w:u w:val="none" w:color="auto"/>
                <w:lang w:val="en-US" w:eastAsia="zh-CN" w:bidi="ar-SA"/>
              </w:rPr>
              <w:t>废水执行《医疗机构水污染物排放标准》（</w:t>
            </w:r>
            <w:r>
              <w:rPr>
                <w:rFonts w:hint="default" w:ascii="Times New Roman" w:hAnsi="Times New Roman" w:eastAsia="宋体" w:cs="Times New Roman"/>
                <w:color w:val="auto"/>
                <w:kern w:val="2"/>
                <w:sz w:val="24"/>
                <w:szCs w:val="32"/>
                <w:highlight w:val="none"/>
                <w:u w:val="none" w:color="auto"/>
                <w:lang w:val="en-US" w:eastAsia="zh-CN" w:bidi="ar-SA"/>
              </w:rPr>
              <w:t>GB18466-2005</w:t>
            </w:r>
            <w:r>
              <w:rPr>
                <w:rFonts w:hint="eastAsia" w:ascii="Times New Roman" w:hAnsi="Times New Roman" w:eastAsia="宋体" w:cs="Times New Roman"/>
                <w:color w:val="auto"/>
                <w:kern w:val="2"/>
                <w:sz w:val="24"/>
                <w:szCs w:val="32"/>
                <w:highlight w:val="none"/>
                <w:u w:val="none" w:color="auto"/>
                <w:lang w:val="en-US" w:eastAsia="zh-CN" w:bidi="ar-SA"/>
              </w:rPr>
              <w:t>）表</w:t>
            </w:r>
            <w:r>
              <w:rPr>
                <w:rFonts w:hint="default" w:ascii="Times New Roman" w:hAnsi="Times New Roman" w:eastAsia="宋体" w:cs="Times New Roman"/>
                <w:color w:val="auto"/>
                <w:kern w:val="2"/>
                <w:sz w:val="24"/>
                <w:szCs w:val="32"/>
                <w:highlight w:val="none"/>
                <w:u w:val="none" w:color="auto"/>
                <w:lang w:val="en-US" w:eastAsia="zh-CN" w:bidi="ar-SA"/>
              </w:rPr>
              <w:t>2</w:t>
            </w:r>
            <w:r>
              <w:rPr>
                <w:rFonts w:hint="eastAsia" w:ascii="Times New Roman" w:hAnsi="Times New Roman" w:eastAsia="宋体" w:cs="Times New Roman"/>
                <w:color w:val="auto"/>
                <w:kern w:val="2"/>
                <w:sz w:val="24"/>
                <w:szCs w:val="32"/>
                <w:highlight w:val="none"/>
                <w:u w:val="none" w:color="auto"/>
                <w:lang w:val="en-US" w:eastAsia="zh-CN" w:bidi="ar-SA"/>
              </w:rPr>
              <w:t>预处理标准及临湘市污水净化中心进水水质标准</w:t>
            </w:r>
            <w:r>
              <w:rPr>
                <w:rFonts w:hint="eastAsia" w:cs="Times New Roman"/>
                <w:color w:val="auto"/>
                <w:kern w:val="2"/>
                <w:sz w:val="24"/>
                <w:szCs w:val="32"/>
                <w:highlight w:val="none"/>
                <w:u w:val="none" w:color="auto"/>
                <w:lang w:val="en-US" w:eastAsia="zh-CN" w:bidi="ar-SA"/>
              </w:rPr>
              <w:t>中的较</w:t>
            </w:r>
            <w:r>
              <w:rPr>
                <w:rFonts w:hint="eastAsia" w:ascii="Times New Roman" w:hAnsi="Times New Roman" w:eastAsia="宋体" w:cs="Times New Roman"/>
                <w:color w:val="auto"/>
                <w:kern w:val="2"/>
                <w:sz w:val="24"/>
                <w:szCs w:val="32"/>
                <w:highlight w:val="none"/>
                <w:u w:val="none" w:color="auto"/>
                <w:lang w:val="en-US" w:eastAsia="zh-CN" w:bidi="ar-SA"/>
              </w:rPr>
              <w:t>严值</w:t>
            </w:r>
            <w:r>
              <w:rPr>
                <w:rFonts w:hint="eastAsia" w:cs="Times New Roman"/>
                <w:color w:val="auto"/>
                <w:kern w:val="2"/>
                <w:sz w:val="24"/>
                <w:szCs w:val="32"/>
                <w:highlight w:val="none"/>
                <w:u w:val="none" w:color="auto"/>
                <w:lang w:val="en-US" w:eastAsia="zh-CN" w:bidi="ar-SA"/>
              </w:rPr>
              <w:t>，达到排放标准后排入</w:t>
            </w:r>
            <w:r>
              <w:rPr>
                <w:rFonts w:hint="eastAsia" w:ascii="Times New Roman" w:hAnsi="Times New Roman" w:eastAsia="宋体" w:cs="Times New Roman"/>
                <w:color w:val="auto"/>
                <w:kern w:val="2"/>
                <w:sz w:val="24"/>
                <w:szCs w:val="32"/>
                <w:highlight w:val="none"/>
                <w:u w:val="none" w:color="auto"/>
                <w:lang w:val="en-US" w:eastAsia="zh-CN" w:bidi="ar-SA"/>
              </w:rPr>
              <w:t>临湘市污水净化中心进一步处理达标后外排长安河。具体详见下表</w:t>
            </w:r>
            <w:r>
              <w:rPr>
                <w:rFonts w:hint="eastAsia" w:cs="Times New Roman"/>
                <w:color w:val="auto"/>
                <w:kern w:val="2"/>
                <w:sz w:val="24"/>
                <w:szCs w:val="32"/>
                <w:highlight w:val="none"/>
                <w:u w:val="none" w:color="auto"/>
                <w:lang w:val="en-US" w:eastAsia="zh-CN" w:bidi="ar-SA"/>
              </w:rPr>
              <w:t>：</w:t>
            </w:r>
          </w:p>
          <w:p>
            <w:pPr>
              <w:pStyle w:val="46"/>
              <w:rPr>
                <w:color w:val="auto"/>
              </w:rPr>
            </w:pPr>
            <w:r>
              <w:rPr>
                <w:rFonts w:hint="eastAsia" w:ascii="Times New Roman" w:hAnsi="Times New Roman" w:eastAsia="宋体" w:cs="Times New Roman"/>
                <w:b/>
                <w:kern w:val="0"/>
                <w:sz w:val="21"/>
                <w:szCs w:val="21"/>
                <w:u w:val="none"/>
                <w:lang w:val="en-US" w:eastAsia="zh-CN" w:bidi="ar-SA"/>
              </w:rPr>
              <w:t xml:space="preserve">表3.3-1医疗机构水污染物排放标准 </w:t>
            </w:r>
            <w:r>
              <w:rPr>
                <w:rFonts w:hint="eastAsia"/>
                <w:bCs/>
                <w:color w:val="auto"/>
                <w:highlight w:val="none"/>
              </w:rPr>
              <w:t>mg/L</w:t>
            </w:r>
          </w:p>
          <w:tbl>
            <w:tblPr>
              <w:tblStyle w:val="31"/>
              <w:tblW w:w="793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91"/>
              <w:gridCol w:w="1938"/>
              <w:gridCol w:w="1988"/>
              <w:gridCol w:w="1322"/>
              <w:gridCol w:w="209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序号</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项目类别</w:t>
                  </w:r>
                </w:p>
              </w:tc>
              <w:tc>
                <w:tcPr>
                  <w:tcW w:w="1960" w:type="dxa"/>
                  <w:tcBorders>
                    <w:tl2br w:val="nil"/>
                    <w:tr2bl w:val="nil"/>
                  </w:tcBorders>
                  <w:vAlign w:val="center"/>
                </w:tcPr>
                <w:p>
                  <w:pPr>
                    <w:pStyle w:val="45"/>
                    <w:spacing w:line="276" w:lineRule="auto"/>
                    <w:rPr>
                      <w:color w:val="auto"/>
                      <w:highlight w:val="none"/>
                      <w:u w:val="none"/>
                    </w:rPr>
                  </w:pPr>
                  <w:r>
                    <w:rPr>
                      <w:bCs/>
                      <w:color w:val="auto"/>
                      <w:highlight w:val="none"/>
                      <w:u w:val="none"/>
                    </w:rPr>
                    <w:t>预处理标准</w:t>
                  </w:r>
                </w:p>
              </w:tc>
              <w:tc>
                <w:tcPr>
                  <w:tcW w:w="1303" w:type="dxa"/>
                  <w:tcBorders>
                    <w:tl2br w:val="nil"/>
                    <w:tr2bl w:val="nil"/>
                  </w:tcBorders>
                  <w:vAlign w:val="center"/>
                </w:tcPr>
                <w:p>
                  <w:pPr>
                    <w:pStyle w:val="45"/>
                    <w:spacing w:line="276" w:lineRule="auto"/>
                    <w:rPr>
                      <w:color w:val="auto"/>
                      <w:highlight w:val="none"/>
                      <w:u w:val="none"/>
                    </w:rPr>
                  </w:pPr>
                  <w:r>
                    <w:rPr>
                      <w:rFonts w:hint="eastAsia"/>
                      <w:bCs/>
                      <w:color w:val="auto"/>
                      <w:highlight w:val="none"/>
                      <w:u w:val="none"/>
                      <w:lang w:val="en-US" w:eastAsia="zh-CN"/>
                    </w:rPr>
                    <w:t>纳管标准</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本项目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1</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pH</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6~9（无量纲）</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6</w:t>
                  </w:r>
                  <w:r>
                    <w:rPr>
                      <w:color w:val="auto"/>
                      <w:highlight w:val="none"/>
                      <w:u w:val="none"/>
                    </w:rPr>
                    <w:t>~</w:t>
                  </w:r>
                  <w:r>
                    <w:rPr>
                      <w:rFonts w:hint="eastAsia"/>
                      <w:color w:val="auto"/>
                      <w:highlight w:val="none"/>
                      <w:u w:val="none"/>
                    </w:rPr>
                    <w:t>9（无量纲）</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2</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COD</w:t>
                  </w:r>
                  <w:r>
                    <w:rPr>
                      <w:rFonts w:hint="eastAsia" w:ascii="宋体" w:hAnsi="宋体" w:cs="宋体"/>
                      <w:color w:val="auto"/>
                      <w:highlight w:val="none"/>
                      <w:u w:val="none"/>
                    </w:rPr>
                    <w:t>cr</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250</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300</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250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3</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BOD</w:t>
                  </w:r>
                  <w:r>
                    <w:rPr>
                      <w:color w:val="auto"/>
                      <w:highlight w:val="none"/>
                      <w:u w:val="none"/>
                      <w:vertAlign w:val="subscript"/>
                    </w:rPr>
                    <w:t>5</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100</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150</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4</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SS</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60</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150</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60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5</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氨氮</w:t>
                  </w:r>
                </w:p>
              </w:tc>
              <w:tc>
                <w:tcPr>
                  <w:tcW w:w="1960" w:type="dxa"/>
                  <w:tcBorders>
                    <w:tl2br w:val="nil"/>
                    <w:tr2bl w:val="nil"/>
                  </w:tcBorders>
                  <w:vAlign w:val="center"/>
                </w:tcPr>
                <w:p>
                  <w:pPr>
                    <w:pStyle w:val="75"/>
                    <w:rPr>
                      <w:rFonts w:hint="default"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50</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6</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粪大肠菌群数</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5000</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5000（MPN/L）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7</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动植物油</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20</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8</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阴离子表面活性剂</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10</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9</w:t>
                  </w:r>
                </w:p>
              </w:tc>
              <w:tc>
                <w:tcPr>
                  <w:tcW w:w="1910"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总余氯</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2~8</w:t>
                  </w:r>
                </w:p>
              </w:tc>
              <w:tc>
                <w:tcPr>
                  <w:tcW w:w="1303" w:type="dxa"/>
                  <w:tcBorders>
                    <w:tl2br w:val="nil"/>
                    <w:tr2bl w:val="nil"/>
                  </w:tcBorders>
                  <w:vAlign w:val="center"/>
                </w:tcPr>
                <w:p>
                  <w:pPr>
                    <w:pStyle w:val="45"/>
                    <w:spacing w:line="276" w:lineRule="auto"/>
                    <w:rPr>
                      <w:rFonts w:hint="eastAsia"/>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eastAsia" w:eastAsia="宋体"/>
                      <w:color w:val="auto"/>
                      <w:highlight w:val="none"/>
                      <w:u w:val="none"/>
                      <w:lang w:eastAsia="zh-CN"/>
                    </w:rPr>
                  </w:pPr>
                  <w:r>
                    <w:rPr>
                      <w:rFonts w:hint="eastAsia"/>
                      <w:color w:val="auto"/>
                      <w:highlight w:val="none"/>
                      <w:u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w:t>
                  </w:r>
                </w:p>
              </w:tc>
              <w:tc>
                <w:tcPr>
                  <w:tcW w:w="1910"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石油类</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highlight w:val="none"/>
                      <w:u w:val="none"/>
                      <w:lang w:val="en-US" w:eastAsia="zh-CN"/>
                    </w:rPr>
                    <w:t>20</w:t>
                  </w:r>
                </w:p>
              </w:tc>
              <w:tc>
                <w:tcPr>
                  <w:tcW w:w="1303" w:type="dxa"/>
                  <w:tcBorders>
                    <w:tl2br w:val="nil"/>
                    <w:tr2bl w:val="nil"/>
                  </w:tcBorders>
                  <w:vAlign w:val="center"/>
                </w:tcPr>
                <w:p>
                  <w:pPr>
                    <w:pStyle w:val="45"/>
                    <w:spacing w:line="276" w:lineRule="auto"/>
                    <w:rPr>
                      <w:rFonts w:hint="eastAsia"/>
                      <w:color w:val="auto"/>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11</w:t>
                  </w:r>
                </w:p>
              </w:tc>
              <w:tc>
                <w:tcPr>
                  <w:tcW w:w="1910" w:type="dxa"/>
                  <w:tcBorders>
                    <w:tl2br w:val="nil"/>
                    <w:tr2bl w:val="nil"/>
                  </w:tcBorders>
                  <w:vAlign w:val="center"/>
                </w:tcPr>
                <w:p>
                  <w:pPr>
                    <w:pStyle w:val="45"/>
                    <w:spacing w:line="276" w:lineRule="auto"/>
                    <w:rPr>
                      <w:rFonts w:hint="eastAsia" w:eastAsia="宋体"/>
                      <w:color w:val="auto"/>
                      <w:highlight w:val="none"/>
                      <w:u w:val="none"/>
                      <w:lang w:val="en-US" w:eastAsia="zh-CN"/>
                    </w:rPr>
                  </w:pPr>
                  <w:r>
                    <w:rPr>
                      <w:rFonts w:hint="eastAsia"/>
                      <w:color w:val="auto"/>
                      <w:highlight w:val="none"/>
                      <w:u w:val="none"/>
                      <w:lang w:val="en-US" w:eastAsia="zh-CN"/>
                    </w:rPr>
                    <w:t>挥发酚</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highlight w:val="none"/>
                      <w:u w:val="none"/>
                      <w:lang w:val="en-US" w:eastAsia="zh-CN"/>
                    </w:rPr>
                    <w:t>1.0</w:t>
                  </w:r>
                </w:p>
              </w:tc>
              <w:tc>
                <w:tcPr>
                  <w:tcW w:w="1303" w:type="dxa"/>
                  <w:tcBorders>
                    <w:tl2br w:val="nil"/>
                    <w:tr2bl w:val="nil"/>
                  </w:tcBorders>
                  <w:vAlign w:val="center"/>
                </w:tcPr>
                <w:p>
                  <w:pPr>
                    <w:pStyle w:val="45"/>
                    <w:spacing w:line="276" w:lineRule="auto"/>
                    <w:rPr>
                      <w:rFonts w:hint="eastAsia"/>
                      <w:color w:val="auto"/>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12</w:t>
                  </w:r>
                </w:p>
              </w:tc>
              <w:tc>
                <w:tcPr>
                  <w:tcW w:w="1910"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总氰化物</w:t>
                  </w:r>
                </w:p>
              </w:tc>
              <w:tc>
                <w:tcPr>
                  <w:tcW w:w="1960" w:type="dxa"/>
                  <w:tcBorders>
                    <w:tl2br w:val="nil"/>
                    <w:tr2bl w:val="nil"/>
                  </w:tcBorders>
                  <w:vAlign w:val="center"/>
                </w:tcPr>
                <w:p>
                  <w:pPr>
                    <w:pStyle w:val="75"/>
                    <w:rPr>
                      <w:rFonts w:hint="eastAsia"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highlight w:val="none"/>
                      <w:u w:val="none"/>
                      <w:lang w:val="en-US" w:eastAsia="zh-CN"/>
                    </w:rPr>
                    <w:t>0.5</w:t>
                  </w:r>
                </w:p>
              </w:tc>
              <w:tc>
                <w:tcPr>
                  <w:tcW w:w="1303" w:type="dxa"/>
                  <w:tcBorders>
                    <w:tl2br w:val="nil"/>
                    <w:tr2bl w:val="nil"/>
                  </w:tcBorders>
                  <w:vAlign w:val="center"/>
                </w:tcPr>
                <w:p>
                  <w:pPr>
                    <w:pStyle w:val="45"/>
                    <w:spacing w:line="276" w:lineRule="auto"/>
                    <w:rPr>
                      <w:rFonts w:hint="eastAsia"/>
                      <w:color w:val="auto"/>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0.5</w:t>
                  </w:r>
                </w:p>
              </w:tc>
            </w:tr>
          </w:tbl>
          <w:p>
            <w:pPr>
              <w:pStyle w:val="7"/>
              <w:ind w:firstLine="480"/>
              <w:rPr>
                <w:color w:val="auto"/>
              </w:rPr>
            </w:pPr>
            <w:r>
              <w:rPr>
                <w:rFonts w:hint="eastAsia"/>
                <w:color w:val="auto"/>
              </w:rPr>
              <w:t>2、</w:t>
            </w:r>
            <w:r>
              <w:rPr>
                <w:color w:val="auto"/>
              </w:rPr>
              <w:t>废气污染物排放标准</w:t>
            </w:r>
          </w:p>
          <w:p>
            <w:pPr>
              <w:pStyle w:val="7"/>
              <w:ind w:firstLine="480"/>
              <w:rPr>
                <w:color w:val="auto"/>
              </w:rPr>
            </w:pPr>
            <w:r>
              <w:rPr>
                <w:color w:val="auto"/>
              </w:rPr>
              <w:t>医院污水处理站</w:t>
            </w:r>
            <w:r>
              <w:rPr>
                <w:rFonts w:hint="eastAsia"/>
                <w:color w:val="auto"/>
              </w:rPr>
              <w:t>周边大气污染物</w:t>
            </w:r>
            <w:r>
              <w:rPr>
                <w:color w:val="auto"/>
              </w:rPr>
              <w:t>执行《医疗机构水污染物排放标准》（GB18466-2005）表3中标准</w:t>
            </w:r>
            <w:r>
              <w:rPr>
                <w:rFonts w:hint="eastAsia"/>
                <w:color w:val="auto"/>
              </w:rPr>
              <w:t>。具体详见下表。</w:t>
            </w:r>
          </w:p>
          <w:p>
            <w:pPr>
              <w:pStyle w:val="46"/>
              <w:rPr>
                <w:color w:val="auto"/>
              </w:rPr>
            </w:pPr>
            <w:r>
              <w:rPr>
                <w:rFonts w:hint="eastAsia"/>
                <w:color w:val="auto"/>
              </w:rPr>
              <w:t xml:space="preserve">表3.3-2 </w:t>
            </w:r>
            <w:r>
              <w:rPr>
                <w:color w:val="auto"/>
              </w:rPr>
              <w:t>污水处理站周边大气污染物排放最高允许浓度</w:t>
            </w:r>
          </w:p>
          <w:tbl>
            <w:tblPr>
              <w:tblStyle w:val="32"/>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488"/>
              <w:gridCol w:w="950"/>
              <w:gridCol w:w="1540"/>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5"/>
                    <w:rPr>
                      <w:color w:val="auto"/>
                    </w:rPr>
                  </w:pPr>
                  <w:r>
                    <w:rPr>
                      <w:rFonts w:hint="eastAsia"/>
                      <w:color w:val="auto"/>
                    </w:rPr>
                    <w:t>序号</w:t>
                  </w:r>
                </w:p>
              </w:tc>
              <w:tc>
                <w:tcPr>
                  <w:tcW w:w="2488" w:type="dxa"/>
                  <w:vAlign w:val="center"/>
                </w:tcPr>
                <w:p>
                  <w:pPr>
                    <w:pStyle w:val="45"/>
                    <w:rPr>
                      <w:color w:val="auto"/>
                    </w:rPr>
                  </w:pPr>
                  <w:r>
                    <w:rPr>
                      <w:rFonts w:hint="eastAsia"/>
                      <w:color w:val="auto"/>
                    </w:rPr>
                    <w:t>污染物</w:t>
                  </w:r>
                </w:p>
              </w:tc>
              <w:tc>
                <w:tcPr>
                  <w:tcW w:w="950" w:type="dxa"/>
                  <w:vAlign w:val="center"/>
                </w:tcPr>
                <w:p>
                  <w:pPr>
                    <w:pStyle w:val="45"/>
                    <w:rPr>
                      <w:color w:val="auto"/>
                    </w:rPr>
                  </w:pPr>
                  <w:r>
                    <w:rPr>
                      <w:rFonts w:hint="eastAsia"/>
                      <w:color w:val="auto"/>
                    </w:rPr>
                    <w:t>单位</w:t>
                  </w:r>
                </w:p>
              </w:tc>
              <w:tc>
                <w:tcPr>
                  <w:tcW w:w="1540" w:type="dxa"/>
                  <w:vAlign w:val="center"/>
                </w:tcPr>
                <w:p>
                  <w:pPr>
                    <w:pStyle w:val="45"/>
                    <w:rPr>
                      <w:color w:val="auto"/>
                    </w:rPr>
                  </w:pPr>
                  <w:r>
                    <w:rPr>
                      <w:rFonts w:hint="eastAsia"/>
                      <w:color w:val="auto"/>
                    </w:rPr>
                    <w:t>二级新扩改建</w:t>
                  </w:r>
                </w:p>
              </w:tc>
              <w:tc>
                <w:tcPr>
                  <w:tcW w:w="2269" w:type="dxa"/>
                  <w:vAlign w:val="center"/>
                </w:tcPr>
                <w:p>
                  <w:pPr>
                    <w:pStyle w:val="45"/>
                    <w:rPr>
                      <w:color w:val="auto"/>
                    </w:rPr>
                  </w:pPr>
                  <w:r>
                    <w:rPr>
                      <w:rFonts w:hint="eastAsia"/>
                      <w:color w:val="auto"/>
                    </w:rPr>
                    <w:t>标准名称及级（类）别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5"/>
                    <w:rPr>
                      <w:color w:val="auto"/>
                    </w:rPr>
                  </w:pPr>
                  <w:r>
                    <w:rPr>
                      <w:rFonts w:hint="eastAsia"/>
                      <w:color w:val="auto"/>
                    </w:rPr>
                    <w:t>1</w:t>
                  </w:r>
                </w:p>
              </w:tc>
              <w:tc>
                <w:tcPr>
                  <w:tcW w:w="2488" w:type="dxa"/>
                  <w:vAlign w:val="center"/>
                </w:tcPr>
                <w:p>
                  <w:pPr>
                    <w:pStyle w:val="45"/>
                    <w:rPr>
                      <w:color w:val="auto"/>
                    </w:rPr>
                  </w:pPr>
                  <w:r>
                    <w:rPr>
                      <w:rFonts w:hint="eastAsia"/>
                      <w:color w:val="auto"/>
                    </w:rPr>
                    <w:t>H</w:t>
                  </w:r>
                  <w:r>
                    <w:rPr>
                      <w:rFonts w:hint="eastAsia"/>
                      <w:color w:val="auto"/>
                      <w:vertAlign w:val="subscript"/>
                    </w:rPr>
                    <w:t>2</w:t>
                  </w:r>
                  <w:r>
                    <w:rPr>
                      <w:rFonts w:hint="eastAsia"/>
                      <w:color w:val="auto"/>
                    </w:rPr>
                    <w:t>S</w:t>
                  </w:r>
                </w:p>
              </w:tc>
              <w:tc>
                <w:tcPr>
                  <w:tcW w:w="950" w:type="dxa"/>
                  <w:vAlign w:val="center"/>
                </w:tcPr>
                <w:p>
                  <w:pPr>
                    <w:pStyle w:val="45"/>
                    <w:rPr>
                      <w:color w:val="auto"/>
                    </w:rPr>
                  </w:pPr>
                  <w:r>
                    <w:rPr>
                      <w:rFonts w:hint="eastAsia"/>
                      <w:color w:val="auto"/>
                    </w:rPr>
                    <w:t>mg/m</w:t>
                  </w:r>
                  <w:r>
                    <w:rPr>
                      <w:color w:val="auto"/>
                    </w:rPr>
                    <w:t>³</w:t>
                  </w:r>
                </w:p>
              </w:tc>
              <w:tc>
                <w:tcPr>
                  <w:tcW w:w="1540" w:type="dxa"/>
                  <w:vAlign w:val="center"/>
                </w:tcPr>
                <w:p>
                  <w:pPr>
                    <w:pStyle w:val="45"/>
                    <w:rPr>
                      <w:color w:val="auto"/>
                    </w:rPr>
                  </w:pPr>
                  <w:r>
                    <w:rPr>
                      <w:rFonts w:hint="eastAsia"/>
                      <w:color w:val="auto"/>
                    </w:rPr>
                    <w:t>0.03</w:t>
                  </w:r>
                </w:p>
              </w:tc>
              <w:tc>
                <w:tcPr>
                  <w:tcW w:w="2269" w:type="dxa"/>
                  <w:vMerge w:val="restart"/>
                  <w:vAlign w:val="center"/>
                </w:tcPr>
                <w:p>
                  <w:pPr>
                    <w:pStyle w:val="45"/>
                    <w:rPr>
                      <w:color w:val="auto"/>
                    </w:rPr>
                  </w:pPr>
                  <w:r>
                    <w:rPr>
                      <w:color w:val="auto"/>
                    </w:rPr>
                    <w:t>医疗机构水污染物排放标准》（GB18466-2005）表 3 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2" w:type="dxa"/>
                  <w:vAlign w:val="center"/>
                </w:tcPr>
                <w:p>
                  <w:pPr>
                    <w:pStyle w:val="45"/>
                    <w:rPr>
                      <w:color w:val="auto"/>
                    </w:rPr>
                  </w:pPr>
                  <w:r>
                    <w:rPr>
                      <w:rFonts w:hint="eastAsia"/>
                      <w:color w:val="auto"/>
                    </w:rPr>
                    <w:t>2</w:t>
                  </w:r>
                </w:p>
              </w:tc>
              <w:tc>
                <w:tcPr>
                  <w:tcW w:w="2488" w:type="dxa"/>
                  <w:vAlign w:val="center"/>
                </w:tcPr>
                <w:p>
                  <w:pPr>
                    <w:pStyle w:val="45"/>
                    <w:rPr>
                      <w:color w:val="auto"/>
                    </w:rPr>
                  </w:pPr>
                  <w:r>
                    <w:rPr>
                      <w:rFonts w:hint="eastAsia"/>
                      <w:color w:val="auto"/>
                    </w:rPr>
                    <w:t>NH</w:t>
                  </w:r>
                  <w:r>
                    <w:rPr>
                      <w:rFonts w:hint="eastAsia"/>
                      <w:color w:val="auto"/>
                      <w:vertAlign w:val="subscript"/>
                    </w:rPr>
                    <w:t>3</w:t>
                  </w:r>
                </w:p>
              </w:tc>
              <w:tc>
                <w:tcPr>
                  <w:tcW w:w="950" w:type="dxa"/>
                  <w:vAlign w:val="center"/>
                </w:tcPr>
                <w:p>
                  <w:pPr>
                    <w:pStyle w:val="45"/>
                    <w:rPr>
                      <w:color w:val="auto"/>
                    </w:rPr>
                  </w:pPr>
                  <w:r>
                    <w:rPr>
                      <w:rFonts w:hint="eastAsia"/>
                      <w:color w:val="auto"/>
                    </w:rPr>
                    <w:t>mg/m</w:t>
                  </w:r>
                  <w:r>
                    <w:rPr>
                      <w:color w:val="auto"/>
                    </w:rPr>
                    <w:t>³</w:t>
                  </w:r>
                </w:p>
              </w:tc>
              <w:tc>
                <w:tcPr>
                  <w:tcW w:w="1540" w:type="dxa"/>
                  <w:vAlign w:val="center"/>
                </w:tcPr>
                <w:p>
                  <w:pPr>
                    <w:pStyle w:val="45"/>
                    <w:rPr>
                      <w:color w:val="auto"/>
                    </w:rPr>
                  </w:pPr>
                  <w:r>
                    <w:rPr>
                      <w:rFonts w:hint="eastAsia"/>
                      <w:color w:val="auto"/>
                    </w:rPr>
                    <w:t>1.0</w:t>
                  </w:r>
                </w:p>
              </w:tc>
              <w:tc>
                <w:tcPr>
                  <w:tcW w:w="2269" w:type="dxa"/>
                  <w:vMerge w:val="continue"/>
                  <w:vAlign w:val="center"/>
                </w:tcPr>
                <w:p>
                  <w:pPr>
                    <w:pStyle w:val="4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5"/>
                    <w:rPr>
                      <w:color w:val="auto"/>
                    </w:rPr>
                  </w:pPr>
                  <w:r>
                    <w:rPr>
                      <w:rFonts w:hint="eastAsia"/>
                      <w:color w:val="auto"/>
                    </w:rPr>
                    <w:t>3</w:t>
                  </w:r>
                </w:p>
              </w:tc>
              <w:tc>
                <w:tcPr>
                  <w:tcW w:w="2488" w:type="dxa"/>
                  <w:vAlign w:val="center"/>
                </w:tcPr>
                <w:p>
                  <w:pPr>
                    <w:pStyle w:val="45"/>
                    <w:rPr>
                      <w:color w:val="auto"/>
                    </w:rPr>
                  </w:pPr>
                  <w:r>
                    <w:rPr>
                      <w:rFonts w:hint="eastAsia"/>
                      <w:color w:val="auto"/>
                    </w:rPr>
                    <w:t>氯气</w:t>
                  </w:r>
                </w:p>
              </w:tc>
              <w:tc>
                <w:tcPr>
                  <w:tcW w:w="950" w:type="dxa"/>
                  <w:vAlign w:val="center"/>
                </w:tcPr>
                <w:p>
                  <w:pPr>
                    <w:pStyle w:val="45"/>
                    <w:rPr>
                      <w:color w:val="auto"/>
                    </w:rPr>
                  </w:pPr>
                  <w:r>
                    <w:rPr>
                      <w:rFonts w:hint="eastAsia"/>
                      <w:color w:val="auto"/>
                    </w:rPr>
                    <w:t>mg/m</w:t>
                  </w:r>
                  <w:r>
                    <w:rPr>
                      <w:color w:val="auto"/>
                    </w:rPr>
                    <w:t>³</w:t>
                  </w:r>
                </w:p>
              </w:tc>
              <w:tc>
                <w:tcPr>
                  <w:tcW w:w="1540" w:type="dxa"/>
                  <w:vAlign w:val="center"/>
                </w:tcPr>
                <w:p>
                  <w:pPr>
                    <w:pStyle w:val="45"/>
                    <w:rPr>
                      <w:color w:val="auto"/>
                    </w:rPr>
                  </w:pPr>
                  <w:r>
                    <w:rPr>
                      <w:rFonts w:hint="eastAsia"/>
                      <w:color w:val="auto"/>
                    </w:rPr>
                    <w:t>0.1</w:t>
                  </w:r>
                </w:p>
              </w:tc>
              <w:tc>
                <w:tcPr>
                  <w:tcW w:w="2269" w:type="dxa"/>
                  <w:vMerge w:val="continue"/>
                  <w:vAlign w:val="center"/>
                </w:tcPr>
                <w:p>
                  <w:pPr>
                    <w:pStyle w:val="4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5"/>
                    <w:rPr>
                      <w:color w:val="auto"/>
                    </w:rPr>
                  </w:pPr>
                  <w:r>
                    <w:rPr>
                      <w:rFonts w:hint="eastAsia"/>
                      <w:color w:val="auto"/>
                    </w:rPr>
                    <w:t>4</w:t>
                  </w:r>
                </w:p>
              </w:tc>
              <w:tc>
                <w:tcPr>
                  <w:tcW w:w="2488" w:type="dxa"/>
                  <w:vAlign w:val="center"/>
                </w:tcPr>
                <w:p>
                  <w:pPr>
                    <w:pStyle w:val="45"/>
                    <w:rPr>
                      <w:color w:val="auto"/>
                    </w:rPr>
                  </w:pPr>
                  <w:r>
                    <w:rPr>
                      <w:rFonts w:hint="eastAsia"/>
                      <w:color w:val="auto"/>
                    </w:rPr>
                    <w:t>臭气浓度</w:t>
                  </w:r>
                </w:p>
              </w:tc>
              <w:tc>
                <w:tcPr>
                  <w:tcW w:w="950" w:type="dxa"/>
                  <w:vAlign w:val="center"/>
                </w:tcPr>
                <w:p>
                  <w:pPr>
                    <w:pStyle w:val="45"/>
                    <w:rPr>
                      <w:color w:val="auto"/>
                    </w:rPr>
                  </w:pPr>
                  <w:r>
                    <w:rPr>
                      <w:rFonts w:hint="eastAsia"/>
                      <w:color w:val="auto"/>
                    </w:rPr>
                    <w:t>无量纲</w:t>
                  </w:r>
                </w:p>
              </w:tc>
              <w:tc>
                <w:tcPr>
                  <w:tcW w:w="1540" w:type="dxa"/>
                  <w:vAlign w:val="center"/>
                </w:tcPr>
                <w:p>
                  <w:pPr>
                    <w:pStyle w:val="45"/>
                    <w:rPr>
                      <w:color w:val="auto"/>
                    </w:rPr>
                  </w:pPr>
                  <w:r>
                    <w:rPr>
                      <w:rFonts w:hint="eastAsia"/>
                      <w:color w:val="auto"/>
                    </w:rPr>
                    <w:t>10</w:t>
                  </w:r>
                </w:p>
              </w:tc>
              <w:tc>
                <w:tcPr>
                  <w:tcW w:w="2269" w:type="dxa"/>
                  <w:vMerge w:val="continue"/>
                  <w:vAlign w:val="center"/>
                </w:tcPr>
                <w:p>
                  <w:pPr>
                    <w:pStyle w:val="4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rPr>
                  </w:pPr>
                  <w:r>
                    <w:rPr>
                      <w:rFonts w:hint="eastAsia"/>
                      <w:color w:val="auto"/>
                      <w:sz w:val="21"/>
                      <w:szCs w:val="21"/>
                      <w:lang w:val="en-US" w:eastAsia="zh-CN"/>
                    </w:rPr>
                    <w:t>5</w:t>
                  </w:r>
                </w:p>
              </w:tc>
              <w:tc>
                <w:tcPr>
                  <w:tcW w:w="2488"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甲烷（指处理站内最高体积百分数）</w:t>
                  </w:r>
                </w:p>
              </w:tc>
              <w:tc>
                <w:tcPr>
                  <w:tcW w:w="950"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w:t>
                  </w:r>
                </w:p>
              </w:tc>
              <w:tc>
                <w:tcPr>
                  <w:tcW w:w="1540"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1</w:t>
                  </w:r>
                </w:p>
              </w:tc>
              <w:tc>
                <w:tcPr>
                  <w:tcW w:w="2269" w:type="dxa"/>
                  <w:vMerge w:val="continue"/>
                  <w:vAlign w:val="center"/>
                </w:tcPr>
                <w:p>
                  <w:pPr>
                    <w:pStyle w:val="45"/>
                    <w:rPr>
                      <w:color w:val="auto"/>
                    </w:rPr>
                  </w:pPr>
                </w:p>
              </w:tc>
            </w:tr>
          </w:tbl>
          <w:p>
            <w:pPr>
              <w:pStyle w:val="46"/>
              <w:rPr>
                <w:color w:val="auto"/>
              </w:rPr>
            </w:pPr>
            <w:r>
              <w:rPr>
                <w:rFonts w:hint="eastAsia" w:ascii="Times New Roman" w:hAnsi="Times New Roman" w:eastAsia="宋体" w:cs="Times New Roman"/>
                <w:b/>
                <w:kern w:val="0"/>
                <w:sz w:val="21"/>
                <w:szCs w:val="21"/>
                <w:u w:val="none"/>
                <w:lang w:val="en-US" w:eastAsia="zh-CN" w:bidi="ar-SA"/>
              </w:rPr>
              <w:t>表3.3-3 饮食业油烟排放标准</w:t>
            </w:r>
          </w:p>
          <w:tbl>
            <w:tblPr>
              <w:tblStyle w:val="31"/>
              <w:tblW w:w="79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3"/>
              <w:gridCol w:w="1586"/>
              <w:gridCol w:w="1452"/>
              <w:gridCol w:w="132"/>
              <w:gridCol w:w="9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3" w:type="dxa"/>
                </w:tcPr>
                <w:p>
                  <w:pPr>
                    <w:pStyle w:val="45"/>
                    <w:rPr>
                      <w:color w:val="auto"/>
                    </w:rPr>
                  </w:pPr>
                  <w:r>
                    <w:rPr>
                      <w:color w:val="auto"/>
                    </w:rPr>
                    <w:t>规模</w:t>
                  </w:r>
                </w:p>
              </w:tc>
              <w:tc>
                <w:tcPr>
                  <w:tcW w:w="1586" w:type="dxa"/>
                </w:tcPr>
                <w:p>
                  <w:pPr>
                    <w:pStyle w:val="45"/>
                    <w:rPr>
                      <w:color w:val="auto"/>
                    </w:rPr>
                  </w:pPr>
                  <w:r>
                    <w:rPr>
                      <w:color w:val="auto"/>
                    </w:rPr>
                    <w:t>小型</w:t>
                  </w:r>
                </w:p>
              </w:tc>
              <w:tc>
                <w:tcPr>
                  <w:tcW w:w="1452" w:type="dxa"/>
                </w:tcPr>
                <w:p>
                  <w:pPr>
                    <w:pStyle w:val="45"/>
                    <w:rPr>
                      <w:color w:val="auto"/>
                    </w:rPr>
                  </w:pPr>
                  <w:r>
                    <w:rPr>
                      <w:color w:val="auto"/>
                    </w:rPr>
                    <w:t>中型</w:t>
                  </w:r>
                </w:p>
              </w:tc>
              <w:tc>
                <w:tcPr>
                  <w:tcW w:w="1110" w:type="dxa"/>
                  <w:gridSpan w:val="2"/>
                </w:tcPr>
                <w:p>
                  <w:pPr>
                    <w:pStyle w:val="45"/>
                    <w:rPr>
                      <w:color w:val="auto"/>
                    </w:rPr>
                  </w:pPr>
                  <w:r>
                    <w:rPr>
                      <w:color w:val="auto"/>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3" w:type="dxa"/>
                </w:tcPr>
                <w:p>
                  <w:pPr>
                    <w:pStyle w:val="45"/>
                    <w:rPr>
                      <w:color w:val="auto"/>
                    </w:rPr>
                  </w:pPr>
                  <w:r>
                    <w:rPr>
                      <w:color w:val="auto"/>
                    </w:rPr>
                    <w:t>基准灶头数</w:t>
                  </w:r>
                </w:p>
              </w:tc>
              <w:tc>
                <w:tcPr>
                  <w:tcW w:w="1586" w:type="dxa"/>
                </w:tcPr>
                <w:p>
                  <w:pPr>
                    <w:pStyle w:val="45"/>
                    <w:rPr>
                      <w:color w:val="auto"/>
                    </w:rPr>
                  </w:pPr>
                  <w:r>
                    <w:rPr>
                      <w:color w:val="auto"/>
                    </w:rPr>
                    <w:t>≥1，&lt;3</w:t>
                  </w:r>
                </w:p>
              </w:tc>
              <w:tc>
                <w:tcPr>
                  <w:tcW w:w="1452" w:type="dxa"/>
                </w:tcPr>
                <w:p>
                  <w:pPr>
                    <w:pStyle w:val="45"/>
                    <w:rPr>
                      <w:color w:val="auto"/>
                    </w:rPr>
                  </w:pPr>
                  <w:r>
                    <w:rPr>
                      <w:color w:val="auto"/>
                    </w:rPr>
                    <w:t>≥3 ，&lt;6</w:t>
                  </w:r>
                </w:p>
              </w:tc>
              <w:tc>
                <w:tcPr>
                  <w:tcW w:w="1110" w:type="dxa"/>
                  <w:gridSpan w:val="2"/>
                </w:tcPr>
                <w:p>
                  <w:pPr>
                    <w:pStyle w:val="45"/>
                    <w:rPr>
                      <w:color w:val="auto"/>
                    </w:rPr>
                  </w:pPr>
                  <w:r>
                    <w:rPr>
                      <w:color w:val="auto"/>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3" w:type="dxa"/>
                </w:tcPr>
                <w:p>
                  <w:pPr>
                    <w:pStyle w:val="45"/>
                    <w:rPr>
                      <w:color w:val="auto"/>
                    </w:rPr>
                  </w:pPr>
                  <w:r>
                    <w:rPr>
                      <w:color w:val="auto"/>
                    </w:rPr>
                    <w:t>油烟最高允许排放浓度(mg/m³)</w:t>
                  </w:r>
                </w:p>
              </w:tc>
              <w:tc>
                <w:tcPr>
                  <w:tcW w:w="4148" w:type="dxa"/>
                  <w:gridSpan w:val="4"/>
                </w:tcPr>
                <w:p>
                  <w:pPr>
                    <w:pStyle w:val="45"/>
                    <w:rPr>
                      <w:color w:val="auto"/>
                    </w:rPr>
                  </w:pPr>
                  <w:r>
                    <w:rPr>
                      <w:color w:val="auto"/>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13" w:type="dxa"/>
                </w:tcPr>
                <w:p>
                  <w:pPr>
                    <w:pStyle w:val="45"/>
                    <w:rPr>
                      <w:color w:val="auto"/>
                    </w:rPr>
                  </w:pPr>
                  <w:r>
                    <w:rPr>
                      <w:color w:val="auto"/>
                    </w:rPr>
                    <w:t>净化设施最低去除效率(%)</w:t>
                  </w:r>
                </w:p>
              </w:tc>
              <w:tc>
                <w:tcPr>
                  <w:tcW w:w="1586" w:type="dxa"/>
                </w:tcPr>
                <w:p>
                  <w:pPr>
                    <w:pStyle w:val="45"/>
                    <w:rPr>
                      <w:color w:val="auto"/>
                    </w:rPr>
                  </w:pPr>
                  <w:r>
                    <w:rPr>
                      <w:color w:val="auto"/>
                    </w:rPr>
                    <w:t>60</w:t>
                  </w:r>
                </w:p>
              </w:tc>
              <w:tc>
                <w:tcPr>
                  <w:tcW w:w="1584" w:type="dxa"/>
                  <w:gridSpan w:val="2"/>
                </w:tcPr>
                <w:p>
                  <w:pPr>
                    <w:pStyle w:val="45"/>
                    <w:rPr>
                      <w:color w:val="auto"/>
                    </w:rPr>
                  </w:pPr>
                  <w:r>
                    <w:rPr>
                      <w:color w:val="auto"/>
                    </w:rPr>
                    <w:t>75</w:t>
                  </w:r>
                </w:p>
              </w:tc>
              <w:tc>
                <w:tcPr>
                  <w:tcW w:w="978" w:type="dxa"/>
                </w:tcPr>
                <w:p>
                  <w:pPr>
                    <w:pStyle w:val="45"/>
                    <w:rPr>
                      <w:color w:val="auto"/>
                    </w:rPr>
                  </w:pPr>
                  <w:r>
                    <w:rPr>
                      <w:color w:val="auto"/>
                    </w:rPr>
                    <w:t>85</w:t>
                  </w:r>
                </w:p>
              </w:tc>
            </w:tr>
          </w:tbl>
          <w:p>
            <w:pPr>
              <w:pStyle w:val="7"/>
              <w:ind w:firstLine="480"/>
              <w:rPr>
                <w:color w:val="auto"/>
              </w:rPr>
            </w:pPr>
            <w:r>
              <w:rPr>
                <w:rFonts w:hint="eastAsia"/>
                <w:color w:val="auto"/>
              </w:rPr>
              <w:t>3、</w:t>
            </w:r>
            <w:r>
              <w:rPr>
                <w:color w:val="auto"/>
              </w:rPr>
              <w:t>噪声排放标准</w:t>
            </w:r>
          </w:p>
          <w:p>
            <w:pPr>
              <w:pStyle w:val="7"/>
              <w:ind w:firstLine="480"/>
              <w:rPr>
                <w:color w:val="auto"/>
              </w:rPr>
            </w:pPr>
            <w:r>
              <w:rPr>
                <w:color w:val="auto"/>
              </w:rPr>
              <w:t>项目厂界</w:t>
            </w:r>
            <w:r>
              <w:rPr>
                <w:rFonts w:hint="eastAsia"/>
                <w:color w:val="auto"/>
                <w:lang w:val="en-US" w:eastAsia="zh-CN"/>
              </w:rPr>
              <w:t>北侧</w:t>
            </w:r>
            <w:r>
              <w:rPr>
                <w:color w:val="auto"/>
              </w:rPr>
              <w:t>噪声执行《工业企业厂界环境噪声排放标准》（GB12348-2008）</w:t>
            </w:r>
            <w:r>
              <w:rPr>
                <w:rFonts w:hint="eastAsia"/>
                <w:color w:val="auto"/>
                <w:lang w:val="en-US" w:eastAsia="zh-CN"/>
              </w:rPr>
              <w:t>4</w:t>
            </w:r>
            <w:r>
              <w:rPr>
                <w:color w:val="auto"/>
              </w:rPr>
              <w:t>类标准</w:t>
            </w:r>
            <w:r>
              <w:rPr>
                <w:rFonts w:hint="eastAsia"/>
                <w:color w:val="auto"/>
                <w:lang w:eastAsia="zh-CN"/>
              </w:rPr>
              <w:t>，</w:t>
            </w:r>
            <w:r>
              <w:rPr>
                <w:rFonts w:hint="eastAsia"/>
                <w:color w:val="auto"/>
                <w:lang w:val="en-US" w:eastAsia="zh-CN"/>
              </w:rPr>
              <w:t>其余厂界噪声执行2类标准</w:t>
            </w:r>
            <w:r>
              <w:rPr>
                <w:color w:val="auto"/>
              </w:rPr>
              <w:t>。具体标准值见</w:t>
            </w:r>
            <w:r>
              <w:rPr>
                <w:rFonts w:hint="eastAsia"/>
                <w:color w:val="auto"/>
              </w:rPr>
              <w:t>下</w:t>
            </w:r>
            <w:r>
              <w:rPr>
                <w:color w:val="auto"/>
              </w:rPr>
              <w:t>表。</w:t>
            </w:r>
          </w:p>
          <w:p>
            <w:pPr>
              <w:pStyle w:val="46"/>
              <w:rPr>
                <w:color w:val="auto"/>
              </w:rPr>
            </w:pPr>
            <w:r>
              <w:rPr>
                <w:rFonts w:hint="eastAsia" w:ascii="Times New Roman" w:hAnsi="Times New Roman" w:eastAsia="宋体" w:cs="Times New Roman"/>
                <w:b/>
                <w:kern w:val="0"/>
                <w:sz w:val="21"/>
                <w:szCs w:val="21"/>
                <w:u w:val="none"/>
                <w:lang w:val="en-US" w:eastAsia="zh-CN" w:bidi="ar-SA"/>
              </w:rPr>
              <w:t>表3.3-4 噪声排放标准值表</w:t>
            </w:r>
          </w:p>
          <w:tbl>
            <w:tblPr>
              <w:tblStyle w:val="31"/>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684"/>
              <w:gridCol w:w="1641"/>
              <w:gridCol w:w="1778"/>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15" w:type="dxa"/>
                  <w:noWrap/>
                  <w:vAlign w:val="center"/>
                </w:tcPr>
                <w:p>
                  <w:pPr>
                    <w:pStyle w:val="45"/>
                    <w:rPr>
                      <w:color w:val="auto"/>
                    </w:rPr>
                  </w:pPr>
                  <w:r>
                    <w:rPr>
                      <w:color w:val="auto"/>
                    </w:rPr>
                    <w:t>标准名称</w:t>
                  </w:r>
                </w:p>
              </w:tc>
              <w:tc>
                <w:tcPr>
                  <w:tcW w:w="1684" w:type="dxa"/>
                  <w:noWrap/>
                  <w:vAlign w:val="center"/>
                </w:tcPr>
                <w:p>
                  <w:pPr>
                    <w:pStyle w:val="45"/>
                    <w:rPr>
                      <w:color w:val="auto"/>
                    </w:rPr>
                  </w:pPr>
                  <w:r>
                    <w:rPr>
                      <w:color w:val="auto"/>
                    </w:rPr>
                    <w:t>级别</w:t>
                  </w:r>
                </w:p>
              </w:tc>
              <w:tc>
                <w:tcPr>
                  <w:tcW w:w="4957" w:type="dxa"/>
                  <w:gridSpan w:val="3"/>
                  <w:noWrap/>
                  <w:vAlign w:val="center"/>
                </w:tcPr>
                <w:p>
                  <w:pPr>
                    <w:pStyle w:val="45"/>
                    <w:rPr>
                      <w:color w:val="auto"/>
                    </w:rPr>
                  </w:pPr>
                  <w:r>
                    <w:rPr>
                      <w:color w:val="auto"/>
                    </w:rPr>
                    <w:t>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restart"/>
                  <w:noWrap/>
                  <w:vAlign w:val="center"/>
                </w:tcPr>
                <w:p>
                  <w:pPr>
                    <w:pStyle w:val="45"/>
                    <w:rPr>
                      <w:color w:val="auto"/>
                    </w:rPr>
                  </w:pPr>
                  <w:r>
                    <w:rPr>
                      <w:color w:val="auto"/>
                    </w:rPr>
                    <w:t>营运期</w:t>
                  </w:r>
                </w:p>
              </w:tc>
              <w:tc>
                <w:tcPr>
                  <w:tcW w:w="1684" w:type="dxa"/>
                  <w:vMerge w:val="restart"/>
                  <w:noWrap/>
                  <w:vAlign w:val="center"/>
                </w:tcPr>
                <w:p>
                  <w:pPr>
                    <w:pStyle w:val="45"/>
                    <w:rPr>
                      <w:color w:val="auto"/>
                    </w:rPr>
                  </w:pPr>
                  <w:r>
                    <w:rPr>
                      <w:color w:val="auto"/>
                    </w:rPr>
                    <w:t>GB12348-2008</w:t>
                  </w:r>
                </w:p>
              </w:tc>
              <w:tc>
                <w:tcPr>
                  <w:tcW w:w="1641" w:type="dxa"/>
                  <w:noWrap/>
                  <w:vAlign w:val="center"/>
                </w:tcPr>
                <w:p>
                  <w:pPr>
                    <w:pStyle w:val="45"/>
                    <w:rPr>
                      <w:color w:val="auto"/>
                    </w:rPr>
                  </w:pPr>
                  <w:r>
                    <w:rPr>
                      <w:color w:val="auto"/>
                    </w:rPr>
                    <w:t>类别</w:t>
                  </w:r>
                </w:p>
              </w:tc>
              <w:tc>
                <w:tcPr>
                  <w:tcW w:w="1778" w:type="dxa"/>
                  <w:noWrap/>
                  <w:vAlign w:val="center"/>
                </w:tcPr>
                <w:p>
                  <w:pPr>
                    <w:pStyle w:val="45"/>
                    <w:rPr>
                      <w:color w:val="auto"/>
                    </w:rPr>
                  </w:pPr>
                  <w:r>
                    <w:rPr>
                      <w:color w:val="auto"/>
                    </w:rPr>
                    <w:t>昼间</w:t>
                  </w:r>
                </w:p>
              </w:tc>
              <w:tc>
                <w:tcPr>
                  <w:tcW w:w="1538" w:type="dxa"/>
                  <w:noWrap/>
                  <w:vAlign w:val="center"/>
                </w:tcPr>
                <w:p>
                  <w:pPr>
                    <w:pStyle w:val="45"/>
                    <w:rPr>
                      <w:color w:val="auto"/>
                    </w:rPr>
                  </w:pPr>
                  <w:r>
                    <w:rPr>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continue"/>
                  <w:noWrap/>
                  <w:vAlign w:val="center"/>
                </w:tcPr>
                <w:p>
                  <w:pPr>
                    <w:pStyle w:val="45"/>
                    <w:rPr>
                      <w:color w:val="auto"/>
                    </w:rPr>
                  </w:pPr>
                </w:p>
              </w:tc>
              <w:tc>
                <w:tcPr>
                  <w:tcW w:w="1684" w:type="dxa"/>
                  <w:vMerge w:val="continue"/>
                  <w:noWrap/>
                  <w:vAlign w:val="center"/>
                </w:tcPr>
                <w:p>
                  <w:pPr>
                    <w:pStyle w:val="45"/>
                    <w:rPr>
                      <w:color w:val="auto"/>
                    </w:rPr>
                  </w:pPr>
                </w:p>
              </w:tc>
              <w:tc>
                <w:tcPr>
                  <w:tcW w:w="1641" w:type="dxa"/>
                  <w:noWrap/>
                  <w:vAlign w:val="center"/>
                </w:tcPr>
                <w:p>
                  <w:pPr>
                    <w:pStyle w:val="45"/>
                    <w:rPr>
                      <w:color w:val="auto"/>
                    </w:rPr>
                  </w:pPr>
                  <w:r>
                    <w:rPr>
                      <w:rFonts w:hint="eastAsia"/>
                      <w:color w:val="auto"/>
                    </w:rPr>
                    <w:t>2</w:t>
                  </w:r>
                  <w:r>
                    <w:rPr>
                      <w:color w:val="auto"/>
                    </w:rPr>
                    <w:t>类</w:t>
                  </w:r>
                </w:p>
              </w:tc>
              <w:tc>
                <w:tcPr>
                  <w:tcW w:w="1778" w:type="dxa"/>
                  <w:noWrap/>
                  <w:vAlign w:val="center"/>
                </w:tcPr>
                <w:p>
                  <w:pPr>
                    <w:pStyle w:val="45"/>
                    <w:rPr>
                      <w:color w:val="auto"/>
                    </w:rPr>
                  </w:pPr>
                  <w:r>
                    <w:rPr>
                      <w:color w:val="auto"/>
                    </w:rPr>
                    <w:t>6</w:t>
                  </w:r>
                  <w:r>
                    <w:rPr>
                      <w:rFonts w:hint="eastAsia"/>
                      <w:color w:val="auto"/>
                    </w:rPr>
                    <w:t>0</w:t>
                  </w:r>
                </w:p>
              </w:tc>
              <w:tc>
                <w:tcPr>
                  <w:tcW w:w="1538" w:type="dxa"/>
                  <w:noWrap/>
                  <w:vAlign w:val="center"/>
                </w:tcPr>
                <w:p>
                  <w:pPr>
                    <w:pStyle w:val="45"/>
                    <w:rPr>
                      <w:color w:val="auto"/>
                    </w:rPr>
                  </w:pPr>
                  <w:r>
                    <w:rPr>
                      <w:color w:val="auto"/>
                    </w:rPr>
                    <w:t>5</w:t>
                  </w: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continue"/>
                  <w:noWrap/>
                  <w:vAlign w:val="center"/>
                </w:tcPr>
                <w:p>
                  <w:pPr>
                    <w:pStyle w:val="45"/>
                    <w:rPr>
                      <w:color w:val="auto"/>
                    </w:rPr>
                  </w:pPr>
                </w:p>
              </w:tc>
              <w:tc>
                <w:tcPr>
                  <w:tcW w:w="1684" w:type="dxa"/>
                  <w:vMerge w:val="continue"/>
                  <w:noWrap/>
                  <w:vAlign w:val="center"/>
                </w:tcPr>
                <w:p>
                  <w:pPr>
                    <w:pStyle w:val="45"/>
                    <w:rPr>
                      <w:color w:val="auto"/>
                    </w:rPr>
                  </w:pPr>
                </w:p>
              </w:tc>
              <w:tc>
                <w:tcPr>
                  <w:tcW w:w="1641" w:type="dxa"/>
                  <w:noWrap/>
                  <w:vAlign w:val="center"/>
                </w:tcPr>
                <w:p>
                  <w:pPr>
                    <w:pStyle w:val="45"/>
                    <w:rPr>
                      <w:rFonts w:hint="default" w:eastAsia="宋体"/>
                      <w:color w:val="auto"/>
                      <w:lang w:val="en-US" w:eastAsia="zh-CN"/>
                    </w:rPr>
                  </w:pPr>
                  <w:r>
                    <w:rPr>
                      <w:rFonts w:hint="eastAsia"/>
                      <w:color w:val="auto"/>
                      <w:lang w:val="en-US" w:eastAsia="zh-CN"/>
                    </w:rPr>
                    <w:t>4类</w:t>
                  </w:r>
                </w:p>
              </w:tc>
              <w:tc>
                <w:tcPr>
                  <w:tcW w:w="1778" w:type="dxa"/>
                  <w:noWrap/>
                  <w:vAlign w:val="center"/>
                </w:tcPr>
                <w:p>
                  <w:pPr>
                    <w:pStyle w:val="45"/>
                    <w:rPr>
                      <w:rFonts w:hint="default" w:eastAsia="宋体"/>
                      <w:color w:val="auto"/>
                      <w:lang w:val="en-US" w:eastAsia="zh-CN"/>
                    </w:rPr>
                  </w:pPr>
                  <w:r>
                    <w:rPr>
                      <w:rFonts w:hint="eastAsia"/>
                      <w:color w:val="auto"/>
                      <w:lang w:val="en-US" w:eastAsia="zh-CN"/>
                    </w:rPr>
                    <w:t>70</w:t>
                  </w:r>
                </w:p>
              </w:tc>
              <w:tc>
                <w:tcPr>
                  <w:tcW w:w="1538" w:type="dxa"/>
                  <w:noWrap/>
                  <w:vAlign w:val="center"/>
                </w:tcPr>
                <w:p>
                  <w:pPr>
                    <w:pStyle w:val="45"/>
                    <w:rPr>
                      <w:rFonts w:hint="default" w:eastAsia="宋体"/>
                      <w:color w:val="auto"/>
                      <w:lang w:val="en-US" w:eastAsia="zh-CN"/>
                    </w:rPr>
                  </w:pPr>
                  <w:r>
                    <w:rPr>
                      <w:rFonts w:hint="eastAsia"/>
                      <w:color w:val="auto"/>
                      <w:lang w:val="en-US" w:eastAsia="zh-CN"/>
                    </w:rPr>
                    <w:t>55</w:t>
                  </w:r>
                </w:p>
              </w:tc>
            </w:tr>
          </w:tbl>
          <w:p>
            <w:pPr>
              <w:pStyle w:val="7"/>
              <w:ind w:firstLine="480"/>
              <w:rPr>
                <w:color w:val="auto"/>
              </w:rPr>
            </w:pPr>
            <w:r>
              <w:rPr>
                <w:rFonts w:hint="eastAsia"/>
                <w:color w:val="auto"/>
              </w:rPr>
              <w:t>4、</w:t>
            </w:r>
            <w:r>
              <w:rPr>
                <w:color w:val="auto"/>
              </w:rPr>
              <w:t>固体废物</w:t>
            </w:r>
          </w:p>
          <w:p>
            <w:pPr>
              <w:pStyle w:val="7"/>
              <w:ind w:firstLine="480"/>
              <w:rPr>
                <w:color w:val="auto"/>
              </w:rPr>
            </w:pPr>
            <w:r>
              <w:rPr>
                <w:color w:val="000000" w:themeColor="text1"/>
              </w:rPr>
              <w:t>生活垃圾、未污染的一次性塑料输液瓶</w:t>
            </w:r>
            <w:r>
              <w:rPr>
                <w:rFonts w:hint="eastAsia"/>
                <w:color w:val="000000" w:themeColor="text1"/>
                <w:lang w:eastAsia="zh-CN"/>
              </w:rPr>
              <w:t>（</w:t>
            </w:r>
            <w:r>
              <w:rPr>
                <w:color w:val="000000" w:themeColor="text1"/>
              </w:rPr>
              <w:t>袋</w:t>
            </w:r>
            <w:r>
              <w:rPr>
                <w:rFonts w:hint="eastAsia"/>
                <w:color w:val="000000" w:themeColor="text1"/>
                <w:lang w:eastAsia="zh-CN"/>
              </w:rPr>
              <w:t>）</w:t>
            </w:r>
            <w:r>
              <w:rPr>
                <w:color w:val="000000" w:themeColor="text1"/>
              </w:rPr>
              <w:t>、一般包装材料</w:t>
            </w:r>
            <w:r>
              <w:rPr>
                <w:rFonts w:hint="eastAsia"/>
                <w:color w:val="000000" w:themeColor="text1"/>
                <w:lang w:eastAsia="zh-CN"/>
              </w:rPr>
              <w:t>（</w:t>
            </w:r>
            <w:r>
              <w:rPr>
                <w:color w:val="000000" w:themeColor="text1"/>
              </w:rPr>
              <w:t>药品外包装）；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w:t>
            </w:r>
            <w:r>
              <w:rPr>
                <w:rFonts w:hint="eastAsia"/>
                <w:color w:val="000000" w:themeColor="text1"/>
                <w:lang w:eastAsia="zh-CN"/>
              </w:rPr>
              <w:t>（</w:t>
            </w:r>
            <w:r>
              <w:rPr>
                <w:color w:val="000000" w:themeColor="text1"/>
              </w:rPr>
              <w:t>袋</w:t>
            </w:r>
            <w:r>
              <w:rPr>
                <w:rFonts w:hint="eastAsia"/>
                <w:color w:val="000000" w:themeColor="text1"/>
                <w:lang w:eastAsia="zh-CN"/>
              </w:rPr>
              <w:t>）</w:t>
            </w:r>
            <w:r>
              <w:rPr>
                <w:color w:val="000000" w:themeColor="text1"/>
              </w:rPr>
              <w:t>委托</w:t>
            </w:r>
            <w:r>
              <w:rPr>
                <w:rFonts w:hint="eastAsia"/>
                <w:color w:val="000000" w:themeColor="text1"/>
              </w:rPr>
              <w:t>专门单位</w:t>
            </w:r>
            <w:r>
              <w:rPr>
                <w:color w:val="000000" w:themeColor="text1"/>
              </w:rPr>
              <w:t>回收处置。一般包装材料</w:t>
            </w:r>
            <w:r>
              <w:rPr>
                <w:rFonts w:hint="eastAsia"/>
                <w:color w:val="000000" w:themeColor="text1"/>
                <w:lang w:eastAsia="zh-CN"/>
              </w:rPr>
              <w:t>（</w:t>
            </w:r>
            <w:r>
              <w:rPr>
                <w:color w:val="000000" w:themeColor="text1"/>
              </w:rPr>
              <w:t>药品外包装</w:t>
            </w:r>
            <w:r>
              <w:rPr>
                <w:rFonts w:hint="eastAsia"/>
                <w:color w:val="000000" w:themeColor="text1"/>
                <w:lang w:eastAsia="zh-CN"/>
              </w:rPr>
              <w:t>）</w:t>
            </w:r>
            <w:r>
              <w:rPr>
                <w:color w:val="000000" w:themeColor="text1"/>
              </w:rPr>
              <w:t>作为一般资源回收处置</w:t>
            </w:r>
            <w:r>
              <w:rPr>
                <w:rFonts w:hint="eastAsia"/>
                <w:color w:val="000000" w:themeColor="text1"/>
                <w:lang w:eastAsia="zh-CN"/>
              </w:rPr>
              <w:t>；</w:t>
            </w:r>
            <w:r>
              <w:rPr>
                <w:rFonts w:hint="eastAsia"/>
                <w:color w:val="auto"/>
              </w:rPr>
              <w:t>医疗废物收集、暂存与污泥处置执行</w:t>
            </w:r>
            <w:r>
              <w:rPr>
                <w:color w:val="auto"/>
              </w:rPr>
              <w:t>《危险废物贮存污染控制标准》（</w:t>
            </w:r>
            <w:r>
              <w:rPr>
                <w:rFonts w:hint="eastAsia"/>
                <w:color w:val="auto"/>
              </w:rPr>
              <w:t>GB18597-2023</w:t>
            </w:r>
            <w:r>
              <w:rPr>
                <w:color w:val="auto"/>
              </w:rPr>
              <w:t>）</w:t>
            </w:r>
            <w:r>
              <w:rPr>
                <w:rFonts w:hint="eastAsia"/>
                <w:color w:val="auto"/>
              </w:rPr>
              <w:t>；污水处理站产生的污泥处理执行《医疗机构水污染物排放标准》（</w:t>
            </w:r>
            <w:r>
              <w:rPr>
                <w:color w:val="auto"/>
              </w:rPr>
              <w:t>GB18466-2005</w:t>
            </w:r>
            <w:r>
              <w:rPr>
                <w:rFonts w:hint="eastAsia"/>
                <w:color w:val="auto"/>
              </w:rPr>
              <w:t>）中的医疗机构污泥控制标准</w:t>
            </w:r>
            <w:r>
              <w:rPr>
                <w:color w:val="auto"/>
              </w:rPr>
              <w:t>。</w:t>
            </w:r>
          </w:p>
          <w:p>
            <w:pPr>
              <w:pStyle w:val="46"/>
              <w:rPr>
                <w:color w:val="auto"/>
              </w:rPr>
            </w:pPr>
            <w:r>
              <w:rPr>
                <w:color w:val="auto"/>
              </w:rPr>
              <w:t>表</w:t>
            </w:r>
            <w:r>
              <w:rPr>
                <w:rFonts w:hint="eastAsia"/>
                <w:color w:val="auto"/>
              </w:rPr>
              <w:t>3.3-6</w:t>
            </w:r>
            <w:r>
              <w:rPr>
                <w:color w:val="auto"/>
              </w:rPr>
              <w:t xml:space="preserve">  医疗机构污泥控制标准</w:t>
            </w:r>
          </w:p>
          <w:tbl>
            <w:tblPr>
              <w:tblStyle w:val="31"/>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790"/>
              <w:gridCol w:w="963"/>
              <w:gridCol w:w="830"/>
              <w:gridCol w:w="830"/>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6" w:type="dxa"/>
                  <w:vAlign w:val="center"/>
                </w:tcPr>
                <w:p>
                  <w:pPr>
                    <w:pStyle w:val="45"/>
                    <w:rPr>
                      <w:color w:val="auto"/>
                    </w:rPr>
                  </w:pPr>
                  <w:r>
                    <w:rPr>
                      <w:color w:val="auto"/>
                    </w:rPr>
                    <w:t>医疗机构类别</w:t>
                  </w:r>
                </w:p>
              </w:tc>
              <w:tc>
                <w:tcPr>
                  <w:tcW w:w="1790" w:type="dxa"/>
                  <w:vAlign w:val="center"/>
                </w:tcPr>
                <w:p>
                  <w:pPr>
                    <w:pStyle w:val="45"/>
                    <w:rPr>
                      <w:color w:val="auto"/>
                    </w:rPr>
                  </w:pPr>
                  <w:r>
                    <w:rPr>
                      <w:color w:val="auto"/>
                    </w:rPr>
                    <w:t>粪大肠菌群数(MPN/g)</w:t>
                  </w:r>
                </w:p>
              </w:tc>
              <w:tc>
                <w:tcPr>
                  <w:tcW w:w="963" w:type="dxa"/>
                  <w:vAlign w:val="center"/>
                </w:tcPr>
                <w:p>
                  <w:pPr>
                    <w:pStyle w:val="45"/>
                    <w:rPr>
                      <w:color w:val="auto"/>
                    </w:rPr>
                  </w:pPr>
                  <w:r>
                    <w:rPr>
                      <w:color w:val="auto"/>
                    </w:rPr>
                    <w:t>肠道致病菌</w:t>
                  </w:r>
                </w:p>
              </w:tc>
              <w:tc>
                <w:tcPr>
                  <w:tcW w:w="830" w:type="dxa"/>
                  <w:vAlign w:val="center"/>
                </w:tcPr>
                <w:p>
                  <w:pPr>
                    <w:pStyle w:val="45"/>
                    <w:rPr>
                      <w:color w:val="auto"/>
                    </w:rPr>
                  </w:pPr>
                  <w:r>
                    <w:rPr>
                      <w:color w:val="auto"/>
                    </w:rPr>
                    <w:t>肠道病毒</w:t>
                  </w:r>
                </w:p>
              </w:tc>
              <w:tc>
                <w:tcPr>
                  <w:tcW w:w="830" w:type="dxa"/>
                  <w:vAlign w:val="center"/>
                </w:tcPr>
                <w:p>
                  <w:pPr>
                    <w:pStyle w:val="45"/>
                    <w:rPr>
                      <w:color w:val="auto"/>
                    </w:rPr>
                  </w:pPr>
                  <w:r>
                    <w:rPr>
                      <w:color w:val="auto"/>
                    </w:rPr>
                    <w:t>结核杆菌</w:t>
                  </w:r>
                </w:p>
              </w:tc>
              <w:tc>
                <w:tcPr>
                  <w:tcW w:w="1621" w:type="dxa"/>
                  <w:vAlign w:val="center"/>
                </w:tcPr>
                <w:p>
                  <w:pPr>
                    <w:pStyle w:val="45"/>
                    <w:rPr>
                      <w:color w:val="auto"/>
                    </w:rPr>
                  </w:pPr>
                  <w:r>
                    <w:rPr>
                      <w:color w:val="auto"/>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6" w:type="dxa"/>
                  <w:vAlign w:val="center"/>
                </w:tcPr>
                <w:p>
                  <w:pPr>
                    <w:pStyle w:val="45"/>
                    <w:rPr>
                      <w:color w:val="auto"/>
                    </w:rPr>
                  </w:pPr>
                  <w:r>
                    <w:rPr>
                      <w:color w:val="auto"/>
                    </w:rPr>
                    <w:t>综合医疗机构和其它医疗机构</w:t>
                  </w:r>
                </w:p>
              </w:tc>
              <w:tc>
                <w:tcPr>
                  <w:tcW w:w="1790" w:type="dxa"/>
                  <w:vAlign w:val="center"/>
                </w:tcPr>
                <w:p>
                  <w:pPr>
                    <w:pStyle w:val="45"/>
                    <w:rPr>
                      <w:color w:val="auto"/>
                    </w:rPr>
                  </w:pPr>
                  <w:r>
                    <w:rPr>
                      <w:color w:val="auto"/>
                    </w:rPr>
                    <w:t>≤100</w:t>
                  </w:r>
                </w:p>
              </w:tc>
              <w:tc>
                <w:tcPr>
                  <w:tcW w:w="963" w:type="dxa"/>
                  <w:vAlign w:val="center"/>
                </w:tcPr>
                <w:p>
                  <w:pPr>
                    <w:pStyle w:val="45"/>
                    <w:rPr>
                      <w:color w:val="auto"/>
                    </w:rPr>
                  </w:pPr>
                  <w:r>
                    <w:rPr>
                      <w:color w:val="auto"/>
                    </w:rPr>
                    <w:t>/</w:t>
                  </w:r>
                </w:p>
              </w:tc>
              <w:tc>
                <w:tcPr>
                  <w:tcW w:w="830" w:type="dxa"/>
                  <w:vAlign w:val="center"/>
                </w:tcPr>
                <w:p>
                  <w:pPr>
                    <w:pStyle w:val="45"/>
                    <w:rPr>
                      <w:color w:val="auto"/>
                    </w:rPr>
                  </w:pPr>
                  <w:r>
                    <w:rPr>
                      <w:color w:val="auto"/>
                    </w:rPr>
                    <w:t>/</w:t>
                  </w:r>
                </w:p>
              </w:tc>
              <w:tc>
                <w:tcPr>
                  <w:tcW w:w="830" w:type="dxa"/>
                  <w:vAlign w:val="center"/>
                </w:tcPr>
                <w:p>
                  <w:pPr>
                    <w:pStyle w:val="45"/>
                    <w:rPr>
                      <w:color w:val="auto"/>
                    </w:rPr>
                  </w:pPr>
                  <w:r>
                    <w:rPr>
                      <w:color w:val="auto"/>
                    </w:rPr>
                    <w:t>/</w:t>
                  </w:r>
                </w:p>
              </w:tc>
              <w:tc>
                <w:tcPr>
                  <w:tcW w:w="1621" w:type="dxa"/>
                  <w:vAlign w:val="center"/>
                </w:tcPr>
                <w:p>
                  <w:pPr>
                    <w:pStyle w:val="45"/>
                    <w:rPr>
                      <w:color w:val="auto"/>
                    </w:rPr>
                  </w:pPr>
                  <w:r>
                    <w:rPr>
                      <w:color w:val="auto"/>
                    </w:rPr>
                    <w:t>&gt;95</w:t>
                  </w:r>
                </w:p>
              </w:tc>
            </w:tr>
          </w:tbl>
          <w:p>
            <w:pPr>
              <w:pStyle w:val="8"/>
              <w:ind w:left="4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auto"/>
                <w:kern w:val="0"/>
              </w:rPr>
            </w:pPr>
            <w:r>
              <w:rPr>
                <w:rFonts w:hint="eastAsia" w:ascii="宋体" w:hAnsi="宋体" w:cs="宋体"/>
                <w:color w:val="auto"/>
                <w:kern w:val="0"/>
              </w:rPr>
              <w:t>总量</w:t>
            </w:r>
          </w:p>
          <w:p>
            <w:pPr>
              <w:adjustRightInd w:val="0"/>
              <w:snapToGrid w:val="0"/>
              <w:jc w:val="center"/>
              <w:rPr>
                <w:rFonts w:ascii="宋体" w:hAnsi="宋体" w:cs="宋体"/>
                <w:color w:val="auto"/>
                <w:kern w:val="0"/>
              </w:rPr>
            </w:pPr>
            <w:r>
              <w:rPr>
                <w:rFonts w:hint="eastAsia" w:ascii="宋体" w:hAnsi="宋体" w:cs="宋体"/>
                <w:color w:val="auto"/>
                <w:kern w:val="0"/>
              </w:rPr>
              <w:t>控制</w:t>
            </w:r>
          </w:p>
          <w:p>
            <w:pPr>
              <w:adjustRightInd w:val="0"/>
              <w:snapToGrid w:val="0"/>
              <w:jc w:val="center"/>
              <w:rPr>
                <w:rFonts w:ascii="宋体" w:hAnsi="宋体" w:cs="宋体"/>
                <w:color w:val="auto"/>
                <w:kern w:val="0"/>
                <w:szCs w:val="21"/>
              </w:rPr>
            </w:pPr>
            <w:r>
              <w:rPr>
                <w:rFonts w:hint="eastAsia" w:ascii="宋体" w:hAnsi="宋体" w:cs="宋体"/>
                <w:color w:val="auto"/>
                <w:kern w:val="0"/>
              </w:rPr>
              <w:t>指标</w:t>
            </w:r>
          </w:p>
        </w:tc>
        <w:tc>
          <w:tcPr>
            <w:tcW w:w="8185" w:type="dxa"/>
            <w:noWrap/>
            <w:vAlign w:val="center"/>
          </w:tcPr>
          <w:p>
            <w:pPr>
              <w:pStyle w:val="7"/>
              <w:ind w:firstLine="480"/>
              <w:rPr>
                <w:color w:val="FF0000"/>
              </w:rPr>
            </w:pPr>
            <w:r>
              <w:rPr>
                <w:color w:val="auto"/>
                <w:u w:val="none"/>
              </w:rPr>
              <w:t>根据国家</w:t>
            </w:r>
            <w:r>
              <w:rPr>
                <w:rFonts w:hint="eastAsia"/>
                <w:color w:val="auto"/>
                <w:u w:val="none"/>
              </w:rPr>
              <w:t>生态环境部</w:t>
            </w:r>
            <w:r>
              <w:rPr>
                <w:color w:val="auto"/>
                <w:u w:val="none"/>
              </w:rPr>
              <w:t>关于总量控制的有关要求，并结合项目污染物排放及周围环境状况，确定本项目评价中污染物的总量控制因子为：CODcr、氨氮。</w:t>
            </w:r>
            <w:r>
              <w:rPr>
                <w:color w:val="auto"/>
                <w:u w:val="single"/>
              </w:rPr>
              <w:t>项目建成后污水排放总量为</w:t>
            </w:r>
            <w:r>
              <w:rPr>
                <w:rFonts w:hint="eastAsia"/>
                <w:color w:val="auto"/>
                <w:u w:val="single"/>
                <w:lang w:val="en-US" w:eastAsia="zh-CN"/>
              </w:rPr>
              <w:t>3,182.8</w:t>
            </w:r>
            <w:r>
              <w:rPr>
                <w:color w:val="auto"/>
                <w:u w:val="single"/>
              </w:rPr>
              <w:t>m³/a，</w:t>
            </w:r>
            <w:r>
              <w:rPr>
                <w:rFonts w:hint="eastAsia"/>
                <w:color w:val="auto"/>
                <w:u w:val="single"/>
                <w:lang w:eastAsia="zh-CN"/>
              </w:rPr>
              <w:t>临湘市污水净化中心</w:t>
            </w:r>
            <w:r>
              <w:rPr>
                <w:color w:val="auto"/>
                <w:u w:val="single"/>
              </w:rPr>
              <w:t>处理工艺采用“粗格栅+调节/沉砂池+厌氧/缺氧/MBBR池+生化沉淀池+絮凝反应区+斜管沉淀池+滤布滤池+管道式紫外消毒+巴氏计量槽+出水”工艺，尾水排放达到《城镇污水处理厂污染物排放标准》（GB18918-2002）一级</w:t>
            </w:r>
            <w:r>
              <w:rPr>
                <w:rFonts w:hint="eastAsia"/>
                <w:color w:val="auto"/>
                <w:u w:val="single"/>
              </w:rPr>
              <w:t>A</w:t>
            </w:r>
            <w:r>
              <w:rPr>
                <w:color w:val="auto"/>
                <w:u w:val="single"/>
              </w:rPr>
              <w:t>标准。</w:t>
            </w:r>
            <w:r>
              <w:rPr>
                <w:rFonts w:hint="eastAsia"/>
                <w:color w:val="auto"/>
                <w:u w:val="single"/>
              </w:rPr>
              <w:t>依此计算</w:t>
            </w:r>
            <w:r>
              <w:rPr>
                <w:color w:val="auto"/>
                <w:u w:val="single"/>
              </w:rPr>
              <w:t>预计排放总量应控制在CODcr为</w:t>
            </w:r>
            <w:r>
              <w:rPr>
                <w:rFonts w:hint="eastAsia"/>
                <w:color w:val="auto"/>
                <w:u w:val="single"/>
                <w:lang w:val="en-US" w:eastAsia="zh-CN"/>
              </w:rPr>
              <w:t>0.159</w:t>
            </w:r>
            <w:r>
              <w:rPr>
                <w:color w:val="auto"/>
                <w:u w:val="single"/>
              </w:rPr>
              <w:t>t/a，NH</w:t>
            </w:r>
            <w:r>
              <w:rPr>
                <w:color w:val="auto"/>
                <w:u w:val="single"/>
                <w:vertAlign w:val="subscript"/>
              </w:rPr>
              <w:t>3</w:t>
            </w:r>
            <w:r>
              <w:rPr>
                <w:color w:val="auto"/>
                <w:u w:val="single"/>
              </w:rPr>
              <w:t>-N为</w:t>
            </w:r>
            <w:r>
              <w:rPr>
                <w:rFonts w:hint="eastAsia"/>
                <w:color w:val="auto"/>
                <w:u w:val="single"/>
                <w:lang w:val="en-US" w:eastAsia="zh-CN"/>
              </w:rPr>
              <w:t>0.0159</w:t>
            </w:r>
            <w:r>
              <w:rPr>
                <w:color w:val="auto"/>
                <w:u w:val="single"/>
              </w:rPr>
              <w:t>t/a</w:t>
            </w:r>
            <w:r>
              <w:rPr>
                <w:rFonts w:hint="eastAsia"/>
                <w:color w:val="auto"/>
                <w:u w:val="single"/>
              </w:rPr>
              <w:t>，由于项目属公共服务，总量计入临湘市污水净化中心排放总量，因此无需购买总量</w:t>
            </w:r>
            <w:r>
              <w:rPr>
                <w:color w:val="auto"/>
                <w:u w:val="single"/>
              </w:rPr>
              <w:t>。</w:t>
            </w:r>
          </w:p>
        </w:tc>
      </w:tr>
    </w:tbl>
    <w:p>
      <w:pPr>
        <w:rPr>
          <w:color w:val="FF0000"/>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
        <w:rPr>
          <w:color w:val="auto"/>
        </w:rPr>
      </w:pPr>
      <w:bookmarkStart w:id="54" w:name="_Toc13348"/>
      <w:r>
        <w:rPr>
          <w:rFonts w:hint="eastAsia"/>
          <w:color w:val="auto"/>
        </w:rPr>
        <w:t>四、主要环境影响和保护措施</w:t>
      </w:r>
      <w:bookmarkEnd w:id="54"/>
    </w:p>
    <w:tbl>
      <w:tblPr>
        <w:tblStyle w:val="31"/>
        <w:tblW w:w="84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9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noWrap/>
            <w:tcMar>
              <w:left w:w="28" w:type="dxa"/>
              <w:right w:w="28" w:type="dxa"/>
            </w:tcMar>
            <w:vAlign w:val="center"/>
          </w:tcPr>
          <w:p>
            <w:pPr>
              <w:pStyle w:val="27"/>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施工</w:t>
            </w:r>
          </w:p>
          <w:p>
            <w:pPr>
              <w:pStyle w:val="27"/>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期环</w:t>
            </w:r>
          </w:p>
          <w:p>
            <w:pPr>
              <w:pStyle w:val="27"/>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境保</w:t>
            </w:r>
          </w:p>
          <w:p>
            <w:pPr>
              <w:pStyle w:val="27"/>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护措</w:t>
            </w:r>
          </w:p>
          <w:p>
            <w:pPr>
              <w:pStyle w:val="27"/>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Cs w:val="24"/>
              </w:rPr>
              <w:t>施</w:t>
            </w:r>
          </w:p>
        </w:tc>
        <w:tc>
          <w:tcPr>
            <w:tcW w:w="7974" w:type="dxa"/>
            <w:noWrap/>
            <w:vAlign w:val="center"/>
          </w:tcPr>
          <w:p>
            <w:pPr>
              <w:pStyle w:val="7"/>
              <w:ind w:firstLine="480"/>
              <w:rPr>
                <w:rFonts w:ascii="宋体" w:hAnsi="宋体" w:cs="宋体"/>
                <w:bCs/>
                <w:color w:val="auto"/>
                <w:spacing w:val="-10"/>
                <w:szCs w:val="21"/>
              </w:rPr>
            </w:pPr>
            <w:r>
              <w:rPr>
                <w:color w:val="auto"/>
              </w:rPr>
              <w:t>本项目属于补办环评手续，项目已经建成，不存在进行施工，因此，本次环评不对其施工期进行评价，主要对项目营运期进行评价。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noWrap/>
            <w:tcMar>
              <w:left w:w="28" w:type="dxa"/>
              <w:right w:w="28" w:type="dxa"/>
            </w:tcMar>
            <w:vAlign w:val="center"/>
          </w:tcPr>
          <w:p>
            <w:pPr>
              <w:adjustRightInd w:val="0"/>
              <w:snapToGrid w:val="0"/>
              <w:jc w:val="center"/>
              <w:rPr>
                <w:rFonts w:ascii="宋体" w:hAnsi="宋体" w:cs="宋体"/>
                <w:bCs/>
                <w:color w:val="auto"/>
              </w:rPr>
            </w:pPr>
            <w:r>
              <w:rPr>
                <w:rFonts w:hint="eastAsia" w:ascii="宋体" w:hAnsi="宋体" w:cs="宋体"/>
                <w:bCs/>
                <w:color w:val="auto"/>
              </w:rPr>
              <w:t>运营</w:t>
            </w:r>
          </w:p>
          <w:p>
            <w:pPr>
              <w:adjustRightInd w:val="0"/>
              <w:snapToGrid w:val="0"/>
              <w:jc w:val="center"/>
              <w:rPr>
                <w:rFonts w:ascii="宋体" w:hAnsi="宋体" w:cs="宋体"/>
                <w:bCs/>
                <w:color w:val="auto"/>
              </w:rPr>
            </w:pPr>
            <w:r>
              <w:rPr>
                <w:rFonts w:hint="eastAsia" w:ascii="宋体" w:hAnsi="宋体" w:cs="宋体"/>
                <w:bCs/>
                <w:color w:val="auto"/>
              </w:rPr>
              <w:t>期环</w:t>
            </w:r>
          </w:p>
          <w:p>
            <w:pPr>
              <w:adjustRightInd w:val="0"/>
              <w:snapToGrid w:val="0"/>
              <w:jc w:val="center"/>
              <w:rPr>
                <w:rFonts w:ascii="宋体" w:hAnsi="宋体" w:cs="宋体"/>
                <w:bCs/>
                <w:color w:val="auto"/>
              </w:rPr>
            </w:pPr>
            <w:r>
              <w:rPr>
                <w:rFonts w:hint="eastAsia" w:ascii="宋体" w:hAnsi="宋体" w:cs="宋体"/>
                <w:bCs/>
                <w:color w:val="auto"/>
              </w:rPr>
              <w:t>境影</w:t>
            </w:r>
          </w:p>
          <w:p>
            <w:pPr>
              <w:adjustRightInd w:val="0"/>
              <w:snapToGrid w:val="0"/>
              <w:jc w:val="center"/>
              <w:rPr>
                <w:rFonts w:ascii="宋体" w:hAnsi="宋体" w:cs="宋体"/>
                <w:bCs/>
                <w:color w:val="auto"/>
              </w:rPr>
            </w:pPr>
            <w:r>
              <w:rPr>
                <w:rFonts w:hint="eastAsia" w:ascii="宋体" w:hAnsi="宋体" w:cs="宋体"/>
                <w:bCs/>
                <w:color w:val="auto"/>
              </w:rPr>
              <w:t>响和</w:t>
            </w:r>
          </w:p>
          <w:p>
            <w:pPr>
              <w:adjustRightInd w:val="0"/>
              <w:snapToGrid w:val="0"/>
              <w:jc w:val="center"/>
              <w:rPr>
                <w:rFonts w:ascii="宋体" w:hAnsi="宋体" w:cs="宋体"/>
                <w:bCs/>
                <w:color w:val="auto"/>
              </w:rPr>
            </w:pPr>
            <w:r>
              <w:rPr>
                <w:rFonts w:hint="eastAsia" w:ascii="宋体" w:hAnsi="宋体" w:cs="宋体"/>
                <w:bCs/>
                <w:color w:val="auto"/>
              </w:rPr>
              <w:t>保护</w:t>
            </w:r>
          </w:p>
          <w:p>
            <w:pPr>
              <w:adjustRightInd w:val="0"/>
              <w:snapToGrid w:val="0"/>
              <w:jc w:val="center"/>
              <w:rPr>
                <w:rFonts w:ascii="宋体" w:hAnsi="宋体" w:cs="宋体"/>
                <w:bCs/>
                <w:color w:val="FF0000"/>
                <w:szCs w:val="21"/>
              </w:rPr>
            </w:pPr>
            <w:r>
              <w:rPr>
                <w:rFonts w:hint="eastAsia" w:ascii="宋体" w:hAnsi="宋体" w:cs="宋体"/>
                <w:bCs/>
                <w:color w:val="auto"/>
              </w:rPr>
              <w:t>措施</w:t>
            </w:r>
          </w:p>
        </w:tc>
        <w:tc>
          <w:tcPr>
            <w:tcW w:w="7974" w:type="dxa"/>
            <w:noWrap/>
            <w:vAlign w:val="center"/>
          </w:tcPr>
          <w:p>
            <w:pPr>
              <w:pStyle w:val="7"/>
              <w:ind w:firstLine="480"/>
              <w:rPr>
                <w:color w:val="auto"/>
              </w:rPr>
            </w:pPr>
            <w:r>
              <w:rPr>
                <w:color w:val="auto"/>
              </w:rPr>
              <w:t>1.</w:t>
            </w:r>
            <w:r>
              <w:rPr>
                <w:rFonts w:hint="eastAsia"/>
                <w:color w:val="auto"/>
              </w:rPr>
              <w:t>大气环境影响和保护措施</w:t>
            </w:r>
          </w:p>
          <w:p>
            <w:pPr>
              <w:pStyle w:val="7"/>
              <w:ind w:firstLine="480"/>
              <w:rPr>
                <w:color w:val="auto"/>
              </w:rPr>
            </w:pPr>
            <w:r>
              <w:rPr>
                <w:color w:val="auto"/>
              </w:rPr>
              <w:t xml:space="preserve">1.1 </w:t>
            </w:r>
            <w:r>
              <w:rPr>
                <w:rFonts w:hint="eastAsia"/>
                <w:color w:val="auto"/>
              </w:rPr>
              <w:t xml:space="preserve">污染物源强核算 </w:t>
            </w:r>
          </w:p>
          <w:p>
            <w:pPr>
              <w:pStyle w:val="7"/>
              <w:ind w:firstLine="480"/>
              <w:rPr>
                <w:color w:val="auto"/>
              </w:rPr>
            </w:pPr>
            <w:r>
              <w:rPr>
                <w:rFonts w:hint="eastAsia"/>
                <w:color w:val="auto"/>
              </w:rPr>
              <w:t>本项目主要排放的废气是</w:t>
            </w:r>
            <w:r>
              <w:rPr>
                <w:color w:val="auto"/>
                <w:spacing w:val="-6"/>
              </w:rPr>
              <w:t>生活垃圾、医疗废物暂存间和</w:t>
            </w:r>
            <w:r>
              <w:rPr>
                <w:rFonts w:hint="eastAsia"/>
                <w:color w:val="auto"/>
              </w:rPr>
              <w:t>污水处理站臭气。</w:t>
            </w:r>
          </w:p>
          <w:p>
            <w:pPr>
              <w:pStyle w:val="7"/>
              <w:ind w:firstLine="480"/>
              <w:rPr>
                <w:color w:val="auto"/>
              </w:rPr>
            </w:pPr>
            <w:r>
              <w:rPr>
                <w:rFonts w:hint="eastAsia"/>
                <w:color w:val="auto"/>
              </w:rPr>
              <w:t>（1）</w:t>
            </w:r>
            <w:r>
              <w:rPr>
                <w:color w:val="auto"/>
                <w:spacing w:val="-6"/>
              </w:rPr>
              <w:t>生活垃圾</w:t>
            </w:r>
            <w:r>
              <w:rPr>
                <w:rFonts w:hint="eastAsia"/>
                <w:color w:val="auto"/>
                <w:spacing w:val="-6"/>
              </w:rPr>
              <w:t>及</w:t>
            </w:r>
            <w:r>
              <w:rPr>
                <w:color w:val="auto"/>
                <w:spacing w:val="-6"/>
              </w:rPr>
              <w:t>医疗废物暂存间和</w:t>
            </w:r>
            <w:r>
              <w:rPr>
                <w:rFonts w:hint="eastAsia"/>
                <w:color w:val="auto"/>
              </w:rPr>
              <w:t>污水处理站</w:t>
            </w:r>
            <w:r>
              <w:rPr>
                <w:color w:val="auto"/>
              </w:rPr>
              <w:t>臭气</w:t>
            </w:r>
          </w:p>
          <w:p>
            <w:pPr>
              <w:pStyle w:val="7"/>
              <w:ind w:firstLine="480"/>
              <w:rPr>
                <w:color w:val="auto"/>
              </w:rPr>
            </w:pPr>
            <w:r>
              <w:rPr>
                <w:color w:val="auto"/>
              </w:rPr>
              <w:t>项目营运期生活垃圾收集、医疗废物暂存间和污水处理站若管理不善，废物未及时处置，易产生恶臭气体。</w:t>
            </w:r>
          </w:p>
          <w:p>
            <w:pPr>
              <w:pStyle w:val="7"/>
              <w:ind w:firstLine="480"/>
              <w:rPr>
                <w:color w:val="auto"/>
              </w:rPr>
            </w:pPr>
            <w:r>
              <w:rPr>
                <w:rFonts w:hint="eastAsia"/>
                <w:color w:val="auto"/>
              </w:rPr>
              <w:t>①</w:t>
            </w:r>
            <w:r>
              <w:rPr>
                <w:color w:val="auto"/>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pPr>
              <w:pStyle w:val="46"/>
              <w:rPr>
                <w:color w:val="auto"/>
              </w:rPr>
            </w:pPr>
            <w:r>
              <w:rPr>
                <w:rFonts w:hint="eastAsia"/>
                <w:color w:val="auto"/>
              </w:rPr>
              <w:t>表4.2-1</w:t>
            </w:r>
            <w:r>
              <w:rPr>
                <w:color w:val="auto"/>
              </w:rPr>
              <w:t>主要恶臭物质的臭气特征</w:t>
            </w:r>
          </w:p>
          <w:tbl>
            <w:tblPr>
              <w:tblStyle w:val="31"/>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984"/>
              <w:gridCol w:w="1909"/>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rPr>
                  </w:pPr>
                  <w:r>
                    <w:rPr>
                      <w:color w:val="auto"/>
                    </w:rPr>
                    <w:t>序号</w:t>
                  </w:r>
                </w:p>
              </w:tc>
              <w:tc>
                <w:tcPr>
                  <w:tcW w:w="2053" w:type="dxa"/>
                  <w:vAlign w:val="center"/>
                </w:tcPr>
                <w:p>
                  <w:pPr>
                    <w:pStyle w:val="45"/>
                    <w:rPr>
                      <w:color w:val="auto"/>
                    </w:rPr>
                  </w:pPr>
                  <w:r>
                    <w:rPr>
                      <w:color w:val="auto"/>
                    </w:rPr>
                    <w:t>恶臭物质</w:t>
                  </w:r>
                </w:p>
              </w:tc>
              <w:tc>
                <w:tcPr>
                  <w:tcW w:w="1975" w:type="dxa"/>
                  <w:vAlign w:val="center"/>
                </w:tcPr>
                <w:p>
                  <w:pPr>
                    <w:pStyle w:val="45"/>
                    <w:rPr>
                      <w:color w:val="auto"/>
                    </w:rPr>
                  </w:pPr>
                  <w:r>
                    <w:rPr>
                      <w:color w:val="auto"/>
                    </w:rPr>
                    <w:t>臭气性质</w:t>
                  </w:r>
                </w:p>
              </w:tc>
              <w:tc>
                <w:tcPr>
                  <w:tcW w:w="2019" w:type="dxa"/>
                  <w:vAlign w:val="center"/>
                </w:tcPr>
                <w:p>
                  <w:pPr>
                    <w:pStyle w:val="45"/>
                    <w:rPr>
                      <w:color w:val="auto"/>
                    </w:rPr>
                  </w:pPr>
                  <w:r>
                    <w:rPr>
                      <w:color w:val="auto"/>
                    </w:rPr>
                    <w:t>嗅阈值（ppm）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rPr>
                  </w:pPr>
                  <w:r>
                    <w:rPr>
                      <w:color w:val="auto"/>
                    </w:rPr>
                    <w:t>1</w:t>
                  </w:r>
                </w:p>
              </w:tc>
              <w:tc>
                <w:tcPr>
                  <w:tcW w:w="2053" w:type="dxa"/>
                  <w:vAlign w:val="center"/>
                </w:tcPr>
                <w:p>
                  <w:pPr>
                    <w:pStyle w:val="45"/>
                    <w:rPr>
                      <w:color w:val="auto"/>
                    </w:rPr>
                  </w:pPr>
                  <w:r>
                    <w:rPr>
                      <w:color w:val="auto"/>
                    </w:rPr>
                    <w:t>硫化氢</w:t>
                  </w:r>
                </w:p>
              </w:tc>
              <w:tc>
                <w:tcPr>
                  <w:tcW w:w="1975" w:type="dxa"/>
                  <w:vAlign w:val="center"/>
                </w:tcPr>
                <w:p>
                  <w:pPr>
                    <w:pStyle w:val="45"/>
                    <w:rPr>
                      <w:color w:val="auto"/>
                    </w:rPr>
                  </w:pPr>
                  <w:r>
                    <w:rPr>
                      <w:color w:val="auto"/>
                    </w:rPr>
                    <w:t>腐烂性蛋臭</w:t>
                  </w:r>
                </w:p>
              </w:tc>
              <w:tc>
                <w:tcPr>
                  <w:tcW w:w="2019" w:type="dxa"/>
                  <w:vAlign w:val="center"/>
                </w:tcPr>
                <w:p>
                  <w:pPr>
                    <w:pStyle w:val="45"/>
                    <w:rPr>
                      <w:color w:val="auto"/>
                    </w:rPr>
                  </w:pPr>
                  <w:r>
                    <w:rPr>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rPr>
                  </w:pPr>
                  <w:r>
                    <w:rPr>
                      <w:color w:val="auto"/>
                    </w:rPr>
                    <w:t>2</w:t>
                  </w:r>
                </w:p>
              </w:tc>
              <w:tc>
                <w:tcPr>
                  <w:tcW w:w="2053" w:type="dxa"/>
                  <w:vAlign w:val="center"/>
                </w:tcPr>
                <w:p>
                  <w:pPr>
                    <w:pStyle w:val="45"/>
                    <w:rPr>
                      <w:color w:val="auto"/>
                    </w:rPr>
                  </w:pPr>
                  <w:r>
                    <w:rPr>
                      <w:color w:val="auto"/>
                    </w:rPr>
                    <w:t>甲硫醇</w:t>
                  </w:r>
                </w:p>
              </w:tc>
              <w:tc>
                <w:tcPr>
                  <w:tcW w:w="1975" w:type="dxa"/>
                  <w:vAlign w:val="center"/>
                </w:tcPr>
                <w:p>
                  <w:pPr>
                    <w:pStyle w:val="45"/>
                    <w:rPr>
                      <w:color w:val="auto"/>
                    </w:rPr>
                  </w:pPr>
                  <w:r>
                    <w:rPr>
                      <w:color w:val="auto"/>
                    </w:rPr>
                    <w:t>腐烂性洋葱臭</w:t>
                  </w:r>
                </w:p>
              </w:tc>
              <w:tc>
                <w:tcPr>
                  <w:tcW w:w="2019" w:type="dxa"/>
                  <w:vAlign w:val="center"/>
                </w:tcPr>
                <w:p>
                  <w:pPr>
                    <w:pStyle w:val="45"/>
                    <w:rPr>
                      <w:color w:val="auto"/>
                    </w:rPr>
                  </w:pPr>
                  <w:r>
                    <w:rPr>
                      <w:color w:val="auto"/>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rPr>
                  </w:pPr>
                  <w:r>
                    <w:rPr>
                      <w:color w:val="auto"/>
                    </w:rPr>
                    <w:t>3</w:t>
                  </w:r>
                </w:p>
              </w:tc>
              <w:tc>
                <w:tcPr>
                  <w:tcW w:w="2053" w:type="dxa"/>
                  <w:vAlign w:val="center"/>
                </w:tcPr>
                <w:p>
                  <w:pPr>
                    <w:pStyle w:val="45"/>
                    <w:rPr>
                      <w:color w:val="auto"/>
                    </w:rPr>
                  </w:pPr>
                  <w:r>
                    <w:rPr>
                      <w:color w:val="auto"/>
                    </w:rPr>
                    <w:t>甲硫醚</w:t>
                  </w:r>
                </w:p>
              </w:tc>
              <w:tc>
                <w:tcPr>
                  <w:tcW w:w="1975" w:type="dxa"/>
                  <w:vAlign w:val="center"/>
                </w:tcPr>
                <w:p>
                  <w:pPr>
                    <w:pStyle w:val="45"/>
                    <w:rPr>
                      <w:color w:val="auto"/>
                    </w:rPr>
                  </w:pPr>
                  <w:r>
                    <w:rPr>
                      <w:color w:val="auto"/>
                    </w:rPr>
                    <w:t>不愉快气味</w:t>
                  </w:r>
                </w:p>
              </w:tc>
              <w:tc>
                <w:tcPr>
                  <w:tcW w:w="2019" w:type="dxa"/>
                  <w:vAlign w:val="center"/>
                </w:tcPr>
                <w:p>
                  <w:pPr>
                    <w:pStyle w:val="45"/>
                    <w:rPr>
                      <w:color w:val="auto"/>
                    </w:rPr>
                  </w:pPr>
                  <w:r>
                    <w:rPr>
                      <w:color w:val="auto"/>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rPr>
                  </w:pPr>
                  <w:r>
                    <w:rPr>
                      <w:color w:val="auto"/>
                    </w:rPr>
                    <w:t>4</w:t>
                  </w:r>
                </w:p>
              </w:tc>
              <w:tc>
                <w:tcPr>
                  <w:tcW w:w="2053" w:type="dxa"/>
                  <w:vAlign w:val="center"/>
                </w:tcPr>
                <w:p>
                  <w:pPr>
                    <w:pStyle w:val="45"/>
                    <w:rPr>
                      <w:color w:val="auto"/>
                    </w:rPr>
                  </w:pPr>
                  <w:r>
                    <w:rPr>
                      <w:color w:val="auto"/>
                    </w:rPr>
                    <w:t>氨</w:t>
                  </w:r>
                </w:p>
              </w:tc>
              <w:tc>
                <w:tcPr>
                  <w:tcW w:w="1975" w:type="dxa"/>
                  <w:vAlign w:val="center"/>
                </w:tcPr>
                <w:p>
                  <w:pPr>
                    <w:pStyle w:val="45"/>
                    <w:rPr>
                      <w:color w:val="auto"/>
                    </w:rPr>
                  </w:pPr>
                  <w:r>
                    <w:rPr>
                      <w:color w:val="auto"/>
                    </w:rPr>
                    <w:t>特殊的刺激性臭</w:t>
                  </w:r>
                </w:p>
              </w:tc>
              <w:tc>
                <w:tcPr>
                  <w:tcW w:w="2019" w:type="dxa"/>
                  <w:vAlign w:val="center"/>
                </w:tcPr>
                <w:p>
                  <w:pPr>
                    <w:pStyle w:val="45"/>
                    <w:rPr>
                      <w:color w:val="auto"/>
                    </w:rPr>
                  </w:pPr>
                  <w:r>
                    <w:rPr>
                      <w:color w:val="auto"/>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rPr>
                  </w:pPr>
                  <w:r>
                    <w:rPr>
                      <w:color w:val="auto"/>
                    </w:rPr>
                    <w:t>5</w:t>
                  </w:r>
                </w:p>
              </w:tc>
              <w:tc>
                <w:tcPr>
                  <w:tcW w:w="2053" w:type="dxa"/>
                  <w:vAlign w:val="center"/>
                </w:tcPr>
                <w:p>
                  <w:pPr>
                    <w:pStyle w:val="45"/>
                    <w:rPr>
                      <w:color w:val="auto"/>
                    </w:rPr>
                  </w:pPr>
                  <w:r>
                    <w:rPr>
                      <w:color w:val="auto"/>
                    </w:rPr>
                    <w:t>三甲基胺</w:t>
                  </w:r>
                </w:p>
              </w:tc>
              <w:tc>
                <w:tcPr>
                  <w:tcW w:w="1975" w:type="dxa"/>
                  <w:vAlign w:val="center"/>
                </w:tcPr>
                <w:p>
                  <w:pPr>
                    <w:pStyle w:val="45"/>
                    <w:rPr>
                      <w:color w:val="auto"/>
                    </w:rPr>
                  </w:pPr>
                  <w:r>
                    <w:rPr>
                      <w:color w:val="auto"/>
                    </w:rPr>
                    <w:t>腐烂性鱼臭</w:t>
                  </w:r>
                </w:p>
              </w:tc>
              <w:tc>
                <w:tcPr>
                  <w:tcW w:w="2019" w:type="dxa"/>
                  <w:vAlign w:val="center"/>
                </w:tcPr>
                <w:p>
                  <w:pPr>
                    <w:pStyle w:val="45"/>
                    <w:rPr>
                      <w:color w:val="auto"/>
                    </w:rPr>
                  </w:pPr>
                  <w:r>
                    <w:rPr>
                      <w:color w:val="auto"/>
                    </w:rPr>
                    <w:t>0.0001</w:t>
                  </w:r>
                </w:p>
              </w:tc>
            </w:tr>
          </w:tbl>
          <w:p>
            <w:pPr>
              <w:pStyle w:val="7"/>
              <w:ind w:firstLine="480"/>
              <w:rPr>
                <w:rFonts w:hint="eastAsia" w:eastAsia="宋体"/>
                <w:color w:val="FF0000"/>
                <w:lang w:eastAsia="zh-CN"/>
              </w:rPr>
            </w:pPr>
            <w:r>
              <w:rPr>
                <w:rFonts w:hint="eastAsia"/>
                <w:color w:val="auto"/>
              </w:rPr>
              <w:t>②医疗废水</w:t>
            </w:r>
            <w:r>
              <w:rPr>
                <w:color w:val="auto"/>
              </w:rPr>
              <w:t>处理站产生的恶臭气体的成分主要是</w:t>
            </w:r>
            <w:r>
              <w:rPr>
                <w:rFonts w:hint="eastAsia"/>
                <w:color w:val="auto"/>
              </w:rPr>
              <w:t>NH</w:t>
            </w:r>
            <w:r>
              <w:rPr>
                <w:rFonts w:hint="eastAsia"/>
                <w:color w:val="auto"/>
                <w:vertAlign w:val="subscript"/>
              </w:rPr>
              <w:t>3</w:t>
            </w:r>
            <w:r>
              <w:rPr>
                <w:rFonts w:hint="eastAsia"/>
                <w:color w:val="auto"/>
              </w:rPr>
              <w:t>和</w:t>
            </w:r>
            <w:r>
              <w:rPr>
                <w:color w:val="auto"/>
              </w:rPr>
              <w:t>硫化氢。硫化氢气体具有臭鸡蛋味，有一定的刺激性。恶臭气体产生量随污水水质、气温（或水温）以及曝气量的不同而变化。有机污水产生的恶臭量大于一般工业废水，夏秋季较多。</w:t>
            </w:r>
            <w:r>
              <w:rPr>
                <w:rFonts w:hint="eastAsia"/>
                <w:color w:val="auto"/>
              </w:rPr>
              <w:t>本项目医疗废水处理站采用“一级</w:t>
            </w:r>
            <w:r>
              <w:rPr>
                <w:rFonts w:hint="eastAsia"/>
                <w:color w:val="auto"/>
                <w:lang w:val="en-US" w:eastAsia="zh-CN"/>
              </w:rPr>
              <w:t>生</w:t>
            </w:r>
            <w:r>
              <w:rPr>
                <w:rFonts w:hint="eastAsia"/>
                <w:color w:val="auto"/>
              </w:rPr>
              <w:t>化处理工艺</w:t>
            </w:r>
            <w:r>
              <w:rPr>
                <w:color w:val="auto"/>
              </w:rPr>
              <w:t>+消毒</w:t>
            </w:r>
            <w:r>
              <w:rPr>
                <w:rFonts w:hint="eastAsia"/>
                <w:color w:val="auto"/>
              </w:rPr>
              <w:t>”工艺，恶臭气体产生量较少。</w:t>
            </w:r>
            <w:r>
              <w:rPr>
                <w:color w:val="auto"/>
              </w:rPr>
              <w:t>根据类比，每处理1g的BOD</w:t>
            </w:r>
            <w:r>
              <w:rPr>
                <w:color w:val="auto"/>
                <w:vertAlign w:val="subscript"/>
              </w:rPr>
              <w:t>5</w:t>
            </w:r>
            <w:r>
              <w:rPr>
                <w:color w:val="auto"/>
              </w:rPr>
              <w:t>，可产生0.0031g的NH</w:t>
            </w:r>
            <w:r>
              <w:rPr>
                <w:color w:val="auto"/>
                <w:vertAlign w:val="subscript"/>
              </w:rPr>
              <w:t>3</w:t>
            </w:r>
            <w:r>
              <w:rPr>
                <w:color w:val="auto"/>
              </w:rPr>
              <w:t>和0.00012g的H</w:t>
            </w:r>
            <w:r>
              <w:rPr>
                <w:color w:val="auto"/>
                <w:vertAlign w:val="subscript"/>
              </w:rPr>
              <w:t>2</w:t>
            </w:r>
            <w:r>
              <w:rPr>
                <w:color w:val="auto"/>
              </w:rPr>
              <w:t>S。通过计算得到项目</w:t>
            </w:r>
            <w:r>
              <w:rPr>
                <w:rFonts w:hint="eastAsia"/>
                <w:color w:val="auto"/>
              </w:rPr>
              <w:t>医疗废水处理站</w:t>
            </w:r>
            <w:r>
              <w:rPr>
                <w:color w:val="auto"/>
              </w:rPr>
              <w:t>恶臭污染物的产生量分别为：NH</w:t>
            </w:r>
            <w:r>
              <w:rPr>
                <w:color w:val="auto"/>
                <w:vertAlign w:val="subscript"/>
              </w:rPr>
              <w:t>3</w:t>
            </w:r>
            <w:r>
              <w:rPr>
                <w:color w:val="auto"/>
              </w:rPr>
              <w:t>为</w:t>
            </w:r>
            <w:r>
              <w:rPr>
                <w:rFonts w:hint="eastAsia"/>
                <w:color w:val="auto"/>
              </w:rPr>
              <w:t>0.00</w:t>
            </w:r>
            <w:r>
              <w:rPr>
                <w:rFonts w:hint="eastAsia"/>
                <w:color w:val="auto"/>
                <w:lang w:val="en-US" w:eastAsia="zh-CN"/>
              </w:rPr>
              <w:t>0436</w:t>
            </w:r>
            <w:r>
              <w:rPr>
                <w:color w:val="auto"/>
              </w:rPr>
              <w:t>t/a，H</w:t>
            </w:r>
            <w:r>
              <w:rPr>
                <w:color w:val="auto"/>
                <w:vertAlign w:val="subscript"/>
              </w:rPr>
              <w:t>2</w:t>
            </w:r>
            <w:r>
              <w:rPr>
                <w:color w:val="auto"/>
              </w:rPr>
              <w:t>S为</w:t>
            </w:r>
            <w:r>
              <w:rPr>
                <w:rFonts w:hint="eastAsia"/>
                <w:color w:val="auto"/>
              </w:rPr>
              <w:t>0.000</w:t>
            </w:r>
            <w:r>
              <w:rPr>
                <w:rFonts w:hint="eastAsia"/>
                <w:color w:val="auto"/>
                <w:lang w:val="en-US" w:eastAsia="zh-CN"/>
              </w:rPr>
              <w:t>0169</w:t>
            </w:r>
            <w:r>
              <w:rPr>
                <w:color w:val="auto"/>
              </w:rPr>
              <w:t>t/a</w:t>
            </w:r>
            <w:r>
              <w:rPr>
                <w:rFonts w:hint="eastAsia"/>
                <w:color w:val="auto"/>
                <w:lang w:eastAsia="zh-CN"/>
              </w:rPr>
              <w:t>，</w:t>
            </w:r>
            <w:r>
              <w:rPr>
                <w:rFonts w:hint="eastAsia"/>
                <w:color w:val="auto"/>
                <w:u w:val="single"/>
              </w:rPr>
              <w:t>通过现场监测可知，医院BOD</w:t>
            </w:r>
            <w:r>
              <w:rPr>
                <w:rFonts w:hint="eastAsia"/>
                <w:color w:val="auto"/>
                <w:u w:val="single"/>
                <w:vertAlign w:val="subscript"/>
              </w:rPr>
              <w:t>5</w:t>
            </w:r>
            <w:r>
              <w:rPr>
                <w:rFonts w:hint="eastAsia"/>
                <w:color w:val="auto"/>
                <w:u w:val="single"/>
              </w:rPr>
              <w:t>去除率约为</w:t>
            </w:r>
            <w:r>
              <w:rPr>
                <w:rFonts w:hint="eastAsia"/>
                <w:color w:val="auto"/>
                <w:u w:val="single"/>
                <w:lang w:val="en-US" w:eastAsia="zh-CN"/>
              </w:rPr>
              <w:t>50%</w:t>
            </w:r>
            <w:r>
              <w:rPr>
                <w:rFonts w:hint="eastAsia"/>
                <w:color w:val="auto"/>
                <w:u w:val="single"/>
              </w:rPr>
              <w:t>，则</w:t>
            </w:r>
            <w:r>
              <w:rPr>
                <w:color w:val="auto"/>
                <w:u w:val="single"/>
              </w:rPr>
              <w:t>项目</w:t>
            </w:r>
            <w:r>
              <w:rPr>
                <w:rFonts w:hint="eastAsia"/>
                <w:color w:val="auto"/>
                <w:u w:val="single"/>
              </w:rPr>
              <w:t>医疗废水处理站</w:t>
            </w:r>
            <w:r>
              <w:rPr>
                <w:color w:val="auto"/>
                <w:u w:val="single"/>
              </w:rPr>
              <w:t>恶臭污染物的产生量分别为：NH</w:t>
            </w:r>
            <w:r>
              <w:rPr>
                <w:color w:val="auto"/>
                <w:u w:val="single"/>
                <w:vertAlign w:val="subscript"/>
              </w:rPr>
              <w:t>3</w:t>
            </w:r>
            <w:r>
              <w:rPr>
                <w:color w:val="auto"/>
                <w:u w:val="single"/>
              </w:rPr>
              <w:t>为</w:t>
            </w:r>
            <w:r>
              <w:rPr>
                <w:rFonts w:hint="eastAsia"/>
                <w:color w:val="auto"/>
                <w:u w:val="single"/>
                <w:lang w:val="en-US" w:eastAsia="zh-CN"/>
              </w:rPr>
              <w:t>0.000218</w:t>
            </w:r>
            <w:r>
              <w:rPr>
                <w:color w:val="auto"/>
                <w:u w:val="single"/>
              </w:rPr>
              <w:t>t/a，H</w:t>
            </w:r>
            <w:r>
              <w:rPr>
                <w:color w:val="auto"/>
                <w:u w:val="single"/>
                <w:vertAlign w:val="subscript"/>
              </w:rPr>
              <w:t>2</w:t>
            </w:r>
            <w:r>
              <w:rPr>
                <w:color w:val="auto"/>
                <w:u w:val="single"/>
              </w:rPr>
              <w:t>S为</w:t>
            </w:r>
            <w:r>
              <w:rPr>
                <w:rFonts w:hint="eastAsia"/>
                <w:color w:val="auto"/>
                <w:u w:val="single"/>
                <w:lang w:val="en-US" w:eastAsia="zh-CN"/>
              </w:rPr>
              <w:t>0.0000085</w:t>
            </w:r>
            <w:r>
              <w:rPr>
                <w:color w:val="auto"/>
                <w:u w:val="single"/>
              </w:rPr>
              <w:t>t/a</w:t>
            </w:r>
            <w:r>
              <w:rPr>
                <w:rFonts w:hint="eastAsia"/>
                <w:color w:val="auto"/>
                <w:u w:val="single"/>
              </w:rPr>
              <w:t>。</w:t>
            </w:r>
          </w:p>
          <w:p>
            <w:pPr>
              <w:pStyle w:val="7"/>
              <w:ind w:firstLine="480"/>
              <w:rPr>
                <w:rFonts w:hint="eastAsia"/>
                <w:color w:val="auto"/>
              </w:rPr>
            </w:pPr>
            <w:r>
              <w:rPr>
                <w:rFonts w:hint="eastAsia"/>
                <w:color w:val="auto"/>
              </w:rPr>
              <w:t>现有</w:t>
            </w:r>
            <w:r>
              <w:rPr>
                <w:color w:val="auto"/>
              </w:rPr>
              <w:t>污水处理站</w:t>
            </w:r>
            <w:r>
              <w:rPr>
                <w:rFonts w:hint="eastAsia"/>
                <w:color w:val="auto"/>
              </w:rPr>
              <w:t>污水处理系统</w:t>
            </w:r>
            <w:r>
              <w:rPr>
                <w:color w:val="auto"/>
              </w:rPr>
              <w:t>所有水池均采用封闭式，污水池采用密闭设计，可有效防止病菌通过空气传播和污水气味对环境的影响，只留必要的检修孔，</w:t>
            </w:r>
            <w:r>
              <w:rPr>
                <w:rFonts w:hint="eastAsia"/>
                <w:color w:val="auto"/>
              </w:rPr>
              <w:t>能起到较好的控制污染的</w:t>
            </w:r>
            <w:r>
              <w:rPr>
                <w:rFonts w:hint="eastAsia"/>
                <w:color w:val="auto"/>
                <w:lang w:val="en-GB"/>
              </w:rPr>
              <w:t>作用</w:t>
            </w:r>
            <w:r>
              <w:rPr>
                <w:rFonts w:hint="eastAsia"/>
                <w:color w:val="auto"/>
              </w:rPr>
              <w:t>。</w:t>
            </w:r>
          </w:p>
          <w:p>
            <w:pPr>
              <w:pStyle w:val="7"/>
              <w:numPr>
                <w:ilvl w:val="0"/>
                <w:numId w:val="0"/>
              </w:numPr>
              <w:ind w:firstLine="480" w:firstLineChars="200"/>
              <w:rPr>
                <w:rFonts w:hint="default"/>
                <w:highlight w:val="none"/>
                <w:u w:val="single"/>
                <w:lang w:val="en-US" w:eastAsia="zh-CN"/>
              </w:rPr>
            </w:pPr>
            <w:r>
              <w:rPr>
                <w:rFonts w:hint="default"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2</w:t>
            </w:r>
            <w:r>
              <w:rPr>
                <w:rFonts w:hint="default" w:ascii="Times New Roman" w:hAnsi="Times New Roman" w:eastAsia="宋体" w:cs="Times New Roman"/>
                <w:kern w:val="2"/>
                <w:sz w:val="24"/>
                <w:szCs w:val="24"/>
                <w:highlight w:val="none"/>
                <w:lang w:val="en-US" w:eastAsia="zh-CN" w:bidi="ar-SA"/>
              </w:rPr>
              <w:t>）</w:t>
            </w:r>
            <w:r>
              <w:rPr>
                <w:rFonts w:hint="eastAsia"/>
                <w:highlight w:val="none"/>
                <w:u w:val="single"/>
                <w:lang w:val="en-US" w:eastAsia="zh-CN"/>
              </w:rPr>
              <w:t>危废暂存间废气</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highlight w:val="none"/>
                <w:u w:val="single"/>
                <w:lang w:val="en-US" w:eastAsia="zh-CN"/>
              </w:rPr>
            </w:pPr>
            <w:r>
              <w:rPr>
                <w:rFonts w:hint="eastAsia"/>
                <w:highlight w:val="none"/>
                <w:u w:val="single"/>
                <w:lang w:val="en-US" w:eastAsia="zh-CN"/>
              </w:rPr>
              <w:t>本项目医疗废物存放在危废暂存间，危废暂存间位于</w:t>
            </w:r>
            <w:r>
              <w:rPr>
                <w:rFonts w:hint="eastAsia"/>
                <w:color w:val="auto"/>
                <w:highlight w:val="none"/>
                <w:u w:val="single"/>
                <w:lang w:val="en-US" w:eastAsia="zh-CN"/>
              </w:rPr>
              <w:t>院区西侧</w:t>
            </w:r>
            <w:r>
              <w:rPr>
                <w:rFonts w:hint="eastAsia"/>
                <w:highlight w:val="none"/>
                <w:u w:val="single"/>
                <w:lang w:val="en-US" w:eastAsia="zh-CN"/>
              </w:rPr>
              <w:t>，按国家有关医疗垃圾的相关规定进行建设和管理，定期消毒并喷洒除臭剂，医疗废物由资质单位及时清运，本环评要求增加通风系统进行换气，少量臭气随着空气的扩散对周边环境影响较小。本环评不作定量分析。</w:t>
            </w:r>
          </w:p>
          <w:p>
            <w:pPr>
              <w:pStyle w:val="7"/>
              <w:numPr>
                <w:ilvl w:val="0"/>
                <w:numId w:val="0"/>
              </w:numPr>
              <w:ind w:firstLine="480" w:firstLineChars="200"/>
              <w:rPr>
                <w:rFonts w:hint="default"/>
                <w:highlight w:val="none"/>
                <w:u w:val="single"/>
                <w:lang w:val="en-US" w:eastAsia="zh-CN"/>
              </w:rPr>
            </w:pPr>
            <w:r>
              <w:rPr>
                <w:rFonts w:hint="default" w:ascii="Times New Roman" w:hAnsi="Times New Roman" w:eastAsia="宋体" w:cs="Times New Roman"/>
                <w:kern w:val="2"/>
                <w:sz w:val="24"/>
                <w:szCs w:val="24"/>
                <w:highlight w:val="none"/>
                <w:lang w:val="en-US" w:eastAsia="zh-CN" w:bidi="ar-SA"/>
              </w:rPr>
              <w:t>（</w:t>
            </w:r>
            <w:r>
              <w:rPr>
                <w:rFonts w:hint="eastAsia"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w:t>
            </w:r>
            <w:r>
              <w:rPr>
                <w:rFonts w:hint="eastAsia"/>
                <w:color w:val="auto"/>
                <w:highlight w:val="none"/>
                <w:u w:val="single"/>
                <w:lang w:val="en-US" w:eastAsia="zh-CN"/>
              </w:rPr>
              <w:t>汽油发电机废气</w:t>
            </w:r>
          </w:p>
          <w:p>
            <w:pPr>
              <w:pStyle w:val="7"/>
              <w:ind w:firstLine="480"/>
              <w:rPr>
                <w:highlight w:val="none"/>
              </w:rPr>
            </w:pPr>
            <w:r>
              <w:rPr>
                <w:rFonts w:hint="default"/>
                <w:color w:val="auto"/>
                <w:highlight w:val="none"/>
                <w:u w:val="single"/>
                <w:lang w:val="en-US" w:eastAsia="zh-CN"/>
              </w:rPr>
              <w:t>根据医院提供的信息以及市政供电的稳定情况，汽油发电机使用次数较少，产生的废气仅有少量的一氧化碳、氮氧化物以及颗粒物，对周围环境影响较小，本环评仅做定性分析</w:t>
            </w:r>
            <w:r>
              <w:rPr>
                <w:rFonts w:hint="eastAsia"/>
                <w:color w:val="auto"/>
                <w:highlight w:val="none"/>
                <w:u w:val="single"/>
                <w:lang w:val="en-US" w:eastAsia="zh-CN"/>
              </w:rPr>
              <w:t>。</w:t>
            </w:r>
          </w:p>
          <w:p>
            <w:pPr>
              <w:pStyle w:val="7"/>
              <w:ind w:firstLine="480"/>
              <w:rPr>
                <w:color w:val="auto"/>
              </w:rPr>
            </w:pPr>
            <w:r>
              <w:rPr>
                <w:rFonts w:hint="eastAsia"/>
                <w:color w:val="auto"/>
              </w:rPr>
              <w:t>1.2废气产排情况</w:t>
            </w:r>
          </w:p>
          <w:p>
            <w:pPr>
              <w:pStyle w:val="46"/>
              <w:rPr>
                <w:color w:val="auto"/>
              </w:rPr>
            </w:pPr>
            <w:r>
              <w:rPr>
                <w:rFonts w:hint="eastAsia"/>
                <w:color w:val="auto"/>
              </w:rPr>
              <w:t xml:space="preserve">表 </w:t>
            </w:r>
            <w:r>
              <w:rPr>
                <w:color w:val="auto"/>
              </w:rPr>
              <w:t>4</w:t>
            </w:r>
            <w:r>
              <w:rPr>
                <w:rFonts w:hint="eastAsia"/>
                <w:color w:val="auto"/>
              </w:rPr>
              <w:t>.2</w:t>
            </w:r>
            <w:r>
              <w:rPr>
                <w:color w:val="auto"/>
              </w:rPr>
              <w:t>-</w:t>
            </w:r>
            <w:r>
              <w:rPr>
                <w:rFonts w:hint="eastAsia"/>
                <w:color w:val="auto"/>
                <w:lang w:val="en-US" w:eastAsia="zh-CN"/>
              </w:rPr>
              <w:t>2</w:t>
            </w:r>
            <w:r>
              <w:rPr>
                <w:color w:val="auto"/>
              </w:rPr>
              <w:t xml:space="preserve"> </w:t>
            </w:r>
            <w:r>
              <w:rPr>
                <w:rFonts w:hint="eastAsia"/>
                <w:color w:val="auto"/>
              </w:rPr>
              <w:t>项目大气污染物排放量</w:t>
            </w:r>
          </w:p>
          <w:tbl>
            <w:tblPr>
              <w:tblStyle w:val="31"/>
              <w:tblW w:w="7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
              <w:gridCol w:w="472"/>
              <w:gridCol w:w="798"/>
              <w:gridCol w:w="563"/>
              <w:gridCol w:w="903"/>
              <w:gridCol w:w="834"/>
              <w:gridCol w:w="690"/>
              <w:gridCol w:w="780"/>
              <w:gridCol w:w="870"/>
              <w:gridCol w:w="1187"/>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dxa"/>
                  <w:vMerge w:val="restart"/>
                  <w:vAlign w:val="center"/>
                </w:tcPr>
                <w:p>
                  <w:pPr>
                    <w:pStyle w:val="45"/>
                    <w:rPr>
                      <w:rFonts w:hint="eastAsia" w:eastAsia="宋体"/>
                      <w:color w:val="auto"/>
                      <w:lang w:val="en-US" w:eastAsia="zh-CN"/>
                    </w:rPr>
                  </w:pPr>
                  <w:r>
                    <w:rPr>
                      <w:rFonts w:hint="eastAsia"/>
                      <w:color w:val="auto"/>
                      <w:lang w:val="en-US" w:eastAsia="zh-CN"/>
                    </w:rPr>
                    <w:t>废气</w:t>
                  </w:r>
                </w:p>
              </w:tc>
              <w:tc>
                <w:tcPr>
                  <w:tcW w:w="472" w:type="dxa"/>
                  <w:vMerge w:val="restart"/>
                  <w:vAlign w:val="center"/>
                </w:tcPr>
                <w:p>
                  <w:pPr>
                    <w:pStyle w:val="45"/>
                    <w:rPr>
                      <w:color w:val="auto"/>
                    </w:rPr>
                  </w:pPr>
                  <w:r>
                    <w:rPr>
                      <w:rFonts w:hint="eastAsia"/>
                      <w:color w:val="auto"/>
                    </w:rPr>
                    <w:t>污染物名称</w:t>
                  </w:r>
                </w:p>
              </w:tc>
              <w:tc>
                <w:tcPr>
                  <w:tcW w:w="2264" w:type="dxa"/>
                  <w:gridSpan w:val="3"/>
                  <w:vAlign w:val="center"/>
                </w:tcPr>
                <w:p>
                  <w:pPr>
                    <w:pStyle w:val="45"/>
                    <w:rPr>
                      <w:color w:val="auto"/>
                    </w:rPr>
                  </w:pPr>
                  <w:r>
                    <w:rPr>
                      <w:rFonts w:hint="eastAsia"/>
                      <w:color w:val="auto"/>
                    </w:rPr>
                    <w:t>产生情况</w:t>
                  </w:r>
                </w:p>
              </w:tc>
              <w:tc>
                <w:tcPr>
                  <w:tcW w:w="834" w:type="dxa"/>
                  <w:vMerge w:val="restart"/>
                  <w:vAlign w:val="center"/>
                </w:tcPr>
                <w:p>
                  <w:pPr>
                    <w:pStyle w:val="45"/>
                    <w:rPr>
                      <w:color w:val="auto"/>
                    </w:rPr>
                  </w:pPr>
                  <w:r>
                    <w:rPr>
                      <w:rFonts w:hint="eastAsia"/>
                      <w:color w:val="auto"/>
                    </w:rPr>
                    <w:t>治理措施</w:t>
                  </w:r>
                </w:p>
              </w:tc>
              <w:tc>
                <w:tcPr>
                  <w:tcW w:w="2340" w:type="dxa"/>
                  <w:gridSpan w:val="3"/>
                  <w:vAlign w:val="center"/>
                </w:tcPr>
                <w:p>
                  <w:pPr>
                    <w:pStyle w:val="45"/>
                    <w:rPr>
                      <w:color w:val="auto"/>
                    </w:rPr>
                  </w:pPr>
                  <w:r>
                    <w:rPr>
                      <w:rFonts w:hint="eastAsia"/>
                      <w:color w:val="auto"/>
                    </w:rPr>
                    <w:t>排放情况</w:t>
                  </w:r>
                </w:p>
              </w:tc>
              <w:tc>
                <w:tcPr>
                  <w:tcW w:w="1187" w:type="dxa"/>
                  <w:vMerge w:val="restart"/>
                  <w:vAlign w:val="center"/>
                </w:tcPr>
                <w:p>
                  <w:pPr>
                    <w:pStyle w:val="45"/>
                    <w:rPr>
                      <w:color w:val="auto"/>
                    </w:rPr>
                  </w:pPr>
                  <w:r>
                    <w:rPr>
                      <w:rFonts w:hint="eastAsia"/>
                      <w:color w:val="auto"/>
                    </w:rPr>
                    <w:t>排放执行标准</w:t>
                  </w:r>
                </w:p>
              </w:tc>
              <w:tc>
                <w:tcPr>
                  <w:tcW w:w="539" w:type="dxa"/>
                  <w:vMerge w:val="restart"/>
                  <w:vAlign w:val="center"/>
                </w:tcPr>
                <w:p>
                  <w:pPr>
                    <w:pStyle w:val="45"/>
                    <w:rPr>
                      <w:color w:val="auto"/>
                    </w:rPr>
                  </w:pPr>
                  <w:r>
                    <w:rPr>
                      <w:rFonts w:hint="eastAsia"/>
                      <w:color w:val="auto"/>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dxa"/>
                  <w:vMerge w:val="continue"/>
                  <w:vAlign w:val="center"/>
                </w:tcPr>
                <w:p>
                  <w:pPr>
                    <w:pStyle w:val="45"/>
                    <w:rPr>
                      <w:color w:val="auto"/>
                    </w:rPr>
                  </w:pPr>
                </w:p>
              </w:tc>
              <w:tc>
                <w:tcPr>
                  <w:tcW w:w="472" w:type="dxa"/>
                  <w:vMerge w:val="continue"/>
                  <w:vAlign w:val="center"/>
                </w:tcPr>
                <w:p>
                  <w:pPr>
                    <w:pStyle w:val="45"/>
                    <w:rPr>
                      <w:color w:val="auto"/>
                    </w:rPr>
                  </w:pPr>
                </w:p>
              </w:tc>
              <w:tc>
                <w:tcPr>
                  <w:tcW w:w="798" w:type="dxa"/>
                  <w:vAlign w:val="center"/>
                </w:tcPr>
                <w:p>
                  <w:pPr>
                    <w:pStyle w:val="45"/>
                    <w:rPr>
                      <w:color w:val="auto"/>
                    </w:rPr>
                  </w:pPr>
                  <w:r>
                    <w:rPr>
                      <w:rFonts w:hint="eastAsia"/>
                      <w:color w:val="auto"/>
                    </w:rPr>
                    <w:t>产生量</w:t>
                  </w:r>
                </w:p>
                <w:p>
                  <w:pPr>
                    <w:pStyle w:val="45"/>
                    <w:rPr>
                      <w:color w:val="auto"/>
                    </w:rPr>
                  </w:pPr>
                  <w:r>
                    <w:rPr>
                      <w:color w:val="auto"/>
                    </w:rPr>
                    <w:t>t/a</w:t>
                  </w:r>
                </w:p>
              </w:tc>
              <w:tc>
                <w:tcPr>
                  <w:tcW w:w="563" w:type="dxa"/>
                  <w:vAlign w:val="center"/>
                </w:tcPr>
                <w:p>
                  <w:pPr>
                    <w:pStyle w:val="45"/>
                    <w:rPr>
                      <w:color w:val="auto"/>
                    </w:rPr>
                  </w:pPr>
                  <w:r>
                    <w:rPr>
                      <w:rFonts w:hint="eastAsia"/>
                      <w:color w:val="auto"/>
                    </w:rPr>
                    <w:t>产生浓度</w:t>
                  </w:r>
                </w:p>
                <w:p>
                  <w:pPr>
                    <w:pStyle w:val="45"/>
                    <w:rPr>
                      <w:color w:val="auto"/>
                    </w:rPr>
                  </w:pPr>
                  <w:r>
                    <w:rPr>
                      <w:color w:val="auto"/>
                    </w:rPr>
                    <w:t>mg/m³</w:t>
                  </w:r>
                </w:p>
              </w:tc>
              <w:tc>
                <w:tcPr>
                  <w:tcW w:w="903" w:type="dxa"/>
                  <w:vAlign w:val="center"/>
                </w:tcPr>
                <w:p>
                  <w:pPr>
                    <w:pStyle w:val="45"/>
                    <w:rPr>
                      <w:color w:val="auto"/>
                    </w:rPr>
                  </w:pPr>
                  <w:r>
                    <w:rPr>
                      <w:rFonts w:hint="eastAsia"/>
                      <w:color w:val="auto"/>
                    </w:rPr>
                    <w:t>产生速率</w:t>
                  </w:r>
                  <w:r>
                    <w:rPr>
                      <w:color w:val="auto"/>
                    </w:rPr>
                    <w:t>kg/h</w:t>
                  </w:r>
                </w:p>
              </w:tc>
              <w:tc>
                <w:tcPr>
                  <w:tcW w:w="834" w:type="dxa"/>
                  <w:vMerge w:val="continue"/>
                  <w:vAlign w:val="center"/>
                </w:tcPr>
                <w:p>
                  <w:pPr>
                    <w:pStyle w:val="45"/>
                    <w:rPr>
                      <w:color w:val="auto"/>
                    </w:rPr>
                  </w:pPr>
                </w:p>
              </w:tc>
              <w:tc>
                <w:tcPr>
                  <w:tcW w:w="690" w:type="dxa"/>
                  <w:vAlign w:val="center"/>
                </w:tcPr>
                <w:p>
                  <w:pPr>
                    <w:pStyle w:val="45"/>
                    <w:rPr>
                      <w:color w:val="auto"/>
                    </w:rPr>
                  </w:pPr>
                  <w:r>
                    <w:rPr>
                      <w:rFonts w:hint="eastAsia"/>
                      <w:color w:val="auto"/>
                    </w:rPr>
                    <w:t xml:space="preserve">排放量 </w:t>
                  </w:r>
                  <w:r>
                    <w:rPr>
                      <w:color w:val="auto"/>
                    </w:rPr>
                    <w:t>t/a</w:t>
                  </w:r>
                </w:p>
              </w:tc>
              <w:tc>
                <w:tcPr>
                  <w:tcW w:w="780" w:type="dxa"/>
                  <w:vAlign w:val="center"/>
                </w:tcPr>
                <w:p>
                  <w:pPr>
                    <w:pStyle w:val="45"/>
                    <w:rPr>
                      <w:color w:val="auto"/>
                    </w:rPr>
                  </w:pPr>
                  <w:r>
                    <w:rPr>
                      <w:rFonts w:hint="eastAsia"/>
                      <w:color w:val="auto"/>
                    </w:rPr>
                    <w:t>排放浓度</w:t>
                  </w:r>
                </w:p>
                <w:p>
                  <w:pPr>
                    <w:pStyle w:val="45"/>
                    <w:rPr>
                      <w:color w:val="auto"/>
                    </w:rPr>
                  </w:pPr>
                  <w:r>
                    <w:rPr>
                      <w:color w:val="auto"/>
                    </w:rPr>
                    <w:t>mg/m³</w:t>
                  </w:r>
                </w:p>
              </w:tc>
              <w:tc>
                <w:tcPr>
                  <w:tcW w:w="870" w:type="dxa"/>
                  <w:vAlign w:val="center"/>
                </w:tcPr>
                <w:p>
                  <w:pPr>
                    <w:pStyle w:val="45"/>
                    <w:rPr>
                      <w:color w:val="auto"/>
                    </w:rPr>
                  </w:pPr>
                  <w:r>
                    <w:rPr>
                      <w:rFonts w:hint="eastAsia"/>
                      <w:color w:val="auto"/>
                    </w:rPr>
                    <w:t>排放速率</w:t>
                  </w:r>
                </w:p>
                <w:p>
                  <w:pPr>
                    <w:pStyle w:val="45"/>
                    <w:rPr>
                      <w:color w:val="auto"/>
                    </w:rPr>
                  </w:pPr>
                  <w:r>
                    <w:rPr>
                      <w:color w:val="auto"/>
                    </w:rPr>
                    <w:t>kg/h</w:t>
                  </w:r>
                </w:p>
              </w:tc>
              <w:tc>
                <w:tcPr>
                  <w:tcW w:w="1187" w:type="dxa"/>
                  <w:vMerge w:val="continue"/>
                  <w:vAlign w:val="center"/>
                </w:tcPr>
                <w:p>
                  <w:pPr>
                    <w:pStyle w:val="45"/>
                    <w:rPr>
                      <w:color w:val="auto"/>
                    </w:rPr>
                  </w:pPr>
                </w:p>
              </w:tc>
              <w:tc>
                <w:tcPr>
                  <w:tcW w:w="539" w:type="dxa"/>
                  <w:vMerge w:val="continue"/>
                  <w:vAlign w:val="center"/>
                </w:tcPr>
                <w:p>
                  <w:pPr>
                    <w:pStyle w:val="4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dxa"/>
                  <w:vMerge w:val="continue"/>
                  <w:vAlign w:val="center"/>
                </w:tcPr>
                <w:p>
                  <w:pPr>
                    <w:pStyle w:val="45"/>
                    <w:rPr>
                      <w:color w:val="auto"/>
                    </w:rPr>
                  </w:pPr>
                </w:p>
              </w:tc>
              <w:tc>
                <w:tcPr>
                  <w:tcW w:w="472" w:type="dxa"/>
                  <w:vAlign w:val="center"/>
                </w:tcPr>
                <w:p>
                  <w:pPr>
                    <w:pStyle w:val="45"/>
                    <w:rPr>
                      <w:color w:val="auto"/>
                    </w:rPr>
                  </w:pPr>
                  <w:r>
                    <w:rPr>
                      <w:rFonts w:hint="eastAsia"/>
                      <w:color w:val="auto"/>
                    </w:rPr>
                    <w:t>H</w:t>
                  </w:r>
                  <w:r>
                    <w:rPr>
                      <w:rFonts w:hint="eastAsia"/>
                      <w:color w:val="auto"/>
                      <w:vertAlign w:val="subscript"/>
                    </w:rPr>
                    <w:t>2</w:t>
                  </w:r>
                  <w:r>
                    <w:rPr>
                      <w:rFonts w:hint="eastAsia"/>
                      <w:color w:val="auto"/>
                    </w:rPr>
                    <w:t>S</w:t>
                  </w:r>
                </w:p>
              </w:tc>
              <w:tc>
                <w:tcPr>
                  <w:tcW w:w="798" w:type="dxa"/>
                  <w:vAlign w:val="center"/>
                </w:tcPr>
                <w:p>
                  <w:pPr>
                    <w:pStyle w:val="45"/>
                    <w:rPr>
                      <w:rFonts w:hint="default"/>
                      <w:color w:val="auto"/>
                      <w:lang w:val="en-US" w:eastAsia="zh-CN"/>
                    </w:rPr>
                  </w:pPr>
                  <w:r>
                    <w:rPr>
                      <w:rFonts w:hint="eastAsia"/>
                      <w:color w:val="auto"/>
                    </w:rPr>
                    <w:t>0.000</w:t>
                  </w:r>
                  <w:r>
                    <w:rPr>
                      <w:rFonts w:hint="eastAsia"/>
                      <w:color w:val="auto"/>
                      <w:lang w:val="en-US" w:eastAsia="zh-CN"/>
                    </w:rPr>
                    <w:t>0169</w:t>
                  </w:r>
                </w:p>
              </w:tc>
              <w:tc>
                <w:tcPr>
                  <w:tcW w:w="563" w:type="dxa"/>
                  <w:vAlign w:val="center"/>
                </w:tcPr>
                <w:p>
                  <w:pPr>
                    <w:pStyle w:val="45"/>
                    <w:rPr>
                      <w:color w:val="auto"/>
                    </w:rPr>
                  </w:pPr>
                  <w:r>
                    <w:rPr>
                      <w:color w:val="auto"/>
                    </w:rPr>
                    <w:t>/</w:t>
                  </w:r>
                </w:p>
              </w:tc>
              <w:tc>
                <w:tcPr>
                  <w:tcW w:w="903" w:type="dxa"/>
                  <w:vAlign w:val="center"/>
                </w:tcPr>
                <w:p>
                  <w:pPr>
                    <w:pStyle w:val="45"/>
                    <w:rPr>
                      <w:rFonts w:hint="default"/>
                      <w:color w:val="auto"/>
                      <w:lang w:val="en-US" w:eastAsia="zh-CN"/>
                    </w:rPr>
                  </w:pPr>
                  <w:r>
                    <w:rPr>
                      <w:rFonts w:hint="eastAsia"/>
                      <w:color w:val="auto"/>
                      <w:lang w:val="en-US" w:eastAsia="zh-CN"/>
                    </w:rPr>
                    <w:t>/</w:t>
                  </w:r>
                </w:p>
              </w:tc>
              <w:tc>
                <w:tcPr>
                  <w:tcW w:w="834" w:type="dxa"/>
                  <w:vMerge w:val="restart"/>
                  <w:vAlign w:val="center"/>
                </w:tcPr>
                <w:p>
                  <w:pPr>
                    <w:pStyle w:val="45"/>
                    <w:rPr>
                      <w:rFonts w:hint="default"/>
                      <w:color w:val="auto"/>
                      <w:lang w:val="en-US" w:eastAsia="zh-CN"/>
                    </w:rPr>
                  </w:pPr>
                  <w:r>
                    <w:rPr>
                      <w:rFonts w:hint="eastAsia"/>
                      <w:color w:val="auto"/>
                    </w:rPr>
                    <w:t>污水处理站加盖密闭</w:t>
                  </w:r>
                  <w:r>
                    <w:rPr>
                      <w:color w:val="auto"/>
                    </w:rPr>
                    <w:t>+</w:t>
                  </w:r>
                  <w:r>
                    <w:rPr>
                      <w:rFonts w:hint="eastAsia"/>
                      <w:color w:val="auto"/>
                    </w:rPr>
                    <w:t>除臭装置等</w:t>
                  </w:r>
                  <w:r>
                    <w:rPr>
                      <w:rFonts w:hint="eastAsia"/>
                      <w:color w:val="auto"/>
                      <w:lang w:eastAsia="zh-CN"/>
                    </w:rPr>
                    <w:t>，</w:t>
                  </w:r>
                  <w:r>
                    <w:rPr>
                      <w:rFonts w:hint="eastAsia"/>
                      <w:color w:val="auto"/>
                      <w:lang w:val="en-US" w:eastAsia="zh-CN"/>
                    </w:rPr>
                    <w:t>去除效率50%</w:t>
                  </w:r>
                </w:p>
              </w:tc>
              <w:tc>
                <w:tcPr>
                  <w:tcW w:w="690" w:type="dxa"/>
                  <w:vAlign w:val="center"/>
                </w:tcPr>
                <w:p>
                  <w:pPr>
                    <w:pStyle w:val="45"/>
                    <w:rPr>
                      <w:rFonts w:hint="default"/>
                      <w:color w:val="auto"/>
                      <w:lang w:val="en-US" w:eastAsia="zh-CN"/>
                    </w:rPr>
                  </w:pPr>
                  <w:r>
                    <w:rPr>
                      <w:rFonts w:hint="eastAsia"/>
                      <w:color w:val="auto"/>
                      <w:lang w:val="en-US" w:eastAsia="zh-CN"/>
                    </w:rPr>
                    <w:t>0.0000085</w:t>
                  </w:r>
                </w:p>
              </w:tc>
              <w:tc>
                <w:tcPr>
                  <w:tcW w:w="780" w:type="dxa"/>
                  <w:vAlign w:val="center"/>
                </w:tcPr>
                <w:p>
                  <w:pPr>
                    <w:pStyle w:val="45"/>
                    <w:rPr>
                      <w:color w:val="auto"/>
                    </w:rPr>
                  </w:pPr>
                  <w:r>
                    <w:rPr>
                      <w:color w:val="auto"/>
                    </w:rPr>
                    <w:t>/</w:t>
                  </w:r>
                </w:p>
              </w:tc>
              <w:tc>
                <w:tcPr>
                  <w:tcW w:w="870" w:type="dxa"/>
                  <w:vAlign w:val="center"/>
                </w:tcPr>
                <w:p>
                  <w:pPr>
                    <w:pStyle w:val="45"/>
                    <w:rPr>
                      <w:rFonts w:hint="default"/>
                      <w:color w:val="auto"/>
                      <w:lang w:val="en-US" w:eastAsia="zh-CN"/>
                    </w:rPr>
                  </w:pPr>
                  <w:r>
                    <w:rPr>
                      <w:rFonts w:hint="eastAsia"/>
                      <w:color w:val="auto"/>
                      <w:lang w:val="en-US" w:eastAsia="zh-CN"/>
                    </w:rPr>
                    <w:t>/</w:t>
                  </w:r>
                </w:p>
              </w:tc>
              <w:tc>
                <w:tcPr>
                  <w:tcW w:w="1187" w:type="dxa"/>
                  <w:vMerge w:val="restart"/>
                  <w:vAlign w:val="center"/>
                </w:tcPr>
                <w:p>
                  <w:pPr>
                    <w:pStyle w:val="45"/>
                    <w:rPr>
                      <w:color w:val="auto"/>
                    </w:rPr>
                  </w:pPr>
                  <w:r>
                    <w:rPr>
                      <w:rFonts w:hint="eastAsia"/>
                      <w:color w:val="auto"/>
                    </w:rPr>
                    <w:t>《医疗机构水污染物排放标准》（</w:t>
                  </w:r>
                  <w:r>
                    <w:rPr>
                      <w:color w:val="auto"/>
                    </w:rPr>
                    <w:t>GB18466-2005</w:t>
                  </w:r>
                </w:p>
                <w:p>
                  <w:pPr>
                    <w:pStyle w:val="45"/>
                    <w:rPr>
                      <w:color w:val="auto"/>
                    </w:rPr>
                  </w:pPr>
                  <w:r>
                    <w:rPr>
                      <w:rFonts w:hint="eastAsia"/>
                      <w:color w:val="auto"/>
                    </w:rPr>
                    <w:t>）中污水处理站周边大气污染物控制标准</w:t>
                  </w:r>
                </w:p>
              </w:tc>
              <w:tc>
                <w:tcPr>
                  <w:tcW w:w="539" w:type="dxa"/>
                  <w:vMerge w:val="restart"/>
                  <w:vAlign w:val="center"/>
                </w:tcPr>
                <w:p>
                  <w:pPr>
                    <w:pStyle w:val="45"/>
                    <w:rPr>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dxa"/>
                  <w:vMerge w:val="continue"/>
                  <w:vAlign w:val="center"/>
                </w:tcPr>
                <w:p>
                  <w:pPr>
                    <w:pStyle w:val="45"/>
                    <w:rPr>
                      <w:color w:val="auto"/>
                    </w:rPr>
                  </w:pPr>
                </w:p>
              </w:tc>
              <w:tc>
                <w:tcPr>
                  <w:tcW w:w="472" w:type="dxa"/>
                  <w:vAlign w:val="center"/>
                </w:tcPr>
                <w:p>
                  <w:pPr>
                    <w:pStyle w:val="45"/>
                    <w:rPr>
                      <w:color w:val="auto"/>
                    </w:rPr>
                  </w:pPr>
                  <w:r>
                    <w:rPr>
                      <w:rFonts w:hint="eastAsia"/>
                      <w:color w:val="auto"/>
                    </w:rPr>
                    <w:t>NH</w:t>
                  </w:r>
                  <w:r>
                    <w:rPr>
                      <w:rFonts w:hint="eastAsia"/>
                      <w:color w:val="auto"/>
                      <w:vertAlign w:val="subscript"/>
                    </w:rPr>
                    <w:t>3</w:t>
                  </w:r>
                </w:p>
              </w:tc>
              <w:tc>
                <w:tcPr>
                  <w:tcW w:w="798" w:type="dxa"/>
                  <w:vAlign w:val="center"/>
                </w:tcPr>
                <w:p>
                  <w:pPr>
                    <w:pStyle w:val="45"/>
                    <w:rPr>
                      <w:rFonts w:hint="default"/>
                      <w:color w:val="auto"/>
                      <w:lang w:val="en-US"/>
                    </w:rPr>
                  </w:pPr>
                  <w:r>
                    <w:rPr>
                      <w:rFonts w:hint="eastAsia"/>
                      <w:color w:val="auto"/>
                    </w:rPr>
                    <w:t>0.00</w:t>
                  </w:r>
                  <w:r>
                    <w:rPr>
                      <w:rFonts w:hint="eastAsia"/>
                      <w:color w:val="auto"/>
                      <w:lang w:val="en-US" w:eastAsia="zh-CN"/>
                    </w:rPr>
                    <w:t>0436</w:t>
                  </w:r>
                </w:p>
              </w:tc>
              <w:tc>
                <w:tcPr>
                  <w:tcW w:w="563" w:type="dxa"/>
                  <w:vAlign w:val="center"/>
                </w:tcPr>
                <w:p>
                  <w:pPr>
                    <w:pStyle w:val="45"/>
                    <w:rPr>
                      <w:color w:val="auto"/>
                    </w:rPr>
                  </w:pPr>
                  <w:r>
                    <w:rPr>
                      <w:color w:val="auto"/>
                    </w:rPr>
                    <w:t>/</w:t>
                  </w:r>
                </w:p>
              </w:tc>
              <w:tc>
                <w:tcPr>
                  <w:tcW w:w="903" w:type="dxa"/>
                  <w:vAlign w:val="center"/>
                </w:tcPr>
                <w:p>
                  <w:pPr>
                    <w:pStyle w:val="45"/>
                    <w:rPr>
                      <w:rFonts w:hint="default"/>
                      <w:color w:val="auto"/>
                      <w:lang w:val="en-US" w:eastAsia="zh-CN"/>
                    </w:rPr>
                  </w:pPr>
                  <w:r>
                    <w:rPr>
                      <w:rFonts w:hint="eastAsia"/>
                      <w:color w:val="auto"/>
                      <w:lang w:val="en-US" w:eastAsia="zh-CN"/>
                    </w:rPr>
                    <w:t>/</w:t>
                  </w:r>
                </w:p>
              </w:tc>
              <w:tc>
                <w:tcPr>
                  <w:tcW w:w="834" w:type="dxa"/>
                  <w:vMerge w:val="continue"/>
                  <w:vAlign w:val="center"/>
                </w:tcPr>
                <w:p>
                  <w:pPr>
                    <w:pStyle w:val="45"/>
                    <w:rPr>
                      <w:color w:val="auto"/>
                    </w:rPr>
                  </w:pPr>
                </w:p>
              </w:tc>
              <w:tc>
                <w:tcPr>
                  <w:tcW w:w="690" w:type="dxa"/>
                  <w:vAlign w:val="center"/>
                </w:tcPr>
                <w:p>
                  <w:pPr>
                    <w:pStyle w:val="45"/>
                    <w:rPr>
                      <w:rFonts w:hint="default"/>
                      <w:color w:val="auto"/>
                      <w:lang w:val="en-US" w:eastAsia="zh-CN"/>
                    </w:rPr>
                  </w:pPr>
                  <w:r>
                    <w:rPr>
                      <w:rFonts w:hint="eastAsia"/>
                      <w:color w:val="auto"/>
                      <w:lang w:val="en-US" w:eastAsia="zh-CN"/>
                    </w:rPr>
                    <w:t>0.000218</w:t>
                  </w:r>
                </w:p>
              </w:tc>
              <w:tc>
                <w:tcPr>
                  <w:tcW w:w="780" w:type="dxa"/>
                  <w:vAlign w:val="center"/>
                </w:tcPr>
                <w:p>
                  <w:pPr>
                    <w:pStyle w:val="45"/>
                    <w:rPr>
                      <w:color w:val="auto"/>
                    </w:rPr>
                  </w:pPr>
                  <w:r>
                    <w:rPr>
                      <w:color w:val="auto"/>
                    </w:rPr>
                    <w:t>/</w:t>
                  </w:r>
                </w:p>
              </w:tc>
              <w:tc>
                <w:tcPr>
                  <w:tcW w:w="870" w:type="dxa"/>
                  <w:vAlign w:val="center"/>
                </w:tcPr>
                <w:p>
                  <w:pPr>
                    <w:pStyle w:val="45"/>
                    <w:rPr>
                      <w:rFonts w:hint="default"/>
                      <w:color w:val="auto"/>
                      <w:lang w:val="en-US" w:eastAsia="zh-CN"/>
                    </w:rPr>
                  </w:pPr>
                  <w:r>
                    <w:rPr>
                      <w:rFonts w:hint="eastAsia"/>
                      <w:color w:val="auto"/>
                      <w:lang w:val="en-US" w:eastAsia="zh-CN"/>
                    </w:rPr>
                    <w:t>/</w:t>
                  </w:r>
                </w:p>
              </w:tc>
              <w:tc>
                <w:tcPr>
                  <w:tcW w:w="1187" w:type="dxa"/>
                  <w:vMerge w:val="continue"/>
                  <w:vAlign w:val="center"/>
                </w:tcPr>
                <w:p>
                  <w:pPr>
                    <w:pStyle w:val="45"/>
                    <w:rPr>
                      <w:color w:val="auto"/>
                    </w:rPr>
                  </w:pPr>
                </w:p>
              </w:tc>
              <w:tc>
                <w:tcPr>
                  <w:tcW w:w="539" w:type="dxa"/>
                  <w:vMerge w:val="continue"/>
                  <w:vAlign w:val="center"/>
                </w:tcPr>
                <w:p>
                  <w:pPr>
                    <w:pStyle w:val="45"/>
                    <w:rPr>
                      <w:color w:val="auto"/>
                    </w:rPr>
                  </w:pPr>
                </w:p>
              </w:tc>
            </w:tr>
          </w:tbl>
          <w:p>
            <w:pPr>
              <w:pStyle w:val="7"/>
              <w:ind w:firstLine="480"/>
              <w:rPr>
                <w:color w:val="auto"/>
              </w:rPr>
            </w:pPr>
            <w:r>
              <w:rPr>
                <w:rFonts w:hint="eastAsia"/>
                <w:color w:val="auto"/>
              </w:rPr>
              <w:t>①无组织排放量核算</w:t>
            </w:r>
          </w:p>
          <w:p>
            <w:pPr>
              <w:pStyle w:val="46"/>
              <w:tabs>
                <w:tab w:val="left" w:pos="1021"/>
              </w:tabs>
              <w:rPr>
                <w:color w:val="auto"/>
              </w:rPr>
            </w:pPr>
            <w:r>
              <w:rPr>
                <w:rFonts w:hint="eastAsia"/>
                <w:color w:val="auto"/>
              </w:rPr>
              <w:t>表4.2-</w:t>
            </w:r>
            <w:r>
              <w:rPr>
                <w:rFonts w:hint="eastAsia"/>
                <w:color w:val="auto"/>
                <w:lang w:val="en-US" w:eastAsia="zh-CN"/>
              </w:rPr>
              <w:t>3</w:t>
            </w:r>
            <w:r>
              <w:rPr>
                <w:rFonts w:hint="eastAsia"/>
                <w:color w:val="auto"/>
              </w:rPr>
              <w:t>大气污染物无组织排放量核算表</w:t>
            </w:r>
          </w:p>
          <w:tbl>
            <w:tblPr>
              <w:tblStyle w:val="31"/>
              <w:tblW w:w="78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5"/>
              <w:gridCol w:w="643"/>
              <w:gridCol w:w="630"/>
              <w:gridCol w:w="742"/>
              <w:gridCol w:w="853"/>
              <w:gridCol w:w="2162"/>
              <w:gridCol w:w="1627"/>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dxa"/>
                  <w:vMerge w:val="restart"/>
                  <w:vAlign w:val="center"/>
                </w:tcPr>
                <w:p>
                  <w:pPr>
                    <w:pStyle w:val="45"/>
                    <w:rPr>
                      <w:color w:val="auto"/>
                    </w:rPr>
                  </w:pPr>
                  <w:r>
                    <w:rPr>
                      <w:rFonts w:hint="eastAsia"/>
                      <w:color w:val="auto"/>
                    </w:rPr>
                    <w:t>序号</w:t>
                  </w:r>
                </w:p>
              </w:tc>
              <w:tc>
                <w:tcPr>
                  <w:tcW w:w="650" w:type="dxa"/>
                  <w:vMerge w:val="restart"/>
                  <w:vAlign w:val="center"/>
                </w:tcPr>
                <w:p>
                  <w:pPr>
                    <w:pStyle w:val="45"/>
                    <w:rPr>
                      <w:color w:val="auto"/>
                    </w:rPr>
                  </w:pPr>
                  <w:r>
                    <w:rPr>
                      <w:rFonts w:hint="eastAsia"/>
                      <w:color w:val="auto"/>
                    </w:rPr>
                    <w:t>排放口编号</w:t>
                  </w:r>
                </w:p>
              </w:tc>
              <w:tc>
                <w:tcPr>
                  <w:tcW w:w="637" w:type="dxa"/>
                  <w:vMerge w:val="restart"/>
                  <w:vAlign w:val="center"/>
                </w:tcPr>
                <w:p>
                  <w:pPr>
                    <w:pStyle w:val="45"/>
                    <w:rPr>
                      <w:color w:val="auto"/>
                    </w:rPr>
                  </w:pPr>
                  <w:r>
                    <w:rPr>
                      <w:rFonts w:hint="eastAsia"/>
                      <w:color w:val="auto"/>
                    </w:rPr>
                    <w:t>产污环节</w:t>
                  </w:r>
                </w:p>
              </w:tc>
              <w:tc>
                <w:tcPr>
                  <w:tcW w:w="750" w:type="dxa"/>
                  <w:vMerge w:val="restart"/>
                  <w:vAlign w:val="center"/>
                </w:tcPr>
                <w:p>
                  <w:pPr>
                    <w:pStyle w:val="45"/>
                    <w:rPr>
                      <w:color w:val="auto"/>
                    </w:rPr>
                  </w:pPr>
                  <w:r>
                    <w:rPr>
                      <w:rFonts w:hint="eastAsia"/>
                      <w:color w:val="auto"/>
                    </w:rPr>
                    <w:t>污染物</w:t>
                  </w:r>
                </w:p>
              </w:tc>
              <w:tc>
                <w:tcPr>
                  <w:tcW w:w="863" w:type="dxa"/>
                  <w:vMerge w:val="restart"/>
                  <w:vAlign w:val="center"/>
                </w:tcPr>
                <w:p>
                  <w:pPr>
                    <w:pStyle w:val="45"/>
                    <w:rPr>
                      <w:color w:val="auto"/>
                    </w:rPr>
                  </w:pPr>
                  <w:r>
                    <w:rPr>
                      <w:rFonts w:hint="eastAsia"/>
                      <w:color w:val="auto"/>
                    </w:rPr>
                    <w:t>主要污染防治措施</w:t>
                  </w:r>
                </w:p>
              </w:tc>
              <w:tc>
                <w:tcPr>
                  <w:tcW w:w="3833" w:type="dxa"/>
                  <w:gridSpan w:val="2"/>
                  <w:vAlign w:val="center"/>
                </w:tcPr>
                <w:p>
                  <w:pPr>
                    <w:pStyle w:val="45"/>
                    <w:rPr>
                      <w:color w:val="auto"/>
                    </w:rPr>
                  </w:pPr>
                  <w:r>
                    <w:rPr>
                      <w:rFonts w:hint="eastAsia"/>
                      <w:color w:val="auto"/>
                    </w:rPr>
                    <w:t>国家或地方污染物排放标准</w:t>
                  </w:r>
                </w:p>
              </w:tc>
              <w:tc>
                <w:tcPr>
                  <w:tcW w:w="831" w:type="dxa"/>
                  <w:vMerge w:val="restart"/>
                  <w:vAlign w:val="center"/>
                </w:tcPr>
                <w:p>
                  <w:pPr>
                    <w:pStyle w:val="45"/>
                    <w:rPr>
                      <w:color w:val="auto"/>
                    </w:rPr>
                  </w:pPr>
                  <w:r>
                    <w:rPr>
                      <w:rFonts w:hint="eastAsia"/>
                      <w:color w:val="auto"/>
                    </w:rPr>
                    <w:t>年排放量（</w:t>
                  </w:r>
                  <w:r>
                    <w:rPr>
                      <w:color w:val="auto"/>
                    </w:rPr>
                    <w:t>t/a</w:t>
                  </w: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 w:type="dxa"/>
                  <w:vMerge w:val="continue"/>
                  <w:tcBorders>
                    <w:top w:val="nil"/>
                  </w:tcBorders>
                  <w:vAlign w:val="center"/>
                </w:tcPr>
                <w:p>
                  <w:pPr>
                    <w:pStyle w:val="45"/>
                    <w:rPr>
                      <w:color w:val="auto"/>
                    </w:rPr>
                  </w:pPr>
                </w:p>
              </w:tc>
              <w:tc>
                <w:tcPr>
                  <w:tcW w:w="650" w:type="dxa"/>
                  <w:vMerge w:val="continue"/>
                  <w:tcBorders>
                    <w:top w:val="nil"/>
                  </w:tcBorders>
                  <w:vAlign w:val="center"/>
                </w:tcPr>
                <w:p>
                  <w:pPr>
                    <w:pStyle w:val="45"/>
                    <w:rPr>
                      <w:color w:val="auto"/>
                    </w:rPr>
                  </w:pPr>
                </w:p>
              </w:tc>
              <w:tc>
                <w:tcPr>
                  <w:tcW w:w="637" w:type="dxa"/>
                  <w:vMerge w:val="continue"/>
                  <w:tcBorders>
                    <w:top w:val="nil"/>
                  </w:tcBorders>
                  <w:vAlign w:val="center"/>
                </w:tcPr>
                <w:p>
                  <w:pPr>
                    <w:pStyle w:val="45"/>
                    <w:rPr>
                      <w:color w:val="auto"/>
                    </w:rPr>
                  </w:pPr>
                </w:p>
              </w:tc>
              <w:tc>
                <w:tcPr>
                  <w:tcW w:w="750" w:type="dxa"/>
                  <w:vMerge w:val="continue"/>
                  <w:tcBorders>
                    <w:top w:val="nil"/>
                  </w:tcBorders>
                  <w:vAlign w:val="center"/>
                </w:tcPr>
                <w:p>
                  <w:pPr>
                    <w:pStyle w:val="45"/>
                    <w:rPr>
                      <w:color w:val="auto"/>
                    </w:rPr>
                  </w:pPr>
                </w:p>
              </w:tc>
              <w:tc>
                <w:tcPr>
                  <w:tcW w:w="863" w:type="dxa"/>
                  <w:vMerge w:val="continue"/>
                  <w:tcBorders>
                    <w:top w:val="nil"/>
                  </w:tcBorders>
                  <w:vAlign w:val="center"/>
                </w:tcPr>
                <w:p>
                  <w:pPr>
                    <w:pStyle w:val="45"/>
                    <w:rPr>
                      <w:color w:val="auto"/>
                    </w:rPr>
                  </w:pPr>
                </w:p>
              </w:tc>
              <w:tc>
                <w:tcPr>
                  <w:tcW w:w="2187" w:type="dxa"/>
                  <w:vAlign w:val="center"/>
                </w:tcPr>
                <w:p>
                  <w:pPr>
                    <w:pStyle w:val="45"/>
                    <w:rPr>
                      <w:color w:val="auto"/>
                    </w:rPr>
                  </w:pPr>
                  <w:r>
                    <w:rPr>
                      <w:rFonts w:hint="eastAsia"/>
                      <w:color w:val="auto"/>
                    </w:rPr>
                    <w:t>标准名称</w:t>
                  </w:r>
                </w:p>
              </w:tc>
              <w:tc>
                <w:tcPr>
                  <w:tcW w:w="1646" w:type="dxa"/>
                  <w:vAlign w:val="center"/>
                </w:tcPr>
                <w:p>
                  <w:pPr>
                    <w:pStyle w:val="45"/>
                    <w:rPr>
                      <w:color w:val="auto"/>
                    </w:rPr>
                  </w:pPr>
                  <w:r>
                    <w:rPr>
                      <w:rFonts w:hint="eastAsia"/>
                      <w:color w:val="auto"/>
                    </w:rPr>
                    <w:t>浓度限值（</w:t>
                  </w:r>
                  <w:r>
                    <w:rPr>
                      <w:color w:val="auto"/>
                    </w:rPr>
                    <w:t>mg/m³</w:t>
                  </w:r>
                  <w:r>
                    <w:rPr>
                      <w:rFonts w:hint="eastAsia"/>
                      <w:color w:val="auto"/>
                    </w:rPr>
                    <w:t>）</w:t>
                  </w:r>
                </w:p>
              </w:tc>
              <w:tc>
                <w:tcPr>
                  <w:tcW w:w="831" w:type="dxa"/>
                  <w:vMerge w:val="continue"/>
                  <w:tcBorders>
                    <w:top w:val="nil"/>
                  </w:tcBorders>
                  <w:vAlign w:val="center"/>
                </w:tcPr>
                <w:p>
                  <w:pPr>
                    <w:pStyle w:val="45"/>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349" w:type="dxa"/>
                  <w:vMerge w:val="restart"/>
                  <w:vAlign w:val="center"/>
                </w:tcPr>
                <w:p>
                  <w:pPr>
                    <w:pStyle w:val="45"/>
                    <w:rPr>
                      <w:color w:val="auto"/>
                    </w:rPr>
                  </w:pPr>
                  <w:r>
                    <w:rPr>
                      <w:color w:val="auto"/>
                    </w:rPr>
                    <w:t>1</w:t>
                  </w:r>
                </w:p>
              </w:tc>
              <w:tc>
                <w:tcPr>
                  <w:tcW w:w="650" w:type="dxa"/>
                  <w:vMerge w:val="restart"/>
                  <w:vAlign w:val="center"/>
                </w:tcPr>
                <w:p>
                  <w:pPr>
                    <w:pStyle w:val="45"/>
                    <w:rPr>
                      <w:color w:val="auto"/>
                    </w:rPr>
                  </w:pPr>
                  <w:r>
                    <w:rPr>
                      <w:rFonts w:hint="eastAsia"/>
                      <w:color w:val="auto"/>
                    </w:rPr>
                    <w:t>/</w:t>
                  </w:r>
                </w:p>
              </w:tc>
              <w:tc>
                <w:tcPr>
                  <w:tcW w:w="637" w:type="dxa"/>
                  <w:vMerge w:val="restart"/>
                  <w:vAlign w:val="center"/>
                </w:tcPr>
                <w:p>
                  <w:pPr>
                    <w:pStyle w:val="45"/>
                    <w:rPr>
                      <w:color w:val="auto"/>
                    </w:rPr>
                  </w:pPr>
                  <w:r>
                    <w:rPr>
                      <w:rFonts w:hint="eastAsia"/>
                      <w:color w:val="auto"/>
                    </w:rPr>
                    <w:t>污水处理站</w:t>
                  </w:r>
                </w:p>
              </w:tc>
              <w:tc>
                <w:tcPr>
                  <w:tcW w:w="750" w:type="dxa"/>
                  <w:tcBorders>
                    <w:bottom w:val="single" w:color="000000" w:sz="6" w:space="0"/>
                  </w:tcBorders>
                  <w:vAlign w:val="center"/>
                </w:tcPr>
                <w:p>
                  <w:pPr>
                    <w:pStyle w:val="45"/>
                    <w:rPr>
                      <w:color w:val="auto"/>
                    </w:rPr>
                  </w:pPr>
                  <w:r>
                    <w:rPr>
                      <w:rFonts w:hint="eastAsia"/>
                      <w:color w:val="auto"/>
                    </w:rPr>
                    <w:t>H</w:t>
                  </w:r>
                  <w:r>
                    <w:rPr>
                      <w:rFonts w:hint="eastAsia"/>
                      <w:color w:val="auto"/>
                      <w:vertAlign w:val="subscript"/>
                    </w:rPr>
                    <w:t>2</w:t>
                  </w:r>
                  <w:r>
                    <w:rPr>
                      <w:rFonts w:hint="eastAsia"/>
                      <w:color w:val="auto"/>
                    </w:rPr>
                    <w:t>S</w:t>
                  </w:r>
                </w:p>
              </w:tc>
              <w:tc>
                <w:tcPr>
                  <w:tcW w:w="863" w:type="dxa"/>
                  <w:vMerge w:val="restart"/>
                  <w:vAlign w:val="center"/>
                </w:tcPr>
                <w:p>
                  <w:pPr>
                    <w:pStyle w:val="45"/>
                    <w:rPr>
                      <w:color w:val="auto"/>
                    </w:rPr>
                  </w:pPr>
                  <w:r>
                    <w:rPr>
                      <w:rFonts w:hint="eastAsia"/>
                      <w:color w:val="auto"/>
                    </w:rPr>
                    <w:t>污水处理站加盖密闭等</w:t>
                  </w:r>
                </w:p>
              </w:tc>
              <w:tc>
                <w:tcPr>
                  <w:tcW w:w="2187" w:type="dxa"/>
                  <w:vMerge w:val="restart"/>
                  <w:vAlign w:val="center"/>
                </w:tcPr>
                <w:p>
                  <w:pPr>
                    <w:pStyle w:val="45"/>
                    <w:rPr>
                      <w:color w:val="auto"/>
                    </w:rPr>
                  </w:pPr>
                  <w:r>
                    <w:rPr>
                      <w:rFonts w:hint="eastAsia"/>
                      <w:color w:val="auto"/>
                    </w:rPr>
                    <w:t>《医疗机构水污染物排放标准》（</w:t>
                  </w:r>
                  <w:r>
                    <w:rPr>
                      <w:color w:val="auto"/>
                    </w:rPr>
                    <w:t>GB18466-2005</w:t>
                  </w:r>
                </w:p>
                <w:p>
                  <w:pPr>
                    <w:pStyle w:val="45"/>
                    <w:rPr>
                      <w:color w:val="auto"/>
                    </w:rPr>
                  </w:pPr>
                  <w:r>
                    <w:rPr>
                      <w:rFonts w:hint="eastAsia"/>
                      <w:color w:val="auto"/>
                    </w:rPr>
                    <w:t>）中污水处理站周边大气污染物控制标准</w:t>
                  </w:r>
                </w:p>
              </w:tc>
              <w:tc>
                <w:tcPr>
                  <w:tcW w:w="1646" w:type="dxa"/>
                  <w:tcBorders>
                    <w:bottom w:val="single" w:color="000000" w:sz="6" w:space="0"/>
                  </w:tcBorders>
                  <w:vAlign w:val="center"/>
                </w:tcPr>
                <w:p>
                  <w:pPr>
                    <w:pStyle w:val="45"/>
                    <w:rPr>
                      <w:color w:val="auto"/>
                    </w:rPr>
                  </w:pPr>
                  <w:r>
                    <w:rPr>
                      <w:rFonts w:hint="eastAsia"/>
                      <w:color w:val="auto"/>
                    </w:rPr>
                    <w:t>0.03</w:t>
                  </w:r>
                </w:p>
              </w:tc>
              <w:tc>
                <w:tcPr>
                  <w:tcW w:w="831" w:type="dxa"/>
                  <w:tcBorders>
                    <w:bottom w:val="single" w:color="000000" w:sz="6" w:space="0"/>
                  </w:tcBorders>
                  <w:vAlign w:val="center"/>
                </w:tcPr>
                <w:p>
                  <w:pPr>
                    <w:pStyle w:val="45"/>
                    <w:rPr>
                      <w:rFonts w:hint="default"/>
                      <w:color w:val="auto"/>
                      <w:lang w:val="en-US" w:eastAsia="zh-CN"/>
                    </w:rPr>
                  </w:pPr>
                  <w:r>
                    <w:rPr>
                      <w:rFonts w:hint="eastAsia"/>
                      <w:color w:val="auto"/>
                      <w:lang w:val="en-US" w:eastAsia="zh-CN"/>
                    </w:rPr>
                    <w:t>0.0000085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349" w:type="dxa"/>
                  <w:vMerge w:val="continue"/>
                  <w:vAlign w:val="center"/>
                </w:tcPr>
                <w:p>
                  <w:pPr>
                    <w:pStyle w:val="45"/>
                    <w:rPr>
                      <w:color w:val="auto"/>
                    </w:rPr>
                  </w:pPr>
                </w:p>
              </w:tc>
              <w:tc>
                <w:tcPr>
                  <w:tcW w:w="650" w:type="dxa"/>
                  <w:vMerge w:val="continue"/>
                  <w:vAlign w:val="center"/>
                </w:tcPr>
                <w:p>
                  <w:pPr>
                    <w:pStyle w:val="45"/>
                    <w:rPr>
                      <w:color w:val="auto"/>
                    </w:rPr>
                  </w:pPr>
                </w:p>
              </w:tc>
              <w:tc>
                <w:tcPr>
                  <w:tcW w:w="637" w:type="dxa"/>
                  <w:vMerge w:val="continue"/>
                  <w:vAlign w:val="center"/>
                </w:tcPr>
                <w:p>
                  <w:pPr>
                    <w:pStyle w:val="45"/>
                    <w:rPr>
                      <w:color w:val="auto"/>
                    </w:rPr>
                  </w:pPr>
                </w:p>
              </w:tc>
              <w:tc>
                <w:tcPr>
                  <w:tcW w:w="750" w:type="dxa"/>
                  <w:tcBorders>
                    <w:top w:val="single" w:color="000000" w:sz="6" w:space="0"/>
                  </w:tcBorders>
                  <w:vAlign w:val="center"/>
                </w:tcPr>
                <w:p>
                  <w:pPr>
                    <w:pStyle w:val="45"/>
                    <w:rPr>
                      <w:color w:val="auto"/>
                    </w:rPr>
                  </w:pPr>
                  <w:r>
                    <w:rPr>
                      <w:rFonts w:hint="eastAsia"/>
                      <w:color w:val="auto"/>
                    </w:rPr>
                    <w:t>NH</w:t>
                  </w:r>
                  <w:r>
                    <w:rPr>
                      <w:rFonts w:hint="eastAsia"/>
                      <w:color w:val="auto"/>
                      <w:vertAlign w:val="subscript"/>
                    </w:rPr>
                    <w:t>3</w:t>
                  </w:r>
                </w:p>
              </w:tc>
              <w:tc>
                <w:tcPr>
                  <w:tcW w:w="863" w:type="dxa"/>
                  <w:vMerge w:val="continue"/>
                  <w:vAlign w:val="center"/>
                </w:tcPr>
                <w:p>
                  <w:pPr>
                    <w:pStyle w:val="45"/>
                    <w:rPr>
                      <w:color w:val="auto"/>
                    </w:rPr>
                  </w:pPr>
                </w:p>
              </w:tc>
              <w:tc>
                <w:tcPr>
                  <w:tcW w:w="2187" w:type="dxa"/>
                  <w:vMerge w:val="continue"/>
                  <w:vAlign w:val="center"/>
                </w:tcPr>
                <w:p>
                  <w:pPr>
                    <w:pStyle w:val="45"/>
                    <w:rPr>
                      <w:color w:val="auto"/>
                    </w:rPr>
                  </w:pPr>
                </w:p>
              </w:tc>
              <w:tc>
                <w:tcPr>
                  <w:tcW w:w="1646" w:type="dxa"/>
                  <w:tcBorders>
                    <w:top w:val="single" w:color="000000" w:sz="6" w:space="0"/>
                  </w:tcBorders>
                  <w:vAlign w:val="center"/>
                </w:tcPr>
                <w:p>
                  <w:pPr>
                    <w:pStyle w:val="45"/>
                    <w:rPr>
                      <w:color w:val="auto"/>
                    </w:rPr>
                  </w:pPr>
                  <w:r>
                    <w:rPr>
                      <w:rFonts w:hint="eastAsia"/>
                      <w:color w:val="auto"/>
                    </w:rPr>
                    <w:t>1.0</w:t>
                  </w:r>
                </w:p>
              </w:tc>
              <w:tc>
                <w:tcPr>
                  <w:tcW w:w="831" w:type="dxa"/>
                  <w:tcBorders>
                    <w:top w:val="single" w:color="000000" w:sz="6" w:space="0"/>
                  </w:tcBorders>
                  <w:vAlign w:val="center"/>
                </w:tcPr>
                <w:p>
                  <w:pPr>
                    <w:pStyle w:val="45"/>
                    <w:rPr>
                      <w:rFonts w:hint="default"/>
                      <w:color w:val="auto"/>
                      <w:lang w:val="en-US" w:eastAsia="zh-CN"/>
                    </w:rPr>
                  </w:pPr>
                  <w:r>
                    <w:rPr>
                      <w:rFonts w:hint="eastAsia"/>
                      <w:color w:val="auto"/>
                      <w:lang w:val="en-US" w:eastAsia="zh-CN"/>
                    </w:rPr>
                    <w:t>0.000218</w:t>
                  </w:r>
                </w:p>
              </w:tc>
            </w:tr>
          </w:tbl>
          <w:p>
            <w:pPr>
              <w:pStyle w:val="7"/>
              <w:ind w:firstLine="480"/>
              <w:rPr>
                <w:color w:val="auto"/>
              </w:rPr>
            </w:pPr>
            <w:r>
              <w:rPr>
                <w:rFonts w:hint="eastAsia"/>
                <w:color w:val="auto"/>
              </w:rPr>
              <w:t>③项目大气污染物年排放总量核算</w:t>
            </w:r>
          </w:p>
          <w:p>
            <w:pPr>
              <w:pStyle w:val="46"/>
              <w:tabs>
                <w:tab w:val="left" w:pos="1021"/>
              </w:tabs>
              <w:rPr>
                <w:color w:val="auto"/>
              </w:rPr>
            </w:pPr>
            <w:r>
              <w:rPr>
                <w:rFonts w:hint="eastAsia"/>
                <w:color w:val="auto"/>
              </w:rPr>
              <w:t>表4.2-</w:t>
            </w:r>
            <w:r>
              <w:rPr>
                <w:rFonts w:hint="eastAsia"/>
                <w:color w:val="auto"/>
                <w:lang w:val="en-US" w:eastAsia="zh-CN"/>
              </w:rPr>
              <w:t>4</w:t>
            </w:r>
            <w:r>
              <w:rPr>
                <w:rFonts w:hint="eastAsia"/>
                <w:color w:val="auto"/>
              </w:rPr>
              <w:t>项目大气污染物年排放量核算表</w:t>
            </w:r>
          </w:p>
          <w:tbl>
            <w:tblPr>
              <w:tblStyle w:val="31"/>
              <w:tblW w:w="79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6"/>
              <w:gridCol w:w="2234"/>
              <w:gridCol w:w="4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76" w:type="dxa"/>
                  <w:tcBorders>
                    <w:bottom w:val="single" w:color="000000" w:sz="6" w:space="0"/>
                    <w:right w:val="single" w:color="000000" w:sz="6" w:space="0"/>
                  </w:tcBorders>
                  <w:vAlign w:val="center"/>
                </w:tcPr>
                <w:p>
                  <w:pPr>
                    <w:pStyle w:val="45"/>
                    <w:rPr>
                      <w:color w:val="auto"/>
                    </w:rPr>
                  </w:pPr>
                  <w:r>
                    <w:rPr>
                      <w:rFonts w:hint="eastAsia"/>
                      <w:color w:val="auto"/>
                    </w:rPr>
                    <w:t>序号</w:t>
                  </w:r>
                </w:p>
              </w:tc>
              <w:tc>
                <w:tcPr>
                  <w:tcW w:w="2234" w:type="dxa"/>
                  <w:tcBorders>
                    <w:left w:val="single" w:color="000000" w:sz="6" w:space="0"/>
                    <w:bottom w:val="single" w:color="000000" w:sz="6" w:space="0"/>
                    <w:right w:val="single" w:color="000000" w:sz="6" w:space="0"/>
                  </w:tcBorders>
                  <w:vAlign w:val="center"/>
                </w:tcPr>
                <w:p>
                  <w:pPr>
                    <w:pStyle w:val="45"/>
                    <w:rPr>
                      <w:color w:val="auto"/>
                    </w:rPr>
                  </w:pPr>
                  <w:r>
                    <w:rPr>
                      <w:rFonts w:hint="eastAsia"/>
                      <w:color w:val="auto"/>
                    </w:rPr>
                    <w:t>污染物</w:t>
                  </w:r>
                </w:p>
              </w:tc>
              <w:tc>
                <w:tcPr>
                  <w:tcW w:w="4106" w:type="dxa"/>
                  <w:tcBorders>
                    <w:left w:val="single" w:color="000000" w:sz="6" w:space="0"/>
                    <w:bottom w:val="single" w:color="000000" w:sz="6" w:space="0"/>
                  </w:tcBorders>
                  <w:vAlign w:val="center"/>
                </w:tcPr>
                <w:p>
                  <w:pPr>
                    <w:pStyle w:val="45"/>
                    <w:rPr>
                      <w:color w:val="auto"/>
                    </w:rPr>
                  </w:pPr>
                  <w:r>
                    <w:rPr>
                      <w:rFonts w:hint="eastAsia"/>
                      <w:color w:val="auto"/>
                    </w:rPr>
                    <w:t>年排放量（</w:t>
                  </w:r>
                  <w:r>
                    <w:rPr>
                      <w:color w:val="auto"/>
                    </w:rPr>
                    <w:t>t/a</w:t>
                  </w: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76" w:type="dxa"/>
                  <w:vMerge w:val="restart"/>
                  <w:tcBorders>
                    <w:top w:val="single" w:color="000000" w:sz="6" w:space="0"/>
                    <w:right w:val="single" w:color="000000" w:sz="6" w:space="0"/>
                  </w:tcBorders>
                  <w:vAlign w:val="center"/>
                </w:tcPr>
                <w:p>
                  <w:pPr>
                    <w:pStyle w:val="45"/>
                    <w:rPr>
                      <w:color w:val="auto"/>
                    </w:rPr>
                  </w:pPr>
                  <w:r>
                    <w:rPr>
                      <w:color w:val="auto"/>
                    </w:rPr>
                    <w:t>1</w:t>
                  </w:r>
                </w:p>
              </w:tc>
              <w:tc>
                <w:tcPr>
                  <w:tcW w:w="2234" w:type="dxa"/>
                  <w:tcBorders>
                    <w:top w:val="single" w:color="000000" w:sz="6" w:space="0"/>
                    <w:left w:val="single" w:color="000000" w:sz="6" w:space="0"/>
                    <w:bottom w:val="single" w:color="000000" w:sz="6" w:space="0"/>
                    <w:right w:val="single" w:color="000000" w:sz="6" w:space="0"/>
                  </w:tcBorders>
                  <w:vAlign w:val="center"/>
                </w:tcPr>
                <w:p>
                  <w:pPr>
                    <w:pStyle w:val="45"/>
                    <w:rPr>
                      <w:color w:val="auto"/>
                    </w:rPr>
                  </w:pPr>
                  <w:r>
                    <w:rPr>
                      <w:rFonts w:hint="eastAsia"/>
                      <w:color w:val="auto"/>
                    </w:rPr>
                    <w:t>H</w:t>
                  </w:r>
                  <w:r>
                    <w:rPr>
                      <w:rFonts w:hint="eastAsia"/>
                      <w:color w:val="auto"/>
                      <w:vertAlign w:val="subscript"/>
                    </w:rPr>
                    <w:t>2</w:t>
                  </w:r>
                  <w:r>
                    <w:rPr>
                      <w:rFonts w:hint="eastAsia"/>
                      <w:color w:val="auto"/>
                    </w:rPr>
                    <w:t>S</w:t>
                  </w:r>
                </w:p>
              </w:tc>
              <w:tc>
                <w:tcPr>
                  <w:tcW w:w="4106" w:type="dxa"/>
                  <w:tcBorders>
                    <w:top w:val="single" w:color="000000" w:sz="6" w:space="0"/>
                    <w:left w:val="single" w:color="000000" w:sz="6" w:space="0"/>
                    <w:bottom w:val="single" w:color="000000" w:sz="6" w:space="0"/>
                  </w:tcBorders>
                  <w:vAlign w:val="center"/>
                </w:tcPr>
                <w:p>
                  <w:pPr>
                    <w:pStyle w:val="45"/>
                    <w:rPr>
                      <w:color w:val="auto"/>
                    </w:rPr>
                  </w:pPr>
                  <w:r>
                    <w:rPr>
                      <w:rFonts w:hint="eastAsia"/>
                      <w:color w:val="auto"/>
                      <w:lang w:val="en-US" w:eastAsia="zh-CN"/>
                    </w:rPr>
                    <w:t>0.0000085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76" w:type="dxa"/>
                  <w:vMerge w:val="continue"/>
                  <w:tcBorders>
                    <w:right w:val="single" w:color="000000" w:sz="6" w:space="0"/>
                  </w:tcBorders>
                  <w:vAlign w:val="center"/>
                </w:tcPr>
                <w:p>
                  <w:pPr>
                    <w:pStyle w:val="45"/>
                    <w:rPr>
                      <w:color w:val="auto"/>
                    </w:rPr>
                  </w:pPr>
                </w:p>
              </w:tc>
              <w:tc>
                <w:tcPr>
                  <w:tcW w:w="2234" w:type="dxa"/>
                  <w:tcBorders>
                    <w:top w:val="single" w:color="000000" w:sz="6" w:space="0"/>
                    <w:left w:val="single" w:color="000000" w:sz="6" w:space="0"/>
                    <w:bottom w:val="single" w:color="000000" w:sz="6" w:space="0"/>
                    <w:right w:val="single" w:color="000000" w:sz="6" w:space="0"/>
                  </w:tcBorders>
                  <w:vAlign w:val="center"/>
                </w:tcPr>
                <w:p>
                  <w:pPr>
                    <w:pStyle w:val="45"/>
                    <w:rPr>
                      <w:color w:val="auto"/>
                    </w:rPr>
                  </w:pPr>
                  <w:r>
                    <w:rPr>
                      <w:rFonts w:hint="eastAsia"/>
                      <w:color w:val="auto"/>
                    </w:rPr>
                    <w:t>NH</w:t>
                  </w:r>
                  <w:r>
                    <w:rPr>
                      <w:rFonts w:hint="eastAsia"/>
                      <w:color w:val="auto"/>
                      <w:vertAlign w:val="subscript"/>
                    </w:rPr>
                    <w:t>3</w:t>
                  </w:r>
                </w:p>
              </w:tc>
              <w:tc>
                <w:tcPr>
                  <w:tcW w:w="4106" w:type="dxa"/>
                  <w:tcBorders>
                    <w:top w:val="single" w:color="000000" w:sz="6" w:space="0"/>
                    <w:left w:val="single" w:color="000000" w:sz="6" w:space="0"/>
                    <w:bottom w:val="single" w:color="000000" w:sz="6" w:space="0"/>
                  </w:tcBorders>
                  <w:vAlign w:val="center"/>
                </w:tcPr>
                <w:p>
                  <w:pPr>
                    <w:pStyle w:val="45"/>
                    <w:rPr>
                      <w:color w:val="auto"/>
                    </w:rPr>
                  </w:pPr>
                  <w:r>
                    <w:rPr>
                      <w:rFonts w:hint="eastAsia"/>
                      <w:color w:val="auto"/>
                      <w:lang w:val="en-US" w:eastAsia="zh-CN"/>
                    </w:rPr>
                    <w:t>0.000218</w:t>
                  </w:r>
                </w:p>
              </w:tc>
            </w:tr>
          </w:tbl>
          <w:p>
            <w:pPr>
              <w:pStyle w:val="7"/>
              <w:ind w:firstLine="480"/>
              <w:rPr>
                <w:color w:val="auto"/>
              </w:rPr>
            </w:pPr>
            <w:r>
              <w:rPr>
                <w:rFonts w:hint="eastAsia"/>
                <w:color w:val="auto"/>
              </w:rPr>
              <w:t xml:space="preserve">1.3环保措施及达标排放分析 </w:t>
            </w:r>
          </w:p>
          <w:p>
            <w:pPr>
              <w:pStyle w:val="7"/>
              <w:ind w:left="480" w:leftChars="200" w:firstLine="0" w:firstLineChars="0"/>
              <w:rPr>
                <w:color w:val="auto"/>
              </w:rPr>
            </w:pPr>
            <w:r>
              <w:rPr>
                <w:rFonts w:hint="eastAsia"/>
                <w:color w:val="auto"/>
              </w:rPr>
              <w:t>（1）臭气</w:t>
            </w:r>
          </w:p>
          <w:p>
            <w:pPr>
              <w:pStyle w:val="7"/>
              <w:ind w:firstLine="480"/>
              <w:rPr>
                <w:color w:val="auto"/>
              </w:rPr>
            </w:pPr>
            <w:r>
              <w:rPr>
                <w:color w:val="auto"/>
              </w:rPr>
              <w:t>项目产生的生活垃圾和医疗废物由医院清洁工分别收集至垃圾桶和医疗废物暂存间。生活垃圾经收集后，由环卫部门每天定期清运，停留时间较短，产生的臭气浓度不大。医疗废物</w:t>
            </w:r>
            <w:r>
              <w:rPr>
                <w:rFonts w:hint="eastAsia"/>
                <w:color w:val="auto"/>
                <w:lang w:val="en-US" w:eastAsia="zh-CN"/>
              </w:rPr>
              <w:t>收集暂存</w:t>
            </w:r>
            <w:r>
              <w:rPr>
                <w:color w:val="auto"/>
              </w:rPr>
              <w:t>于医疗废物暂存间，医用玻璃瓶、塑料输液瓶（袋）交由</w:t>
            </w:r>
            <w:r>
              <w:rPr>
                <w:rFonts w:hint="eastAsia"/>
                <w:color w:val="auto"/>
              </w:rPr>
              <w:t>专门单位</w:t>
            </w:r>
            <w:r>
              <w:rPr>
                <w:color w:val="auto"/>
              </w:rPr>
              <w:t>转运并处置；其他医疗废物定期交</w:t>
            </w:r>
            <w:r>
              <w:rPr>
                <w:rFonts w:hint="eastAsia"/>
                <w:color w:val="auto"/>
              </w:rPr>
              <w:t>岳阳市方向固废安全处置有限公司</w:t>
            </w:r>
            <w:r>
              <w:rPr>
                <w:color w:val="auto"/>
              </w:rPr>
              <w:t>转运并处置。因此产生的臭气浓度也不大。</w:t>
            </w:r>
            <w:r>
              <w:rPr>
                <w:rFonts w:hint="eastAsia"/>
                <w:color w:val="auto"/>
              </w:rPr>
              <w:t>建设单位应定期派专人对医疗废物暂存间进行消毒处理，减轻臭气对周围环境的影响。</w:t>
            </w:r>
          </w:p>
          <w:p>
            <w:pPr>
              <w:pStyle w:val="7"/>
              <w:ind w:firstLine="480"/>
              <w:rPr>
                <w:color w:val="auto"/>
              </w:rPr>
            </w:pPr>
            <w:r>
              <w:rPr>
                <w:color w:val="auto"/>
              </w:rPr>
              <w:t>本项目医院污水处理站采用</w:t>
            </w:r>
            <w:r>
              <w:rPr>
                <w:rFonts w:hint="eastAsia"/>
                <w:color w:val="auto"/>
              </w:rPr>
              <w:t>“化粪池+格栅井+调节池+AO工艺+沉淀池+消毒”</w:t>
            </w:r>
            <w:r>
              <w:rPr>
                <w:color w:val="auto"/>
              </w:rPr>
              <w:t>工艺进行处理，运行时由于水量较小，仅产生少量恶臭气体，主要为：H</w:t>
            </w:r>
            <w:r>
              <w:rPr>
                <w:color w:val="auto"/>
                <w:vertAlign w:val="subscript"/>
              </w:rPr>
              <w:t>2</w:t>
            </w:r>
            <w:r>
              <w:rPr>
                <w:color w:val="auto"/>
              </w:rPr>
              <w:t>S、NH</w:t>
            </w:r>
            <w:r>
              <w:rPr>
                <w:color w:val="auto"/>
                <w:vertAlign w:val="subscript"/>
              </w:rPr>
              <w:t>3</w:t>
            </w:r>
            <w:r>
              <w:rPr>
                <w:color w:val="auto"/>
              </w:rPr>
              <w:t>、臭气，该类废气含有病毒和细菌等致病微生物。项目医院污水处理站所有水池均采用封闭式，污水池采用密闭设计。</w:t>
            </w:r>
            <w:r>
              <w:rPr>
                <w:rFonts w:hint="eastAsia"/>
                <w:color w:val="auto"/>
              </w:rPr>
              <w:t>根据《排污许可证申请与核发技术规范 医疗机构》（</w:t>
            </w:r>
            <w:r>
              <w:rPr>
                <w:color w:val="auto"/>
              </w:rPr>
              <w:t>HJ 1105</w:t>
            </w:r>
            <w:r>
              <w:rPr>
                <w:rFonts w:hint="eastAsia"/>
                <w:color w:val="auto"/>
                <w:lang w:val="en-US" w:eastAsia="zh-CN"/>
              </w:rPr>
              <w:t>-</w:t>
            </w:r>
            <w:r>
              <w:rPr>
                <w:color w:val="auto"/>
              </w:rPr>
              <w:t>2020</w:t>
            </w:r>
            <w:r>
              <w:rPr>
                <w:rFonts w:hint="eastAsia"/>
                <w:color w:val="auto"/>
              </w:rPr>
              <w:t>），表A.1医疗机构排污单位废气治理可行技术参照表，本项目对污水处理站产生恶</w:t>
            </w:r>
            <w:r>
              <w:rPr>
                <w:color w:val="auto"/>
              </w:rPr>
              <w:t>臭</w:t>
            </w:r>
            <w:r>
              <w:rPr>
                <w:rFonts w:hint="eastAsia"/>
                <w:color w:val="auto"/>
              </w:rPr>
              <w:t>区域加盖，投放除臭剂，属于废气治理可行技术。</w:t>
            </w:r>
          </w:p>
          <w:p>
            <w:pPr>
              <w:pStyle w:val="7"/>
              <w:ind w:firstLine="480"/>
              <w:rPr>
                <w:color w:val="auto"/>
              </w:rPr>
            </w:pPr>
            <w:r>
              <w:rPr>
                <w:color w:val="auto"/>
              </w:rPr>
              <w:t>在严格执行上述措施后，污水处理站臭气对周边环境影响小，以上污染防治措施是可靠的。对周边环境影响较小。</w:t>
            </w:r>
          </w:p>
          <w:p>
            <w:pPr>
              <w:pStyle w:val="7"/>
              <w:ind w:firstLine="480"/>
              <w:rPr>
                <w:color w:val="auto"/>
              </w:rPr>
            </w:pPr>
            <w:r>
              <w:rPr>
                <w:rFonts w:hint="eastAsia"/>
                <w:color w:val="auto"/>
              </w:rPr>
              <w:t>本次环评委托湖南</w:t>
            </w:r>
            <w:r>
              <w:rPr>
                <w:rFonts w:hint="eastAsia"/>
                <w:color w:val="auto"/>
                <w:lang w:eastAsia="zh-CN"/>
              </w:rPr>
              <w:t>衡润科技</w:t>
            </w:r>
            <w:r>
              <w:rPr>
                <w:rFonts w:hint="eastAsia"/>
                <w:color w:val="auto"/>
              </w:rPr>
              <w:t>有限公司对本项目污水处理站废气进行了监测，根据检测报告，H</w:t>
            </w:r>
            <w:r>
              <w:rPr>
                <w:rFonts w:hint="eastAsia"/>
                <w:color w:val="auto"/>
                <w:vertAlign w:val="subscript"/>
              </w:rPr>
              <w:t>2</w:t>
            </w:r>
            <w:r>
              <w:rPr>
                <w:rFonts w:hint="eastAsia"/>
                <w:color w:val="auto"/>
              </w:rPr>
              <w:t>S最大小时值为0.0</w:t>
            </w:r>
            <w:r>
              <w:rPr>
                <w:rFonts w:hint="eastAsia"/>
                <w:color w:val="auto"/>
                <w:lang w:val="en-US" w:eastAsia="zh-CN"/>
              </w:rPr>
              <w:t>04</w:t>
            </w:r>
            <w:r>
              <w:rPr>
                <w:rFonts w:hint="eastAsia"/>
                <w:color w:val="auto"/>
              </w:rPr>
              <w:t>mg/m³，氨最大小时值为0.2</w:t>
            </w:r>
            <w:r>
              <w:rPr>
                <w:rFonts w:hint="eastAsia"/>
                <w:color w:val="auto"/>
                <w:lang w:val="en-US" w:eastAsia="zh-CN"/>
              </w:rPr>
              <w:t>04</w:t>
            </w:r>
            <w:r>
              <w:rPr>
                <w:rFonts w:hint="eastAsia"/>
                <w:color w:val="auto"/>
              </w:rPr>
              <w:t>mg/m</w:t>
            </w:r>
            <w:r>
              <w:rPr>
                <w:color w:val="auto"/>
              </w:rPr>
              <w:t>³</w:t>
            </w:r>
            <w:r>
              <w:rPr>
                <w:rFonts w:hint="eastAsia"/>
                <w:color w:val="auto"/>
              </w:rPr>
              <w:t>，氯气最大小时值为&lt;0.03mg/m³，臭气浓度满足《医疗机构水污染物排放标准》（GB18466-2005）污水处理站周围恶臭浓度限制要求，对周围环境不会造成明显影响。</w:t>
            </w:r>
          </w:p>
          <w:p>
            <w:pPr>
              <w:pStyle w:val="7"/>
              <w:ind w:firstLine="480"/>
              <w:rPr>
                <w:color w:val="auto"/>
              </w:rPr>
            </w:pPr>
            <w:r>
              <w:rPr>
                <w:color w:val="auto"/>
              </w:rPr>
              <w:t>综上所述，本项目产生的大气污染物通过本环评中的治理措施处理后能达到排放标准，对环境影响较小。</w:t>
            </w:r>
          </w:p>
          <w:p>
            <w:pPr>
              <w:pStyle w:val="7"/>
              <w:ind w:firstLine="480"/>
              <w:rPr>
                <w:color w:val="auto"/>
                <w:u w:val="none"/>
              </w:rPr>
            </w:pPr>
            <w:r>
              <w:rPr>
                <w:rFonts w:hint="eastAsia"/>
                <w:color w:val="auto"/>
                <w:u w:val="none"/>
              </w:rPr>
              <w:t>1.4监测要求</w:t>
            </w:r>
          </w:p>
          <w:p>
            <w:pPr>
              <w:pStyle w:val="7"/>
              <w:ind w:firstLine="480"/>
              <w:rPr>
                <w:color w:val="auto"/>
                <w:u w:val="none"/>
              </w:rPr>
            </w:pPr>
            <w:r>
              <w:rPr>
                <w:rFonts w:hint="eastAsia"/>
                <w:color w:val="auto"/>
                <w:u w:val="none"/>
              </w:rPr>
              <w:t>项目大气监测计划根据《排污许可证申请与核发技术规范 医疗机构》（</w:t>
            </w:r>
            <w:r>
              <w:rPr>
                <w:color w:val="auto"/>
                <w:u w:val="none"/>
              </w:rPr>
              <w:t>HJ 1105</w:t>
            </w:r>
            <w:r>
              <w:rPr>
                <w:rFonts w:hint="eastAsia"/>
                <w:color w:val="auto"/>
                <w:u w:val="none"/>
                <w:lang w:val="en-US" w:eastAsia="zh-CN"/>
              </w:rPr>
              <w:t>-</w:t>
            </w:r>
            <w:r>
              <w:rPr>
                <w:color w:val="auto"/>
                <w:u w:val="none"/>
              </w:rPr>
              <w:t>2020</w:t>
            </w:r>
            <w:r>
              <w:rPr>
                <w:rFonts w:hint="eastAsia"/>
                <w:color w:val="auto"/>
                <w:u w:val="none"/>
              </w:rPr>
              <w:t>）相关要求拟定，监测计划如下表：</w:t>
            </w:r>
          </w:p>
          <w:p>
            <w:pPr>
              <w:pStyle w:val="46"/>
              <w:rPr>
                <w:color w:val="auto"/>
                <w:u w:val="none"/>
              </w:rPr>
            </w:pPr>
            <w:r>
              <w:rPr>
                <w:rFonts w:hint="eastAsia"/>
                <w:color w:val="auto"/>
                <w:u w:val="none"/>
              </w:rPr>
              <w:t>表4.2-7 建设项目废气监测要求</w:t>
            </w:r>
          </w:p>
          <w:tbl>
            <w:tblPr>
              <w:tblStyle w:val="31"/>
              <w:tblW w:w="7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7"/>
              <w:gridCol w:w="1061"/>
              <w:gridCol w:w="1713"/>
              <w:gridCol w:w="1023"/>
              <w:gridCol w:w="3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Align w:val="center"/>
                </w:tcPr>
                <w:p>
                  <w:pPr>
                    <w:pStyle w:val="45"/>
                    <w:rPr>
                      <w:rFonts w:hint="eastAsia" w:eastAsia="宋体"/>
                      <w:color w:val="auto"/>
                      <w:u w:val="none"/>
                      <w:lang w:eastAsia="zh-CN"/>
                    </w:rPr>
                  </w:pPr>
                  <w:r>
                    <w:rPr>
                      <w:rFonts w:hint="eastAsia"/>
                      <w:color w:val="auto"/>
                      <w:u w:val="none"/>
                      <w:lang w:eastAsia="zh-CN"/>
                    </w:rPr>
                    <w:t>排放方式</w:t>
                  </w:r>
                </w:p>
              </w:tc>
              <w:tc>
                <w:tcPr>
                  <w:tcW w:w="1061" w:type="dxa"/>
                  <w:vAlign w:val="center"/>
                </w:tcPr>
                <w:p>
                  <w:pPr>
                    <w:pStyle w:val="45"/>
                    <w:rPr>
                      <w:color w:val="auto"/>
                      <w:u w:val="none"/>
                    </w:rPr>
                  </w:pPr>
                  <w:r>
                    <w:rPr>
                      <w:rFonts w:hint="eastAsia"/>
                      <w:color w:val="auto"/>
                      <w:u w:val="none"/>
                    </w:rPr>
                    <w:t>监测点位</w:t>
                  </w:r>
                </w:p>
              </w:tc>
              <w:tc>
                <w:tcPr>
                  <w:tcW w:w="1713" w:type="dxa"/>
                  <w:vAlign w:val="center"/>
                </w:tcPr>
                <w:p>
                  <w:pPr>
                    <w:pStyle w:val="45"/>
                    <w:rPr>
                      <w:color w:val="auto"/>
                      <w:u w:val="none"/>
                    </w:rPr>
                  </w:pPr>
                  <w:r>
                    <w:rPr>
                      <w:rFonts w:hint="eastAsia"/>
                      <w:color w:val="auto"/>
                      <w:u w:val="none"/>
                    </w:rPr>
                    <w:t>监测项目</w:t>
                  </w:r>
                </w:p>
              </w:tc>
              <w:tc>
                <w:tcPr>
                  <w:tcW w:w="1023" w:type="dxa"/>
                  <w:vAlign w:val="center"/>
                </w:tcPr>
                <w:p>
                  <w:pPr>
                    <w:pStyle w:val="45"/>
                    <w:rPr>
                      <w:color w:val="auto"/>
                      <w:u w:val="none"/>
                    </w:rPr>
                  </w:pPr>
                  <w:r>
                    <w:rPr>
                      <w:rFonts w:hint="eastAsia"/>
                      <w:color w:val="auto"/>
                      <w:u w:val="none"/>
                    </w:rPr>
                    <w:t>监测频率</w:t>
                  </w:r>
                </w:p>
              </w:tc>
              <w:tc>
                <w:tcPr>
                  <w:tcW w:w="3459" w:type="dxa"/>
                  <w:vAlign w:val="center"/>
                </w:tcPr>
                <w:p>
                  <w:pPr>
                    <w:pStyle w:val="45"/>
                    <w:rPr>
                      <w:color w:val="auto"/>
                      <w:u w:val="none"/>
                    </w:rPr>
                  </w:pPr>
                  <w:r>
                    <w:rPr>
                      <w:color w:val="auto"/>
                      <w:u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Align w:val="center"/>
                </w:tcPr>
                <w:p>
                  <w:pPr>
                    <w:pStyle w:val="45"/>
                    <w:rPr>
                      <w:color w:val="auto"/>
                      <w:u w:val="none"/>
                    </w:rPr>
                  </w:pPr>
                  <w:r>
                    <w:rPr>
                      <w:rFonts w:hint="eastAsia"/>
                      <w:color w:val="auto"/>
                      <w:u w:val="none"/>
                    </w:rPr>
                    <w:t>无组织</w:t>
                  </w:r>
                </w:p>
              </w:tc>
              <w:tc>
                <w:tcPr>
                  <w:tcW w:w="1061" w:type="dxa"/>
                  <w:vAlign w:val="center"/>
                </w:tcPr>
                <w:p>
                  <w:pPr>
                    <w:pStyle w:val="45"/>
                    <w:rPr>
                      <w:color w:val="auto"/>
                      <w:u w:val="none"/>
                    </w:rPr>
                  </w:pPr>
                  <w:r>
                    <w:rPr>
                      <w:rFonts w:hint="eastAsia"/>
                      <w:color w:val="auto"/>
                      <w:u w:val="none"/>
                    </w:rPr>
                    <w:t>污水处理站周界</w:t>
                  </w:r>
                </w:p>
              </w:tc>
              <w:tc>
                <w:tcPr>
                  <w:tcW w:w="1713" w:type="dxa"/>
                  <w:vAlign w:val="center"/>
                </w:tcPr>
                <w:p>
                  <w:pPr>
                    <w:pStyle w:val="45"/>
                    <w:rPr>
                      <w:color w:val="auto"/>
                      <w:u w:val="none"/>
                    </w:rPr>
                  </w:pPr>
                  <w:r>
                    <w:rPr>
                      <w:rFonts w:hint="eastAsia"/>
                      <w:color w:val="auto"/>
                      <w:u w:val="none"/>
                    </w:rPr>
                    <w:t>氨、硫化氢、氯气、臭气浓度</w:t>
                  </w:r>
                </w:p>
              </w:tc>
              <w:tc>
                <w:tcPr>
                  <w:tcW w:w="1023" w:type="dxa"/>
                  <w:vAlign w:val="center"/>
                </w:tcPr>
                <w:p>
                  <w:pPr>
                    <w:pStyle w:val="45"/>
                    <w:rPr>
                      <w:color w:val="auto"/>
                      <w:u w:val="none"/>
                    </w:rPr>
                  </w:pPr>
                  <w:r>
                    <w:rPr>
                      <w:rFonts w:hint="eastAsia"/>
                      <w:color w:val="auto"/>
                      <w:u w:val="none"/>
                    </w:rPr>
                    <w:t>季度</w:t>
                  </w:r>
                </w:p>
              </w:tc>
              <w:tc>
                <w:tcPr>
                  <w:tcW w:w="3459" w:type="dxa"/>
                  <w:vAlign w:val="center"/>
                </w:tcPr>
                <w:p>
                  <w:pPr>
                    <w:pStyle w:val="45"/>
                    <w:rPr>
                      <w:color w:val="auto"/>
                      <w:u w:val="none"/>
                    </w:rPr>
                  </w:pPr>
                  <w:r>
                    <w:rPr>
                      <w:rFonts w:hint="eastAsia"/>
                      <w:color w:val="auto"/>
                      <w:u w:val="none"/>
                    </w:rPr>
                    <w:t>《医疗机构水污染物排放标准》（GB18466-2005）中污水处理站周边大气污染物控制标准</w:t>
                  </w:r>
                </w:p>
              </w:tc>
            </w:tr>
          </w:tbl>
          <w:p>
            <w:pPr>
              <w:pStyle w:val="7"/>
              <w:ind w:firstLine="480"/>
              <w:rPr>
                <w:color w:val="auto"/>
              </w:rPr>
            </w:pPr>
            <w:r>
              <w:rPr>
                <w:rFonts w:hint="eastAsia"/>
                <w:color w:val="auto"/>
              </w:rPr>
              <w:t>2、</w:t>
            </w:r>
            <w:r>
              <w:rPr>
                <w:color w:val="auto"/>
              </w:rPr>
              <w:t>废水</w:t>
            </w:r>
          </w:p>
          <w:p>
            <w:pPr>
              <w:pStyle w:val="7"/>
              <w:ind w:firstLine="480"/>
              <w:rPr>
                <w:rFonts w:hint="eastAsia"/>
                <w:color w:val="auto"/>
              </w:rPr>
            </w:pPr>
            <w:r>
              <w:rPr>
                <w:rFonts w:hint="eastAsia"/>
                <w:color w:val="auto"/>
              </w:rPr>
              <w:t>项目废水主要来源为门诊医疗废水、住院病房废水、医务人员办公废水。</w:t>
            </w:r>
            <w:r>
              <w:rPr>
                <w:rFonts w:hint="eastAsia"/>
                <w:color w:val="auto"/>
                <w:lang w:val="en-US" w:eastAsia="zh-CN"/>
              </w:rPr>
              <w:t>根据工程分析，</w:t>
            </w:r>
            <w:r>
              <w:rPr>
                <w:rFonts w:hint="eastAsia"/>
                <w:color w:val="auto"/>
              </w:rPr>
              <w:t>项目用水量为</w:t>
            </w:r>
            <w:r>
              <w:rPr>
                <w:rFonts w:hint="eastAsia"/>
                <w:color w:val="auto"/>
                <w:lang w:val="en-US" w:eastAsia="zh-CN"/>
              </w:rPr>
              <w:t>3978.5</w:t>
            </w:r>
            <w:r>
              <w:rPr>
                <w:rFonts w:hint="eastAsia"/>
                <w:color w:val="auto"/>
              </w:rPr>
              <w:t>m</w:t>
            </w:r>
            <w:r>
              <w:rPr>
                <w:rFonts w:hint="eastAsia"/>
                <w:color w:val="auto"/>
                <w:vertAlign w:val="superscript"/>
              </w:rPr>
              <w:t>3</w:t>
            </w:r>
            <w:r>
              <w:rPr>
                <w:rFonts w:hint="eastAsia"/>
                <w:color w:val="auto"/>
              </w:rPr>
              <w:t>/a，污水排放量为</w:t>
            </w:r>
            <w:r>
              <w:rPr>
                <w:rFonts w:hint="eastAsia"/>
                <w:color w:val="auto"/>
                <w:lang w:val="en-US" w:eastAsia="zh-CN"/>
              </w:rPr>
              <w:t>3,182.8</w:t>
            </w:r>
            <w:r>
              <w:rPr>
                <w:rFonts w:hint="eastAsia"/>
                <w:color w:val="auto"/>
              </w:rPr>
              <w:t>m</w:t>
            </w:r>
            <w:r>
              <w:rPr>
                <w:rFonts w:hint="eastAsia"/>
                <w:color w:val="auto"/>
                <w:vertAlign w:val="superscript"/>
              </w:rPr>
              <w:t>3</w:t>
            </w:r>
            <w:r>
              <w:rPr>
                <w:rFonts w:hint="eastAsia"/>
                <w:color w:val="auto"/>
              </w:rPr>
              <w:t>/a。</w:t>
            </w:r>
          </w:p>
          <w:p>
            <w:pPr>
              <w:pStyle w:val="7"/>
              <w:ind w:firstLine="480"/>
              <w:rPr>
                <w:rFonts w:hint="default" w:eastAsia="宋体"/>
                <w:color w:val="auto"/>
                <w:lang w:val="en-US" w:eastAsia="zh-CN"/>
              </w:rPr>
            </w:pPr>
            <w:r>
              <w:rPr>
                <w:rFonts w:hint="eastAsia"/>
                <w:color w:val="auto"/>
                <w:lang w:val="en-US" w:eastAsia="zh-CN"/>
              </w:rPr>
              <w:t>2.1废水污染物</w:t>
            </w:r>
            <w:r>
              <w:rPr>
                <w:rFonts w:hint="eastAsia"/>
                <w:color w:val="auto"/>
              </w:rPr>
              <w:t>产生情况及处置情况</w:t>
            </w:r>
          </w:p>
          <w:p>
            <w:pPr>
              <w:pStyle w:val="7"/>
              <w:ind w:firstLine="480"/>
              <w:rPr>
                <w:rFonts w:hint="default" w:eastAsia="宋体"/>
                <w:color w:val="auto"/>
                <w:lang w:val="en-US" w:eastAsia="zh-CN"/>
              </w:rPr>
            </w:pPr>
            <w:r>
              <w:rPr>
                <w:rFonts w:hint="eastAsia"/>
                <w:color w:val="auto"/>
                <w:lang w:eastAsia="zh-CN"/>
              </w:rPr>
              <w:t>（</w:t>
            </w:r>
            <w:r>
              <w:rPr>
                <w:rFonts w:hint="eastAsia"/>
                <w:color w:val="auto"/>
                <w:lang w:val="en-US" w:eastAsia="zh-CN"/>
              </w:rPr>
              <w:t>1）废水污染物</w:t>
            </w:r>
            <w:r>
              <w:rPr>
                <w:rFonts w:hint="eastAsia"/>
                <w:color w:val="auto"/>
              </w:rPr>
              <w:t>产生情况</w:t>
            </w:r>
          </w:p>
          <w:p>
            <w:pPr>
              <w:pStyle w:val="7"/>
              <w:ind w:firstLine="480"/>
              <w:rPr>
                <w:rFonts w:hint="eastAsia"/>
                <w:color w:val="auto"/>
              </w:rPr>
            </w:pPr>
            <w:r>
              <w:rPr>
                <w:rFonts w:hint="eastAsia"/>
                <w:color w:val="auto"/>
                <w:u w:val="single"/>
                <w:lang w:val="en-US" w:eastAsia="zh-CN"/>
              </w:rPr>
              <w:t>本项目污水处理站处理工艺、规模与临湘市长安街道社区卫生服务中心完全相同，废水产生及排放浓度参考临湘市长安街道社区卫生服务中心委托湖南衡润科技有限公司于2023年11月30日-12月1日的废水检测结果</w:t>
            </w:r>
            <w:r>
              <w:rPr>
                <w:rFonts w:hint="eastAsia"/>
                <w:color w:val="auto"/>
                <w:u w:val="single"/>
              </w:rPr>
              <w:t>，</w:t>
            </w:r>
            <w:r>
              <w:rPr>
                <w:rFonts w:hint="eastAsia"/>
                <w:color w:val="auto"/>
                <w:u w:val="single"/>
                <w:lang w:val="en-US" w:eastAsia="zh-CN"/>
              </w:rPr>
              <w:t>来计算本项目各污染因子产生量，详见下表</w:t>
            </w:r>
            <w:r>
              <w:rPr>
                <w:rFonts w:hint="eastAsia"/>
                <w:color w:val="auto"/>
                <w:u w:val="single"/>
              </w:rPr>
              <w:t>。</w:t>
            </w:r>
          </w:p>
          <w:p>
            <w:pPr>
              <w:pStyle w:val="65"/>
              <w:rPr>
                <w:rFonts w:hint="default" w:ascii="Times New Roman" w:hAnsi="Times New Roman" w:eastAsia="宋体" w:cs="Times New Roman"/>
                <w:b/>
                <w:color w:val="auto"/>
                <w:highlight w:val="none"/>
                <w:u w:val="none"/>
              </w:rPr>
            </w:pPr>
            <w:r>
              <w:rPr>
                <w:rFonts w:hint="default" w:ascii="Times New Roman" w:hAnsi="Times New Roman" w:eastAsia="宋体" w:cs="Times New Roman"/>
                <w:b/>
                <w:color w:val="auto"/>
                <w:highlight w:val="none"/>
                <w:u w:val="none"/>
                <w:lang w:val="en-US" w:eastAsia="zh-CN"/>
              </w:rPr>
              <w:t>表 4-5废水污染物产排</w:t>
            </w:r>
            <w:r>
              <w:rPr>
                <w:rFonts w:hint="eastAsia" w:cs="Times New Roman"/>
                <w:b/>
                <w:color w:val="auto"/>
                <w:highlight w:val="none"/>
                <w:u w:val="none"/>
                <w:lang w:val="en-US" w:eastAsia="zh-CN"/>
              </w:rPr>
              <w:t>情况</w:t>
            </w:r>
            <w:r>
              <w:rPr>
                <w:rFonts w:hint="default" w:ascii="Times New Roman" w:hAnsi="Times New Roman" w:eastAsia="宋体" w:cs="Times New Roman"/>
                <w:b/>
                <w:color w:val="auto"/>
                <w:highlight w:val="none"/>
                <w:u w:val="none"/>
                <w:lang w:val="en-US" w:eastAsia="zh-CN"/>
              </w:rPr>
              <w:t>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207"/>
              <w:gridCol w:w="1328"/>
              <w:gridCol w:w="1420"/>
              <w:gridCol w:w="1111"/>
              <w:gridCol w:w="981"/>
              <w:gridCol w:w="10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废水类别</w:t>
                  </w:r>
                </w:p>
              </w:tc>
              <w:tc>
                <w:tcPr>
                  <w:tcW w:w="779" w:type="pct"/>
                  <w:tcBorders>
                    <w:tl2br w:val="nil"/>
                    <w:tr2bl w:val="nil"/>
                  </w:tcBorders>
                  <w:noWrap w:val="0"/>
                  <w:vAlign w:val="center"/>
                </w:tcPr>
                <w:p>
                  <w:pPr>
                    <w:spacing w:line="240" w:lineRule="atLeast"/>
                    <w:ind w:left="0" w:leftChars="0" w:firstLine="0" w:firstLineChars="0"/>
                    <w:jc w:val="both"/>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856"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污染物种类</w:t>
                  </w:r>
                </w:p>
              </w:tc>
              <w:tc>
                <w:tcPr>
                  <w:tcW w:w="915"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产生量t/a</w:t>
                  </w:r>
                </w:p>
              </w:tc>
              <w:tc>
                <w:tcPr>
                  <w:tcW w:w="716" w:type="pct"/>
                  <w:tcBorders>
                    <w:tl2br w:val="nil"/>
                    <w:tr2bl w:val="nil"/>
                  </w:tcBorders>
                  <w:noWrap w:val="0"/>
                  <w:vAlign w:val="center"/>
                </w:tcPr>
                <w:p>
                  <w:pPr>
                    <w:pStyle w:val="66"/>
                    <w:widowControl w:val="0"/>
                    <w:jc w:val="center"/>
                    <w:rPr>
                      <w:rFonts w:hint="eastAsia"/>
                      <w:color w:val="auto"/>
                      <w:lang w:val="en-US" w:eastAsia="zh-CN"/>
                    </w:rPr>
                  </w:pPr>
                  <w:r>
                    <w:rPr>
                      <w:rFonts w:hint="default" w:ascii="Times New Roman" w:hAnsi="Times New Roman" w:eastAsia="宋体" w:cs="Times New Roman"/>
                      <w:color w:val="auto"/>
                      <w:highlight w:val="none"/>
                      <w:lang w:val="en-US" w:eastAsia="zh-CN"/>
                    </w:rPr>
                    <w:t>产生浓度mg/</w:t>
                  </w:r>
                  <w:r>
                    <w:rPr>
                      <w:rFonts w:hint="eastAsia" w:ascii="Times New Roman" w:hAnsi="Times New Roman" w:cs="Times New Roman"/>
                      <w:color w:val="auto"/>
                      <w:sz w:val="21"/>
                      <w:szCs w:val="21"/>
                      <w:highlight w:val="none"/>
                      <w:lang w:val="en-US" w:eastAsia="zh-CN"/>
                    </w:rPr>
                    <w:t>L</w:t>
                  </w:r>
                </w:p>
              </w:tc>
              <w:tc>
                <w:tcPr>
                  <w:tcW w:w="633"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治理设施</w:t>
                  </w:r>
                </w:p>
              </w:tc>
              <w:tc>
                <w:tcPr>
                  <w:tcW w:w="656"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tcBorders>
                    <w:tl2br w:val="nil"/>
                    <w:tr2bl w:val="nil"/>
                  </w:tcBorders>
                  <w:noWrap w:val="0"/>
                  <w:vAlign w:val="center"/>
                </w:tcPr>
                <w:p>
                  <w:pPr>
                    <w:pStyle w:val="66"/>
                    <w:widowControl w:val="0"/>
                    <w:jc w:val="center"/>
                    <w:rPr>
                      <w:rFonts w:hint="default" w:ascii="Times New Roman" w:hAnsi="Times New Roman" w:eastAsia="宋体" w:cs="Times New Roman"/>
                      <w:color w:val="auto"/>
                      <w:spacing w:val="6"/>
                      <w:szCs w:val="21"/>
                      <w:highlight w:val="none"/>
                      <w:lang w:val="en-US" w:eastAsia="zh-CN"/>
                    </w:rPr>
                  </w:pPr>
                  <w:r>
                    <w:rPr>
                      <w:rFonts w:hint="eastAsia" w:ascii="Times New Roman" w:hAnsi="Times New Roman" w:cs="Times New Roman"/>
                      <w:color w:val="auto"/>
                      <w:spacing w:val="6"/>
                      <w:szCs w:val="21"/>
                      <w:highlight w:val="none"/>
                      <w:lang w:val="en-US" w:eastAsia="zh-CN"/>
                    </w:rPr>
                    <w:t>医院废水</w:t>
                  </w:r>
                </w:p>
              </w:tc>
              <w:tc>
                <w:tcPr>
                  <w:tcW w:w="779" w:type="pct"/>
                  <w:vMerge w:val="restart"/>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3,182.8</w:t>
                  </w: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4"/>
                      <w:highlight w:val="none"/>
                      <w:u w:val="single"/>
                      <w:lang w:val="en-US" w:eastAsia="zh-CN" w:bidi="ar-SA"/>
                    </w:rPr>
                    <w:t>悬浮物</w:t>
                  </w:r>
                </w:p>
              </w:tc>
              <w:tc>
                <w:tcPr>
                  <w:tcW w:w="9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0.1416346</w:t>
                  </w:r>
                </w:p>
              </w:tc>
              <w:tc>
                <w:tcPr>
                  <w:tcW w:w="716"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u w:val="single"/>
                      <w:lang w:val="en-US" w:eastAsia="zh-CN" w:bidi="ar"/>
                    </w:rPr>
                    <w:t>44.5</w:t>
                  </w:r>
                </w:p>
              </w:tc>
              <w:tc>
                <w:tcPr>
                  <w:tcW w:w="633" w:type="pct"/>
                  <w:vMerge w:val="restar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化粪池+格栅井+调节池+AO工艺+沉淀池+消毒</w:t>
                  </w:r>
                </w:p>
              </w:tc>
              <w:tc>
                <w:tcPr>
                  <w:tcW w:w="656" w:type="pct"/>
                  <w:vMerge w:val="restart"/>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r>
                    <w:rPr>
                      <w:rFonts w:hint="eastAsia"/>
                      <w:color w:val="auto"/>
                    </w:rPr>
                    <w:t>排入市政污水管网</w:t>
                  </w:r>
                  <w:r>
                    <w:rPr>
                      <w:rFonts w:hint="eastAsia"/>
                      <w:color w:val="auto"/>
                      <w:lang w:val="en-US" w:eastAsia="zh-CN"/>
                    </w:rPr>
                    <w:t>后进入城镇污水处理厂集中处理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4"/>
                      <w:highlight w:val="none"/>
                      <w:u w:val="single"/>
                      <w:lang w:val="en-US" w:eastAsia="zh-CN" w:bidi="ar-SA"/>
                    </w:rPr>
                    <w:t>化学需氧量</w:t>
                  </w:r>
                </w:p>
              </w:tc>
              <w:tc>
                <w:tcPr>
                  <w:tcW w:w="9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0.5060652</w:t>
                  </w:r>
                </w:p>
              </w:tc>
              <w:tc>
                <w:tcPr>
                  <w:tcW w:w="716"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u w:val="single"/>
                      <w:lang w:val="en-US" w:eastAsia="zh-CN" w:bidi="ar"/>
                    </w:rPr>
                    <w:t>159</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4"/>
                      <w:highlight w:val="none"/>
                      <w:u w:val="single"/>
                      <w:lang w:val="en-US" w:eastAsia="zh-CN" w:bidi="ar-SA"/>
                    </w:rPr>
                    <w:t>BOD</w:t>
                  </w:r>
                  <w:r>
                    <w:rPr>
                      <w:rFonts w:hint="default" w:ascii="Times New Roman" w:hAnsi="Times New Roman" w:eastAsia="宋体" w:cs="Times New Roman"/>
                      <w:color w:val="auto"/>
                      <w:kern w:val="0"/>
                      <w:sz w:val="21"/>
                      <w:szCs w:val="24"/>
                      <w:highlight w:val="none"/>
                      <w:u w:val="single"/>
                      <w:vertAlign w:val="subscript"/>
                      <w:lang w:val="en-US" w:eastAsia="zh-CN" w:bidi="ar-SA"/>
                    </w:rPr>
                    <w:t>5</w:t>
                  </w:r>
                </w:p>
              </w:tc>
              <w:tc>
                <w:tcPr>
                  <w:tcW w:w="9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0.14067976</w:t>
                  </w:r>
                </w:p>
              </w:tc>
              <w:tc>
                <w:tcPr>
                  <w:tcW w:w="716"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u w:val="single"/>
                      <w:lang w:val="en-US" w:eastAsia="zh-CN" w:bidi="ar"/>
                    </w:rPr>
                    <w:t>44.2</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4"/>
                      <w:highlight w:val="none"/>
                      <w:u w:val="single"/>
                      <w:lang w:val="en-US" w:eastAsia="zh-CN" w:bidi="ar-SA"/>
                    </w:rPr>
                    <w:t>氨氮</w:t>
                  </w:r>
                </w:p>
              </w:tc>
              <w:tc>
                <w:tcPr>
                  <w:tcW w:w="9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0.16009484</w:t>
                  </w:r>
                </w:p>
              </w:tc>
              <w:tc>
                <w:tcPr>
                  <w:tcW w:w="716" w:type="pct"/>
                  <w:tcBorders>
                    <w:tl2br w:val="nil"/>
                    <w:tr2bl w:val="nil"/>
                  </w:tcBorders>
                  <w:noWrap w:val="0"/>
                  <w:vAlign w:val="center"/>
                </w:tcPr>
                <w:p>
                  <w:pPr>
                    <w:pStyle w:val="66"/>
                    <w:widowControl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u w:val="single"/>
                      <w:lang w:val="en-US" w:eastAsia="zh-CN" w:bidi="ar"/>
                    </w:rPr>
                    <w:t>50.3</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4"/>
                      <w:highlight w:val="none"/>
                      <w:u w:val="single"/>
                      <w:lang w:val="en-US" w:eastAsia="zh-CN" w:bidi="ar-SA"/>
                    </w:rPr>
                    <w:t>动植物油</w:t>
                  </w:r>
                </w:p>
              </w:tc>
              <w:tc>
                <w:tcPr>
                  <w:tcW w:w="9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0.000413764</w:t>
                  </w:r>
                </w:p>
              </w:tc>
              <w:tc>
                <w:tcPr>
                  <w:tcW w:w="716" w:type="pct"/>
                  <w:tcBorders>
                    <w:tl2br w:val="nil"/>
                    <w:tr2bl w:val="nil"/>
                  </w:tcBorders>
                  <w:noWrap w:val="0"/>
                  <w:vAlign w:val="center"/>
                </w:tcPr>
                <w:p>
                  <w:pPr>
                    <w:pStyle w:val="66"/>
                    <w:widowControl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u w:val="single"/>
                      <w:lang w:val="en-US" w:eastAsia="zh-CN" w:bidi="ar"/>
                    </w:rPr>
                    <w:t>0.13</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rPr>
                  </w:pPr>
                  <w:r>
                    <w:rPr>
                      <w:rFonts w:hint="eastAsia" w:ascii="Times New Roman" w:hAnsi="Times New Roman" w:eastAsia="宋体" w:cs="Times New Roman"/>
                      <w:color w:val="auto"/>
                      <w:kern w:val="0"/>
                      <w:sz w:val="21"/>
                      <w:szCs w:val="24"/>
                      <w:highlight w:val="none"/>
                      <w:u w:val="single"/>
                      <w:lang w:val="en-US" w:eastAsia="zh-CN" w:bidi="ar-SA"/>
                    </w:rPr>
                    <w:t>石油类</w:t>
                  </w:r>
                </w:p>
              </w:tc>
              <w:tc>
                <w:tcPr>
                  <w:tcW w:w="915"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0.001145808</w:t>
                  </w:r>
                </w:p>
              </w:tc>
              <w:tc>
                <w:tcPr>
                  <w:tcW w:w="716" w:type="pct"/>
                  <w:tcBorders>
                    <w:tl2br w:val="nil"/>
                    <w:tr2bl w:val="nil"/>
                  </w:tcBorders>
                  <w:noWrap w:val="0"/>
                  <w:vAlign w:val="center"/>
                </w:tcPr>
                <w:p>
                  <w:pPr>
                    <w:pStyle w:val="66"/>
                    <w:widowControl w:val="0"/>
                    <w:jc w:val="center"/>
                    <w:rPr>
                      <w:rFonts w:hint="eastAsia"/>
                      <w:color w:val="auto"/>
                      <w:lang w:val="en-US" w:eastAsia="zh-CN"/>
                    </w:rPr>
                  </w:pPr>
                  <w:r>
                    <w:rPr>
                      <w:rFonts w:hint="eastAsia" w:ascii="Times New Roman" w:hAnsi="Times New Roman" w:cs="Times New Roman"/>
                      <w:color w:val="auto"/>
                      <w:kern w:val="0"/>
                      <w:sz w:val="21"/>
                      <w:szCs w:val="21"/>
                      <w:highlight w:val="none"/>
                      <w:u w:val="single"/>
                      <w:lang w:val="en-US" w:eastAsia="zh-CN" w:bidi="ar"/>
                    </w:rPr>
                    <w:t>0.36</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rPr>
                  </w:pPr>
                  <w:r>
                    <w:rPr>
                      <w:rFonts w:hint="eastAsia" w:ascii="Times New Roman" w:hAnsi="Times New Roman" w:eastAsia="宋体" w:cs="Times New Roman"/>
                      <w:color w:val="auto"/>
                      <w:kern w:val="0"/>
                      <w:sz w:val="21"/>
                      <w:szCs w:val="24"/>
                      <w:highlight w:val="none"/>
                      <w:u w:val="single"/>
                      <w:lang w:val="en-US" w:eastAsia="zh-CN" w:bidi="ar-SA"/>
                    </w:rPr>
                    <w:t>阴离子表面活性剂</w:t>
                  </w:r>
                </w:p>
              </w:tc>
              <w:tc>
                <w:tcPr>
                  <w:tcW w:w="915"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0.00039785</w:t>
                  </w:r>
                </w:p>
              </w:tc>
              <w:tc>
                <w:tcPr>
                  <w:tcW w:w="716" w:type="pct"/>
                  <w:tcBorders>
                    <w:tl2br w:val="nil"/>
                    <w:tr2bl w:val="nil"/>
                  </w:tcBorders>
                  <w:noWrap w:val="0"/>
                  <w:vAlign w:val="center"/>
                </w:tcPr>
                <w:p>
                  <w:pPr>
                    <w:pStyle w:val="66"/>
                    <w:widowControl w:val="0"/>
                    <w:jc w:val="center"/>
                    <w:rPr>
                      <w:rFonts w:hint="eastAsia"/>
                      <w:color w:val="auto"/>
                      <w:lang w:val="en-US" w:eastAsia="zh-CN"/>
                    </w:rPr>
                  </w:pPr>
                  <w:r>
                    <w:rPr>
                      <w:rFonts w:hint="eastAsia" w:ascii="Times New Roman" w:hAnsi="Times New Roman" w:cs="Times New Roman"/>
                      <w:color w:val="auto"/>
                      <w:kern w:val="0"/>
                      <w:sz w:val="21"/>
                      <w:szCs w:val="21"/>
                      <w:highlight w:val="none"/>
                      <w:u w:val="single"/>
                      <w:lang w:val="en-US" w:eastAsia="zh-CN" w:bidi="ar"/>
                    </w:rPr>
                    <w:t>0.125</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rPr>
                  </w:pPr>
                  <w:r>
                    <w:rPr>
                      <w:rFonts w:hint="eastAsia" w:ascii="Times New Roman" w:hAnsi="Times New Roman" w:eastAsia="宋体" w:cs="Times New Roman"/>
                      <w:color w:val="auto"/>
                      <w:kern w:val="0"/>
                      <w:sz w:val="21"/>
                      <w:szCs w:val="24"/>
                      <w:highlight w:val="none"/>
                      <w:u w:val="single"/>
                      <w:lang w:val="en-US" w:eastAsia="zh-CN" w:bidi="ar-SA"/>
                    </w:rPr>
                    <w:t>挥发酚</w:t>
                  </w:r>
                </w:p>
              </w:tc>
              <w:tc>
                <w:tcPr>
                  <w:tcW w:w="915" w:type="pct"/>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0.000067</w:t>
                  </w:r>
                </w:p>
              </w:tc>
              <w:tc>
                <w:tcPr>
                  <w:tcW w:w="716" w:type="pct"/>
                  <w:tcBorders>
                    <w:tl2br w:val="nil"/>
                    <w:tr2bl w:val="nil"/>
                  </w:tcBorders>
                  <w:noWrap w:val="0"/>
                  <w:vAlign w:val="center"/>
                </w:tcPr>
                <w:p>
                  <w:pPr>
                    <w:pStyle w:val="66"/>
                    <w:widowControl w:val="0"/>
                    <w:jc w:val="center"/>
                    <w:rPr>
                      <w:rFonts w:hint="eastAsia"/>
                      <w:color w:val="auto"/>
                      <w:lang w:val="en-US" w:eastAsia="zh-CN"/>
                    </w:rPr>
                  </w:pPr>
                  <w:r>
                    <w:rPr>
                      <w:rFonts w:hint="eastAsia" w:ascii="Times New Roman" w:hAnsi="Times New Roman" w:cs="Times New Roman"/>
                      <w:color w:val="auto"/>
                      <w:kern w:val="0"/>
                      <w:sz w:val="21"/>
                      <w:szCs w:val="21"/>
                      <w:highlight w:val="none"/>
                      <w:u w:val="single"/>
                      <w:lang w:val="en-US" w:eastAsia="zh-CN" w:bidi="ar"/>
                    </w:rPr>
                    <w:t>0.021</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rPr>
                  </w:pPr>
                  <w:r>
                    <w:rPr>
                      <w:rFonts w:hint="eastAsia" w:ascii="Times New Roman" w:hAnsi="Times New Roman" w:eastAsia="宋体" w:cs="Times New Roman"/>
                      <w:color w:val="auto"/>
                      <w:kern w:val="0"/>
                      <w:sz w:val="21"/>
                      <w:szCs w:val="24"/>
                      <w:highlight w:val="none"/>
                      <w:u w:val="single"/>
                      <w:lang w:val="en-US" w:eastAsia="zh-CN" w:bidi="ar-SA"/>
                    </w:rPr>
                    <w:t>总氰化物</w:t>
                  </w:r>
                </w:p>
              </w:tc>
              <w:tc>
                <w:tcPr>
                  <w:tcW w:w="915"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16" w:type="pct"/>
                  <w:tcBorders>
                    <w:tl2br w:val="nil"/>
                    <w:tr2bl w:val="nil"/>
                  </w:tcBorders>
                  <w:noWrap w:val="0"/>
                  <w:vAlign w:val="center"/>
                </w:tcPr>
                <w:p>
                  <w:pPr>
                    <w:keepNext w:val="0"/>
                    <w:keepLines w:val="0"/>
                    <w:widowControl/>
                    <w:suppressLineNumbers w:val="0"/>
                    <w:jc w:val="center"/>
                    <w:textAlignment w:val="center"/>
                    <w:rPr>
                      <w:rFonts w:hint="eastAsia"/>
                      <w:color w:val="auto"/>
                      <w:lang w:val="en-US" w:eastAsia="zh-CN"/>
                    </w:rPr>
                  </w:pPr>
                  <w:r>
                    <w:rPr>
                      <w:rFonts w:hint="eastAsia" w:cs="Times New Roman"/>
                      <w:color w:val="auto"/>
                      <w:kern w:val="0"/>
                      <w:sz w:val="21"/>
                      <w:szCs w:val="21"/>
                      <w:highlight w:val="none"/>
                      <w:u w:val="single"/>
                      <w:lang w:val="en-US" w:eastAsia="zh-CN" w:bidi="ar"/>
                    </w:rPr>
                    <w:t>/</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rPr>
                  </w:pPr>
                  <w:r>
                    <w:rPr>
                      <w:rFonts w:hint="eastAsia" w:ascii="Times New Roman" w:hAnsi="Times New Roman" w:eastAsia="宋体" w:cs="Times New Roman"/>
                      <w:color w:val="auto"/>
                      <w:kern w:val="0"/>
                      <w:sz w:val="21"/>
                      <w:szCs w:val="24"/>
                      <w:highlight w:val="none"/>
                      <w:u w:val="single"/>
                      <w:lang w:val="en-US" w:eastAsia="zh-CN" w:bidi="ar-SA"/>
                    </w:rPr>
                    <w:t>粪大肠菌群</w:t>
                  </w:r>
                </w:p>
              </w:tc>
              <w:tc>
                <w:tcPr>
                  <w:tcW w:w="915"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16" w:type="pct"/>
                  <w:tcBorders>
                    <w:tl2br w:val="nil"/>
                    <w:tr2bl w:val="nil"/>
                  </w:tcBorders>
                  <w:noWrap w:val="0"/>
                  <w:vAlign w:val="center"/>
                </w:tcPr>
                <w:p>
                  <w:pPr>
                    <w:keepNext w:val="0"/>
                    <w:keepLines w:val="0"/>
                    <w:widowControl/>
                    <w:suppressLineNumbers w:val="0"/>
                    <w:jc w:val="center"/>
                    <w:textAlignment w:val="center"/>
                    <w:rPr>
                      <w:rFonts w:hint="eastAsia"/>
                      <w:color w:val="auto"/>
                      <w:lang w:val="en-US" w:eastAsia="zh-CN"/>
                    </w:rPr>
                  </w:pPr>
                  <w:r>
                    <w:rPr>
                      <w:rFonts w:hint="eastAsia" w:cs="Times New Roman"/>
                      <w:color w:val="auto"/>
                      <w:kern w:val="0"/>
                      <w:sz w:val="21"/>
                      <w:szCs w:val="21"/>
                      <w:highlight w:val="none"/>
                      <w:u w:val="single"/>
                      <w:lang w:val="en-US" w:eastAsia="zh-CN" w:bidi="ar"/>
                    </w:rPr>
                    <w:t>/</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66"/>
                    <w:widowControl w:val="0"/>
                    <w:jc w:val="center"/>
                    <w:rPr>
                      <w:rFonts w:hint="eastAsia" w:ascii="Times New Roman" w:hAnsi="Times New Roman" w:cs="Times New Roman"/>
                      <w:color w:val="auto"/>
                      <w:spacing w:val="6"/>
                      <w:szCs w:val="21"/>
                      <w:highlight w:val="none"/>
                      <w:lang w:val="en-US" w:eastAsia="zh-CN"/>
                    </w:rPr>
                  </w:pPr>
                </w:p>
              </w:tc>
              <w:tc>
                <w:tcPr>
                  <w:tcW w:w="779"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5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rPr>
                  </w:pPr>
                  <w:r>
                    <w:rPr>
                      <w:rFonts w:hint="eastAsia" w:cs="Times New Roman"/>
                      <w:color w:val="auto"/>
                      <w:kern w:val="0"/>
                      <w:sz w:val="21"/>
                      <w:szCs w:val="24"/>
                      <w:highlight w:val="none"/>
                      <w:u w:val="single"/>
                      <w:lang w:val="en-US" w:eastAsia="zh-CN" w:bidi="ar-SA"/>
                    </w:rPr>
                    <w:t>总余氯</w:t>
                  </w:r>
                </w:p>
              </w:tc>
              <w:tc>
                <w:tcPr>
                  <w:tcW w:w="9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0.0021</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64304</w:t>
                  </w:r>
                </w:p>
              </w:tc>
              <w:tc>
                <w:tcPr>
                  <w:tcW w:w="716" w:type="pct"/>
                  <w:tcBorders>
                    <w:tl2br w:val="nil"/>
                    <w:tr2bl w:val="nil"/>
                  </w:tcBorders>
                  <w:noWrap w:val="0"/>
                  <w:vAlign w:val="center"/>
                </w:tcPr>
                <w:p>
                  <w:pPr>
                    <w:pStyle w:val="66"/>
                    <w:widowControl w:val="0"/>
                    <w:jc w:val="center"/>
                    <w:rPr>
                      <w:rFonts w:hint="eastAsia"/>
                      <w:color w:val="auto"/>
                      <w:lang w:val="en-US" w:eastAsia="zh-CN"/>
                    </w:rPr>
                  </w:pPr>
                  <w:r>
                    <w:rPr>
                      <w:rFonts w:hint="eastAsia"/>
                      <w:color w:val="auto"/>
                      <w:u w:val="single"/>
                      <w:lang w:val="en-US" w:eastAsia="zh-CN"/>
                    </w:rPr>
                    <w:t>0.68</w:t>
                  </w:r>
                </w:p>
              </w:tc>
              <w:tc>
                <w:tcPr>
                  <w:tcW w:w="633"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c>
                <w:tcPr>
                  <w:tcW w:w="656" w:type="pct"/>
                  <w:vMerge w:val="continue"/>
                  <w:tcBorders>
                    <w:tl2br w:val="nil"/>
                    <w:tr2bl w:val="nil"/>
                  </w:tcBorders>
                  <w:noWrap w:val="0"/>
                  <w:vAlign w:val="center"/>
                </w:tcPr>
                <w:p>
                  <w:pPr>
                    <w:pStyle w:val="66"/>
                    <w:widowControl w:val="0"/>
                    <w:jc w:val="center"/>
                    <w:rPr>
                      <w:rFonts w:hint="default" w:ascii="Times New Roman" w:hAnsi="Times New Roman" w:eastAsia="宋体" w:cs="Times New Roman"/>
                      <w:color w:val="auto"/>
                      <w:highlight w:val="none"/>
                      <w:lang w:val="en-US" w:eastAsia="zh-CN"/>
                    </w:rPr>
                  </w:pPr>
                </w:p>
              </w:tc>
            </w:tr>
          </w:tbl>
          <w:p>
            <w:pPr>
              <w:pStyle w:val="7"/>
              <w:ind w:firstLine="48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项目废水处理设施的建设</w:t>
            </w:r>
          </w:p>
          <w:p>
            <w:pPr>
              <w:pStyle w:val="7"/>
              <w:ind w:firstLine="480"/>
              <w:rPr>
                <w:color w:val="auto"/>
              </w:rPr>
            </w:pPr>
            <w:r>
              <w:rPr>
                <w:color w:val="auto"/>
              </w:rPr>
              <w:t>根据现场调查</w:t>
            </w:r>
            <w:r>
              <w:rPr>
                <w:rFonts w:hint="eastAsia"/>
                <w:color w:val="auto"/>
              </w:rPr>
              <w:t>及环评要求，</w:t>
            </w:r>
            <w:r>
              <w:rPr>
                <w:color w:val="auto"/>
              </w:rPr>
              <w:t>项目污水处理站工艺流程图见</w:t>
            </w:r>
            <w:r>
              <w:rPr>
                <w:rFonts w:hint="eastAsia"/>
                <w:color w:val="auto"/>
              </w:rPr>
              <w:t>下</w:t>
            </w:r>
            <w:r>
              <w:rPr>
                <w:color w:val="auto"/>
              </w:rPr>
              <w:t>图</w:t>
            </w:r>
            <w:r>
              <w:rPr>
                <w:rFonts w:hint="eastAsia"/>
                <w:color w:val="auto"/>
              </w:rPr>
              <w:t>。</w:t>
            </w:r>
          </w:p>
          <w:p>
            <w:pPr>
              <w:pStyle w:val="8"/>
              <w:ind w:left="0" w:leftChars="0" w:firstLine="0"/>
              <w:rPr>
                <w:color w:val="FF0000"/>
              </w:rPr>
            </w:pPr>
            <w:r>
              <w:drawing>
                <wp:inline distT="0" distB="0" distL="114300" distR="114300">
                  <wp:extent cx="5029835" cy="3155950"/>
                  <wp:effectExtent l="0" t="0" r="184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029835" cy="3155950"/>
                          </a:xfrm>
                          <a:prstGeom prst="rect">
                            <a:avLst/>
                          </a:prstGeom>
                          <a:noFill/>
                          <a:ln>
                            <a:noFill/>
                          </a:ln>
                        </pic:spPr>
                      </pic:pic>
                    </a:graphicData>
                  </a:graphic>
                </wp:inline>
              </w:drawing>
            </w:r>
          </w:p>
          <w:p>
            <w:pPr>
              <w:pStyle w:val="46"/>
              <w:rPr>
                <w:color w:val="FF0000"/>
              </w:rPr>
            </w:pPr>
            <w:r>
              <w:rPr>
                <w:color w:val="auto"/>
              </w:rPr>
              <w:t>图</w:t>
            </w:r>
            <w:r>
              <w:rPr>
                <w:rFonts w:hint="eastAsia"/>
                <w:color w:val="auto"/>
              </w:rPr>
              <w:t>4.2-1</w:t>
            </w:r>
            <w:r>
              <w:rPr>
                <w:color w:val="auto"/>
              </w:rPr>
              <w:t xml:space="preserve"> 本项目污水处理工艺流程图</w:t>
            </w:r>
          </w:p>
          <w:p>
            <w:pPr>
              <w:pStyle w:val="7"/>
              <w:ind w:firstLine="482"/>
              <w:rPr>
                <w:b/>
                <w:bCs/>
                <w:color w:val="auto"/>
                <w:u w:val="none"/>
              </w:rPr>
            </w:pPr>
            <w:r>
              <w:rPr>
                <w:b/>
                <w:bCs/>
                <w:color w:val="auto"/>
                <w:u w:val="none"/>
              </w:rPr>
              <w:t>工艺说明：</w:t>
            </w:r>
          </w:p>
          <w:p>
            <w:pPr>
              <w:pStyle w:val="7"/>
              <w:ind w:firstLine="480"/>
              <w:rPr>
                <w:color w:val="auto"/>
                <w:u w:val="none"/>
              </w:rPr>
            </w:pPr>
            <w:r>
              <w:rPr>
                <w:color w:val="auto"/>
                <w:u w:val="none"/>
              </w:rPr>
              <w:t>项目废水进入格栅池，设在此处的格栅将废水中较大固体杂质及漂浮物阻截隔除后，其上清液流入调节池，水量水质得以调节</w:t>
            </w:r>
            <w:r>
              <w:rPr>
                <w:rFonts w:hint="eastAsia"/>
                <w:color w:val="auto"/>
                <w:u w:val="none"/>
              </w:rPr>
              <w:t>均匀</w:t>
            </w:r>
            <w:r>
              <w:rPr>
                <w:color w:val="auto"/>
                <w:u w:val="none"/>
              </w:rPr>
              <w:t>，在此大颗粒可沉固体和悬浮物得以沉降分离，</w:t>
            </w:r>
            <w:r>
              <w:rPr>
                <w:rFonts w:hint="eastAsia"/>
                <w:color w:val="auto"/>
                <w:u w:val="none"/>
                <w:lang w:val="en-US" w:eastAsia="zh-CN"/>
              </w:rPr>
              <w:t>经过</w:t>
            </w:r>
            <w:r>
              <w:rPr>
                <w:rFonts w:hint="default"/>
                <w:color w:val="auto"/>
                <w:u w:val="none"/>
              </w:rPr>
              <w:t>A/O工艺</w:t>
            </w:r>
            <w:r>
              <w:rPr>
                <w:rFonts w:hint="eastAsia"/>
                <w:color w:val="auto"/>
                <w:u w:val="none"/>
                <w:lang w:val="en-US" w:eastAsia="zh-CN"/>
              </w:rPr>
              <w:t>处理后</w:t>
            </w:r>
            <w:r>
              <w:rPr>
                <w:color w:val="auto"/>
                <w:u w:val="none"/>
              </w:rPr>
              <w:t>再进行消毒，自动控制消毒设备和污水泵同时工作</w:t>
            </w:r>
            <w:r>
              <w:rPr>
                <w:rFonts w:hint="eastAsia"/>
                <w:color w:val="auto"/>
                <w:u w:val="none"/>
              </w:rPr>
              <w:t>，</w:t>
            </w:r>
            <w:r>
              <w:rPr>
                <w:color w:val="auto"/>
                <w:u w:val="none"/>
              </w:rPr>
              <w:t>污水最后通过消毒设备消毒达标后即可排放。</w:t>
            </w:r>
          </w:p>
          <w:p>
            <w:pPr>
              <w:pStyle w:val="7"/>
              <w:ind w:firstLine="480"/>
              <w:rPr>
                <w:color w:val="auto"/>
                <w:u w:val="none"/>
              </w:rPr>
            </w:pPr>
            <w:r>
              <w:rPr>
                <w:color w:val="auto"/>
                <w:u w:val="none"/>
              </w:rPr>
              <w:t>①格栅池</w:t>
            </w:r>
          </w:p>
          <w:p>
            <w:pPr>
              <w:pStyle w:val="7"/>
              <w:ind w:firstLine="480"/>
              <w:rPr>
                <w:color w:val="auto"/>
                <w:u w:val="none"/>
              </w:rPr>
            </w:pPr>
            <w:r>
              <w:rPr>
                <w:color w:val="auto"/>
                <w:u w:val="none"/>
              </w:rPr>
              <w:t>格栅作为水处理工程中的常用预处理设备，应用十分广泛。它可以有效地去除废水中的粗颗粒物杂质，保护后续处理工序的稳定运行以及提升泵的正常运转。</w:t>
            </w:r>
          </w:p>
          <w:p>
            <w:pPr>
              <w:pStyle w:val="7"/>
              <w:ind w:firstLine="480"/>
              <w:rPr>
                <w:color w:val="auto"/>
                <w:u w:val="none"/>
              </w:rPr>
            </w:pPr>
            <w:r>
              <w:rPr>
                <w:color w:val="auto"/>
                <w:u w:val="none"/>
              </w:rPr>
              <w:t>②调节池</w:t>
            </w:r>
          </w:p>
          <w:p>
            <w:pPr>
              <w:pStyle w:val="7"/>
              <w:ind w:firstLine="480"/>
              <w:rPr>
                <w:color w:val="auto"/>
                <w:u w:val="none"/>
              </w:rPr>
            </w:pPr>
            <w:r>
              <w:rPr>
                <w:color w:val="auto"/>
                <w:u w:val="none"/>
              </w:rPr>
              <w:t>调节沉淀池，其目的是调节均和污水的水质和水量。消减高峰负荷，大颗粒可沉固体和悬浮物得以沉淀分离，以利于下一步的处理，减少处理构筑物的体积和节省投资费用。</w:t>
            </w:r>
          </w:p>
          <w:p>
            <w:pPr>
              <w:pStyle w:val="7"/>
              <w:ind w:firstLine="480"/>
              <w:rPr>
                <w:rFonts w:hint="default"/>
                <w:color w:val="auto"/>
                <w:u w:val="none"/>
              </w:rPr>
            </w:pPr>
            <w:r>
              <w:rPr>
                <w:rFonts w:hint="eastAsia"/>
                <w:color w:val="auto"/>
                <w:u w:val="none"/>
              </w:rPr>
              <w:t>③</w:t>
            </w:r>
            <w:r>
              <w:rPr>
                <w:rFonts w:hint="default"/>
                <w:color w:val="auto"/>
                <w:u w:val="none"/>
              </w:rPr>
              <w:t>A/O工艺将前段缺氧段和后段好氧段串联在一起，交替处理。在缺氧段异养菌将污水中的淀粉、纤维、碳水化合物等悬浮污染物和可溶性有机物水解为有机酸，使大分子有机物分解为小分子有机物，不溶性的有机物转化成可溶性有机物，可提高污水的可生化性。</w:t>
            </w:r>
          </w:p>
          <w:p>
            <w:pPr>
              <w:pStyle w:val="7"/>
              <w:ind w:firstLine="480"/>
              <w:rPr>
                <w:rFonts w:hint="default"/>
                <w:color w:val="auto"/>
                <w:u w:val="none"/>
              </w:rPr>
            </w:pPr>
            <w:r>
              <w:rPr>
                <w:rFonts w:hint="default"/>
                <w:color w:val="auto"/>
                <w:u w:val="none"/>
              </w:rPr>
              <w:t>在缺氧段，异养菌将蛋白质、脂肪等污染物进行氨化游离出氨氮。</w:t>
            </w:r>
          </w:p>
          <w:p>
            <w:pPr>
              <w:pStyle w:val="7"/>
              <w:ind w:firstLine="480"/>
              <w:rPr>
                <w:color w:val="auto"/>
                <w:u w:val="none"/>
              </w:rPr>
            </w:pPr>
            <w:r>
              <w:rPr>
                <w:rFonts w:hint="default"/>
                <w:color w:val="auto"/>
                <w:u w:val="none"/>
              </w:rPr>
              <w:t>在好氧段，硝化菌将氨氮氧化为硝态氮，通过回流控制返回至A池，在缺氧条件下，异氧菌的反硝化作用将硝态氮还原为分子态氮完成C、N、O在生态中的循环，实现污水无害化处理。</w:t>
            </w:r>
          </w:p>
          <w:p>
            <w:pPr>
              <w:pStyle w:val="7"/>
              <w:ind w:firstLine="480"/>
              <w:rPr>
                <w:rFonts w:hint="default"/>
                <w:color w:val="auto"/>
                <w:lang w:val="en-US" w:eastAsia="zh-CN"/>
              </w:rPr>
            </w:pPr>
            <w:r>
              <w:rPr>
                <w:rFonts w:hint="eastAsia"/>
                <w:color w:val="auto"/>
                <w:lang w:val="en-US" w:eastAsia="zh-CN"/>
              </w:rPr>
              <w:t>2.2废水污染源核算</w:t>
            </w:r>
          </w:p>
          <w:p>
            <w:pPr>
              <w:pStyle w:val="7"/>
              <w:ind w:firstLine="480"/>
              <w:rPr>
                <w:color w:val="auto"/>
                <w:u w:val="none"/>
              </w:rPr>
            </w:pPr>
            <w:r>
              <w:rPr>
                <w:rFonts w:hint="eastAsia"/>
                <w:color w:val="auto"/>
                <w:u w:val="none"/>
              </w:rPr>
              <w:t>根据工程分析可知，项目污水量为</w:t>
            </w:r>
            <w:r>
              <w:rPr>
                <w:rFonts w:hint="eastAsia"/>
                <w:color w:val="auto"/>
                <w:lang w:val="en-US" w:eastAsia="zh-CN"/>
              </w:rPr>
              <w:t>8.72</w:t>
            </w:r>
            <w:r>
              <w:rPr>
                <w:color w:val="auto"/>
                <w:u w:val="none"/>
              </w:rPr>
              <w:t>m³/d</w:t>
            </w:r>
            <w:r>
              <w:rPr>
                <w:rFonts w:hint="eastAsia"/>
                <w:color w:val="auto"/>
                <w:u w:val="none"/>
              </w:rPr>
              <w:t>，该污水处理站</w:t>
            </w:r>
            <w:r>
              <w:rPr>
                <w:rFonts w:hint="eastAsia"/>
                <w:color w:val="auto"/>
                <w:u w:val="none"/>
                <w:lang w:val="en-US" w:eastAsia="zh-CN"/>
              </w:rPr>
              <w:t>规模</w:t>
            </w:r>
            <w:r>
              <w:rPr>
                <w:rFonts w:hint="eastAsia"/>
                <w:color w:val="auto"/>
                <w:u w:val="none"/>
              </w:rPr>
              <w:t>为</w:t>
            </w:r>
            <w:r>
              <w:rPr>
                <w:rFonts w:hint="eastAsia"/>
                <w:color w:val="auto"/>
                <w:u w:val="none"/>
                <w:lang w:val="en-US" w:eastAsia="zh-CN"/>
              </w:rPr>
              <w:t>10</w:t>
            </w:r>
            <w:r>
              <w:rPr>
                <w:color w:val="auto"/>
                <w:u w:val="none"/>
              </w:rPr>
              <w:t>m³/d</w:t>
            </w:r>
            <w:r>
              <w:rPr>
                <w:rFonts w:hint="eastAsia"/>
                <w:color w:val="auto"/>
                <w:u w:val="none"/>
              </w:rPr>
              <w:t>，按照《医疗污水处理技术指南》的要求，本项目采用一级处理/一级强化处理+消毒工艺，达到《医疗机构水污染物排放标准》（GB18466-2005）中表 2 中预处理标准后排临湘市污水净化中心深度处理，根据 202</w:t>
            </w:r>
            <w:r>
              <w:rPr>
                <w:rFonts w:hint="eastAsia"/>
                <w:color w:val="auto"/>
                <w:u w:val="none"/>
                <w:lang w:val="en-US" w:eastAsia="zh-CN"/>
              </w:rPr>
              <w:t>3</w:t>
            </w:r>
            <w:r>
              <w:rPr>
                <w:rFonts w:hint="eastAsia"/>
                <w:color w:val="auto"/>
                <w:u w:val="none"/>
              </w:rPr>
              <w:t xml:space="preserve"> 年</w:t>
            </w:r>
            <w:r>
              <w:rPr>
                <w:rFonts w:hint="eastAsia"/>
                <w:color w:val="auto"/>
                <w:u w:val="none"/>
                <w:lang w:val="en-US" w:eastAsia="zh-CN"/>
              </w:rPr>
              <w:t>6</w:t>
            </w:r>
            <w:r>
              <w:rPr>
                <w:rFonts w:hint="eastAsia"/>
                <w:color w:val="auto"/>
                <w:u w:val="none"/>
              </w:rPr>
              <w:t>月</w:t>
            </w:r>
            <w:r>
              <w:rPr>
                <w:rFonts w:hint="eastAsia"/>
                <w:color w:val="auto"/>
                <w:u w:val="none"/>
                <w:lang w:val="en-US" w:eastAsia="zh-CN"/>
              </w:rPr>
              <w:t>27日</w:t>
            </w:r>
            <w:r>
              <w:rPr>
                <w:rFonts w:hint="eastAsia"/>
                <w:color w:val="auto"/>
                <w:u w:val="none"/>
              </w:rPr>
              <w:t>本项目废水总排口废水水质监测数据显示，项目综合废水</w:t>
            </w:r>
            <w:r>
              <w:rPr>
                <w:color w:val="auto"/>
                <w:u w:val="none"/>
              </w:rPr>
              <w:t>经</w:t>
            </w:r>
            <w:r>
              <w:rPr>
                <w:rFonts w:hint="eastAsia"/>
                <w:color w:val="auto"/>
                <w:u w:val="none"/>
              </w:rPr>
              <w:t>污水处理站</w:t>
            </w:r>
            <w:r>
              <w:rPr>
                <w:color w:val="auto"/>
                <w:u w:val="none"/>
              </w:rPr>
              <w:t>处理后可满足《医疗机构水污染物排放标准》（GB18466-2005）中表2预处理标准</w:t>
            </w:r>
            <w:r>
              <w:rPr>
                <w:rFonts w:hint="eastAsia"/>
                <w:color w:val="auto"/>
                <w:u w:val="none"/>
                <w:lang w:val="en-US" w:eastAsia="zh-CN"/>
              </w:rPr>
              <w:t>和</w:t>
            </w:r>
            <w:r>
              <w:rPr>
                <w:rFonts w:hint="eastAsia"/>
                <w:color w:val="auto"/>
                <w:u w:val="none"/>
              </w:rPr>
              <w:t>临湘市污水净化中心污水接纳标准</w:t>
            </w:r>
            <w:r>
              <w:rPr>
                <w:color w:val="auto"/>
                <w:u w:val="none"/>
              </w:rPr>
              <w:t>，经管网接入</w:t>
            </w:r>
            <w:r>
              <w:rPr>
                <w:rFonts w:hint="eastAsia"/>
                <w:color w:val="auto"/>
                <w:u w:val="none"/>
                <w:lang w:eastAsia="zh-CN"/>
              </w:rPr>
              <w:t>临湘市污水净化中心</w:t>
            </w:r>
            <w:r>
              <w:rPr>
                <w:color w:val="auto"/>
                <w:u w:val="none"/>
              </w:rPr>
              <w:t>处理达标后，排入</w:t>
            </w:r>
            <w:r>
              <w:rPr>
                <w:rFonts w:hint="eastAsia"/>
                <w:color w:val="auto"/>
                <w:u w:val="none"/>
                <w:lang w:eastAsia="zh-CN"/>
              </w:rPr>
              <w:t>长安河</w:t>
            </w:r>
            <w:r>
              <w:rPr>
                <w:color w:val="auto"/>
                <w:u w:val="none"/>
              </w:rPr>
              <w:t>。</w:t>
            </w:r>
          </w:p>
          <w:p>
            <w:pPr>
              <w:pStyle w:val="7"/>
              <w:ind w:firstLine="480"/>
              <w:rPr>
                <w:color w:val="auto"/>
                <w:u w:val="none"/>
              </w:rPr>
            </w:pPr>
            <w:r>
              <w:rPr>
                <w:rFonts w:hint="eastAsia"/>
                <w:color w:val="auto"/>
                <w:u w:val="none"/>
              </w:rPr>
              <w:t>项目废水污染物</w:t>
            </w:r>
            <w:r>
              <w:rPr>
                <w:rFonts w:hint="eastAsia"/>
                <w:color w:val="auto"/>
                <w:u w:val="none"/>
                <w:lang w:val="en-US" w:eastAsia="zh-CN"/>
              </w:rPr>
              <w:t>排放</w:t>
            </w:r>
            <w:r>
              <w:rPr>
                <w:rFonts w:hint="eastAsia"/>
                <w:color w:val="auto"/>
                <w:u w:val="none"/>
              </w:rPr>
              <w:t>情况见下表。</w:t>
            </w:r>
          </w:p>
          <w:p>
            <w:pPr>
              <w:pStyle w:val="46"/>
              <w:rPr>
                <w:color w:val="auto"/>
                <w:u w:val="none"/>
              </w:rPr>
            </w:pPr>
            <w:r>
              <w:rPr>
                <w:rFonts w:hint="eastAsia"/>
                <w:color w:val="auto"/>
                <w:u w:val="none"/>
              </w:rPr>
              <w:t>表4.2-9</w:t>
            </w:r>
            <w:r>
              <w:rPr>
                <w:color w:val="auto"/>
                <w:u w:val="none"/>
              </w:rPr>
              <w:t>项目废水污染物的产生源强及排放量一览表</w:t>
            </w:r>
          </w:p>
          <w:tbl>
            <w:tblPr>
              <w:tblStyle w:val="3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079"/>
              <w:gridCol w:w="1340"/>
              <w:gridCol w:w="1340"/>
              <w:gridCol w:w="2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tcBorders>
                    <w:tl2br w:val="nil"/>
                    <w:tr2bl w:val="nil"/>
                  </w:tcBorders>
                  <w:vAlign w:val="center"/>
                </w:tcPr>
                <w:p>
                  <w:pPr>
                    <w:pStyle w:val="45"/>
                    <w:rPr>
                      <w:rFonts w:hint="eastAsia"/>
                      <w:color w:val="auto"/>
                      <w:u w:val="none"/>
                      <w:lang w:val="en-US" w:eastAsia="zh-CN"/>
                    </w:rPr>
                  </w:pPr>
                  <w:r>
                    <w:rPr>
                      <w:rFonts w:hint="eastAsia"/>
                      <w:color w:val="auto"/>
                      <w:u w:val="none"/>
                      <w:lang w:val="en-US" w:eastAsia="zh-CN"/>
                    </w:rPr>
                    <w:t>废水量</w:t>
                  </w:r>
                </w:p>
              </w:tc>
              <w:tc>
                <w:tcPr>
                  <w:tcW w:w="1345" w:type="pct"/>
                  <w:vMerge w:val="restart"/>
                  <w:tcBorders>
                    <w:tl2br w:val="nil"/>
                    <w:tr2bl w:val="nil"/>
                  </w:tcBorders>
                  <w:vAlign w:val="center"/>
                </w:tcPr>
                <w:p>
                  <w:pPr>
                    <w:pStyle w:val="45"/>
                    <w:rPr>
                      <w:color w:val="auto"/>
                      <w:u w:val="none"/>
                    </w:rPr>
                  </w:pPr>
                  <w:r>
                    <w:rPr>
                      <w:color w:val="auto"/>
                      <w:u w:val="none"/>
                    </w:rPr>
                    <w:t>污染因子</w:t>
                  </w:r>
                </w:p>
              </w:tc>
              <w:tc>
                <w:tcPr>
                  <w:tcW w:w="1734" w:type="pct"/>
                  <w:gridSpan w:val="2"/>
                  <w:tcBorders>
                    <w:tl2br w:val="nil"/>
                    <w:tr2bl w:val="nil"/>
                  </w:tcBorders>
                  <w:vAlign w:val="center"/>
                </w:tcPr>
                <w:p>
                  <w:pPr>
                    <w:pStyle w:val="45"/>
                    <w:rPr>
                      <w:rFonts w:ascii="Times New Roman" w:hAnsi="Times New Roman" w:eastAsia="宋体" w:cs="Times New Roman"/>
                      <w:color w:val="auto"/>
                      <w:kern w:val="0"/>
                      <w:sz w:val="21"/>
                      <w:szCs w:val="21"/>
                      <w:u w:val="none"/>
                      <w:lang w:val="en-US" w:eastAsia="zh-CN" w:bidi="ar-SA"/>
                    </w:rPr>
                  </w:pPr>
                  <w:r>
                    <w:rPr>
                      <w:color w:val="auto"/>
                      <w:u w:val="none"/>
                    </w:rPr>
                    <w:t>预处理后</w:t>
                  </w:r>
                </w:p>
              </w:tc>
              <w:tc>
                <w:tcPr>
                  <w:tcW w:w="1333" w:type="pct"/>
                  <w:vMerge w:val="restart"/>
                  <w:tcBorders>
                    <w:tl2br w:val="nil"/>
                    <w:tr2bl w:val="nil"/>
                  </w:tcBorders>
                  <w:vAlign w:val="center"/>
                </w:tcPr>
                <w:p>
                  <w:pPr>
                    <w:pStyle w:val="45"/>
                    <w:rPr>
                      <w:rFonts w:hint="eastAsia" w:ascii="Times New Roman" w:hAnsi="Times New Roman" w:eastAsia="宋体" w:cs="Times New Roman"/>
                      <w:color w:val="auto"/>
                      <w:kern w:val="0"/>
                      <w:sz w:val="21"/>
                      <w:szCs w:val="21"/>
                      <w:u w:val="none"/>
                      <w:lang w:val="en-US" w:eastAsia="zh-CN" w:bidi="ar-SA"/>
                    </w:rPr>
                  </w:pPr>
                  <w:r>
                    <w:rPr>
                      <w:rFonts w:hint="eastAsia"/>
                      <w:color w:val="auto"/>
                      <w:u w:val="none"/>
                      <w:lang w:val="en-US" w:eastAsia="zh-CN"/>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rFonts w:hint="eastAsia"/>
                      <w:color w:val="auto"/>
                      <w:u w:val="none"/>
                    </w:rPr>
                  </w:pPr>
                </w:p>
              </w:tc>
              <w:tc>
                <w:tcPr>
                  <w:tcW w:w="1345" w:type="pct"/>
                  <w:vMerge w:val="continue"/>
                  <w:tcBorders>
                    <w:tl2br w:val="nil"/>
                    <w:tr2bl w:val="nil"/>
                  </w:tcBorders>
                  <w:vAlign w:val="center"/>
                </w:tcPr>
                <w:p>
                  <w:pPr>
                    <w:pStyle w:val="45"/>
                    <w:rPr>
                      <w:color w:val="auto"/>
                      <w:u w:val="none"/>
                    </w:rPr>
                  </w:pPr>
                </w:p>
              </w:tc>
              <w:tc>
                <w:tcPr>
                  <w:tcW w:w="867" w:type="pct"/>
                  <w:tcBorders>
                    <w:tl2br w:val="nil"/>
                    <w:tr2bl w:val="nil"/>
                  </w:tcBorders>
                  <w:vAlign w:val="center"/>
                </w:tcPr>
                <w:p>
                  <w:pPr>
                    <w:pStyle w:val="45"/>
                    <w:rPr>
                      <w:rFonts w:ascii="Times New Roman" w:hAnsi="Times New Roman" w:eastAsia="宋体" w:cs="Times New Roman"/>
                      <w:color w:val="auto"/>
                      <w:kern w:val="0"/>
                      <w:sz w:val="21"/>
                      <w:szCs w:val="21"/>
                      <w:u w:val="none"/>
                      <w:lang w:val="en-US" w:eastAsia="zh-CN" w:bidi="ar-SA"/>
                    </w:rPr>
                  </w:pPr>
                  <w:r>
                    <w:rPr>
                      <w:color w:val="auto"/>
                      <w:u w:val="none"/>
                    </w:rPr>
                    <w:t>浓度（mg/L）</w:t>
                  </w:r>
                </w:p>
              </w:tc>
              <w:tc>
                <w:tcPr>
                  <w:tcW w:w="867" w:type="pct"/>
                  <w:tcBorders>
                    <w:tl2br w:val="nil"/>
                    <w:tr2bl w:val="nil"/>
                  </w:tcBorders>
                  <w:vAlign w:val="center"/>
                </w:tcPr>
                <w:p>
                  <w:pPr>
                    <w:pStyle w:val="45"/>
                    <w:rPr>
                      <w:rFonts w:ascii="Times New Roman" w:hAnsi="Times New Roman" w:eastAsia="宋体" w:cs="Times New Roman"/>
                      <w:color w:val="auto"/>
                      <w:kern w:val="0"/>
                      <w:sz w:val="21"/>
                      <w:szCs w:val="21"/>
                      <w:u w:val="none"/>
                      <w:lang w:val="en-US" w:eastAsia="zh-CN" w:bidi="ar-SA"/>
                    </w:rPr>
                  </w:pPr>
                  <w:r>
                    <w:rPr>
                      <w:color w:val="auto"/>
                      <w:u w:val="none"/>
                    </w:rPr>
                    <w:t>排放量（t/a）</w:t>
                  </w:r>
                </w:p>
              </w:tc>
              <w:tc>
                <w:tcPr>
                  <w:tcW w:w="1333" w:type="pct"/>
                  <w:vMerge w:val="continue"/>
                  <w:tcBorders>
                    <w:tl2br w:val="nil"/>
                    <w:tr2bl w:val="nil"/>
                  </w:tcBorders>
                  <w:vAlign w:val="center"/>
                </w:tcPr>
                <w:p>
                  <w:pPr>
                    <w:pStyle w:val="45"/>
                    <w:rPr>
                      <w:color w:val="auto"/>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tcBorders>
                    <w:tl2br w:val="nil"/>
                    <w:tr2bl w:val="nil"/>
                  </w:tcBorders>
                  <w:vAlign w:val="center"/>
                </w:tcPr>
                <w:p>
                  <w:pPr>
                    <w:pStyle w:val="45"/>
                    <w:rPr>
                      <w:color w:val="auto"/>
                      <w:u w:val="none"/>
                    </w:rPr>
                  </w:pPr>
                  <w:r>
                    <w:rPr>
                      <w:rFonts w:hint="eastAsia"/>
                      <w:color w:val="auto"/>
                      <w:u w:val="none"/>
                    </w:rPr>
                    <w:t>污水量3,182.8</w:t>
                  </w:r>
                  <w:r>
                    <w:rPr>
                      <w:rFonts w:hint="eastAsia"/>
                      <w:color w:val="auto"/>
                      <w:u w:val="none"/>
                      <w:lang w:val="en-US" w:eastAsia="zh-CN"/>
                    </w:rPr>
                    <w:t>m</w:t>
                  </w:r>
                  <w:r>
                    <w:rPr>
                      <w:rFonts w:hint="eastAsia"/>
                      <w:color w:val="auto"/>
                      <w:u w:val="none"/>
                      <w:vertAlign w:val="superscript"/>
                      <w:lang w:val="en-US" w:eastAsia="zh-CN"/>
                    </w:rPr>
                    <w:t>3</w:t>
                  </w:r>
                  <w:r>
                    <w:rPr>
                      <w:rFonts w:hint="eastAsia"/>
                      <w:color w:val="auto"/>
                      <w:u w:val="none"/>
                    </w:rPr>
                    <w:t>/a</w:t>
                  </w:r>
                </w:p>
              </w:tc>
              <w:tc>
                <w:tcPr>
                  <w:tcW w:w="1345" w:type="pct"/>
                  <w:tcBorders>
                    <w:tl2br w:val="nil"/>
                    <w:tr2bl w:val="nil"/>
                  </w:tcBorders>
                  <w:vAlign w:val="center"/>
                </w:tcPr>
                <w:p>
                  <w:pPr>
                    <w:pStyle w:val="45"/>
                    <w:bidi w:val="0"/>
                    <w:rPr>
                      <w:lang w:val="en-US" w:eastAsia="zh-CN"/>
                    </w:rPr>
                  </w:pPr>
                  <w:r>
                    <w:rPr>
                      <w:rFonts w:hint="eastAsia"/>
                      <w:lang w:val="en-US" w:eastAsia="zh-CN"/>
                    </w:rPr>
                    <w:t>悬浮物</w:t>
                  </w:r>
                </w:p>
              </w:tc>
              <w:tc>
                <w:tcPr>
                  <w:tcW w:w="867" w:type="pct"/>
                  <w:tcBorders>
                    <w:tl2br w:val="nil"/>
                    <w:tr2bl w:val="nil"/>
                  </w:tcBorders>
                  <w:vAlign w:val="center"/>
                </w:tcPr>
                <w:p>
                  <w:pPr>
                    <w:pStyle w:val="45"/>
                    <w:bidi w:val="0"/>
                    <w:rPr>
                      <w:rFonts w:hint="default"/>
                      <w:lang w:val="en-US" w:eastAsia="zh-CN"/>
                    </w:rPr>
                  </w:pPr>
                  <w:r>
                    <w:rPr>
                      <w:rFonts w:hint="eastAsia"/>
                      <w:lang w:val="en-US" w:eastAsia="zh-CN"/>
                    </w:rPr>
                    <w:t>26.5</w:t>
                  </w:r>
                </w:p>
              </w:tc>
              <w:tc>
                <w:tcPr>
                  <w:tcW w:w="867" w:type="pct"/>
                  <w:tcBorders>
                    <w:tl2br w:val="nil"/>
                    <w:tr2bl w:val="nil"/>
                  </w:tcBorders>
                  <w:vAlign w:val="center"/>
                </w:tcPr>
                <w:p>
                  <w:pPr>
                    <w:pStyle w:val="45"/>
                    <w:bidi w:val="0"/>
                    <w:rPr>
                      <w:rFonts w:hint="eastAsia"/>
                      <w:lang w:val="en-US" w:eastAsia="zh-CN"/>
                    </w:rPr>
                  </w:pPr>
                  <w:r>
                    <w:rPr>
                      <w:rFonts w:hint="default"/>
                      <w:lang w:val="en-US" w:eastAsia="zh-CN"/>
                    </w:rPr>
                    <w:t>0.0843442</w:t>
                  </w:r>
                </w:p>
              </w:tc>
              <w:tc>
                <w:tcPr>
                  <w:tcW w:w="1333" w:type="pct"/>
                  <w:tcBorders>
                    <w:tl2br w:val="nil"/>
                    <w:tr2bl w:val="nil"/>
                  </w:tcBorders>
                  <w:vAlign w:val="center"/>
                </w:tcPr>
                <w:p>
                  <w:pPr>
                    <w:pStyle w:val="45"/>
                    <w:rPr>
                      <w:rFonts w:hint="default" w:ascii="Times New Roman" w:hAnsi="Times New Roman" w:eastAsia="宋体" w:cs="Times New Roman"/>
                      <w:color w:val="auto"/>
                      <w:kern w:val="0"/>
                      <w:sz w:val="21"/>
                      <w:szCs w:val="21"/>
                      <w:u w:val="none"/>
                      <w:lang w:val="en-US" w:eastAsia="zh-CN" w:bidi="ar-SA"/>
                    </w:rPr>
                  </w:pPr>
                  <w:r>
                    <w:rPr>
                      <w:rFonts w:hint="eastAsia"/>
                      <w:color w:val="auto"/>
                      <w:u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pPr>
                  <w:r>
                    <w:rPr>
                      <w:lang w:val="en-US" w:eastAsia="zh-CN"/>
                    </w:rPr>
                    <w:t>化学需氧量</w:t>
                  </w:r>
                </w:p>
              </w:tc>
              <w:tc>
                <w:tcPr>
                  <w:tcW w:w="867" w:type="pct"/>
                  <w:tcBorders>
                    <w:tl2br w:val="nil"/>
                    <w:tr2bl w:val="nil"/>
                  </w:tcBorders>
                  <w:shd w:val="clear" w:color="auto" w:fill="auto"/>
                  <w:vAlign w:val="center"/>
                </w:tcPr>
                <w:p>
                  <w:pPr>
                    <w:pStyle w:val="45"/>
                    <w:bidi w:val="0"/>
                    <w:rPr>
                      <w:rFonts w:hint="default"/>
                      <w:lang w:val="en-US" w:eastAsia="zh-CN"/>
                    </w:rPr>
                  </w:pPr>
                  <w:r>
                    <w:rPr>
                      <w:rFonts w:hint="eastAsia"/>
                      <w:lang w:val="en-US" w:eastAsia="zh-CN"/>
                    </w:rPr>
                    <w:t>45</w:t>
                  </w:r>
                </w:p>
              </w:tc>
              <w:tc>
                <w:tcPr>
                  <w:tcW w:w="867" w:type="pct"/>
                  <w:tcBorders>
                    <w:tl2br w:val="nil"/>
                    <w:tr2bl w:val="nil"/>
                  </w:tcBorders>
                  <w:shd w:val="clear" w:color="auto" w:fill="auto"/>
                  <w:vAlign w:val="center"/>
                </w:tcPr>
                <w:p>
                  <w:pPr>
                    <w:pStyle w:val="45"/>
                    <w:bidi w:val="0"/>
                    <w:rPr>
                      <w:rFonts w:hint="default"/>
                      <w:lang w:val="en-US" w:eastAsia="zh-CN"/>
                    </w:rPr>
                  </w:pPr>
                  <w:r>
                    <w:rPr>
                      <w:rFonts w:hint="default"/>
                      <w:lang w:val="en-US" w:eastAsia="zh-CN"/>
                    </w:rPr>
                    <w:t>0.143226</w:t>
                  </w:r>
                </w:p>
              </w:tc>
              <w:tc>
                <w:tcPr>
                  <w:tcW w:w="1333" w:type="pct"/>
                  <w:tcBorders>
                    <w:tl2br w:val="nil"/>
                    <w:tr2bl w:val="nil"/>
                  </w:tcBorders>
                  <w:vAlign w:val="center"/>
                </w:tcPr>
                <w:p>
                  <w:pPr>
                    <w:pStyle w:val="45"/>
                    <w:rPr>
                      <w:rFonts w:hint="default"/>
                      <w:b/>
                      <w:bCs/>
                      <w:color w:val="auto"/>
                      <w:u w:val="none"/>
                      <w:lang w:val="en-US" w:eastAsia="zh-CN"/>
                    </w:rPr>
                  </w:pPr>
                  <w:r>
                    <w:rPr>
                      <w:rFonts w:hint="eastAsia"/>
                      <w:color w:val="auto"/>
                      <w:u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pPr>
                  <w:r>
                    <w:rPr>
                      <w:rFonts w:hint="default"/>
                      <w:lang w:val="en-US" w:eastAsia="zh-CN"/>
                    </w:rPr>
                    <w:t>BOD</w:t>
                  </w:r>
                  <w:r>
                    <w:rPr>
                      <w:rFonts w:hint="default"/>
                      <w:vertAlign w:val="subscript"/>
                      <w:lang w:val="en-US" w:eastAsia="zh-CN"/>
                    </w:rPr>
                    <w:t>5</w:t>
                  </w:r>
                </w:p>
              </w:tc>
              <w:tc>
                <w:tcPr>
                  <w:tcW w:w="867" w:type="pct"/>
                  <w:tcBorders>
                    <w:tl2br w:val="nil"/>
                    <w:tr2bl w:val="nil"/>
                  </w:tcBorders>
                  <w:shd w:val="clear" w:color="auto" w:fill="auto"/>
                  <w:vAlign w:val="center"/>
                </w:tcPr>
                <w:p>
                  <w:pPr>
                    <w:pStyle w:val="45"/>
                    <w:bidi w:val="0"/>
                    <w:rPr>
                      <w:rFonts w:hint="default"/>
                      <w:lang w:val="en-US" w:eastAsia="zh-CN"/>
                    </w:rPr>
                  </w:pPr>
                  <w:r>
                    <w:rPr>
                      <w:rFonts w:hint="eastAsia"/>
                      <w:lang w:val="en-US" w:eastAsia="zh-CN"/>
                    </w:rPr>
                    <w:t>20.9</w:t>
                  </w:r>
                </w:p>
              </w:tc>
              <w:tc>
                <w:tcPr>
                  <w:tcW w:w="867" w:type="pct"/>
                  <w:tcBorders>
                    <w:tl2br w:val="nil"/>
                    <w:tr2bl w:val="nil"/>
                  </w:tcBorders>
                  <w:shd w:val="clear" w:color="auto" w:fill="auto"/>
                  <w:vAlign w:val="center"/>
                </w:tcPr>
                <w:p>
                  <w:pPr>
                    <w:pStyle w:val="45"/>
                    <w:bidi w:val="0"/>
                    <w:rPr>
                      <w:rFonts w:hint="eastAsia"/>
                      <w:lang w:val="en-US" w:eastAsia="zh-CN"/>
                    </w:rPr>
                  </w:pPr>
                  <w:r>
                    <w:rPr>
                      <w:rFonts w:hint="default"/>
                      <w:lang w:val="en-US" w:eastAsia="zh-CN"/>
                    </w:rPr>
                    <w:t>0.06652052</w:t>
                  </w:r>
                </w:p>
              </w:tc>
              <w:tc>
                <w:tcPr>
                  <w:tcW w:w="1333" w:type="pct"/>
                  <w:tcBorders>
                    <w:tl2br w:val="nil"/>
                    <w:tr2bl w:val="nil"/>
                  </w:tcBorders>
                  <w:vAlign w:val="center"/>
                </w:tcPr>
                <w:p>
                  <w:pPr>
                    <w:pStyle w:val="45"/>
                    <w:bidi w:val="0"/>
                    <w:rPr>
                      <w:rFonts w:hint="default"/>
                      <w:lang w:val="en-US" w:eastAsia="zh-CN"/>
                    </w:rPr>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rPr>
                      <w:rFonts w:hint="default"/>
                      <w:lang w:val="en-US" w:eastAsia="zh-CN"/>
                    </w:rPr>
                  </w:pPr>
                  <w:r>
                    <w:rPr>
                      <w:rFonts w:hint="eastAsia"/>
                      <w:lang w:val="en-US" w:eastAsia="zh-CN"/>
                    </w:rPr>
                    <w:t>氨氮</w:t>
                  </w:r>
                </w:p>
              </w:tc>
              <w:tc>
                <w:tcPr>
                  <w:tcW w:w="867" w:type="pct"/>
                  <w:tcBorders>
                    <w:tl2br w:val="nil"/>
                    <w:tr2bl w:val="nil"/>
                  </w:tcBorders>
                  <w:shd w:val="clear" w:color="auto" w:fill="auto"/>
                  <w:vAlign w:val="center"/>
                </w:tcPr>
                <w:p>
                  <w:pPr>
                    <w:pStyle w:val="45"/>
                    <w:bidi w:val="0"/>
                    <w:rPr>
                      <w:rFonts w:hint="default"/>
                      <w:lang w:val="en-US" w:eastAsia="zh-CN"/>
                    </w:rPr>
                  </w:pPr>
                  <w:r>
                    <w:rPr>
                      <w:rFonts w:hint="eastAsia"/>
                      <w:lang w:val="en-US" w:eastAsia="zh-CN"/>
                    </w:rPr>
                    <w:t>33.6</w:t>
                  </w:r>
                </w:p>
              </w:tc>
              <w:tc>
                <w:tcPr>
                  <w:tcW w:w="867" w:type="pct"/>
                  <w:tcBorders>
                    <w:tl2br w:val="nil"/>
                    <w:tr2bl w:val="nil"/>
                  </w:tcBorders>
                  <w:shd w:val="clear" w:color="auto" w:fill="auto"/>
                  <w:vAlign w:val="center"/>
                </w:tcPr>
                <w:p>
                  <w:pPr>
                    <w:pStyle w:val="45"/>
                    <w:bidi w:val="0"/>
                    <w:rPr>
                      <w:rFonts w:hint="eastAsia"/>
                      <w:lang w:val="en-US" w:eastAsia="zh-CN"/>
                    </w:rPr>
                  </w:pPr>
                  <w:r>
                    <w:rPr>
                      <w:rFonts w:hint="default"/>
                      <w:lang w:val="en-US" w:eastAsia="zh-CN"/>
                    </w:rPr>
                    <w:t>0.10694208</w:t>
                  </w:r>
                </w:p>
              </w:tc>
              <w:tc>
                <w:tcPr>
                  <w:tcW w:w="1333" w:type="pct"/>
                  <w:tcBorders>
                    <w:tl2br w:val="nil"/>
                    <w:tr2bl w:val="nil"/>
                  </w:tcBorders>
                  <w:vAlign w:val="center"/>
                </w:tcPr>
                <w:p>
                  <w:pPr>
                    <w:pStyle w:val="45"/>
                    <w:bidi w:val="0"/>
                    <w:rPr>
                      <w:rFonts w:hint="default"/>
                      <w:lang w:val="en-US" w:eastAsia="zh-CN"/>
                    </w:rPr>
                  </w:pPr>
                  <w:r>
                    <w:rPr>
                      <w:rFonts w:hint="eastAsia"/>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pPr>
                  <w:r>
                    <w:rPr>
                      <w:rFonts w:hint="eastAsia"/>
                      <w:lang w:val="en-US" w:eastAsia="zh-CN"/>
                    </w:rPr>
                    <w:t>动植物油</w:t>
                  </w:r>
                </w:p>
              </w:tc>
              <w:tc>
                <w:tcPr>
                  <w:tcW w:w="867" w:type="pct"/>
                  <w:tcBorders>
                    <w:tl2br w:val="nil"/>
                    <w:tr2bl w:val="nil"/>
                  </w:tcBorders>
                  <w:shd w:val="clear" w:color="auto" w:fill="auto"/>
                  <w:vAlign w:val="center"/>
                </w:tcPr>
                <w:p>
                  <w:pPr>
                    <w:pStyle w:val="45"/>
                    <w:bidi w:val="0"/>
                    <w:rPr>
                      <w:rFonts w:hint="default"/>
                      <w:lang w:val="en-US" w:eastAsia="zh-CN"/>
                    </w:rPr>
                  </w:pPr>
                  <w:r>
                    <w:rPr>
                      <w:rFonts w:hint="eastAsia"/>
                      <w:lang w:val="en-US" w:eastAsia="zh-CN"/>
                    </w:rPr>
                    <w:t>/</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1333" w:type="pct"/>
                  <w:tcBorders>
                    <w:tl2br w:val="nil"/>
                    <w:tr2bl w:val="nil"/>
                  </w:tcBorders>
                  <w:vAlign w:val="center"/>
                </w:tcPr>
                <w:p>
                  <w:pPr>
                    <w:pStyle w:val="45"/>
                    <w:bidi w:val="0"/>
                    <w:rPr>
                      <w:rFonts w:hint="default"/>
                      <w:lang w:val="en-US" w:eastAsia="zh-CN"/>
                    </w:rPr>
                  </w:pPr>
                  <w:r>
                    <w:rPr>
                      <w:rFonts w:hint="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rPr>
                      <w:rFonts w:hint="default"/>
                      <w:lang w:val="en-US" w:eastAsia="zh-CN"/>
                    </w:rPr>
                  </w:pPr>
                  <w:r>
                    <w:rPr>
                      <w:rFonts w:hint="eastAsia"/>
                      <w:lang w:val="en-US" w:eastAsia="zh-CN"/>
                    </w:rPr>
                    <w:t>石油类</w:t>
                  </w:r>
                </w:p>
              </w:tc>
              <w:tc>
                <w:tcPr>
                  <w:tcW w:w="867" w:type="pct"/>
                  <w:tcBorders>
                    <w:tl2br w:val="nil"/>
                    <w:tr2bl w:val="nil"/>
                  </w:tcBorders>
                  <w:shd w:val="clear" w:color="auto" w:fill="auto"/>
                  <w:vAlign w:val="center"/>
                </w:tcPr>
                <w:p>
                  <w:pPr>
                    <w:pStyle w:val="45"/>
                    <w:bidi w:val="0"/>
                    <w:rPr>
                      <w:rFonts w:hint="default"/>
                      <w:lang w:val="en-US" w:eastAsia="zh-CN"/>
                    </w:rPr>
                  </w:pPr>
                  <w:r>
                    <w:rPr>
                      <w:rFonts w:hint="eastAsia"/>
                      <w:lang w:val="en-US" w:eastAsia="zh-CN"/>
                    </w:rPr>
                    <w:t>/</w:t>
                  </w:r>
                </w:p>
              </w:tc>
              <w:tc>
                <w:tcPr>
                  <w:tcW w:w="867" w:type="pct"/>
                  <w:tcBorders>
                    <w:tl2br w:val="nil"/>
                    <w:tr2bl w:val="nil"/>
                  </w:tcBorders>
                  <w:shd w:val="clear" w:color="auto" w:fill="auto"/>
                  <w:vAlign w:val="center"/>
                </w:tcPr>
                <w:p>
                  <w:pPr>
                    <w:pStyle w:val="45"/>
                    <w:bidi w:val="0"/>
                    <w:rPr>
                      <w:rFonts w:hint="default"/>
                      <w:lang w:val="en-US" w:eastAsia="zh-CN"/>
                    </w:rPr>
                  </w:pPr>
                  <w:r>
                    <w:rPr>
                      <w:rFonts w:hint="eastAsia"/>
                      <w:lang w:val="en-US" w:eastAsia="zh-CN"/>
                    </w:rPr>
                    <w:t>/</w:t>
                  </w:r>
                </w:p>
              </w:tc>
              <w:tc>
                <w:tcPr>
                  <w:tcW w:w="1333" w:type="pct"/>
                  <w:tcBorders>
                    <w:tl2br w:val="nil"/>
                    <w:tr2bl w:val="nil"/>
                  </w:tcBorders>
                  <w:vAlign w:val="center"/>
                </w:tcPr>
                <w:p>
                  <w:pPr>
                    <w:pStyle w:val="45"/>
                    <w:bidi w:val="0"/>
                    <w:rPr>
                      <w:rFonts w:hint="default"/>
                      <w:lang w:val="en-US" w:eastAsia="zh-CN"/>
                    </w:rPr>
                  </w:pPr>
                  <w:r>
                    <w:rPr>
                      <w:rFonts w:hint="eastAsia"/>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rPr>
                      <w:rFonts w:hint="eastAsia"/>
                      <w:lang w:val="en-US" w:eastAsia="zh-CN"/>
                    </w:rPr>
                  </w:pPr>
                  <w:r>
                    <w:rPr>
                      <w:rFonts w:hint="eastAsia"/>
                      <w:lang w:val="en-US" w:eastAsia="zh-CN"/>
                    </w:rPr>
                    <w:t>阴离子表面活性剂</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1333" w:type="pct"/>
                  <w:tcBorders>
                    <w:tl2br w:val="nil"/>
                    <w:tr2bl w:val="nil"/>
                  </w:tcBorders>
                  <w:vAlign w:val="center"/>
                </w:tcPr>
                <w:p>
                  <w:pPr>
                    <w:pStyle w:val="45"/>
                    <w:bidi w:val="0"/>
                    <w:rPr>
                      <w:rFonts w:hint="default"/>
                      <w:lang w:val="en-US" w:eastAsia="zh-CN"/>
                    </w:rPr>
                  </w:pPr>
                  <w:r>
                    <w:rPr>
                      <w:rFonts w:hint="eastAsia"/>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rPr>
                      <w:rFonts w:hint="eastAsia"/>
                      <w:lang w:val="en-US" w:eastAsia="zh-CN"/>
                    </w:rPr>
                  </w:pPr>
                  <w:r>
                    <w:rPr>
                      <w:rFonts w:hint="eastAsia"/>
                      <w:lang w:val="en-US" w:eastAsia="zh-CN"/>
                    </w:rPr>
                    <w:t>挥发酚</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1333" w:type="pct"/>
                  <w:tcBorders>
                    <w:tl2br w:val="nil"/>
                    <w:tr2bl w:val="nil"/>
                  </w:tcBorders>
                  <w:vAlign w:val="center"/>
                </w:tcPr>
                <w:p>
                  <w:pPr>
                    <w:pStyle w:val="45"/>
                    <w:bidi w:val="0"/>
                    <w:rPr>
                      <w:rFonts w:hint="default"/>
                      <w:lang w:val="en-US" w:eastAsia="zh-CN"/>
                    </w:rPr>
                  </w:pPr>
                  <w:r>
                    <w:rPr>
                      <w:rFonts w:hint="eastAsia"/>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rPr>
                      <w:rFonts w:hint="eastAsia"/>
                      <w:lang w:val="en-US" w:eastAsia="zh-CN"/>
                    </w:rPr>
                  </w:pPr>
                  <w:r>
                    <w:rPr>
                      <w:rFonts w:hint="eastAsia"/>
                      <w:lang w:val="en-US" w:eastAsia="zh-CN"/>
                    </w:rPr>
                    <w:t>总氰化物</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1333" w:type="pct"/>
                  <w:tcBorders>
                    <w:tl2br w:val="nil"/>
                    <w:tr2bl w:val="nil"/>
                  </w:tcBorders>
                  <w:vAlign w:val="center"/>
                </w:tcPr>
                <w:p>
                  <w:pPr>
                    <w:pStyle w:val="45"/>
                    <w:bidi w:val="0"/>
                    <w:rPr>
                      <w:rFonts w:hint="default"/>
                      <w:lang w:val="en-US" w:eastAsia="zh-CN"/>
                    </w:rPr>
                  </w:pPr>
                  <w:r>
                    <w:rPr>
                      <w:rFonts w:hint="eastAsia"/>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vAlign w:val="center"/>
                </w:tcPr>
                <w:p>
                  <w:pPr>
                    <w:pStyle w:val="45"/>
                    <w:rPr>
                      <w:color w:val="auto"/>
                      <w:u w:val="none"/>
                    </w:rPr>
                  </w:pPr>
                </w:p>
              </w:tc>
              <w:tc>
                <w:tcPr>
                  <w:tcW w:w="1345" w:type="pct"/>
                  <w:tcBorders>
                    <w:tl2br w:val="nil"/>
                    <w:tr2bl w:val="nil"/>
                  </w:tcBorders>
                  <w:vAlign w:val="center"/>
                </w:tcPr>
                <w:p>
                  <w:pPr>
                    <w:pStyle w:val="45"/>
                    <w:bidi w:val="0"/>
                    <w:rPr>
                      <w:rFonts w:hint="eastAsia"/>
                      <w:lang w:val="en-US" w:eastAsia="zh-CN"/>
                    </w:rPr>
                  </w:pPr>
                  <w:r>
                    <w:rPr>
                      <w:rFonts w:hint="eastAsia"/>
                      <w:lang w:val="en-US" w:eastAsia="zh-CN"/>
                    </w:rPr>
                    <w:t>粪大肠菌群</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867" w:type="pct"/>
                  <w:tcBorders>
                    <w:tl2br w:val="nil"/>
                    <w:tr2bl w:val="nil"/>
                  </w:tcBorders>
                  <w:shd w:val="clear" w:color="auto" w:fill="auto"/>
                  <w:vAlign w:val="center"/>
                </w:tcPr>
                <w:p>
                  <w:pPr>
                    <w:pStyle w:val="45"/>
                    <w:bidi w:val="0"/>
                    <w:rPr>
                      <w:rFonts w:hint="eastAsia"/>
                      <w:lang w:val="en-US" w:eastAsia="zh-CN"/>
                    </w:rPr>
                  </w:pPr>
                  <w:r>
                    <w:rPr>
                      <w:rFonts w:hint="eastAsia"/>
                      <w:lang w:val="en-US" w:eastAsia="zh-CN"/>
                    </w:rPr>
                    <w:t>/</w:t>
                  </w:r>
                </w:p>
              </w:tc>
              <w:tc>
                <w:tcPr>
                  <w:tcW w:w="1333" w:type="pct"/>
                  <w:tcBorders>
                    <w:tl2br w:val="nil"/>
                    <w:tr2bl w:val="nil"/>
                  </w:tcBorders>
                  <w:vAlign w:val="center"/>
                </w:tcPr>
                <w:p>
                  <w:pPr>
                    <w:pStyle w:val="45"/>
                    <w:bidi w:val="0"/>
                    <w:rPr>
                      <w:rFonts w:hint="eastAsia"/>
                      <w:lang w:val="en-US" w:eastAsia="zh-CN"/>
                    </w:rPr>
                  </w:pPr>
                  <w:r>
                    <w:rPr>
                      <w:rFonts w:hint="eastAsia"/>
                    </w:rPr>
                    <w:t>5000</w:t>
                  </w:r>
                </w:p>
              </w:tc>
            </w:tr>
          </w:tbl>
          <w:p>
            <w:pPr>
              <w:pStyle w:val="7"/>
              <w:ind w:firstLine="480"/>
              <w:rPr>
                <w:rFonts w:hint="default" w:eastAsia="宋体"/>
                <w:color w:val="auto"/>
                <w:lang w:val="en-US" w:eastAsia="zh-CN"/>
              </w:rPr>
            </w:pPr>
            <w:r>
              <w:rPr>
                <w:rFonts w:hint="eastAsia"/>
                <w:color w:val="auto"/>
                <w:u w:val="none"/>
                <w:lang w:val="en-US" w:eastAsia="zh-CN"/>
              </w:rPr>
              <w:t>2.3</w:t>
            </w:r>
            <w:r>
              <w:rPr>
                <w:rFonts w:hint="eastAsia"/>
                <w:color w:val="auto"/>
                <w:lang w:val="en-US" w:eastAsia="zh-CN"/>
              </w:rPr>
              <w:t>治理措施可行性分析</w:t>
            </w:r>
          </w:p>
          <w:p>
            <w:pPr>
              <w:pStyle w:val="7"/>
              <w:ind w:firstLine="480"/>
              <w:rPr>
                <w:color w:val="auto"/>
                <w:u w:val="none"/>
              </w:rPr>
            </w:pPr>
            <w:r>
              <w:rPr>
                <w:rFonts w:hint="eastAsia"/>
                <w:color w:val="auto"/>
                <w:u w:val="none"/>
                <w:lang w:val="en-US" w:eastAsia="zh-CN"/>
              </w:rPr>
              <w:t>（1）</w:t>
            </w:r>
            <w:r>
              <w:rPr>
                <w:color w:val="auto"/>
                <w:u w:val="none"/>
              </w:rPr>
              <w:t>项目污水纳入市政污水管网的可行性分析</w:t>
            </w:r>
          </w:p>
          <w:p>
            <w:pPr>
              <w:pStyle w:val="7"/>
              <w:ind w:firstLine="480"/>
              <w:rPr>
                <w:rFonts w:hint="eastAsia"/>
                <w:color w:val="auto"/>
                <w:u w:val="none"/>
              </w:rPr>
            </w:pPr>
            <w:r>
              <w:rPr>
                <w:rFonts w:hint="eastAsia"/>
                <w:color w:val="auto"/>
                <w:u w:val="none"/>
              </w:rPr>
              <w:t>本项目污水经院内污水处理站“</w:t>
            </w:r>
            <w:r>
              <w:rPr>
                <w:rFonts w:hint="eastAsia"/>
                <w:color w:val="auto"/>
                <w:u w:val="none"/>
                <w:lang w:val="en-US" w:eastAsia="zh-CN"/>
              </w:rPr>
              <w:t>A/O工艺+</w:t>
            </w:r>
            <w:r>
              <w:rPr>
                <w:rFonts w:hint="eastAsia"/>
                <w:color w:val="auto"/>
                <w:u w:val="none"/>
              </w:rPr>
              <w:t>消毒”处理后，达到《医疗机构水污染物排放标准》（GB18466-2005）中表 2 中预处理标准后经污水总排口排入市政管网引入临湘市污水净化中心深度处理，达到《城镇污水处理厂污染物排放标准》（GB 18918-2002）中一级 A 标准后排放。</w:t>
            </w:r>
          </w:p>
          <w:p>
            <w:pPr>
              <w:pStyle w:val="7"/>
              <w:ind w:firstLine="480"/>
              <w:rPr>
                <w:rFonts w:hint="eastAsia"/>
                <w:color w:val="auto"/>
                <w:u w:val="none"/>
              </w:rPr>
            </w:pPr>
            <w:r>
              <w:rPr>
                <w:rFonts w:hint="eastAsia"/>
                <w:color w:val="auto"/>
                <w:u w:val="none"/>
              </w:rPr>
              <w:t>临湘市污水净化中心位于临湘市白云镇杨田村，于 2004 年 12 月 15 日正式投入运行。纳污范围为临湘市中心城区，污水分区收集。本项目位于临湘市中心城区纳污</w:t>
            </w:r>
            <w:r>
              <w:rPr>
                <w:rFonts w:hint="eastAsia"/>
                <w:color w:val="auto"/>
                <w:u w:val="none"/>
                <w:lang w:val="en-US" w:eastAsia="zh-CN"/>
              </w:rPr>
              <w:t>范围</w:t>
            </w:r>
            <w:r>
              <w:rPr>
                <w:rFonts w:hint="eastAsia"/>
                <w:color w:val="auto"/>
                <w:u w:val="none"/>
              </w:rPr>
              <w:t>。</w:t>
            </w:r>
          </w:p>
          <w:p>
            <w:pPr>
              <w:pStyle w:val="7"/>
              <w:ind w:firstLine="480"/>
              <w:rPr>
                <w:rFonts w:hint="eastAsia"/>
                <w:color w:val="auto"/>
                <w:u w:val="none"/>
              </w:rPr>
            </w:pPr>
            <w:r>
              <w:rPr>
                <w:rFonts w:hint="default" w:ascii="Calibri" w:hAnsi="Calibri" w:cs="Calibri"/>
                <w:color w:val="auto"/>
                <w:u w:val="none"/>
              </w:rPr>
              <w:t>①</w:t>
            </w:r>
            <w:r>
              <w:rPr>
                <w:rFonts w:hint="eastAsia"/>
                <w:color w:val="auto"/>
                <w:u w:val="none"/>
              </w:rPr>
              <w:t>处理能力</w:t>
            </w:r>
          </w:p>
          <w:p>
            <w:pPr>
              <w:pStyle w:val="7"/>
              <w:ind w:firstLine="480"/>
              <w:rPr>
                <w:rFonts w:hint="eastAsia"/>
                <w:color w:val="auto"/>
                <w:u w:val="none"/>
              </w:rPr>
            </w:pPr>
            <w:r>
              <w:rPr>
                <w:rFonts w:hint="eastAsia"/>
                <w:color w:val="auto"/>
                <w:u w:val="none"/>
              </w:rPr>
              <w:t>临湘市污水净化中心设计规模60000m³/d，目前实际日均处理规模约23300m³/d。本项目废水排放总量为</w:t>
            </w:r>
            <w:r>
              <w:rPr>
                <w:rFonts w:hint="eastAsia"/>
                <w:color w:val="auto"/>
                <w:u w:val="none"/>
                <w:lang w:val="en-US" w:eastAsia="zh-CN"/>
              </w:rPr>
              <w:t>8.72</w:t>
            </w:r>
            <w:r>
              <w:rPr>
                <w:rFonts w:hint="eastAsia"/>
                <w:color w:val="000000" w:themeColor="text1"/>
                <w:u w:val="none"/>
              </w:rPr>
              <w:t>m</w:t>
            </w:r>
            <w:r>
              <w:rPr>
                <w:rFonts w:hint="eastAsia"/>
                <w:color w:val="000000" w:themeColor="text1"/>
                <w:u w:val="none"/>
                <w:vertAlign w:val="superscript"/>
              </w:rPr>
              <w:t>3</w:t>
            </w:r>
            <w:r>
              <w:rPr>
                <w:rFonts w:hint="eastAsia"/>
                <w:color w:val="000000" w:themeColor="text1"/>
                <w:u w:val="none"/>
              </w:rPr>
              <w:t>/d，废水量占临湘市污水净化中心设计处理能力的</w:t>
            </w:r>
            <w:r>
              <w:rPr>
                <w:rFonts w:hint="eastAsia"/>
                <w:color w:val="000000" w:themeColor="text1"/>
                <w:u w:val="none"/>
                <w:lang w:eastAsia="zh-CN"/>
              </w:rPr>
              <w:t>0.0374</w:t>
            </w:r>
            <w:r>
              <w:rPr>
                <w:rFonts w:hint="eastAsia"/>
                <w:color w:val="000000" w:themeColor="text1"/>
                <w:u w:val="none"/>
              </w:rPr>
              <w:t>%。</w:t>
            </w:r>
            <w:r>
              <w:rPr>
                <w:rFonts w:hint="eastAsia"/>
                <w:color w:val="auto"/>
                <w:u w:val="none"/>
              </w:rPr>
              <w:t>该污水处理厂具有接受本项目废水水量的能力。</w:t>
            </w:r>
            <w:r>
              <w:rPr>
                <w:rFonts w:hint="eastAsia"/>
                <w:color w:val="auto"/>
                <w:u w:val="single"/>
                <w:lang w:val="en-US" w:eastAsia="zh-CN"/>
              </w:rPr>
              <w:t>对照医疗机构排污单位污水治理可行技术参照表，本项目采用</w:t>
            </w:r>
            <w:r>
              <w:rPr>
                <w:rFonts w:hint="eastAsia"/>
                <w:color w:val="000000" w:themeColor="text1"/>
                <w:u w:val="none"/>
              </w:rPr>
              <w:t>“化粪池+格栅井+调节池+AO工艺+沉淀池+消毒”</w:t>
            </w:r>
            <w:r>
              <w:rPr>
                <w:color w:val="000000" w:themeColor="text1"/>
                <w:u w:val="none"/>
              </w:rPr>
              <w:t>工艺进行处理，</w:t>
            </w:r>
            <w:r>
              <w:rPr>
                <w:rFonts w:hint="eastAsia"/>
                <w:color w:val="auto"/>
                <w:u w:val="single"/>
                <w:lang w:val="en-US" w:eastAsia="zh-CN"/>
              </w:rPr>
              <w:t>因此，废水通过临湘市污水净化中心处理是可行的。</w:t>
            </w:r>
          </w:p>
          <w:p>
            <w:pPr>
              <w:pStyle w:val="7"/>
              <w:ind w:firstLine="480"/>
              <w:rPr>
                <w:rFonts w:hint="eastAsia"/>
                <w:color w:val="auto"/>
                <w:u w:val="none"/>
              </w:rPr>
            </w:pPr>
            <w:r>
              <w:rPr>
                <w:rFonts w:hint="default" w:ascii="Calibri" w:hAnsi="Calibri" w:cs="Calibri"/>
                <w:color w:val="auto"/>
                <w:u w:val="none"/>
              </w:rPr>
              <w:t>②</w:t>
            </w:r>
            <w:r>
              <w:rPr>
                <w:rFonts w:hint="eastAsia"/>
                <w:color w:val="auto"/>
                <w:u w:val="none"/>
              </w:rPr>
              <w:t>处理工艺</w:t>
            </w:r>
          </w:p>
          <w:p>
            <w:pPr>
              <w:pStyle w:val="7"/>
              <w:ind w:firstLine="480"/>
              <w:rPr>
                <w:rFonts w:hint="eastAsia"/>
                <w:color w:val="auto"/>
                <w:u w:val="none"/>
              </w:rPr>
            </w:pPr>
            <w:r>
              <w:rPr>
                <w:rFonts w:hint="eastAsia"/>
                <w:color w:val="auto"/>
                <w:u w:val="none"/>
              </w:rPr>
              <w:t>临湘市污水净化中心污水处理主体工艺为 SBR 处理工艺，经处理后的污水水质排放标准为《城镇污水处理厂污染物排放标准》（GB18918-2002）一级 A 标准。</w:t>
            </w:r>
          </w:p>
          <w:p>
            <w:pPr>
              <w:pStyle w:val="7"/>
              <w:ind w:firstLine="480"/>
              <w:rPr>
                <w:rFonts w:hint="eastAsia"/>
                <w:color w:val="auto"/>
                <w:u w:val="none"/>
              </w:rPr>
            </w:pPr>
            <w:r>
              <w:rPr>
                <w:rFonts w:hint="eastAsia"/>
                <w:color w:val="auto"/>
                <w:u w:val="none"/>
              </w:rPr>
              <w:t>临湘市污水净化中心污水接纳标准如下表。</w:t>
            </w:r>
          </w:p>
          <w:p>
            <w:pPr>
              <w:pStyle w:val="46"/>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rPr>
              <w:t>表4.2-</w:t>
            </w:r>
            <w:r>
              <w:rPr>
                <w:rFonts w:hint="eastAsia" w:ascii="Times New Roman" w:hAnsi="Times New Roman" w:eastAsia="宋体" w:cs="Times New Roman"/>
                <w:color w:val="auto"/>
                <w:u w:val="none"/>
                <w:lang w:val="en-US" w:eastAsia="zh-CN"/>
              </w:rPr>
              <w:t xml:space="preserve">10 </w:t>
            </w:r>
            <w:r>
              <w:rPr>
                <w:rFonts w:hint="eastAsia" w:ascii="Times New Roman" w:hAnsi="Times New Roman" w:eastAsia="宋体" w:cs="Times New Roman"/>
                <w:color w:val="auto"/>
                <w:u w:val="none"/>
              </w:rPr>
              <w:t>临湘市污水净化中心</w:t>
            </w:r>
            <w:r>
              <w:rPr>
                <w:rFonts w:hint="eastAsia" w:ascii="Times New Roman" w:hAnsi="Times New Roman" w:eastAsia="宋体" w:cs="Times New Roman"/>
                <w:color w:val="auto"/>
                <w:u w:val="none"/>
                <w:lang w:val="en-US" w:eastAsia="zh-CN"/>
              </w:rPr>
              <w:t>污水接纳标准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3"/>
              <w:gridCol w:w="1133"/>
              <w:gridCol w:w="1133"/>
              <w:gridCol w:w="1133"/>
              <w:gridCol w:w="113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pPr>
                    <w:pStyle w:val="45"/>
                    <w:rPr>
                      <w:rFonts w:hint="default"/>
                      <w:color w:val="auto"/>
                      <w:lang w:val="en-US" w:eastAsia="zh-CN"/>
                    </w:rPr>
                  </w:pPr>
                  <w:r>
                    <w:rPr>
                      <w:rFonts w:hint="eastAsia"/>
                      <w:color w:val="auto"/>
                      <w:lang w:val="en-US" w:eastAsia="zh-CN"/>
                    </w:rPr>
                    <w:t>污染因子</w:t>
                  </w:r>
                </w:p>
              </w:tc>
              <w:tc>
                <w:tcPr>
                  <w:tcW w:w="1133" w:type="dxa"/>
                </w:tcPr>
                <w:p>
                  <w:pPr>
                    <w:pStyle w:val="45"/>
                    <w:rPr>
                      <w:rFonts w:hint="default"/>
                      <w:color w:val="auto"/>
                      <w:lang w:val="en-US" w:eastAsia="zh-CN"/>
                    </w:rPr>
                  </w:pPr>
                  <w:r>
                    <w:rPr>
                      <w:rFonts w:hint="eastAsia"/>
                      <w:color w:val="auto"/>
                      <w:lang w:val="en-US" w:eastAsia="zh-CN"/>
                    </w:rPr>
                    <w:t>COD</w:t>
                  </w:r>
                </w:p>
              </w:tc>
              <w:tc>
                <w:tcPr>
                  <w:tcW w:w="1133" w:type="dxa"/>
                </w:tcPr>
                <w:p>
                  <w:pPr>
                    <w:pStyle w:val="45"/>
                    <w:rPr>
                      <w:rFonts w:hint="default"/>
                      <w:color w:val="auto"/>
                      <w:lang w:val="en-US" w:eastAsia="zh-CN"/>
                    </w:rPr>
                  </w:pPr>
                  <w:r>
                    <w:rPr>
                      <w:rFonts w:hint="eastAsia"/>
                      <w:color w:val="auto"/>
                      <w:lang w:val="en-US" w:eastAsia="zh-CN"/>
                    </w:rPr>
                    <w:t>BOD</w:t>
                  </w:r>
                </w:p>
              </w:tc>
              <w:tc>
                <w:tcPr>
                  <w:tcW w:w="1133" w:type="dxa"/>
                </w:tcPr>
                <w:p>
                  <w:pPr>
                    <w:pStyle w:val="45"/>
                    <w:rPr>
                      <w:rFonts w:hint="default"/>
                      <w:color w:val="auto"/>
                      <w:lang w:val="en-US" w:eastAsia="zh-CN"/>
                    </w:rPr>
                  </w:pPr>
                  <w:r>
                    <w:rPr>
                      <w:rFonts w:hint="eastAsia"/>
                      <w:color w:val="auto"/>
                      <w:lang w:val="en-US" w:eastAsia="zh-CN"/>
                    </w:rPr>
                    <w:t>SS</w:t>
                  </w:r>
                </w:p>
              </w:tc>
              <w:tc>
                <w:tcPr>
                  <w:tcW w:w="1133" w:type="dxa"/>
                </w:tcPr>
                <w:p>
                  <w:pPr>
                    <w:pStyle w:val="45"/>
                    <w:rPr>
                      <w:rFonts w:hint="default"/>
                      <w:color w:val="auto"/>
                      <w:lang w:val="en-US" w:eastAsia="zh-CN"/>
                    </w:rPr>
                  </w:pPr>
                  <w:r>
                    <w:rPr>
                      <w:rFonts w:hint="eastAsia"/>
                      <w:color w:val="auto"/>
                      <w:lang w:val="en-US" w:eastAsia="zh-CN"/>
                    </w:rPr>
                    <w:t>TP</w:t>
                  </w:r>
                </w:p>
              </w:tc>
              <w:tc>
                <w:tcPr>
                  <w:tcW w:w="1133" w:type="dxa"/>
                </w:tcPr>
                <w:p>
                  <w:pPr>
                    <w:pStyle w:val="45"/>
                    <w:rPr>
                      <w:rFonts w:hint="default"/>
                      <w:color w:val="auto"/>
                      <w:lang w:val="en-US" w:eastAsia="zh-CN"/>
                    </w:rPr>
                  </w:pPr>
                  <w:r>
                    <w:rPr>
                      <w:rFonts w:hint="eastAsia"/>
                      <w:color w:val="auto"/>
                      <w:lang w:val="en-US" w:eastAsia="zh-CN"/>
                    </w:rPr>
                    <w:t>氨氮</w:t>
                  </w:r>
                </w:p>
              </w:tc>
              <w:tc>
                <w:tcPr>
                  <w:tcW w:w="1134" w:type="dxa"/>
                </w:tcPr>
                <w:p>
                  <w:pPr>
                    <w:pStyle w:val="45"/>
                    <w:rPr>
                      <w:rFonts w:hint="default"/>
                      <w:color w:val="auto"/>
                      <w:lang w:val="en-US" w:eastAsia="zh-CN"/>
                    </w:rPr>
                  </w:pPr>
                  <w:r>
                    <w:rPr>
                      <w:rFonts w:hint="eastAsia"/>
                      <w:color w:val="auto"/>
                      <w:lang w:val="en-US" w:eastAsia="zh-CN"/>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pPr>
                    <w:pStyle w:val="45"/>
                    <w:rPr>
                      <w:rFonts w:hint="default"/>
                      <w:color w:val="auto"/>
                      <w:lang w:val="en-US" w:eastAsia="zh-CN"/>
                    </w:rPr>
                  </w:pPr>
                  <w:r>
                    <w:rPr>
                      <w:rFonts w:hint="eastAsia"/>
                      <w:color w:val="auto"/>
                      <w:lang w:val="en-US" w:eastAsia="zh-CN"/>
                    </w:rPr>
                    <w:t>接纳浓度</w:t>
                  </w:r>
                </w:p>
              </w:tc>
              <w:tc>
                <w:tcPr>
                  <w:tcW w:w="1133" w:type="dxa"/>
                </w:tcPr>
                <w:p>
                  <w:pPr>
                    <w:pStyle w:val="45"/>
                    <w:rPr>
                      <w:rFonts w:hint="default"/>
                      <w:color w:val="auto"/>
                      <w:lang w:val="en-US" w:eastAsia="zh-CN"/>
                    </w:rPr>
                  </w:pPr>
                  <w:r>
                    <w:rPr>
                      <w:rFonts w:hint="eastAsia"/>
                      <w:color w:val="auto"/>
                      <w:lang w:val="en-US" w:eastAsia="zh-CN"/>
                    </w:rPr>
                    <w:t>300</w:t>
                  </w:r>
                </w:p>
              </w:tc>
              <w:tc>
                <w:tcPr>
                  <w:tcW w:w="1133" w:type="dxa"/>
                </w:tcPr>
                <w:p>
                  <w:pPr>
                    <w:pStyle w:val="45"/>
                    <w:rPr>
                      <w:rFonts w:hint="default"/>
                      <w:color w:val="auto"/>
                      <w:lang w:val="en-US" w:eastAsia="zh-CN"/>
                    </w:rPr>
                  </w:pPr>
                  <w:r>
                    <w:rPr>
                      <w:rFonts w:hint="eastAsia"/>
                      <w:color w:val="auto"/>
                      <w:lang w:val="en-US" w:eastAsia="zh-CN"/>
                    </w:rPr>
                    <w:t>150</w:t>
                  </w:r>
                </w:p>
              </w:tc>
              <w:tc>
                <w:tcPr>
                  <w:tcW w:w="1133" w:type="dxa"/>
                </w:tcPr>
                <w:p>
                  <w:pPr>
                    <w:pStyle w:val="45"/>
                    <w:rPr>
                      <w:rFonts w:hint="default"/>
                      <w:color w:val="auto"/>
                      <w:lang w:val="en-US" w:eastAsia="zh-CN"/>
                    </w:rPr>
                  </w:pPr>
                  <w:r>
                    <w:rPr>
                      <w:rFonts w:hint="eastAsia"/>
                      <w:color w:val="auto"/>
                      <w:lang w:val="en-US" w:eastAsia="zh-CN"/>
                    </w:rPr>
                    <w:t>150</w:t>
                  </w:r>
                </w:p>
              </w:tc>
              <w:tc>
                <w:tcPr>
                  <w:tcW w:w="1133" w:type="dxa"/>
                </w:tcPr>
                <w:p>
                  <w:pPr>
                    <w:pStyle w:val="45"/>
                    <w:rPr>
                      <w:rFonts w:hint="default"/>
                      <w:color w:val="auto"/>
                      <w:lang w:val="en-US" w:eastAsia="zh-CN"/>
                    </w:rPr>
                  </w:pPr>
                  <w:r>
                    <w:rPr>
                      <w:rFonts w:hint="eastAsia"/>
                      <w:color w:val="auto"/>
                      <w:lang w:val="en-US" w:eastAsia="zh-CN"/>
                    </w:rPr>
                    <w:t>5</w:t>
                  </w:r>
                </w:p>
              </w:tc>
              <w:tc>
                <w:tcPr>
                  <w:tcW w:w="1133" w:type="dxa"/>
                </w:tcPr>
                <w:p>
                  <w:pPr>
                    <w:pStyle w:val="45"/>
                    <w:rPr>
                      <w:rFonts w:hint="default"/>
                      <w:color w:val="auto"/>
                      <w:lang w:val="en-US" w:eastAsia="zh-CN"/>
                    </w:rPr>
                  </w:pPr>
                  <w:r>
                    <w:rPr>
                      <w:rFonts w:hint="eastAsia"/>
                      <w:color w:val="auto"/>
                      <w:lang w:val="en-US" w:eastAsia="zh-CN"/>
                    </w:rPr>
                    <w:t>50</w:t>
                  </w:r>
                </w:p>
              </w:tc>
              <w:tc>
                <w:tcPr>
                  <w:tcW w:w="1134" w:type="dxa"/>
                </w:tcPr>
                <w:p>
                  <w:pPr>
                    <w:pStyle w:val="45"/>
                    <w:rPr>
                      <w:rFonts w:hint="default"/>
                      <w:color w:val="auto"/>
                      <w:lang w:val="en-US" w:eastAsia="zh-CN"/>
                    </w:rPr>
                  </w:pPr>
                  <w:r>
                    <w:rPr>
                      <w:rFonts w:hint="eastAsia"/>
                      <w:color w:val="auto"/>
                      <w:lang w:val="en-US" w:eastAsia="zh-CN"/>
                    </w:rPr>
                    <w:t>150</w:t>
                  </w:r>
                </w:p>
              </w:tc>
            </w:tr>
          </w:tbl>
          <w:p>
            <w:pPr>
              <w:pStyle w:val="7"/>
              <w:ind w:firstLine="480"/>
              <w:rPr>
                <w:rFonts w:hint="eastAsia"/>
                <w:color w:val="auto"/>
              </w:rPr>
            </w:pPr>
            <w:r>
              <w:rPr>
                <w:rFonts w:hint="eastAsia"/>
                <w:color w:val="auto"/>
              </w:rPr>
              <w:t>（</w:t>
            </w:r>
            <w:r>
              <w:rPr>
                <w:rFonts w:hint="eastAsia"/>
                <w:color w:val="auto"/>
                <w:lang w:val="en-US" w:eastAsia="zh-CN"/>
              </w:rPr>
              <w:t>2</w:t>
            </w:r>
            <w:r>
              <w:rPr>
                <w:rFonts w:hint="eastAsia"/>
                <w:color w:val="auto"/>
              </w:rPr>
              <w:t>）水污染物纳污种类符合性分析</w:t>
            </w:r>
          </w:p>
          <w:p>
            <w:pPr>
              <w:pStyle w:val="7"/>
              <w:ind w:firstLine="480"/>
              <w:rPr>
                <w:rFonts w:hint="eastAsia"/>
                <w:color w:val="auto"/>
              </w:rPr>
            </w:pPr>
            <w:r>
              <w:rPr>
                <w:rFonts w:hint="eastAsia"/>
                <w:color w:val="auto"/>
              </w:rPr>
              <w:t>临湘市污水净化中心主要水污染物为 COD、氨氮、其他特征污染物，其中其他特征污染物包括：总汞、总镉、总砷、总氮（以 N 计）、总磷（以 P 计）、pH值、色度、动植物油、石油类、阴离子表面活性剂、粪大肠菌群、烷基汞、六价铬、五日生化需氧量、悬浮物。本项目水污染物排放因子主要为 pH、悬浮物、COD、BOD</w:t>
            </w:r>
            <w:r>
              <w:rPr>
                <w:rFonts w:hint="eastAsia"/>
                <w:color w:val="auto"/>
                <w:vertAlign w:val="subscript"/>
              </w:rPr>
              <w:t>5</w:t>
            </w:r>
            <w:r>
              <w:rPr>
                <w:rFonts w:hint="eastAsia"/>
                <w:color w:val="auto"/>
              </w:rPr>
              <w:t>、粪大肠菌群数、石油类、阴离子表面活性剂、挥发酚，均属于临湘市污水净化中心常规处理因子。根据</w:t>
            </w:r>
            <w:r>
              <w:rPr>
                <w:rFonts w:hint="eastAsia"/>
                <w:color w:val="auto"/>
                <w:u w:val="none"/>
                <w:lang w:val="en-US" w:eastAsia="zh-CN"/>
              </w:rPr>
              <w:t>湖南明泰检测技术服务有限公司2023年6月27日</w:t>
            </w:r>
            <w:r>
              <w:rPr>
                <w:rFonts w:hint="eastAsia"/>
                <w:color w:val="auto"/>
              </w:rPr>
              <w:t>对本项目废水总排口的检测数据</w:t>
            </w:r>
            <w:r>
              <w:rPr>
                <w:rFonts w:hint="eastAsia"/>
                <w:color w:val="000000" w:themeColor="text1"/>
                <w:highlight w:val="none"/>
                <w:u w:val="none"/>
                <w:lang w:eastAsia="zh-CN"/>
              </w:rPr>
              <w:t>（</w:t>
            </w:r>
            <w:r>
              <w:rPr>
                <w:rFonts w:hint="eastAsia" w:cs="Times New Roman"/>
                <w:color w:val="auto"/>
                <w:highlight w:val="none"/>
                <w:u w:val="none" w:color="auto"/>
                <w:lang w:val="en-US" w:eastAsia="zh-CN"/>
              </w:rPr>
              <w:t>检测报告编号：</w:t>
            </w:r>
            <w:r>
              <w:rPr>
                <w:rFonts w:hint="eastAsia"/>
                <w:color w:val="auto"/>
                <w:highlight w:val="none"/>
                <w:u w:val="none"/>
                <w:lang w:val="en-US" w:eastAsia="zh-CN"/>
              </w:rPr>
              <w:t>HNMT23062704</w:t>
            </w:r>
            <w:r>
              <w:rPr>
                <w:rFonts w:hint="eastAsia" w:cs="Times New Roman"/>
                <w:color w:val="auto"/>
                <w:highlight w:val="none"/>
                <w:u w:val="none" w:color="auto"/>
                <w:lang w:val="en-US" w:eastAsia="zh-CN"/>
              </w:rPr>
              <w:t>）</w:t>
            </w:r>
            <w:r>
              <w:rPr>
                <w:rFonts w:hint="eastAsia"/>
                <w:color w:val="auto"/>
              </w:rPr>
              <w:t>可知，本项目各项污染物能满足临湘市污水净化中心的接纳标准要求。</w:t>
            </w:r>
          </w:p>
          <w:p>
            <w:pPr>
              <w:pStyle w:val="7"/>
              <w:ind w:firstLine="480"/>
              <w:rPr>
                <w:rFonts w:hint="eastAsia"/>
                <w:color w:val="auto"/>
              </w:rPr>
            </w:pPr>
            <w:r>
              <w:rPr>
                <w:rFonts w:hint="eastAsia"/>
                <w:color w:val="auto"/>
              </w:rPr>
              <w:t>综上所述，本项目污水水质符合污水处理厂的收水水质要求，排放的废水水量和水质不会对污水处理厂的运行产生明显影响，执行的排放标准可涵盖本项目排放的特征水污染物。该污水处理厂具备接纳本项目废水的能力。本项目污水排放去向合理可行。</w:t>
            </w:r>
          </w:p>
          <w:p>
            <w:pPr>
              <w:pStyle w:val="7"/>
              <w:ind w:firstLine="480"/>
              <w:rPr>
                <w:color w:val="auto"/>
              </w:rPr>
            </w:pPr>
            <w:r>
              <w:rPr>
                <w:rFonts w:hint="eastAsia"/>
                <w:color w:val="auto"/>
                <w:lang w:val="en-US" w:eastAsia="zh-CN"/>
              </w:rPr>
              <w:t>2.4</w:t>
            </w:r>
            <w:r>
              <w:rPr>
                <w:color w:val="auto"/>
              </w:rPr>
              <w:t>营运期废水污染源监测计划</w:t>
            </w:r>
          </w:p>
          <w:p>
            <w:pPr>
              <w:pStyle w:val="7"/>
              <w:ind w:firstLine="480"/>
              <w:rPr>
                <w:b/>
                <w:color w:val="auto"/>
              </w:rPr>
            </w:pPr>
            <w:r>
              <w:rPr>
                <w:rFonts w:hint="eastAsia" w:ascii="宋体" w:hAnsi="宋体"/>
                <w:color w:val="auto"/>
              </w:rPr>
              <w:t>根据</w:t>
            </w:r>
            <w:r>
              <w:rPr>
                <w:rFonts w:hint="eastAsia"/>
              </w:rPr>
              <w:t>《固定污染源排污许可分类管理名录（2019年版）》</w:t>
            </w:r>
            <w:r>
              <w:rPr>
                <w:rFonts w:hint="eastAsia" w:ascii="宋体" w:hAnsi="宋体"/>
                <w:color w:val="auto"/>
              </w:rPr>
              <w:t>本项目属于登记管理，依《排污许可证申请与核发技术规范 医疗机构》（HJ 1105—2020）</w:t>
            </w:r>
            <w:r>
              <w:rPr>
                <w:rFonts w:hint="eastAsia"/>
                <w:color w:val="auto"/>
              </w:rPr>
              <w:t>，本项目废水污染物自行监测计划如下表。</w:t>
            </w:r>
          </w:p>
          <w:p>
            <w:pPr>
              <w:pStyle w:val="46"/>
              <w:rPr>
                <w:rFonts w:hint="eastAsia" w:eastAsia="宋体"/>
                <w:color w:val="auto"/>
                <w:u w:val="none"/>
                <w:lang w:eastAsia="zh-CN"/>
              </w:rPr>
            </w:pPr>
            <w:r>
              <w:rPr>
                <w:color w:val="auto"/>
                <w:u w:val="none"/>
              </w:rPr>
              <w:t>表</w:t>
            </w:r>
            <w:r>
              <w:rPr>
                <w:rFonts w:hint="eastAsia"/>
                <w:color w:val="auto"/>
                <w:u w:val="none"/>
              </w:rPr>
              <w:t>4.2-13</w:t>
            </w:r>
            <w:r>
              <w:rPr>
                <w:color w:val="auto"/>
                <w:u w:val="none"/>
              </w:rPr>
              <w:t>项目废水监测计划及记录信息表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07"/>
              <w:gridCol w:w="862"/>
              <w:gridCol w:w="566"/>
              <w:gridCol w:w="2001"/>
              <w:gridCol w:w="1258"/>
              <w:gridCol w:w="1410"/>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Align w:val="center"/>
                </w:tcPr>
                <w:p>
                  <w:pPr>
                    <w:pStyle w:val="45"/>
                    <w:rPr>
                      <w:rFonts w:hint="eastAsia" w:eastAsia="宋体"/>
                      <w:color w:val="auto"/>
                      <w:u w:val="none"/>
                      <w:lang w:eastAsia="zh-CN"/>
                    </w:rPr>
                  </w:pPr>
                  <w:r>
                    <w:rPr>
                      <w:rFonts w:hint="eastAsia"/>
                      <w:color w:val="auto"/>
                      <w:u w:val="none"/>
                      <w:lang w:val="en-US" w:eastAsia="zh-CN"/>
                    </w:rPr>
                    <w:t>序号</w:t>
                  </w:r>
                </w:p>
              </w:tc>
              <w:tc>
                <w:tcPr>
                  <w:tcW w:w="392" w:type="pct"/>
                  <w:vAlign w:val="center"/>
                </w:tcPr>
                <w:p>
                  <w:pPr>
                    <w:pStyle w:val="45"/>
                    <w:rPr>
                      <w:color w:val="auto"/>
                      <w:u w:val="none"/>
                    </w:rPr>
                  </w:pPr>
                  <w:r>
                    <w:rPr>
                      <w:rFonts w:hint="eastAsia"/>
                      <w:color w:val="auto"/>
                      <w:u w:val="none"/>
                    </w:rPr>
                    <w:t>监测项目</w:t>
                  </w:r>
                </w:p>
              </w:tc>
              <w:tc>
                <w:tcPr>
                  <w:tcW w:w="556" w:type="pct"/>
                  <w:vAlign w:val="center"/>
                </w:tcPr>
                <w:p>
                  <w:pPr>
                    <w:pStyle w:val="45"/>
                    <w:rPr>
                      <w:color w:val="auto"/>
                      <w:u w:val="none"/>
                    </w:rPr>
                  </w:pPr>
                  <w:r>
                    <w:rPr>
                      <w:rFonts w:hint="eastAsia"/>
                      <w:color w:val="auto"/>
                      <w:u w:val="none"/>
                    </w:rPr>
                    <w:t>监测布点</w:t>
                  </w:r>
                </w:p>
              </w:tc>
              <w:tc>
                <w:tcPr>
                  <w:tcW w:w="365" w:type="pct"/>
                  <w:vAlign w:val="center"/>
                </w:tcPr>
                <w:p>
                  <w:pPr>
                    <w:pStyle w:val="45"/>
                    <w:rPr>
                      <w:color w:val="auto"/>
                      <w:u w:val="none"/>
                    </w:rPr>
                  </w:pPr>
                  <w:r>
                    <w:rPr>
                      <w:rFonts w:hint="eastAsia"/>
                      <w:color w:val="auto"/>
                      <w:u w:val="none"/>
                    </w:rPr>
                    <w:t>排放方式</w:t>
                  </w:r>
                </w:p>
              </w:tc>
              <w:tc>
                <w:tcPr>
                  <w:tcW w:w="1291" w:type="pct"/>
                  <w:vAlign w:val="center"/>
                </w:tcPr>
                <w:p>
                  <w:pPr>
                    <w:pStyle w:val="45"/>
                    <w:rPr>
                      <w:color w:val="auto"/>
                      <w:u w:val="none"/>
                    </w:rPr>
                  </w:pPr>
                  <w:r>
                    <w:rPr>
                      <w:rFonts w:hint="eastAsia"/>
                      <w:color w:val="auto"/>
                      <w:u w:val="none"/>
                    </w:rPr>
                    <w:t>监测因子</w:t>
                  </w:r>
                </w:p>
              </w:tc>
              <w:tc>
                <w:tcPr>
                  <w:tcW w:w="812" w:type="pct"/>
                  <w:vAlign w:val="center"/>
                </w:tcPr>
                <w:p>
                  <w:pPr>
                    <w:pStyle w:val="45"/>
                    <w:rPr>
                      <w:color w:val="auto"/>
                      <w:u w:val="none"/>
                    </w:rPr>
                  </w:pPr>
                  <w:r>
                    <w:rPr>
                      <w:rFonts w:hint="eastAsia"/>
                      <w:color w:val="auto"/>
                      <w:u w:val="none"/>
                    </w:rPr>
                    <w:t>监测频次</w:t>
                  </w:r>
                </w:p>
              </w:tc>
              <w:tc>
                <w:tcPr>
                  <w:tcW w:w="910" w:type="pct"/>
                  <w:vAlign w:val="center"/>
                </w:tcPr>
                <w:p>
                  <w:pPr>
                    <w:pStyle w:val="45"/>
                    <w:rPr>
                      <w:color w:val="auto"/>
                      <w:u w:val="none"/>
                    </w:rPr>
                  </w:pPr>
                  <w:r>
                    <w:rPr>
                      <w:rFonts w:hint="eastAsia"/>
                      <w:color w:val="auto"/>
                      <w:u w:val="none"/>
                    </w:rPr>
                    <w:t>标准限值</w:t>
                  </w:r>
                </w:p>
              </w:tc>
              <w:tc>
                <w:tcPr>
                  <w:tcW w:w="401" w:type="pct"/>
                  <w:vAlign w:val="center"/>
                </w:tcPr>
                <w:p>
                  <w:pPr>
                    <w:pStyle w:val="45"/>
                    <w:rPr>
                      <w:color w:val="auto"/>
                      <w:u w:val="none"/>
                    </w:rPr>
                  </w:pPr>
                  <w:r>
                    <w:rPr>
                      <w:rFonts w:hint="eastAsia"/>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restart"/>
                  <w:vAlign w:val="center"/>
                </w:tcPr>
                <w:p>
                  <w:pPr>
                    <w:pStyle w:val="45"/>
                    <w:rPr>
                      <w:color w:val="auto"/>
                      <w:u w:val="none"/>
                    </w:rPr>
                  </w:pPr>
                  <w:r>
                    <w:rPr>
                      <w:rFonts w:hint="eastAsia"/>
                      <w:color w:val="auto"/>
                      <w:u w:val="none"/>
                    </w:rPr>
                    <w:t>1</w:t>
                  </w:r>
                </w:p>
              </w:tc>
              <w:tc>
                <w:tcPr>
                  <w:tcW w:w="392" w:type="pct"/>
                  <w:vMerge w:val="restart"/>
                  <w:vAlign w:val="center"/>
                </w:tcPr>
                <w:p>
                  <w:pPr>
                    <w:pStyle w:val="45"/>
                    <w:rPr>
                      <w:color w:val="auto"/>
                      <w:u w:val="none"/>
                    </w:rPr>
                  </w:pPr>
                  <w:r>
                    <w:rPr>
                      <w:rFonts w:hint="eastAsia"/>
                      <w:color w:val="auto"/>
                      <w:u w:val="none"/>
                    </w:rPr>
                    <w:t>医疗废水</w:t>
                  </w:r>
                </w:p>
              </w:tc>
              <w:tc>
                <w:tcPr>
                  <w:tcW w:w="556" w:type="pct"/>
                  <w:vMerge w:val="restart"/>
                  <w:vAlign w:val="center"/>
                </w:tcPr>
                <w:p>
                  <w:pPr>
                    <w:pStyle w:val="45"/>
                    <w:rPr>
                      <w:color w:val="auto"/>
                      <w:u w:val="none"/>
                    </w:rPr>
                  </w:pPr>
                  <w:r>
                    <w:rPr>
                      <w:rFonts w:hint="eastAsia"/>
                      <w:color w:val="auto"/>
                      <w:u w:val="none"/>
                    </w:rPr>
                    <w:t>S1废</w:t>
                  </w:r>
                  <w:r>
                    <w:rPr>
                      <w:color w:val="auto"/>
                      <w:u w:val="none"/>
                    </w:rPr>
                    <w:t>水</w:t>
                  </w:r>
                  <w:r>
                    <w:rPr>
                      <w:rFonts w:hint="eastAsia"/>
                      <w:color w:val="auto"/>
                      <w:u w:val="none"/>
                    </w:rPr>
                    <w:t>总</w:t>
                  </w:r>
                  <w:r>
                    <w:rPr>
                      <w:color w:val="auto"/>
                      <w:u w:val="none"/>
                    </w:rPr>
                    <w:t>排口D</w:t>
                  </w:r>
                  <w:r>
                    <w:rPr>
                      <w:rFonts w:hint="eastAsia"/>
                      <w:color w:val="auto"/>
                      <w:u w:val="none"/>
                    </w:rPr>
                    <w:t>W</w:t>
                  </w:r>
                  <w:r>
                    <w:rPr>
                      <w:color w:val="auto"/>
                      <w:u w:val="none"/>
                    </w:rPr>
                    <w:t>001</w:t>
                  </w:r>
                </w:p>
              </w:tc>
              <w:tc>
                <w:tcPr>
                  <w:tcW w:w="365" w:type="pct"/>
                  <w:vMerge w:val="restart"/>
                  <w:vAlign w:val="center"/>
                </w:tcPr>
                <w:p>
                  <w:pPr>
                    <w:pStyle w:val="45"/>
                    <w:rPr>
                      <w:color w:val="auto"/>
                      <w:u w:val="none"/>
                    </w:rPr>
                  </w:pPr>
                  <w:r>
                    <w:rPr>
                      <w:rFonts w:hint="eastAsia"/>
                      <w:color w:val="auto"/>
                      <w:u w:val="none"/>
                    </w:rPr>
                    <w:t>间接排放</w:t>
                  </w:r>
                </w:p>
              </w:tc>
              <w:tc>
                <w:tcPr>
                  <w:tcW w:w="1291" w:type="pct"/>
                  <w:vAlign w:val="center"/>
                </w:tcPr>
                <w:p>
                  <w:pPr>
                    <w:pStyle w:val="45"/>
                    <w:rPr>
                      <w:color w:val="auto"/>
                      <w:u w:val="none"/>
                    </w:rPr>
                  </w:pPr>
                  <w:r>
                    <w:rPr>
                      <w:rFonts w:hint="eastAsia"/>
                      <w:color w:val="auto"/>
                      <w:u w:val="none"/>
                    </w:rPr>
                    <w:t>流量</w:t>
                  </w:r>
                </w:p>
              </w:tc>
              <w:tc>
                <w:tcPr>
                  <w:tcW w:w="812" w:type="pct"/>
                  <w:vAlign w:val="center"/>
                </w:tcPr>
                <w:p>
                  <w:pPr>
                    <w:pStyle w:val="45"/>
                    <w:rPr>
                      <w:color w:val="auto"/>
                      <w:u w:val="none"/>
                    </w:rPr>
                  </w:pPr>
                  <w:r>
                    <w:rPr>
                      <w:rFonts w:hint="eastAsia"/>
                      <w:color w:val="auto"/>
                      <w:u w:val="none"/>
                    </w:rPr>
                    <w:t>自动监测</w:t>
                  </w:r>
                </w:p>
              </w:tc>
              <w:tc>
                <w:tcPr>
                  <w:tcW w:w="910" w:type="pct"/>
                  <w:vMerge w:val="restart"/>
                  <w:vAlign w:val="center"/>
                </w:tcPr>
                <w:p>
                  <w:pPr>
                    <w:pStyle w:val="45"/>
                    <w:rPr>
                      <w:color w:val="auto"/>
                      <w:u w:val="none"/>
                    </w:rPr>
                  </w:pPr>
                  <w:r>
                    <w:rPr>
                      <w:rFonts w:hint="eastAsia"/>
                      <w:color w:val="auto"/>
                      <w:u w:val="none"/>
                    </w:rPr>
                    <w:t>执行</w:t>
                  </w:r>
                  <w:r>
                    <w:rPr>
                      <w:color w:val="auto"/>
                      <w:u w:val="none"/>
                    </w:rPr>
                    <w:t>《医疗机构水污染物排放标准》</w:t>
                  </w:r>
                </w:p>
                <w:p>
                  <w:pPr>
                    <w:pStyle w:val="45"/>
                    <w:rPr>
                      <w:color w:val="auto"/>
                      <w:u w:val="none"/>
                    </w:rPr>
                  </w:pPr>
                  <w:r>
                    <w:rPr>
                      <w:color w:val="auto"/>
                      <w:u w:val="none"/>
                    </w:rPr>
                    <w:t>（GB 18466-2005）表2中预处理标准</w:t>
                  </w:r>
                </w:p>
              </w:tc>
              <w:tc>
                <w:tcPr>
                  <w:tcW w:w="401" w:type="pct"/>
                  <w:vMerge w:val="restart"/>
                  <w:vAlign w:val="center"/>
                </w:tcPr>
                <w:p>
                  <w:pPr>
                    <w:pStyle w:val="45"/>
                    <w:rPr>
                      <w:color w:val="auto"/>
                      <w:u w:val="none"/>
                    </w:rPr>
                  </w:pPr>
                  <w:r>
                    <w:rPr>
                      <w:rFonts w:hint="eastAsia"/>
                      <w:color w:val="auto"/>
                      <w:u w:val="none"/>
                    </w:rPr>
                    <w:t>记录水温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continue"/>
                  <w:vAlign w:val="center"/>
                </w:tcPr>
                <w:p>
                  <w:pPr>
                    <w:pStyle w:val="45"/>
                    <w:rPr>
                      <w:color w:val="auto"/>
                      <w:u w:val="none"/>
                    </w:rPr>
                  </w:pPr>
                </w:p>
              </w:tc>
              <w:tc>
                <w:tcPr>
                  <w:tcW w:w="392" w:type="pct"/>
                  <w:vMerge w:val="continue"/>
                  <w:vAlign w:val="center"/>
                </w:tcPr>
                <w:p>
                  <w:pPr>
                    <w:pStyle w:val="45"/>
                    <w:rPr>
                      <w:color w:val="auto"/>
                      <w:u w:val="none"/>
                    </w:rPr>
                  </w:pPr>
                </w:p>
              </w:tc>
              <w:tc>
                <w:tcPr>
                  <w:tcW w:w="556" w:type="pct"/>
                  <w:vMerge w:val="continue"/>
                  <w:vAlign w:val="center"/>
                </w:tcPr>
                <w:p>
                  <w:pPr>
                    <w:pStyle w:val="45"/>
                    <w:rPr>
                      <w:color w:val="auto"/>
                      <w:u w:val="none"/>
                    </w:rPr>
                  </w:pPr>
                </w:p>
              </w:tc>
              <w:tc>
                <w:tcPr>
                  <w:tcW w:w="365" w:type="pct"/>
                  <w:vMerge w:val="continue"/>
                  <w:vAlign w:val="center"/>
                </w:tcPr>
                <w:p>
                  <w:pPr>
                    <w:pStyle w:val="45"/>
                    <w:rPr>
                      <w:color w:val="auto"/>
                      <w:u w:val="none"/>
                    </w:rPr>
                  </w:pPr>
                </w:p>
              </w:tc>
              <w:tc>
                <w:tcPr>
                  <w:tcW w:w="1291" w:type="pct"/>
                  <w:vAlign w:val="center"/>
                </w:tcPr>
                <w:p>
                  <w:pPr>
                    <w:pStyle w:val="45"/>
                    <w:rPr>
                      <w:color w:val="auto"/>
                      <w:u w:val="none"/>
                    </w:rPr>
                  </w:pPr>
                  <w:r>
                    <w:rPr>
                      <w:color w:val="auto"/>
                      <w:u w:val="none"/>
                    </w:rPr>
                    <w:t>pH</w:t>
                  </w:r>
                </w:p>
              </w:tc>
              <w:tc>
                <w:tcPr>
                  <w:tcW w:w="812" w:type="pct"/>
                  <w:vAlign w:val="center"/>
                </w:tcPr>
                <w:p>
                  <w:pPr>
                    <w:pStyle w:val="45"/>
                    <w:rPr>
                      <w:color w:val="auto"/>
                      <w:u w:val="none"/>
                    </w:rPr>
                  </w:pPr>
                  <w:r>
                    <w:rPr>
                      <w:rFonts w:hint="eastAsia"/>
                      <w:color w:val="auto"/>
                      <w:u w:val="none"/>
                    </w:rPr>
                    <w:t>12小时</w:t>
                  </w:r>
                </w:p>
              </w:tc>
              <w:tc>
                <w:tcPr>
                  <w:tcW w:w="910" w:type="pct"/>
                  <w:vMerge w:val="continue"/>
                  <w:vAlign w:val="center"/>
                </w:tcPr>
                <w:p>
                  <w:pPr>
                    <w:pStyle w:val="45"/>
                    <w:rPr>
                      <w:color w:val="auto"/>
                      <w:u w:val="none"/>
                    </w:rPr>
                  </w:pPr>
                </w:p>
              </w:tc>
              <w:tc>
                <w:tcPr>
                  <w:tcW w:w="401" w:type="pct"/>
                  <w:vMerge w:val="continue"/>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69" w:type="pct"/>
                  <w:vMerge w:val="continue"/>
                  <w:vAlign w:val="center"/>
                </w:tcPr>
                <w:p>
                  <w:pPr>
                    <w:pStyle w:val="45"/>
                    <w:rPr>
                      <w:color w:val="auto"/>
                      <w:u w:val="none"/>
                    </w:rPr>
                  </w:pPr>
                </w:p>
              </w:tc>
              <w:tc>
                <w:tcPr>
                  <w:tcW w:w="392" w:type="pct"/>
                  <w:vMerge w:val="continue"/>
                  <w:vAlign w:val="center"/>
                </w:tcPr>
                <w:p>
                  <w:pPr>
                    <w:pStyle w:val="45"/>
                    <w:rPr>
                      <w:color w:val="auto"/>
                      <w:u w:val="none"/>
                    </w:rPr>
                  </w:pPr>
                </w:p>
              </w:tc>
              <w:tc>
                <w:tcPr>
                  <w:tcW w:w="556" w:type="pct"/>
                  <w:vMerge w:val="continue"/>
                  <w:vAlign w:val="center"/>
                </w:tcPr>
                <w:p>
                  <w:pPr>
                    <w:pStyle w:val="45"/>
                    <w:rPr>
                      <w:color w:val="auto"/>
                      <w:u w:val="none"/>
                    </w:rPr>
                  </w:pPr>
                </w:p>
              </w:tc>
              <w:tc>
                <w:tcPr>
                  <w:tcW w:w="365" w:type="pct"/>
                  <w:vMerge w:val="continue"/>
                  <w:vAlign w:val="center"/>
                </w:tcPr>
                <w:p>
                  <w:pPr>
                    <w:pStyle w:val="45"/>
                    <w:rPr>
                      <w:color w:val="auto"/>
                      <w:u w:val="none"/>
                    </w:rPr>
                  </w:pPr>
                </w:p>
              </w:tc>
              <w:tc>
                <w:tcPr>
                  <w:tcW w:w="1291" w:type="pct"/>
                  <w:vAlign w:val="center"/>
                </w:tcPr>
                <w:p>
                  <w:pPr>
                    <w:pStyle w:val="45"/>
                    <w:rPr>
                      <w:color w:val="auto"/>
                      <w:u w:val="none"/>
                    </w:rPr>
                  </w:pPr>
                  <w:r>
                    <w:rPr>
                      <w:color w:val="auto"/>
                      <w:u w:val="none"/>
                    </w:rPr>
                    <w:t>悬浮物、COD</w:t>
                  </w:r>
                  <w:r>
                    <w:rPr>
                      <w:rFonts w:hint="eastAsia" w:ascii="宋体" w:hAnsi="宋体" w:cs="宋体"/>
                      <w:color w:val="auto"/>
                      <w:u w:val="none"/>
                    </w:rPr>
                    <w:t>cr</w:t>
                  </w:r>
                </w:p>
              </w:tc>
              <w:tc>
                <w:tcPr>
                  <w:tcW w:w="812" w:type="pct"/>
                  <w:vAlign w:val="center"/>
                </w:tcPr>
                <w:p>
                  <w:pPr>
                    <w:pStyle w:val="45"/>
                    <w:rPr>
                      <w:color w:val="auto"/>
                      <w:u w:val="none"/>
                    </w:rPr>
                  </w:pPr>
                  <w:r>
                    <w:rPr>
                      <w:rFonts w:hint="eastAsia"/>
                      <w:color w:val="auto"/>
                      <w:u w:val="none"/>
                    </w:rPr>
                    <w:t>周</w:t>
                  </w:r>
                </w:p>
              </w:tc>
              <w:tc>
                <w:tcPr>
                  <w:tcW w:w="910" w:type="pct"/>
                  <w:vMerge w:val="continue"/>
                  <w:vAlign w:val="center"/>
                </w:tcPr>
                <w:p>
                  <w:pPr>
                    <w:pStyle w:val="45"/>
                    <w:rPr>
                      <w:color w:val="auto"/>
                      <w:u w:val="none"/>
                    </w:rPr>
                  </w:pPr>
                </w:p>
              </w:tc>
              <w:tc>
                <w:tcPr>
                  <w:tcW w:w="401" w:type="pct"/>
                  <w:vMerge w:val="continue"/>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continue"/>
                  <w:vAlign w:val="center"/>
                </w:tcPr>
                <w:p>
                  <w:pPr>
                    <w:pStyle w:val="45"/>
                    <w:rPr>
                      <w:color w:val="auto"/>
                      <w:u w:val="none"/>
                    </w:rPr>
                  </w:pPr>
                </w:p>
              </w:tc>
              <w:tc>
                <w:tcPr>
                  <w:tcW w:w="392" w:type="pct"/>
                  <w:vMerge w:val="continue"/>
                  <w:vAlign w:val="center"/>
                </w:tcPr>
                <w:p>
                  <w:pPr>
                    <w:pStyle w:val="45"/>
                    <w:rPr>
                      <w:color w:val="auto"/>
                      <w:u w:val="none"/>
                    </w:rPr>
                  </w:pPr>
                </w:p>
              </w:tc>
              <w:tc>
                <w:tcPr>
                  <w:tcW w:w="556" w:type="pct"/>
                  <w:vMerge w:val="continue"/>
                  <w:vAlign w:val="center"/>
                </w:tcPr>
                <w:p>
                  <w:pPr>
                    <w:pStyle w:val="45"/>
                    <w:rPr>
                      <w:color w:val="auto"/>
                      <w:u w:val="none"/>
                    </w:rPr>
                  </w:pPr>
                </w:p>
              </w:tc>
              <w:tc>
                <w:tcPr>
                  <w:tcW w:w="365" w:type="pct"/>
                  <w:vMerge w:val="continue"/>
                  <w:vAlign w:val="center"/>
                </w:tcPr>
                <w:p>
                  <w:pPr>
                    <w:pStyle w:val="45"/>
                    <w:rPr>
                      <w:color w:val="auto"/>
                      <w:u w:val="none"/>
                    </w:rPr>
                  </w:pPr>
                </w:p>
              </w:tc>
              <w:tc>
                <w:tcPr>
                  <w:tcW w:w="1291" w:type="pct"/>
                  <w:vAlign w:val="center"/>
                </w:tcPr>
                <w:p>
                  <w:pPr>
                    <w:pStyle w:val="45"/>
                    <w:rPr>
                      <w:color w:val="auto"/>
                      <w:u w:val="none"/>
                    </w:rPr>
                  </w:pPr>
                  <w:r>
                    <w:rPr>
                      <w:color w:val="auto"/>
                      <w:u w:val="none"/>
                    </w:rPr>
                    <w:t>粪大肠菌群数</w:t>
                  </w:r>
                </w:p>
              </w:tc>
              <w:tc>
                <w:tcPr>
                  <w:tcW w:w="812" w:type="pct"/>
                  <w:vAlign w:val="center"/>
                </w:tcPr>
                <w:p>
                  <w:pPr>
                    <w:pStyle w:val="45"/>
                    <w:rPr>
                      <w:color w:val="auto"/>
                      <w:u w:val="none"/>
                    </w:rPr>
                  </w:pPr>
                  <w:r>
                    <w:rPr>
                      <w:rFonts w:hint="eastAsia"/>
                      <w:color w:val="auto"/>
                      <w:u w:val="none"/>
                    </w:rPr>
                    <w:t>月</w:t>
                  </w:r>
                </w:p>
              </w:tc>
              <w:tc>
                <w:tcPr>
                  <w:tcW w:w="910" w:type="pct"/>
                  <w:vMerge w:val="continue"/>
                  <w:vAlign w:val="center"/>
                </w:tcPr>
                <w:p>
                  <w:pPr>
                    <w:pStyle w:val="45"/>
                    <w:rPr>
                      <w:color w:val="auto"/>
                      <w:u w:val="none"/>
                    </w:rPr>
                  </w:pPr>
                </w:p>
              </w:tc>
              <w:tc>
                <w:tcPr>
                  <w:tcW w:w="401" w:type="pct"/>
                  <w:vMerge w:val="continue"/>
                  <w:vAlign w:val="center"/>
                </w:tcPr>
                <w:p>
                  <w:pPr>
                    <w:pStyle w:val="45"/>
                    <w:rPr>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continue"/>
                  <w:vAlign w:val="center"/>
                </w:tcPr>
                <w:p>
                  <w:pPr>
                    <w:pStyle w:val="45"/>
                    <w:rPr>
                      <w:color w:val="auto"/>
                      <w:u w:val="none"/>
                    </w:rPr>
                  </w:pPr>
                </w:p>
              </w:tc>
              <w:tc>
                <w:tcPr>
                  <w:tcW w:w="392" w:type="pct"/>
                  <w:vMerge w:val="continue"/>
                  <w:vAlign w:val="center"/>
                </w:tcPr>
                <w:p>
                  <w:pPr>
                    <w:pStyle w:val="45"/>
                    <w:rPr>
                      <w:color w:val="auto"/>
                      <w:u w:val="none"/>
                    </w:rPr>
                  </w:pPr>
                </w:p>
              </w:tc>
              <w:tc>
                <w:tcPr>
                  <w:tcW w:w="556" w:type="pct"/>
                  <w:vMerge w:val="continue"/>
                  <w:vAlign w:val="center"/>
                </w:tcPr>
                <w:p>
                  <w:pPr>
                    <w:pStyle w:val="45"/>
                    <w:rPr>
                      <w:color w:val="auto"/>
                      <w:u w:val="none"/>
                    </w:rPr>
                  </w:pPr>
                </w:p>
              </w:tc>
              <w:tc>
                <w:tcPr>
                  <w:tcW w:w="365" w:type="pct"/>
                  <w:vMerge w:val="continue"/>
                  <w:vAlign w:val="center"/>
                </w:tcPr>
                <w:p>
                  <w:pPr>
                    <w:pStyle w:val="45"/>
                    <w:rPr>
                      <w:color w:val="auto"/>
                      <w:u w:val="none"/>
                    </w:rPr>
                  </w:pPr>
                </w:p>
              </w:tc>
              <w:tc>
                <w:tcPr>
                  <w:tcW w:w="1291" w:type="pct"/>
                  <w:vAlign w:val="center"/>
                </w:tcPr>
                <w:p>
                  <w:pPr>
                    <w:pStyle w:val="45"/>
                    <w:rPr>
                      <w:color w:val="auto"/>
                      <w:u w:val="none"/>
                    </w:rPr>
                  </w:pPr>
                  <w:r>
                    <w:rPr>
                      <w:color w:val="auto"/>
                      <w:u w:val="none"/>
                    </w:rPr>
                    <w:t>BOD</w:t>
                  </w:r>
                  <w:r>
                    <w:rPr>
                      <w:color w:val="auto"/>
                      <w:u w:val="none"/>
                      <w:vertAlign w:val="subscript"/>
                    </w:rPr>
                    <w:t>5</w:t>
                  </w:r>
                  <w:r>
                    <w:rPr>
                      <w:color w:val="auto"/>
                      <w:u w:val="none"/>
                    </w:rPr>
                    <w:t>、</w:t>
                  </w:r>
                  <w:r>
                    <w:rPr>
                      <w:rFonts w:hint="eastAsia"/>
                      <w:color w:val="auto"/>
                      <w:u w:val="none"/>
                    </w:rPr>
                    <w:t>石油类、挥发酚、动植物油、</w:t>
                  </w:r>
                  <w:r>
                    <w:rPr>
                      <w:color w:val="auto"/>
                      <w:u w:val="none"/>
                    </w:rPr>
                    <w:t>阴离子表面活性剂、</w:t>
                  </w:r>
                  <w:r>
                    <w:rPr>
                      <w:rFonts w:hint="eastAsia"/>
                      <w:color w:val="auto"/>
                      <w:u w:val="none"/>
                    </w:rPr>
                    <w:t>总氰化物</w:t>
                  </w:r>
                </w:p>
              </w:tc>
              <w:tc>
                <w:tcPr>
                  <w:tcW w:w="812" w:type="pct"/>
                  <w:vAlign w:val="center"/>
                </w:tcPr>
                <w:p>
                  <w:pPr>
                    <w:pStyle w:val="45"/>
                    <w:rPr>
                      <w:color w:val="auto"/>
                      <w:u w:val="none"/>
                    </w:rPr>
                  </w:pPr>
                  <w:r>
                    <w:rPr>
                      <w:rFonts w:hint="eastAsia"/>
                      <w:color w:val="auto"/>
                      <w:u w:val="none"/>
                    </w:rPr>
                    <w:t>季度</w:t>
                  </w:r>
                </w:p>
              </w:tc>
              <w:tc>
                <w:tcPr>
                  <w:tcW w:w="910" w:type="pct"/>
                  <w:vMerge w:val="continue"/>
                  <w:vAlign w:val="center"/>
                </w:tcPr>
                <w:p>
                  <w:pPr>
                    <w:pStyle w:val="45"/>
                    <w:rPr>
                      <w:color w:val="auto"/>
                      <w:u w:val="none"/>
                    </w:rPr>
                  </w:pPr>
                </w:p>
              </w:tc>
              <w:tc>
                <w:tcPr>
                  <w:tcW w:w="401" w:type="pct"/>
                  <w:vMerge w:val="continue"/>
                  <w:vAlign w:val="center"/>
                </w:tcPr>
                <w:p>
                  <w:pPr>
                    <w:pStyle w:val="45"/>
                    <w:rPr>
                      <w:color w:val="auto"/>
                      <w:u w:val="none"/>
                    </w:rPr>
                  </w:pPr>
                </w:p>
              </w:tc>
            </w:tr>
          </w:tbl>
          <w:p>
            <w:pPr>
              <w:pStyle w:val="7"/>
              <w:ind w:firstLine="480"/>
              <w:rPr>
                <w:color w:val="auto"/>
              </w:rPr>
            </w:pPr>
            <w:r>
              <w:rPr>
                <w:rFonts w:hint="eastAsia"/>
                <w:color w:val="auto"/>
              </w:rPr>
              <w:t>3</w:t>
            </w:r>
            <w:r>
              <w:rPr>
                <w:color w:val="auto"/>
              </w:rPr>
              <w:t>、噪声</w:t>
            </w:r>
          </w:p>
          <w:p>
            <w:pPr>
              <w:pStyle w:val="7"/>
              <w:ind w:firstLine="480"/>
              <w:rPr>
                <w:color w:val="auto"/>
              </w:rPr>
            </w:pPr>
            <w:r>
              <w:rPr>
                <w:rFonts w:hint="eastAsia"/>
                <w:color w:val="auto"/>
              </w:rPr>
              <w:t xml:space="preserve">本项目噪声源主要为污水处理站风机、水泵、空调外机等产生的设备噪声以及人群活动产生的生活噪声。噪声源强约为 </w:t>
            </w:r>
            <w:r>
              <w:rPr>
                <w:color w:val="auto"/>
              </w:rPr>
              <w:t>60~75dB(A)</w:t>
            </w:r>
            <w:r>
              <w:rPr>
                <w:rFonts w:hint="eastAsia"/>
                <w:color w:val="auto"/>
              </w:rPr>
              <w:t>。噪声源强见表。</w:t>
            </w:r>
          </w:p>
          <w:p>
            <w:pPr>
              <w:pStyle w:val="46"/>
              <w:rPr>
                <w:color w:val="auto"/>
                <w:lang w:val="zh-CN"/>
              </w:rPr>
            </w:pPr>
            <w:r>
              <w:rPr>
                <w:color w:val="auto"/>
                <w:lang w:val="zh-CN"/>
              </w:rPr>
              <w:t>表</w:t>
            </w:r>
            <w:r>
              <w:rPr>
                <w:rFonts w:hint="eastAsia"/>
                <w:color w:val="auto"/>
              </w:rPr>
              <w:t>4.2-14</w:t>
            </w:r>
            <w:r>
              <w:rPr>
                <w:color w:val="auto"/>
                <w:lang w:val="zh-CN"/>
              </w:rPr>
              <w:t>项目主要噪声源及</w:t>
            </w:r>
            <w:r>
              <w:rPr>
                <w:rFonts w:hint="eastAsia"/>
                <w:color w:val="auto"/>
                <w:lang w:val="zh-CN"/>
              </w:rPr>
              <w:t>防治</w:t>
            </w:r>
            <w:r>
              <w:rPr>
                <w:color w:val="auto"/>
                <w:lang w:val="zh-CN"/>
              </w:rPr>
              <w:t>措施一览表</w:t>
            </w:r>
          </w:p>
          <w:tbl>
            <w:tblPr>
              <w:tblStyle w:val="31"/>
              <w:tblW w:w="7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097"/>
              <w:gridCol w:w="1068"/>
              <w:gridCol w:w="27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auto"/>
                    </w:rPr>
                  </w:pPr>
                  <w:r>
                    <w:rPr>
                      <w:color w:val="auto"/>
                    </w:rPr>
                    <w:t>声源</w:t>
                  </w:r>
                </w:p>
              </w:tc>
              <w:tc>
                <w:tcPr>
                  <w:tcW w:w="1117" w:type="dxa"/>
                  <w:vAlign w:val="center"/>
                </w:tcPr>
                <w:p>
                  <w:pPr>
                    <w:pStyle w:val="45"/>
                    <w:rPr>
                      <w:color w:val="auto"/>
                    </w:rPr>
                  </w:pPr>
                  <w:r>
                    <w:rPr>
                      <w:color w:val="auto"/>
                    </w:rPr>
                    <w:t>数量（台/</w:t>
                  </w:r>
                </w:p>
                <w:p>
                  <w:pPr>
                    <w:pStyle w:val="45"/>
                    <w:rPr>
                      <w:color w:val="auto"/>
                      <w:lang w:val="zh-CN"/>
                    </w:rPr>
                  </w:pPr>
                  <w:r>
                    <w:rPr>
                      <w:color w:val="auto"/>
                    </w:rPr>
                    <w:t>套）</w:t>
                  </w:r>
                </w:p>
              </w:tc>
              <w:tc>
                <w:tcPr>
                  <w:tcW w:w="1087" w:type="dxa"/>
                  <w:vAlign w:val="center"/>
                </w:tcPr>
                <w:p>
                  <w:pPr>
                    <w:pStyle w:val="45"/>
                    <w:rPr>
                      <w:color w:val="auto"/>
                    </w:rPr>
                  </w:pPr>
                  <w:r>
                    <w:rPr>
                      <w:color w:val="auto"/>
                    </w:rPr>
                    <w:t>噪声源强dB（A）</w:t>
                  </w:r>
                </w:p>
              </w:tc>
              <w:tc>
                <w:tcPr>
                  <w:tcW w:w="2825" w:type="dxa"/>
                  <w:vAlign w:val="center"/>
                </w:tcPr>
                <w:p>
                  <w:pPr>
                    <w:pStyle w:val="45"/>
                    <w:rPr>
                      <w:color w:val="auto"/>
                    </w:rPr>
                  </w:pPr>
                  <w:r>
                    <w:rPr>
                      <w:rFonts w:hint="eastAsia"/>
                      <w:color w:val="auto"/>
                    </w:rPr>
                    <w:t>防治措施</w:t>
                  </w:r>
                </w:p>
              </w:tc>
              <w:tc>
                <w:tcPr>
                  <w:tcW w:w="1076" w:type="dxa"/>
                  <w:vAlign w:val="center"/>
                </w:tcPr>
                <w:p>
                  <w:pPr>
                    <w:pStyle w:val="45"/>
                    <w:rPr>
                      <w:color w:val="auto"/>
                    </w:rPr>
                  </w:pPr>
                  <w:r>
                    <w:rPr>
                      <w:rFonts w:hint="eastAsia"/>
                      <w:color w:val="auto"/>
                    </w:rPr>
                    <w:t>排放强度</w:t>
                  </w:r>
                  <w:r>
                    <w:rPr>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auto"/>
                      <w:lang w:val="zh-CN"/>
                    </w:rPr>
                  </w:pPr>
                  <w:r>
                    <w:rPr>
                      <w:color w:val="auto"/>
                    </w:rPr>
                    <w:t>污水处理站风机</w:t>
                  </w:r>
                </w:p>
              </w:tc>
              <w:tc>
                <w:tcPr>
                  <w:tcW w:w="1117" w:type="dxa"/>
                  <w:vAlign w:val="center"/>
                </w:tcPr>
                <w:p>
                  <w:pPr>
                    <w:pStyle w:val="45"/>
                    <w:rPr>
                      <w:color w:val="auto"/>
                    </w:rPr>
                  </w:pPr>
                  <w:r>
                    <w:rPr>
                      <w:rFonts w:hint="eastAsia"/>
                      <w:color w:val="auto"/>
                    </w:rPr>
                    <w:t>1</w:t>
                  </w:r>
                </w:p>
              </w:tc>
              <w:tc>
                <w:tcPr>
                  <w:tcW w:w="1087" w:type="dxa"/>
                  <w:vAlign w:val="center"/>
                </w:tcPr>
                <w:p>
                  <w:pPr>
                    <w:pStyle w:val="45"/>
                    <w:rPr>
                      <w:color w:val="auto"/>
                    </w:rPr>
                  </w:pPr>
                  <w:r>
                    <w:rPr>
                      <w:color w:val="auto"/>
                    </w:rPr>
                    <w:t>70~75</w:t>
                  </w:r>
                </w:p>
              </w:tc>
              <w:tc>
                <w:tcPr>
                  <w:tcW w:w="2825" w:type="dxa"/>
                  <w:vMerge w:val="restart"/>
                  <w:vAlign w:val="center"/>
                </w:tcPr>
                <w:p>
                  <w:pPr>
                    <w:pStyle w:val="45"/>
                    <w:rPr>
                      <w:color w:val="auto"/>
                    </w:rPr>
                  </w:pPr>
                  <w:r>
                    <w:rPr>
                      <w:color w:val="auto"/>
                    </w:rPr>
                    <w:t>选用低噪声设备</w:t>
                  </w:r>
                  <w:r>
                    <w:rPr>
                      <w:rFonts w:hint="eastAsia"/>
                      <w:color w:val="auto"/>
                    </w:rPr>
                    <w:t>，建筑隔声，基础减震，</w:t>
                  </w:r>
                  <w:r>
                    <w:rPr>
                      <w:color w:val="auto"/>
                    </w:rPr>
                    <w:t>加强设备的保养和维护</w:t>
                  </w:r>
                  <w:r>
                    <w:rPr>
                      <w:rFonts w:hint="eastAsia"/>
                      <w:color w:val="auto"/>
                    </w:rPr>
                    <w:t>后降低20</w:t>
                  </w:r>
                  <w:r>
                    <w:rPr>
                      <w:color w:val="auto"/>
                    </w:rPr>
                    <w:t>dB（A）</w:t>
                  </w:r>
                </w:p>
              </w:tc>
              <w:tc>
                <w:tcPr>
                  <w:tcW w:w="1076" w:type="dxa"/>
                  <w:vAlign w:val="center"/>
                </w:tcPr>
                <w:p>
                  <w:pPr>
                    <w:pStyle w:val="45"/>
                    <w:rPr>
                      <w:color w:val="auto"/>
                    </w:rPr>
                  </w:pPr>
                  <w:r>
                    <w:rPr>
                      <w:rFonts w:hint="eastAsia"/>
                      <w:color w:val="auto"/>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auto"/>
                      <w:lang w:val="zh-CN"/>
                    </w:rPr>
                  </w:pPr>
                  <w:r>
                    <w:rPr>
                      <w:color w:val="auto"/>
                    </w:rPr>
                    <w:t>污水处理站水泵</w:t>
                  </w:r>
                </w:p>
              </w:tc>
              <w:tc>
                <w:tcPr>
                  <w:tcW w:w="1117" w:type="dxa"/>
                  <w:vAlign w:val="center"/>
                </w:tcPr>
                <w:p>
                  <w:pPr>
                    <w:pStyle w:val="45"/>
                    <w:rPr>
                      <w:color w:val="auto"/>
                    </w:rPr>
                  </w:pPr>
                  <w:r>
                    <w:rPr>
                      <w:rFonts w:hint="eastAsia"/>
                      <w:color w:val="auto"/>
                    </w:rPr>
                    <w:t>1</w:t>
                  </w:r>
                </w:p>
              </w:tc>
              <w:tc>
                <w:tcPr>
                  <w:tcW w:w="1087" w:type="dxa"/>
                  <w:vAlign w:val="center"/>
                </w:tcPr>
                <w:p>
                  <w:pPr>
                    <w:pStyle w:val="45"/>
                    <w:rPr>
                      <w:color w:val="auto"/>
                    </w:rPr>
                  </w:pPr>
                  <w:r>
                    <w:rPr>
                      <w:color w:val="auto"/>
                    </w:rPr>
                    <w:t>60~70</w:t>
                  </w:r>
                </w:p>
              </w:tc>
              <w:tc>
                <w:tcPr>
                  <w:tcW w:w="2825" w:type="dxa"/>
                  <w:vMerge w:val="continue"/>
                  <w:vAlign w:val="center"/>
                </w:tcPr>
                <w:p>
                  <w:pPr>
                    <w:pStyle w:val="45"/>
                    <w:rPr>
                      <w:color w:val="auto"/>
                    </w:rPr>
                  </w:pPr>
                </w:p>
              </w:tc>
              <w:tc>
                <w:tcPr>
                  <w:tcW w:w="1076" w:type="dxa"/>
                  <w:vAlign w:val="center"/>
                </w:tcPr>
                <w:p>
                  <w:pPr>
                    <w:pStyle w:val="45"/>
                    <w:rPr>
                      <w:color w:val="auto"/>
                    </w:rPr>
                  </w:pPr>
                  <w:r>
                    <w:rPr>
                      <w:rFonts w:hint="eastAsia"/>
                      <w:color w:val="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auto"/>
                      <w:lang w:val="zh-CN"/>
                    </w:rPr>
                  </w:pPr>
                  <w:r>
                    <w:rPr>
                      <w:color w:val="auto"/>
                    </w:rPr>
                    <w:t>空调外机</w:t>
                  </w:r>
                </w:p>
              </w:tc>
              <w:tc>
                <w:tcPr>
                  <w:tcW w:w="1117" w:type="dxa"/>
                  <w:vAlign w:val="center"/>
                </w:tcPr>
                <w:p>
                  <w:pPr>
                    <w:pStyle w:val="45"/>
                    <w:rPr>
                      <w:rFonts w:hint="default" w:eastAsia="宋体"/>
                      <w:color w:val="auto"/>
                      <w:lang w:val="en-US" w:eastAsia="zh-CN"/>
                    </w:rPr>
                  </w:pPr>
                  <w:r>
                    <w:rPr>
                      <w:rFonts w:hint="eastAsia"/>
                      <w:color w:val="auto"/>
                      <w:lang w:val="en-US" w:eastAsia="zh-CN"/>
                    </w:rPr>
                    <w:t>若干</w:t>
                  </w:r>
                </w:p>
              </w:tc>
              <w:tc>
                <w:tcPr>
                  <w:tcW w:w="1087" w:type="dxa"/>
                  <w:vAlign w:val="center"/>
                </w:tcPr>
                <w:p>
                  <w:pPr>
                    <w:pStyle w:val="45"/>
                    <w:rPr>
                      <w:color w:val="auto"/>
                    </w:rPr>
                  </w:pPr>
                  <w:r>
                    <w:rPr>
                      <w:color w:val="auto"/>
                    </w:rPr>
                    <w:t>60</w:t>
                  </w:r>
                </w:p>
              </w:tc>
              <w:tc>
                <w:tcPr>
                  <w:tcW w:w="2825" w:type="dxa"/>
                  <w:vMerge w:val="continue"/>
                  <w:vAlign w:val="center"/>
                </w:tcPr>
                <w:p>
                  <w:pPr>
                    <w:pStyle w:val="45"/>
                    <w:rPr>
                      <w:color w:val="auto"/>
                    </w:rPr>
                  </w:pPr>
                </w:p>
              </w:tc>
              <w:tc>
                <w:tcPr>
                  <w:tcW w:w="1076" w:type="dxa"/>
                  <w:vAlign w:val="center"/>
                </w:tcPr>
                <w:p>
                  <w:pPr>
                    <w:pStyle w:val="45"/>
                    <w:rPr>
                      <w:color w:val="auto"/>
                    </w:rPr>
                  </w:pPr>
                  <w:r>
                    <w:rPr>
                      <w:rFonts w:hint="eastAsia"/>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auto"/>
                      <w:lang w:val="zh-CN"/>
                    </w:rPr>
                  </w:pPr>
                  <w:r>
                    <w:rPr>
                      <w:color w:val="auto"/>
                    </w:rPr>
                    <w:t>人群活动噪声</w:t>
                  </w:r>
                </w:p>
              </w:tc>
              <w:tc>
                <w:tcPr>
                  <w:tcW w:w="1117" w:type="dxa"/>
                  <w:vAlign w:val="center"/>
                </w:tcPr>
                <w:p>
                  <w:pPr>
                    <w:pStyle w:val="45"/>
                    <w:rPr>
                      <w:color w:val="auto"/>
                    </w:rPr>
                  </w:pPr>
                  <w:r>
                    <w:rPr>
                      <w:rFonts w:hint="eastAsia"/>
                      <w:color w:val="auto"/>
                    </w:rPr>
                    <w:t>/</w:t>
                  </w:r>
                </w:p>
              </w:tc>
              <w:tc>
                <w:tcPr>
                  <w:tcW w:w="1087" w:type="dxa"/>
                  <w:vAlign w:val="center"/>
                </w:tcPr>
                <w:p>
                  <w:pPr>
                    <w:pStyle w:val="45"/>
                    <w:rPr>
                      <w:color w:val="auto"/>
                    </w:rPr>
                  </w:pPr>
                  <w:r>
                    <w:rPr>
                      <w:color w:val="auto"/>
                    </w:rPr>
                    <w:t>60~70</w:t>
                  </w:r>
                </w:p>
              </w:tc>
              <w:tc>
                <w:tcPr>
                  <w:tcW w:w="2825" w:type="dxa"/>
                  <w:vAlign w:val="center"/>
                </w:tcPr>
                <w:p>
                  <w:pPr>
                    <w:pStyle w:val="45"/>
                    <w:rPr>
                      <w:color w:val="auto"/>
                    </w:rPr>
                  </w:pPr>
                  <w:r>
                    <w:rPr>
                      <w:rFonts w:hint="eastAsia"/>
                      <w:color w:val="auto"/>
                    </w:rPr>
                    <w:t>经加强管理，强化医护人员及病人意识，噪声通过墙体</w:t>
                  </w:r>
                </w:p>
                <w:p>
                  <w:pPr>
                    <w:pStyle w:val="45"/>
                    <w:rPr>
                      <w:color w:val="auto"/>
                    </w:rPr>
                  </w:pPr>
                  <w:r>
                    <w:rPr>
                      <w:rFonts w:hint="eastAsia"/>
                      <w:color w:val="auto"/>
                    </w:rPr>
                    <w:t>隔声和距离衰减后降低20</w:t>
                  </w:r>
                  <w:r>
                    <w:rPr>
                      <w:color w:val="auto"/>
                    </w:rPr>
                    <w:t>dB（A）</w:t>
                  </w:r>
                </w:p>
              </w:tc>
              <w:tc>
                <w:tcPr>
                  <w:tcW w:w="1076" w:type="dxa"/>
                  <w:vAlign w:val="center"/>
                </w:tcPr>
                <w:p>
                  <w:pPr>
                    <w:pStyle w:val="45"/>
                    <w:rPr>
                      <w:color w:val="auto"/>
                    </w:rPr>
                  </w:pPr>
                  <w:r>
                    <w:rPr>
                      <w:rFonts w:hint="eastAsia"/>
                      <w:color w:val="auto"/>
                    </w:rPr>
                    <w:t>45</w:t>
                  </w:r>
                </w:p>
              </w:tc>
            </w:tr>
          </w:tbl>
          <w:p>
            <w:pPr>
              <w:pStyle w:val="7"/>
              <w:ind w:firstLine="480"/>
              <w:rPr>
                <w:color w:val="auto"/>
              </w:rPr>
            </w:pPr>
            <w:r>
              <w:rPr>
                <w:rFonts w:hint="eastAsia"/>
                <w:color w:val="auto"/>
              </w:rPr>
              <w:t>3.2声达标分析</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rPr>
            </w:pPr>
            <w:r>
              <w:rPr>
                <w:rFonts w:hint="eastAsia"/>
                <w:color w:val="auto"/>
              </w:rPr>
              <w:t>为进一步降低噪声对周围环境的影响，应该从声源和传播途径上采取一定的噪声防治措施。为降低噪声源对本项目边界噪声的影响，本项目采取下列措施：</w:t>
            </w:r>
          </w:p>
          <w:p>
            <w:pPr>
              <w:pStyle w:val="7"/>
              <w:ind w:firstLine="480"/>
              <w:rPr>
                <w:color w:val="auto"/>
              </w:rPr>
            </w:pPr>
            <w:r>
              <w:rPr>
                <w:rFonts w:hint="eastAsia"/>
                <w:color w:val="auto"/>
              </w:rPr>
              <w:t>（1）</w:t>
            </w:r>
            <w:r>
              <w:rPr>
                <w:color w:val="auto"/>
              </w:rPr>
              <w:t>将空调外机均设置在靠道路的一侧，窗户均采用双层隔音玻璃；</w:t>
            </w:r>
          </w:p>
          <w:p>
            <w:pPr>
              <w:pStyle w:val="7"/>
              <w:ind w:firstLine="480"/>
              <w:rPr>
                <w:color w:val="auto"/>
              </w:rPr>
            </w:pPr>
            <w:r>
              <w:rPr>
                <w:rFonts w:hint="eastAsia"/>
                <w:color w:val="auto"/>
              </w:rPr>
              <w:t>（2）</w:t>
            </w:r>
            <w:r>
              <w:rPr>
                <w:color w:val="auto"/>
              </w:rPr>
              <w:t>设备机房（设备间）采用吸声消声材料处理，所有有振动的设备均设减振基础或吊架，接管设柔性减振接头。</w:t>
            </w:r>
          </w:p>
          <w:p>
            <w:pPr>
              <w:pStyle w:val="7"/>
              <w:ind w:firstLine="480"/>
              <w:rPr>
                <w:color w:val="auto"/>
              </w:rPr>
            </w:pPr>
            <w:r>
              <w:rPr>
                <w:rFonts w:hint="eastAsia"/>
                <w:color w:val="auto"/>
              </w:rPr>
              <w:t>（3）</w:t>
            </w:r>
            <w:r>
              <w:rPr>
                <w:color w:val="auto"/>
              </w:rPr>
              <w:t>对噪声较大的机房拟采用特殊处理以将其与建筑的其他部分隔离，包括采用双层墙夹吸音材料、双道门等。</w:t>
            </w:r>
          </w:p>
          <w:p>
            <w:pPr>
              <w:pStyle w:val="7"/>
              <w:ind w:firstLine="480"/>
              <w:rPr>
                <w:color w:val="auto"/>
              </w:rPr>
            </w:pPr>
            <w:r>
              <w:rPr>
                <w:rFonts w:hint="eastAsia"/>
                <w:color w:val="auto"/>
              </w:rPr>
              <w:t>（4）</w:t>
            </w:r>
            <w:r>
              <w:rPr>
                <w:color w:val="auto"/>
              </w:rPr>
              <w:t>对风机、水泵等高噪声设备进行基础隔声处理。</w:t>
            </w:r>
          </w:p>
          <w:p>
            <w:pPr>
              <w:pStyle w:val="7"/>
              <w:ind w:firstLine="480"/>
              <w:rPr>
                <w:color w:val="auto"/>
              </w:rPr>
            </w:pPr>
            <w:r>
              <w:rPr>
                <w:rFonts w:hint="eastAsia"/>
                <w:color w:val="auto"/>
              </w:rPr>
              <w:t>（5）社会生活噪声采取加强管理，强化医护人员及病人意识</w:t>
            </w:r>
            <w:r>
              <w:rPr>
                <w:color w:val="auto"/>
              </w:rPr>
              <w:t>。</w:t>
            </w:r>
          </w:p>
          <w:p>
            <w:pPr>
              <w:pStyle w:val="7"/>
              <w:ind w:firstLine="480"/>
              <w:rPr>
                <w:color w:val="auto"/>
              </w:rPr>
            </w:pPr>
            <w:r>
              <w:rPr>
                <w:rFonts w:hint="eastAsia"/>
                <w:color w:val="auto"/>
              </w:rPr>
              <w:t>本次环评委托湖南</w:t>
            </w:r>
            <w:r>
              <w:rPr>
                <w:rFonts w:hint="eastAsia"/>
                <w:color w:val="auto"/>
                <w:lang w:eastAsia="zh-CN"/>
              </w:rPr>
              <w:t>衡润科技</w:t>
            </w:r>
            <w:r>
              <w:rPr>
                <w:rFonts w:hint="eastAsia"/>
                <w:color w:val="auto"/>
              </w:rPr>
              <w:t>有限公司对本项目噪声进行了监测，</w:t>
            </w:r>
            <w:r>
              <w:rPr>
                <w:color w:val="auto"/>
              </w:rPr>
              <w:t>根据噪声现状监测结果，</w:t>
            </w:r>
            <w:r>
              <w:rPr>
                <w:rFonts w:hint="eastAsia"/>
                <w:color w:val="auto"/>
              </w:rPr>
              <w:t>厂界噪声能满足《工业企业厂界环境噪声排放标准》（GB12348-2008）中的2类标准限值要求，</w:t>
            </w:r>
            <w:r>
              <w:rPr>
                <w:color w:val="auto"/>
              </w:rPr>
              <w:t>周边居民能满足《声环境质量标准》（GB3096-2008）</w:t>
            </w:r>
            <w:r>
              <w:rPr>
                <w:rFonts w:hint="eastAsia"/>
                <w:color w:val="auto"/>
              </w:rPr>
              <w:t>中</w:t>
            </w:r>
            <w:r>
              <w:rPr>
                <w:color w:val="auto"/>
              </w:rPr>
              <w:t>2类标准</w:t>
            </w:r>
            <w:r>
              <w:rPr>
                <w:rFonts w:hint="eastAsia"/>
                <w:color w:val="auto"/>
              </w:rPr>
              <w:t>要求。</w:t>
            </w:r>
          </w:p>
          <w:p>
            <w:pPr>
              <w:pStyle w:val="7"/>
              <w:ind w:firstLine="480"/>
              <w:rPr>
                <w:color w:val="auto"/>
              </w:rPr>
            </w:pPr>
            <w:r>
              <w:rPr>
                <w:rFonts w:hint="eastAsia"/>
                <w:color w:val="auto"/>
              </w:rPr>
              <w:t>3.3噪声</w:t>
            </w:r>
            <w:r>
              <w:rPr>
                <w:color w:val="auto"/>
              </w:rPr>
              <w:t>污染防</w:t>
            </w:r>
            <w:r>
              <w:rPr>
                <w:rFonts w:hint="eastAsia"/>
                <w:color w:val="auto"/>
              </w:rPr>
              <w:t>治</w:t>
            </w:r>
            <w:r>
              <w:rPr>
                <w:color w:val="auto"/>
              </w:rPr>
              <w:t>的</w:t>
            </w:r>
            <w:r>
              <w:rPr>
                <w:rFonts w:hint="eastAsia"/>
                <w:color w:val="auto"/>
              </w:rPr>
              <w:t>可</w:t>
            </w:r>
            <w:r>
              <w:rPr>
                <w:color w:val="auto"/>
              </w:rPr>
              <w:t>行</w:t>
            </w:r>
            <w:r>
              <w:rPr>
                <w:rFonts w:hint="eastAsia"/>
                <w:color w:val="auto"/>
              </w:rPr>
              <w:t>性分</w:t>
            </w:r>
            <w:r>
              <w:rPr>
                <w:color w:val="auto"/>
              </w:rPr>
              <w:t>析</w:t>
            </w:r>
          </w:p>
          <w:p>
            <w:pPr>
              <w:pStyle w:val="7"/>
              <w:ind w:firstLine="480"/>
              <w:rPr>
                <w:color w:val="auto"/>
              </w:rPr>
            </w:pPr>
            <w:r>
              <w:rPr>
                <w:rFonts w:hint="eastAsia"/>
                <w:color w:val="auto"/>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auto"/>
              </w:rPr>
              <w:t>GB12348-2008</w:t>
            </w:r>
            <w:r>
              <w:rPr>
                <w:rFonts w:hint="eastAsia"/>
                <w:color w:val="auto"/>
              </w:rPr>
              <w:t>）</w:t>
            </w:r>
            <w:r>
              <w:rPr>
                <w:color w:val="auto"/>
              </w:rPr>
              <w:t xml:space="preserve">2 </w:t>
            </w:r>
            <w:r>
              <w:rPr>
                <w:rFonts w:hint="eastAsia"/>
                <w:color w:val="auto"/>
              </w:rPr>
              <w:t>类标准要求。对周围环境影响较小。</w:t>
            </w:r>
          </w:p>
          <w:p>
            <w:pPr>
              <w:pStyle w:val="7"/>
              <w:ind w:firstLine="480"/>
              <w:rPr>
                <w:color w:val="auto"/>
              </w:rPr>
            </w:pPr>
            <w:r>
              <w:rPr>
                <w:rFonts w:hint="eastAsia"/>
                <w:color w:val="auto"/>
              </w:rPr>
              <w:t>3.4监测要求</w:t>
            </w:r>
          </w:p>
          <w:p>
            <w:pPr>
              <w:pStyle w:val="46"/>
              <w:rPr>
                <w:color w:val="auto"/>
                <w:u w:val="none"/>
              </w:rPr>
            </w:pPr>
            <w:r>
              <w:rPr>
                <w:rFonts w:hint="eastAsia"/>
                <w:color w:val="auto"/>
                <w:u w:val="none"/>
              </w:rPr>
              <w:t xml:space="preserve">表4.2-15环境监测计划一览表 </w:t>
            </w:r>
          </w:p>
          <w:tbl>
            <w:tblPr>
              <w:tblStyle w:val="31"/>
              <w:tblW w:w="791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9"/>
              <w:gridCol w:w="2889"/>
              <w:gridCol w:w="2148"/>
              <w:gridCol w:w="15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类别</w:t>
                  </w:r>
                </w:p>
              </w:tc>
              <w:tc>
                <w:tcPr>
                  <w:tcW w:w="2889"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监测点位置</w:t>
                  </w:r>
                </w:p>
              </w:tc>
              <w:tc>
                <w:tcPr>
                  <w:tcW w:w="2148"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监测项目</w:t>
                  </w:r>
                </w:p>
              </w:tc>
              <w:tc>
                <w:tcPr>
                  <w:tcW w:w="1575"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噪声</w:t>
                  </w:r>
                </w:p>
              </w:tc>
              <w:tc>
                <w:tcPr>
                  <w:tcW w:w="2889"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厂界四周外1m处</w:t>
                  </w:r>
                </w:p>
              </w:tc>
              <w:tc>
                <w:tcPr>
                  <w:tcW w:w="2148"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厂界噪声</w:t>
                  </w:r>
                </w:p>
              </w:tc>
              <w:tc>
                <w:tcPr>
                  <w:tcW w:w="1575" w:type="dxa"/>
                  <w:tcBorders>
                    <w:top w:val="single" w:color="auto" w:sz="4" w:space="0"/>
                    <w:left w:val="single" w:color="auto" w:sz="4" w:space="0"/>
                    <w:bottom w:val="single" w:color="auto" w:sz="4" w:space="0"/>
                    <w:right w:val="single" w:color="auto" w:sz="4" w:space="0"/>
                  </w:tcBorders>
                  <w:vAlign w:val="center"/>
                </w:tcPr>
                <w:p>
                  <w:pPr>
                    <w:pStyle w:val="45"/>
                    <w:rPr>
                      <w:color w:val="auto"/>
                      <w:u w:val="none"/>
                    </w:rPr>
                  </w:pPr>
                  <w:r>
                    <w:rPr>
                      <w:color w:val="auto"/>
                      <w:u w:val="none"/>
                    </w:rPr>
                    <w:t>1</w:t>
                  </w:r>
                  <w:r>
                    <w:rPr>
                      <w:rFonts w:hint="eastAsia"/>
                      <w:color w:val="auto"/>
                      <w:u w:val="none"/>
                    </w:rPr>
                    <w:t>次</w:t>
                  </w:r>
                  <w:r>
                    <w:rPr>
                      <w:color w:val="auto"/>
                      <w:u w:val="none"/>
                    </w:rPr>
                    <w:t>/</w:t>
                  </w:r>
                  <w:r>
                    <w:rPr>
                      <w:rFonts w:hint="eastAsia"/>
                      <w:color w:val="auto"/>
                      <w:u w:val="none"/>
                    </w:rPr>
                    <w:t>季度</w:t>
                  </w:r>
                </w:p>
              </w:tc>
            </w:tr>
          </w:tbl>
          <w:p>
            <w:pPr>
              <w:pStyle w:val="7"/>
              <w:numPr>
                <w:ilvl w:val="0"/>
                <w:numId w:val="7"/>
              </w:numPr>
              <w:ind w:firstLine="480"/>
              <w:rPr>
                <w:color w:val="auto"/>
              </w:rPr>
            </w:pPr>
            <w:r>
              <w:rPr>
                <w:rFonts w:hint="eastAsia"/>
                <w:color w:val="auto"/>
              </w:rPr>
              <w:t>固废</w:t>
            </w:r>
          </w:p>
          <w:p>
            <w:pPr>
              <w:pStyle w:val="7"/>
              <w:ind w:firstLine="480"/>
              <w:rPr>
                <w:color w:val="auto"/>
              </w:rPr>
            </w:pPr>
            <w:r>
              <w:rPr>
                <w:color w:val="auto"/>
              </w:rPr>
              <w:t>4</w:t>
            </w:r>
            <w:r>
              <w:rPr>
                <w:rFonts w:hint="eastAsia"/>
                <w:color w:val="auto"/>
              </w:rPr>
              <w:t>.1</w:t>
            </w:r>
            <w:r>
              <w:rPr>
                <w:color w:val="auto"/>
              </w:rPr>
              <w:t>、固体</w:t>
            </w:r>
            <w:r>
              <w:rPr>
                <w:rFonts w:hint="eastAsia"/>
                <w:color w:val="auto"/>
              </w:rPr>
              <w:t>废物产生情况及处置情况</w:t>
            </w:r>
          </w:p>
          <w:p>
            <w:pPr>
              <w:pStyle w:val="7"/>
              <w:ind w:firstLine="480"/>
              <w:rPr>
                <w:color w:val="auto"/>
              </w:rPr>
            </w:pPr>
            <w:r>
              <w:rPr>
                <w:rFonts w:hint="eastAsia"/>
                <w:color w:val="auto"/>
              </w:rPr>
              <w:t xml:space="preserve">项目运营期产生的固体废弃物主要包括生活垃圾、医疗废物、污水处理站污泥、废包装材料、未污染的一次性塑料输液瓶（袋）等。 </w:t>
            </w:r>
          </w:p>
          <w:p>
            <w:pPr>
              <w:pStyle w:val="7"/>
              <w:ind w:firstLine="480"/>
              <w:rPr>
                <w:color w:val="auto"/>
              </w:rPr>
            </w:pPr>
            <w:r>
              <w:rPr>
                <w:color w:val="auto"/>
              </w:rPr>
              <w:t>（1）生活垃圾</w:t>
            </w:r>
          </w:p>
          <w:p>
            <w:pPr>
              <w:pStyle w:val="7"/>
              <w:ind w:firstLine="480"/>
              <w:rPr>
                <w:color w:val="auto"/>
              </w:rPr>
            </w:pPr>
            <w:r>
              <w:rPr>
                <w:rFonts w:hint="eastAsia"/>
                <w:color w:val="auto"/>
              </w:rPr>
              <w:t>项目医院工作人员</w:t>
            </w:r>
            <w:r>
              <w:rPr>
                <w:rFonts w:hint="eastAsia"/>
                <w:color w:val="auto"/>
                <w:lang w:val="en-US" w:eastAsia="zh-CN"/>
              </w:rPr>
              <w:t>65</w:t>
            </w:r>
            <w:r>
              <w:rPr>
                <w:rFonts w:hint="eastAsia"/>
                <w:color w:val="auto"/>
              </w:rPr>
              <w:t>人，按工作人员每人每天产生量约</w:t>
            </w:r>
            <w:r>
              <w:rPr>
                <w:color w:val="auto"/>
              </w:rPr>
              <w:t>0.5kg</w:t>
            </w:r>
            <w:r>
              <w:rPr>
                <w:rFonts w:hint="eastAsia"/>
                <w:color w:val="auto"/>
              </w:rPr>
              <w:t>计，生活垃圾产生量为</w:t>
            </w:r>
            <w:r>
              <w:rPr>
                <w:rFonts w:hint="eastAsia"/>
                <w:color w:val="auto"/>
                <w:lang w:val="en-US" w:eastAsia="zh-CN"/>
              </w:rPr>
              <w:t>32.5</w:t>
            </w:r>
            <w:r>
              <w:rPr>
                <w:rFonts w:eastAsia="Times New Roman"/>
                <w:color w:val="auto"/>
              </w:rPr>
              <w:t>kg/d</w:t>
            </w:r>
            <w:r>
              <w:rPr>
                <w:rFonts w:hint="eastAsia"/>
                <w:color w:val="auto"/>
              </w:rPr>
              <w:t>（</w:t>
            </w:r>
            <w:r>
              <w:rPr>
                <w:rFonts w:hint="eastAsia"/>
                <w:color w:val="auto"/>
                <w:lang w:val="en-US" w:eastAsia="zh-CN"/>
              </w:rPr>
              <w:t>11.86</w:t>
            </w:r>
            <w:r>
              <w:rPr>
                <w:color w:val="auto"/>
              </w:rPr>
              <w:t>t/a</w:t>
            </w:r>
            <w:r>
              <w:rPr>
                <w:rFonts w:hint="eastAsia"/>
                <w:color w:val="auto"/>
              </w:rPr>
              <w:t>），本项目设置病床</w:t>
            </w:r>
            <w:r>
              <w:rPr>
                <w:rFonts w:hint="eastAsia"/>
                <w:color w:val="auto"/>
                <w:lang w:val="en-US" w:eastAsia="zh-CN"/>
              </w:rPr>
              <w:t>30</w:t>
            </w:r>
            <w:r>
              <w:rPr>
                <w:rFonts w:hint="eastAsia"/>
                <w:color w:val="auto"/>
              </w:rPr>
              <w:t>张</w:t>
            </w:r>
            <w:r>
              <w:rPr>
                <w:rFonts w:hint="eastAsia"/>
                <w:color w:val="auto"/>
                <w:lang w:eastAsia="zh-CN"/>
              </w:rPr>
              <w:t>，</w:t>
            </w:r>
            <w:r>
              <w:rPr>
                <w:rFonts w:hint="eastAsia"/>
                <w:color w:val="auto"/>
              </w:rPr>
              <w:t>按每床每天产生</w:t>
            </w:r>
            <w:r>
              <w:rPr>
                <w:color w:val="auto"/>
              </w:rPr>
              <w:t>1kg</w:t>
            </w:r>
            <w:r>
              <w:rPr>
                <w:rFonts w:hint="eastAsia"/>
                <w:color w:val="auto"/>
              </w:rPr>
              <w:t>计算，</w:t>
            </w:r>
            <w:r>
              <w:rPr>
                <w:rFonts w:hint="eastAsia"/>
                <w:color w:val="auto"/>
                <w:u w:val="single"/>
              </w:rPr>
              <w:t>病人生活垃圾产生量约为</w:t>
            </w:r>
            <w:r>
              <w:rPr>
                <w:rFonts w:hint="eastAsia"/>
                <w:color w:val="auto"/>
                <w:u w:val="single"/>
                <w:lang w:val="en-US" w:eastAsia="zh-CN"/>
              </w:rPr>
              <w:t>30</w:t>
            </w:r>
            <w:r>
              <w:rPr>
                <w:rFonts w:eastAsia="Times New Roman"/>
                <w:color w:val="auto"/>
                <w:u w:val="single"/>
              </w:rPr>
              <w:t>kg/d</w:t>
            </w:r>
            <w:r>
              <w:rPr>
                <w:rFonts w:hint="eastAsia"/>
                <w:color w:val="auto"/>
                <w:u w:val="single"/>
              </w:rPr>
              <w:t>（</w:t>
            </w:r>
            <w:r>
              <w:rPr>
                <w:rFonts w:hint="eastAsia"/>
                <w:color w:val="auto"/>
                <w:u w:val="single"/>
                <w:lang w:val="en-US" w:eastAsia="zh-CN"/>
              </w:rPr>
              <w:t>10.95</w:t>
            </w:r>
            <w:r>
              <w:rPr>
                <w:color w:val="auto"/>
                <w:u w:val="single"/>
              </w:rPr>
              <w:t>t/a</w:t>
            </w:r>
            <w:r>
              <w:rPr>
                <w:rFonts w:hint="eastAsia"/>
                <w:color w:val="auto"/>
                <w:u w:val="single"/>
              </w:rPr>
              <w:t>）。合计为</w:t>
            </w:r>
            <w:r>
              <w:rPr>
                <w:rFonts w:hint="eastAsia"/>
                <w:color w:val="auto"/>
                <w:u w:val="single"/>
                <w:lang w:val="en-US" w:eastAsia="zh-CN"/>
              </w:rPr>
              <w:t>22.81</w:t>
            </w:r>
            <w:r>
              <w:rPr>
                <w:color w:val="auto"/>
                <w:u w:val="single"/>
              </w:rPr>
              <w:t>t/a</w:t>
            </w:r>
            <w:r>
              <w:rPr>
                <w:rFonts w:hint="eastAsia"/>
                <w:color w:val="auto"/>
              </w:rPr>
              <w:t>。生活垃圾经分类收集后由环卫部门定期进行清运，不会对外环境造成大的影响。</w:t>
            </w:r>
          </w:p>
          <w:p>
            <w:pPr>
              <w:pStyle w:val="7"/>
              <w:ind w:firstLine="480"/>
              <w:rPr>
                <w:color w:val="auto"/>
              </w:rPr>
            </w:pPr>
            <w:r>
              <w:rPr>
                <w:color w:val="auto"/>
              </w:rPr>
              <w:t>（2）</w:t>
            </w:r>
            <w:r>
              <w:rPr>
                <w:rFonts w:hint="eastAsia"/>
                <w:color w:val="auto"/>
              </w:rPr>
              <w:t>医疗废物</w:t>
            </w:r>
          </w:p>
          <w:p>
            <w:pPr>
              <w:pStyle w:val="7"/>
              <w:ind w:firstLine="480"/>
              <w:rPr>
                <w:color w:val="auto"/>
              </w:rPr>
            </w:pPr>
            <w:r>
              <w:rPr>
                <w:color w:val="auto"/>
              </w:rPr>
              <w:t>根据</w:t>
            </w:r>
            <w:r>
              <w:rPr>
                <w:rFonts w:hint="eastAsia" w:ascii="宋体" w:hAnsi="宋体" w:cs="宋体"/>
                <w:color w:val="auto"/>
                <w:kern w:val="0"/>
              </w:rPr>
              <w:t>《危险废物名录》（</w:t>
            </w:r>
            <w:r>
              <w:rPr>
                <w:color w:val="auto"/>
                <w:kern w:val="0"/>
              </w:rPr>
              <w:t>202</w:t>
            </w:r>
            <w:r>
              <w:rPr>
                <w:rFonts w:hint="eastAsia"/>
                <w:color w:val="auto"/>
                <w:kern w:val="0"/>
              </w:rPr>
              <w:t>1</w:t>
            </w:r>
            <w:r>
              <w:rPr>
                <w:rFonts w:hint="eastAsia" w:ascii="宋体" w:hAnsi="宋体" w:cs="宋体"/>
                <w:color w:val="auto"/>
                <w:kern w:val="0"/>
              </w:rPr>
              <w:t>年版）</w:t>
            </w:r>
            <w:r>
              <w:rPr>
                <w:color w:val="auto"/>
              </w:rPr>
              <w:t>，医疗废物包括感染性废物、损伤性废物、病理性废物、药物性废物和化学性废物，废物类别为HW01。本项目医疗废物主要包括被病人血液或人体体液污染的医疗材料、医疗仪器、废药品等。</w:t>
            </w:r>
          </w:p>
          <w:p>
            <w:pPr>
              <w:pStyle w:val="7"/>
              <w:ind w:firstLine="480"/>
              <w:rPr>
                <w:color w:val="auto"/>
              </w:rPr>
            </w:pPr>
            <w:r>
              <w:rPr>
                <w:color w:val="auto"/>
              </w:rPr>
              <w:t>A、感染性废物</w:t>
            </w:r>
          </w:p>
          <w:p>
            <w:pPr>
              <w:pStyle w:val="7"/>
              <w:ind w:firstLine="480"/>
              <w:rPr>
                <w:color w:val="auto"/>
              </w:rPr>
            </w:pPr>
            <w:r>
              <w:rPr>
                <w:color w:val="auto"/>
              </w:rPr>
              <w:t>病人产生废物属于感染性废物，废物类别为HW01，废物代码</w:t>
            </w:r>
            <w:r>
              <w:rPr>
                <w:rFonts w:hint="eastAsia"/>
                <w:color w:val="auto"/>
              </w:rPr>
              <w:t>841-001-01</w:t>
            </w:r>
            <w:r>
              <w:rPr>
                <w:color w:val="auto"/>
              </w:rPr>
              <w:t>1，住院病人按0.1kg/床·d计（其中包含日常治疗产生的医疗垃圾），产生医疗废物</w:t>
            </w:r>
            <w:r>
              <w:rPr>
                <w:rFonts w:hint="eastAsia"/>
                <w:color w:val="auto"/>
                <w:lang w:val="en-US" w:eastAsia="zh-CN"/>
              </w:rPr>
              <w:t>3</w:t>
            </w:r>
            <w:r>
              <w:rPr>
                <w:color w:val="auto"/>
              </w:rPr>
              <w:t>kg/d</w:t>
            </w:r>
            <w:r>
              <w:rPr>
                <w:rFonts w:hint="eastAsia"/>
                <w:color w:val="auto"/>
              </w:rPr>
              <w:t>；</w:t>
            </w:r>
            <w:r>
              <w:rPr>
                <w:color w:val="auto"/>
              </w:rPr>
              <w:t>门诊产生的废物按0.05kg/人·次计，产生医疗废物</w:t>
            </w:r>
            <w:r>
              <w:rPr>
                <w:rFonts w:hint="eastAsia"/>
                <w:color w:val="auto"/>
                <w:lang w:val="en-US" w:eastAsia="zh-CN"/>
              </w:rPr>
              <w:t>2.5</w:t>
            </w:r>
            <w:r>
              <w:rPr>
                <w:color w:val="auto"/>
              </w:rPr>
              <w:t>kg/d。因此本工程产生的感染性废物总量为</w:t>
            </w:r>
            <w:r>
              <w:rPr>
                <w:rFonts w:hint="eastAsia"/>
                <w:color w:val="auto"/>
                <w:lang w:val="en-US" w:eastAsia="zh-CN"/>
              </w:rPr>
              <w:t>5.5</w:t>
            </w:r>
            <w:r>
              <w:rPr>
                <w:color w:val="auto"/>
              </w:rPr>
              <w:t>kg/d（</w:t>
            </w:r>
            <w:r>
              <w:rPr>
                <w:rFonts w:hint="eastAsia"/>
                <w:color w:val="auto"/>
                <w:lang w:val="en-US" w:eastAsia="zh-CN"/>
              </w:rPr>
              <w:t>2.01</w:t>
            </w:r>
            <w:r>
              <w:rPr>
                <w:color w:val="auto"/>
              </w:rPr>
              <w:t>t/a）。</w:t>
            </w:r>
          </w:p>
          <w:p>
            <w:pPr>
              <w:pStyle w:val="7"/>
              <w:ind w:firstLine="480"/>
              <w:rPr>
                <w:color w:val="auto"/>
              </w:rPr>
            </w:pPr>
            <w:r>
              <w:rPr>
                <w:color w:val="auto"/>
              </w:rPr>
              <w:t>B、损伤性废物</w:t>
            </w:r>
          </w:p>
          <w:p>
            <w:pPr>
              <w:pStyle w:val="7"/>
              <w:ind w:firstLine="480"/>
              <w:rPr>
                <w:color w:val="FF0000"/>
              </w:rPr>
            </w:pPr>
            <w:r>
              <w:rPr>
                <w:color w:val="auto"/>
              </w:rPr>
              <w:t>废弃的或一次性的注射器、针头、化验器皿、玻璃、药盒及其它可能引起切伤刺伤的器物，属于损伤性废物，废物类别为HW01，废物代码</w:t>
            </w:r>
            <w:r>
              <w:rPr>
                <w:rFonts w:hint="eastAsia"/>
                <w:color w:val="auto"/>
              </w:rPr>
              <w:t>8</w:t>
            </w:r>
            <w:r>
              <w:rPr>
                <w:color w:val="auto"/>
              </w:rPr>
              <w:t>41-002-01，</w:t>
            </w:r>
            <w:r>
              <w:rPr>
                <w:color w:val="auto"/>
                <w:u w:val="single"/>
              </w:rPr>
              <w:t>住院病人按每病床每日产生锐器0.1kg计（其中包含日常治疗产生的医疗垃圾），产生医疗废物</w:t>
            </w:r>
            <w:r>
              <w:rPr>
                <w:rFonts w:hint="eastAsia"/>
                <w:color w:val="auto"/>
                <w:u w:val="single"/>
                <w:lang w:val="en-US" w:eastAsia="zh-CN"/>
              </w:rPr>
              <w:t>3</w:t>
            </w:r>
            <w:r>
              <w:rPr>
                <w:color w:val="auto"/>
                <w:u w:val="single"/>
              </w:rPr>
              <w:t>kg/d</w:t>
            </w:r>
            <w:r>
              <w:rPr>
                <w:rFonts w:hint="eastAsia"/>
                <w:color w:val="auto"/>
                <w:u w:val="single"/>
              </w:rPr>
              <w:t>；</w:t>
            </w:r>
            <w:r>
              <w:rPr>
                <w:color w:val="auto"/>
                <w:u w:val="single"/>
              </w:rPr>
              <w:t>门诊产生的锐器按每日每人次产生0.025kg计，产生医疗废物</w:t>
            </w:r>
            <w:r>
              <w:rPr>
                <w:rFonts w:hint="eastAsia"/>
                <w:color w:val="auto"/>
                <w:u w:val="single"/>
                <w:lang w:eastAsia="zh-CN"/>
              </w:rPr>
              <w:t>1.25</w:t>
            </w:r>
            <w:r>
              <w:rPr>
                <w:color w:val="auto"/>
                <w:u w:val="single"/>
              </w:rPr>
              <w:t>kg/d。因此本项目产生的损伤性废物量为</w:t>
            </w:r>
            <w:r>
              <w:rPr>
                <w:rFonts w:hint="eastAsia"/>
                <w:color w:val="auto"/>
                <w:u w:val="single"/>
                <w:lang w:val="en-US" w:eastAsia="zh-CN"/>
              </w:rPr>
              <w:t>4.25</w:t>
            </w:r>
            <w:r>
              <w:rPr>
                <w:color w:val="auto"/>
                <w:u w:val="single"/>
              </w:rPr>
              <w:t>kg/d（</w:t>
            </w:r>
            <w:r>
              <w:rPr>
                <w:rFonts w:hint="eastAsia"/>
                <w:color w:val="auto"/>
                <w:u w:val="single"/>
                <w:lang w:val="en-US" w:eastAsia="zh-CN"/>
              </w:rPr>
              <w:t>1.55</w:t>
            </w:r>
            <w:r>
              <w:rPr>
                <w:color w:val="auto"/>
                <w:u w:val="single"/>
              </w:rPr>
              <w:t>t/a）</w:t>
            </w:r>
            <w:r>
              <w:rPr>
                <w:color w:val="auto"/>
              </w:rPr>
              <w:t>。</w:t>
            </w:r>
          </w:p>
          <w:p>
            <w:pPr>
              <w:pStyle w:val="7"/>
              <w:ind w:firstLine="480"/>
              <w:rPr>
                <w:color w:val="auto"/>
              </w:rPr>
            </w:pPr>
            <w:r>
              <w:rPr>
                <w:color w:val="auto"/>
              </w:rPr>
              <w:t>C、病理性废物</w:t>
            </w:r>
          </w:p>
          <w:p>
            <w:pPr>
              <w:pStyle w:val="7"/>
              <w:ind w:firstLine="480"/>
              <w:rPr>
                <w:color w:val="auto"/>
              </w:rPr>
            </w:pPr>
            <w:r>
              <w:rPr>
                <w:color w:val="auto"/>
              </w:rPr>
              <w:t>病理性废物主要包括手术及其他诊疗过程病例切片后废弃的人体组织、病理蜡块等，属于医疗废物，废物类别为HW</w:t>
            </w:r>
            <w:r>
              <w:rPr>
                <w:rFonts w:hint="eastAsia"/>
                <w:color w:val="auto"/>
              </w:rPr>
              <w:t>01</w:t>
            </w:r>
            <w:r>
              <w:rPr>
                <w:color w:val="auto"/>
              </w:rPr>
              <w:t>，废物代码8</w:t>
            </w:r>
            <w:r>
              <w:rPr>
                <w:rFonts w:hint="eastAsia"/>
                <w:color w:val="auto"/>
              </w:rPr>
              <w:t>4</w:t>
            </w:r>
            <w:r>
              <w:rPr>
                <w:color w:val="auto"/>
              </w:rPr>
              <w:t>1-003-01。类比同规模</w:t>
            </w:r>
            <w:r>
              <w:rPr>
                <w:rFonts w:hint="eastAsia"/>
                <w:color w:val="auto"/>
              </w:rPr>
              <w:t>乡镇卫生院</w:t>
            </w:r>
            <w:r>
              <w:rPr>
                <w:color w:val="auto"/>
              </w:rPr>
              <w:t>现状产生量为1kg/d（0.365t/a）。</w:t>
            </w:r>
          </w:p>
          <w:p>
            <w:pPr>
              <w:pStyle w:val="7"/>
              <w:ind w:firstLine="480"/>
              <w:rPr>
                <w:color w:val="auto"/>
              </w:rPr>
            </w:pPr>
            <w:r>
              <w:rPr>
                <w:color w:val="auto"/>
              </w:rPr>
              <w:t>D、化学性废物</w:t>
            </w:r>
          </w:p>
          <w:p>
            <w:pPr>
              <w:pStyle w:val="7"/>
              <w:ind w:firstLine="480"/>
              <w:rPr>
                <w:color w:val="auto"/>
              </w:rPr>
            </w:pPr>
            <w:r>
              <w:rPr>
                <w:color w:val="auto"/>
              </w:rPr>
              <w:t>化学性废物主要包括废弃的化学消毒剂，废弃的汞血压计、汞温度计等，属于医疗废物，废物类别为HW01，废物代码8</w:t>
            </w:r>
            <w:r>
              <w:rPr>
                <w:rFonts w:hint="eastAsia"/>
                <w:color w:val="auto"/>
              </w:rPr>
              <w:t>4</w:t>
            </w:r>
            <w:r>
              <w:rPr>
                <w:color w:val="auto"/>
              </w:rPr>
              <w:t>1-004-01。类比同规模综合性医院现状产生量为产生量约为0.1kg/d（0.037t/a）。</w:t>
            </w:r>
          </w:p>
          <w:p>
            <w:pPr>
              <w:pStyle w:val="7"/>
              <w:ind w:firstLine="480"/>
              <w:rPr>
                <w:color w:val="auto"/>
              </w:rPr>
            </w:pPr>
            <w:r>
              <w:rPr>
                <w:color w:val="auto"/>
              </w:rPr>
              <w:t>E、药物性废物</w:t>
            </w:r>
          </w:p>
          <w:p>
            <w:pPr>
              <w:pStyle w:val="7"/>
              <w:ind w:firstLine="480"/>
              <w:rPr>
                <w:color w:val="auto"/>
              </w:rPr>
            </w:pPr>
            <w:r>
              <w:rPr>
                <w:color w:val="auto"/>
              </w:rPr>
              <w:t>药物性废物主要是医院过期的、废弃的药品、疫苗、从病房处退回的药品和淘汰的药物等，属于医疗废物，废物类别为HW</w:t>
            </w:r>
            <w:r>
              <w:rPr>
                <w:rFonts w:hint="eastAsia"/>
                <w:color w:val="auto"/>
              </w:rPr>
              <w:t>01</w:t>
            </w:r>
            <w:r>
              <w:rPr>
                <w:color w:val="auto"/>
              </w:rPr>
              <w:t>，废物代码8</w:t>
            </w:r>
            <w:r>
              <w:rPr>
                <w:rFonts w:hint="eastAsia"/>
                <w:color w:val="auto"/>
              </w:rPr>
              <w:t>4</w:t>
            </w:r>
            <w:r>
              <w:rPr>
                <w:color w:val="auto"/>
              </w:rPr>
              <w:t>1-005-01。类比同规模</w:t>
            </w:r>
            <w:r>
              <w:rPr>
                <w:rFonts w:hint="eastAsia"/>
                <w:color w:val="auto"/>
              </w:rPr>
              <w:t>乡镇卫生院</w:t>
            </w:r>
            <w:r>
              <w:rPr>
                <w:color w:val="auto"/>
              </w:rPr>
              <w:t>现状产生量为0.2kg/d（0.073t/a）。</w:t>
            </w:r>
          </w:p>
          <w:p>
            <w:pPr>
              <w:pStyle w:val="7"/>
              <w:ind w:firstLine="480"/>
              <w:rPr>
                <w:color w:val="auto"/>
              </w:rPr>
            </w:pPr>
            <w:r>
              <w:rPr>
                <w:color w:val="auto"/>
              </w:rPr>
              <w:t>项目医疗废物总产生量为</w:t>
            </w:r>
            <w:r>
              <w:rPr>
                <w:rFonts w:hint="eastAsia"/>
                <w:color w:val="auto"/>
                <w:lang w:val="en-US" w:eastAsia="zh-CN"/>
              </w:rPr>
              <w:t>11.05</w:t>
            </w:r>
            <w:r>
              <w:rPr>
                <w:color w:val="auto"/>
              </w:rPr>
              <w:t>kg/d（</w:t>
            </w:r>
            <w:r>
              <w:rPr>
                <w:rFonts w:hint="eastAsia"/>
                <w:color w:val="auto"/>
                <w:lang w:val="en-US" w:eastAsia="zh-CN"/>
              </w:rPr>
              <w:t>4.035</w:t>
            </w:r>
            <w:r>
              <w:rPr>
                <w:color w:val="auto"/>
              </w:rPr>
              <w:t>t/a）。</w:t>
            </w:r>
          </w:p>
          <w:p>
            <w:pPr>
              <w:pStyle w:val="7"/>
              <w:ind w:firstLine="480"/>
              <w:rPr>
                <w:color w:val="auto"/>
                <w:u w:val="single"/>
              </w:rPr>
            </w:pPr>
            <w:r>
              <w:rPr>
                <w:color w:val="auto"/>
                <w:u w:val="single"/>
              </w:rPr>
              <w:t>（3）污水处理站产生的污泥</w:t>
            </w:r>
          </w:p>
          <w:p>
            <w:pPr>
              <w:pStyle w:val="7"/>
              <w:ind w:firstLine="480"/>
              <w:rPr>
                <w:rFonts w:hint="eastAsia" w:ascii="宋体" w:hAnsi="宋体" w:cs="宋体"/>
                <w:color w:val="auto"/>
                <w:kern w:val="0"/>
                <w:sz w:val="24"/>
                <w:szCs w:val="24"/>
                <w:highlight w:val="yellow"/>
                <w:u w:val="single"/>
                <w:lang w:val="en-US" w:eastAsia="zh-CN" w:bidi="ar"/>
              </w:rPr>
            </w:pPr>
            <w:r>
              <w:rPr>
                <w:rFonts w:hint="eastAsia"/>
                <w:color w:val="auto"/>
                <w:u w:val="single"/>
              </w:rPr>
              <w:t>污水处理设备产生的污泥量一般每立方米污水产泥量约有</w:t>
            </w:r>
            <w:r>
              <w:rPr>
                <w:color w:val="auto"/>
                <w:u w:val="single"/>
              </w:rPr>
              <w:t>0.15kg</w:t>
            </w:r>
            <w:r>
              <w:rPr>
                <w:rFonts w:hint="eastAsia"/>
                <w:color w:val="auto"/>
                <w:u w:val="single"/>
              </w:rPr>
              <w:t>（含水率</w:t>
            </w:r>
            <w:r>
              <w:rPr>
                <w:color w:val="auto"/>
                <w:u w:val="single"/>
              </w:rPr>
              <w:t>98%</w:t>
            </w:r>
            <w:r>
              <w:rPr>
                <w:rFonts w:hint="eastAsia"/>
                <w:color w:val="auto"/>
                <w:u w:val="single"/>
              </w:rPr>
              <w:t>），本项目污水排放量为</w:t>
            </w:r>
            <w:r>
              <w:rPr>
                <w:rFonts w:hint="eastAsia"/>
                <w:color w:val="auto"/>
                <w:u w:val="single"/>
                <w:lang w:val="en-US" w:eastAsia="zh-CN"/>
              </w:rPr>
              <w:t>3,182.8</w:t>
            </w:r>
            <w:r>
              <w:rPr>
                <w:color w:val="auto"/>
                <w:u w:val="single"/>
              </w:rPr>
              <w:t>m³/a</w:t>
            </w:r>
            <w:r>
              <w:rPr>
                <w:rFonts w:hint="eastAsia"/>
                <w:color w:val="auto"/>
                <w:u w:val="single"/>
              </w:rPr>
              <w:t>，则污泥产生量为</w:t>
            </w:r>
            <w:r>
              <w:rPr>
                <w:rFonts w:hint="eastAsia"/>
                <w:color w:val="auto"/>
                <w:u w:val="single"/>
                <w:lang w:val="en-US" w:eastAsia="zh-CN"/>
              </w:rPr>
              <w:t>0.48</w:t>
            </w:r>
            <w:r>
              <w:rPr>
                <w:color w:val="auto"/>
                <w:u w:val="single"/>
              </w:rPr>
              <w:t>t/a</w:t>
            </w:r>
            <w:r>
              <w:rPr>
                <w:rFonts w:hint="eastAsia"/>
                <w:color w:val="auto"/>
                <w:u w:val="single"/>
              </w:rPr>
              <w:t>。根据《</w:t>
            </w:r>
            <w:r>
              <w:rPr>
                <w:rFonts w:hint="eastAsia"/>
                <w:color w:val="auto"/>
                <w:u w:val="single"/>
                <w:lang w:val="en-US" w:eastAsia="zh-CN"/>
              </w:rPr>
              <w:t>国家</w:t>
            </w:r>
            <w:r>
              <w:rPr>
                <w:rFonts w:hint="eastAsia"/>
                <w:color w:val="auto"/>
                <w:u w:val="single"/>
              </w:rPr>
              <w:t>危险废物名录》（</w:t>
            </w:r>
            <w:r>
              <w:rPr>
                <w:color w:val="auto"/>
                <w:u w:val="single"/>
              </w:rPr>
              <w:t>202</w:t>
            </w:r>
            <w:r>
              <w:rPr>
                <w:rFonts w:hint="eastAsia"/>
                <w:color w:val="auto"/>
                <w:u w:val="single"/>
              </w:rPr>
              <w:t>1年版），该部分废物属于危险废物HW01（841-001-01）。</w:t>
            </w:r>
            <w:r>
              <w:rPr>
                <w:color w:val="auto"/>
                <w:u w:val="single"/>
              </w:rPr>
              <w:t>根据《医疗机构水污染物排放标准》（GB18466-2005）4.3条栅渣、化粪池和污水处理站污泥属危险废物，应按危险废物进行处理和处置。根据《医院污水处理工程技术规范》（HJ2029-2013）6.3.5.3条规定，医院污泥按危险废物处理处置要求，由具有危险废物处理处置资质的单位进行集中处置。环评要求建设单位按照标准及规范要求，</w:t>
            </w:r>
            <w:r>
              <w:rPr>
                <w:rFonts w:hint="eastAsia"/>
                <w:color w:val="auto"/>
                <w:u w:val="single"/>
              </w:rPr>
              <w:t>产生的污泥</w:t>
            </w:r>
            <w:r>
              <w:rPr>
                <w:rFonts w:hint="eastAsia"/>
                <w:color w:val="auto"/>
                <w:u w:val="single"/>
                <w:lang w:val="en-US" w:eastAsia="zh-CN"/>
              </w:rPr>
              <w:t>需</w:t>
            </w:r>
            <w:r>
              <w:rPr>
                <w:rFonts w:hint="eastAsia"/>
                <w:color w:val="auto"/>
                <w:u w:val="single"/>
              </w:rPr>
              <w:t>脱水消毒</w:t>
            </w:r>
            <w:r>
              <w:rPr>
                <w:rFonts w:hint="eastAsia"/>
                <w:color w:val="auto"/>
                <w:u w:val="single"/>
                <w:lang w:eastAsia="zh-CN"/>
              </w:rPr>
              <w:t>（</w:t>
            </w:r>
            <w:r>
              <w:rPr>
                <w:rFonts w:hint="eastAsia"/>
                <w:color w:val="auto"/>
                <w:u w:val="single"/>
              </w:rPr>
              <w:t>投加石灰</w:t>
            </w:r>
            <w:r>
              <w:rPr>
                <w:rFonts w:hint="eastAsia"/>
                <w:color w:val="auto"/>
                <w:u w:val="single"/>
                <w:lang w:eastAsia="zh-CN"/>
              </w:rPr>
              <w:t>），</w:t>
            </w:r>
            <w:r>
              <w:rPr>
                <w:color w:val="auto"/>
                <w:u w:val="single"/>
              </w:rPr>
              <w:t>污泥清掏前应进行监测，当粪大肠菌群数≤100MPN/kg</w:t>
            </w:r>
            <w:r>
              <w:rPr>
                <w:rFonts w:hint="eastAsia"/>
                <w:color w:val="auto"/>
                <w:u w:val="single"/>
                <w:lang w:eastAsia="zh-CN"/>
              </w:rPr>
              <w:t>、</w:t>
            </w:r>
            <w:r>
              <w:rPr>
                <w:rFonts w:ascii="Times New Roman" w:hAnsi="Times New Roman" w:eastAsia="宋体" w:cs="Times New Roman"/>
                <w:color w:val="auto"/>
                <w:u w:val="single"/>
              </w:rPr>
              <w:t>蛔虫卵死亡率/%</w:t>
            </w:r>
            <w:r>
              <w:rPr>
                <w:rFonts w:hint="eastAsia" w:ascii="Times New Roman" w:hAnsi="Times New Roman" w:eastAsia="宋体" w:cs="Times New Roman"/>
                <w:color w:val="auto"/>
                <w:u w:val="single"/>
              </w:rPr>
              <w:t>＞95</w:t>
            </w:r>
            <w:r>
              <w:rPr>
                <w:rFonts w:ascii="Times New Roman" w:hAnsi="Times New Roman" w:eastAsia="宋体" w:cs="Times New Roman"/>
                <w:color w:val="auto"/>
                <w:u w:val="single"/>
              </w:rPr>
              <w:t>时</w:t>
            </w:r>
            <w:r>
              <w:rPr>
                <w:color w:val="auto"/>
                <w:u w:val="single"/>
              </w:rPr>
              <w:t>，污泥才可进行清掏，由</w:t>
            </w:r>
            <w:r>
              <w:rPr>
                <w:rFonts w:hint="eastAsia"/>
                <w:color w:val="auto"/>
                <w:u w:val="single"/>
              </w:rPr>
              <w:t>岳阳市方向固废安全处置有限公司</w:t>
            </w:r>
            <w:r>
              <w:rPr>
                <w:color w:val="auto"/>
                <w:u w:val="single"/>
              </w:rPr>
              <w:t>负责清掏</w:t>
            </w:r>
            <w:r>
              <w:rPr>
                <w:color w:val="auto"/>
                <w:highlight w:val="none"/>
                <w:u w:val="single"/>
              </w:rPr>
              <w:t>、转运及处置</w:t>
            </w:r>
            <w:r>
              <w:rPr>
                <w:rFonts w:hint="eastAsia"/>
                <w:color w:val="auto"/>
                <w:highlight w:val="none"/>
                <w:u w:val="single"/>
                <w:lang w:eastAsia="zh-CN"/>
              </w:rPr>
              <w:t>，</w:t>
            </w:r>
            <w:r>
              <w:rPr>
                <w:rFonts w:hint="eastAsia"/>
                <w:color w:val="auto"/>
                <w:highlight w:val="none"/>
                <w:u w:val="single"/>
                <w:lang w:val="en-US" w:eastAsia="zh-CN"/>
              </w:rPr>
              <w:t>一年</w:t>
            </w:r>
            <w:r>
              <w:rPr>
                <w:rFonts w:hint="eastAsia"/>
                <w:color w:val="auto"/>
                <w:highlight w:val="none"/>
                <w:u w:val="single"/>
                <w:lang w:eastAsia="zh-CN"/>
              </w:rPr>
              <w:t>清掏</w:t>
            </w:r>
            <w:r>
              <w:rPr>
                <w:rFonts w:hint="eastAsia"/>
                <w:color w:val="auto"/>
                <w:highlight w:val="none"/>
                <w:u w:val="single"/>
                <w:lang w:val="en-US" w:eastAsia="zh-CN"/>
              </w:rPr>
              <w:t>1次</w:t>
            </w:r>
            <w:r>
              <w:rPr>
                <w:color w:val="auto"/>
                <w:highlight w:val="none"/>
                <w:u w:val="single"/>
              </w:rPr>
              <w:t>，</w:t>
            </w:r>
            <w:r>
              <w:rPr>
                <w:rFonts w:hint="eastAsia"/>
                <w:color w:val="auto"/>
                <w:highlight w:val="none"/>
                <w:u w:val="single"/>
              </w:rPr>
              <w:t>本项目不设置污泥处理池，不自行设置污泥处置场所</w:t>
            </w:r>
            <w:r>
              <w:rPr>
                <w:color w:val="auto"/>
                <w:highlight w:val="none"/>
                <w:u w:val="single"/>
              </w:rPr>
              <w:t>。</w:t>
            </w:r>
          </w:p>
          <w:p>
            <w:pPr>
              <w:pStyle w:val="7"/>
              <w:ind w:firstLine="480"/>
              <w:rPr>
                <w:color w:val="auto"/>
              </w:rPr>
            </w:pPr>
            <w:r>
              <w:rPr>
                <w:rFonts w:hint="eastAsia"/>
                <w:color w:val="auto"/>
              </w:rPr>
              <w:t>（4）废包装材料</w:t>
            </w:r>
          </w:p>
          <w:p>
            <w:pPr>
              <w:pStyle w:val="7"/>
              <w:ind w:firstLine="480"/>
              <w:rPr>
                <w:color w:val="auto"/>
              </w:rPr>
            </w:pPr>
            <w:r>
              <w:rPr>
                <w:rFonts w:hint="eastAsia"/>
                <w:color w:val="auto"/>
              </w:rPr>
              <w:t>医院使用的药品、设备等的外包装材料塑料袋、纸盒等，类比同类型医院，一般的医药包装材料遗弃物，如盒、纸箱类等，产生量约为</w:t>
            </w:r>
            <w:r>
              <w:rPr>
                <w:color w:val="auto"/>
              </w:rPr>
              <w:t>1</w:t>
            </w:r>
            <w:r>
              <w:rPr>
                <w:rFonts w:hint="eastAsia"/>
                <w:color w:val="auto"/>
              </w:rPr>
              <w:t>.0</w:t>
            </w:r>
            <w:r>
              <w:rPr>
                <w:color w:val="auto"/>
              </w:rPr>
              <w:t>t/a</w:t>
            </w:r>
            <w:r>
              <w:rPr>
                <w:rFonts w:hint="eastAsia"/>
                <w:color w:val="auto"/>
              </w:rPr>
              <w:t>，收集后交资源回收公司处理。</w:t>
            </w:r>
          </w:p>
          <w:p>
            <w:pPr>
              <w:pStyle w:val="7"/>
              <w:ind w:firstLine="480"/>
              <w:rPr>
                <w:color w:val="auto"/>
              </w:rPr>
            </w:pPr>
            <w:r>
              <w:rPr>
                <w:rFonts w:hint="eastAsia"/>
                <w:color w:val="auto"/>
              </w:rPr>
              <w:t>（5）未污染的一次性塑料输液瓶 (袋)</w:t>
            </w:r>
          </w:p>
          <w:p>
            <w:pPr>
              <w:pStyle w:val="7"/>
              <w:ind w:firstLine="480"/>
              <w:rPr>
                <w:color w:val="auto"/>
              </w:rPr>
            </w:pPr>
            <w:r>
              <w:rPr>
                <w:rFonts w:hint="eastAsia"/>
                <w:color w:val="auto"/>
              </w:rPr>
              <w:t>医疗机构运营期间会产生大量废塑料瓶(袋)及输液胶管，根据《关于在医疗机构推进生活垃圾分类管理的通知》(国卫办医发[2017]30号的规定，对于未被患者血液、体液和排泄物等污染的输液瓶(袋)，应当在其与输液管 连接处去除输液管后单独集中回收、存放。据类比过往数据，本未被污染的一次性塑料输液瓶 (袋)产生量1.0t/a，一次性塑料输液瓶(袋)集中收集交专门单位回收处置。</w:t>
            </w:r>
          </w:p>
          <w:p>
            <w:pPr>
              <w:pStyle w:val="7"/>
              <w:ind w:firstLine="480"/>
              <w:rPr>
                <w:color w:val="auto"/>
              </w:rPr>
            </w:pPr>
            <w:r>
              <w:rPr>
                <w:rFonts w:hint="eastAsia"/>
                <w:color w:val="auto"/>
              </w:rPr>
              <w:t>本项目固体废物产生情况见下表。</w:t>
            </w:r>
          </w:p>
          <w:p>
            <w:pPr>
              <w:pStyle w:val="46"/>
              <w:rPr>
                <w:color w:val="auto"/>
              </w:rPr>
            </w:pPr>
            <w:r>
              <w:rPr>
                <w:rFonts w:hint="eastAsia"/>
                <w:color w:val="auto"/>
              </w:rPr>
              <w:t>表4.2-16 本项目固体废物产生情况一览表</w:t>
            </w:r>
          </w:p>
          <w:tbl>
            <w:tblPr>
              <w:tblStyle w:val="32"/>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514"/>
              <w:gridCol w:w="1463"/>
              <w:gridCol w:w="1239"/>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tcBorders>
                    <w:tl2br w:val="nil"/>
                    <w:tr2bl w:val="nil"/>
                  </w:tcBorders>
                  <w:vAlign w:val="center"/>
                </w:tcPr>
                <w:p>
                  <w:pPr>
                    <w:pStyle w:val="45"/>
                    <w:spacing w:line="276" w:lineRule="auto"/>
                    <w:rPr>
                      <w:color w:val="auto"/>
                    </w:rPr>
                  </w:pPr>
                  <w:r>
                    <w:rPr>
                      <w:rFonts w:hint="eastAsia"/>
                      <w:color w:val="auto"/>
                    </w:rPr>
                    <w:t>序号</w:t>
                  </w:r>
                </w:p>
              </w:tc>
              <w:tc>
                <w:tcPr>
                  <w:tcW w:w="1532" w:type="dxa"/>
                  <w:tcBorders>
                    <w:tl2br w:val="nil"/>
                    <w:tr2bl w:val="nil"/>
                  </w:tcBorders>
                  <w:vAlign w:val="center"/>
                </w:tcPr>
                <w:p>
                  <w:pPr>
                    <w:pStyle w:val="45"/>
                    <w:spacing w:line="276" w:lineRule="auto"/>
                    <w:rPr>
                      <w:color w:val="auto"/>
                    </w:rPr>
                  </w:pPr>
                  <w:r>
                    <w:rPr>
                      <w:rFonts w:hint="eastAsia"/>
                      <w:color w:val="auto"/>
                    </w:rPr>
                    <w:t>污染物名称</w:t>
                  </w:r>
                </w:p>
              </w:tc>
              <w:tc>
                <w:tcPr>
                  <w:tcW w:w="1480" w:type="dxa"/>
                  <w:tcBorders>
                    <w:tl2br w:val="nil"/>
                    <w:tr2bl w:val="nil"/>
                  </w:tcBorders>
                  <w:vAlign w:val="center"/>
                </w:tcPr>
                <w:p>
                  <w:pPr>
                    <w:pStyle w:val="45"/>
                    <w:spacing w:line="276" w:lineRule="auto"/>
                    <w:rPr>
                      <w:color w:val="auto"/>
                    </w:rPr>
                  </w:pPr>
                  <w:r>
                    <w:rPr>
                      <w:rFonts w:hint="eastAsia"/>
                      <w:color w:val="auto"/>
                    </w:rPr>
                    <w:t>产生量（</w:t>
                  </w:r>
                  <w:r>
                    <w:rPr>
                      <w:color w:val="auto"/>
                    </w:rPr>
                    <w:t>t</w:t>
                  </w:r>
                  <w:r>
                    <w:rPr>
                      <w:rFonts w:hint="eastAsia"/>
                      <w:color w:val="auto"/>
                    </w:rPr>
                    <w:t>/</w:t>
                  </w:r>
                  <w:r>
                    <w:rPr>
                      <w:color w:val="auto"/>
                    </w:rPr>
                    <w:t>a</w:t>
                  </w:r>
                  <w:r>
                    <w:rPr>
                      <w:rFonts w:hint="eastAsia"/>
                      <w:color w:val="auto"/>
                    </w:rPr>
                    <w:t>）</w:t>
                  </w:r>
                </w:p>
              </w:tc>
              <w:tc>
                <w:tcPr>
                  <w:tcW w:w="1253" w:type="dxa"/>
                  <w:tcBorders>
                    <w:tl2br w:val="nil"/>
                    <w:tr2bl w:val="nil"/>
                  </w:tcBorders>
                  <w:vAlign w:val="center"/>
                </w:tcPr>
                <w:p>
                  <w:pPr>
                    <w:pStyle w:val="45"/>
                    <w:spacing w:line="276" w:lineRule="auto"/>
                    <w:rPr>
                      <w:color w:val="auto"/>
                    </w:rPr>
                  </w:pPr>
                  <w:r>
                    <w:rPr>
                      <w:rFonts w:hint="eastAsia"/>
                      <w:color w:val="auto"/>
                    </w:rPr>
                    <w:t>废物属性</w:t>
                  </w:r>
                </w:p>
              </w:tc>
              <w:tc>
                <w:tcPr>
                  <w:tcW w:w="2815" w:type="dxa"/>
                  <w:tcBorders>
                    <w:tl2br w:val="nil"/>
                    <w:tr2bl w:val="nil"/>
                  </w:tcBorders>
                  <w:vAlign w:val="center"/>
                </w:tcPr>
                <w:p>
                  <w:pPr>
                    <w:pStyle w:val="45"/>
                    <w:spacing w:line="276" w:lineRule="auto"/>
                    <w:rPr>
                      <w:color w:val="auto"/>
                    </w:rPr>
                  </w:pPr>
                  <w:r>
                    <w:rPr>
                      <w:rFonts w:hint="eastAsia"/>
                      <w:color w:val="auto"/>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6" w:type="dxa"/>
                  <w:tcBorders>
                    <w:tl2br w:val="nil"/>
                    <w:tr2bl w:val="nil"/>
                  </w:tcBorders>
                  <w:vAlign w:val="center"/>
                </w:tcPr>
                <w:p>
                  <w:pPr>
                    <w:pStyle w:val="45"/>
                    <w:spacing w:line="276" w:lineRule="auto"/>
                    <w:rPr>
                      <w:color w:val="auto"/>
                    </w:rPr>
                  </w:pPr>
                  <w:r>
                    <w:rPr>
                      <w:color w:val="auto"/>
                    </w:rPr>
                    <w:t>1</w:t>
                  </w:r>
                </w:p>
              </w:tc>
              <w:tc>
                <w:tcPr>
                  <w:tcW w:w="1532" w:type="dxa"/>
                  <w:tcBorders>
                    <w:tl2br w:val="nil"/>
                    <w:tr2bl w:val="nil"/>
                  </w:tcBorders>
                  <w:vAlign w:val="center"/>
                </w:tcPr>
                <w:p>
                  <w:pPr>
                    <w:pStyle w:val="45"/>
                    <w:spacing w:line="276" w:lineRule="auto"/>
                    <w:rPr>
                      <w:color w:val="auto"/>
                    </w:rPr>
                  </w:pPr>
                  <w:r>
                    <w:rPr>
                      <w:rFonts w:hint="eastAsia"/>
                      <w:color w:val="auto"/>
                    </w:rPr>
                    <w:t>生活垃圾</w:t>
                  </w:r>
                </w:p>
              </w:tc>
              <w:tc>
                <w:tcPr>
                  <w:tcW w:w="1480" w:type="dxa"/>
                  <w:tcBorders>
                    <w:tl2br w:val="nil"/>
                    <w:tr2bl w:val="nil"/>
                  </w:tcBorders>
                  <w:vAlign w:val="center"/>
                </w:tcPr>
                <w:p>
                  <w:pPr>
                    <w:pStyle w:val="45"/>
                    <w:spacing w:line="276" w:lineRule="auto"/>
                    <w:rPr>
                      <w:rFonts w:hint="default" w:eastAsia="宋体"/>
                      <w:color w:val="auto"/>
                      <w:lang w:val="en-US" w:eastAsia="zh-CN"/>
                    </w:rPr>
                  </w:pPr>
                  <w:r>
                    <w:rPr>
                      <w:rFonts w:hint="default" w:eastAsia="宋体"/>
                      <w:color w:val="auto"/>
                      <w:lang w:val="en-US" w:eastAsia="zh-CN"/>
                    </w:rPr>
                    <w:t>22.81</w:t>
                  </w:r>
                </w:p>
              </w:tc>
              <w:tc>
                <w:tcPr>
                  <w:tcW w:w="1253" w:type="dxa"/>
                  <w:tcBorders>
                    <w:tl2br w:val="nil"/>
                    <w:tr2bl w:val="nil"/>
                  </w:tcBorders>
                  <w:vAlign w:val="center"/>
                </w:tcPr>
                <w:p>
                  <w:pPr>
                    <w:pStyle w:val="45"/>
                    <w:spacing w:line="276" w:lineRule="auto"/>
                    <w:rPr>
                      <w:color w:val="auto"/>
                    </w:rPr>
                  </w:pPr>
                  <w:r>
                    <w:rPr>
                      <w:rFonts w:hint="eastAsia"/>
                      <w:color w:val="auto"/>
                    </w:rPr>
                    <w:t>一般</w:t>
                  </w:r>
                  <w:r>
                    <w:rPr>
                      <w:color w:val="auto"/>
                    </w:rPr>
                    <w:t>废物</w:t>
                  </w:r>
                </w:p>
              </w:tc>
              <w:tc>
                <w:tcPr>
                  <w:tcW w:w="2815" w:type="dxa"/>
                  <w:tcBorders>
                    <w:tl2br w:val="nil"/>
                    <w:tr2bl w:val="nil"/>
                  </w:tcBorders>
                  <w:vAlign w:val="center"/>
                </w:tcPr>
                <w:p>
                  <w:pPr>
                    <w:pStyle w:val="45"/>
                    <w:spacing w:line="276" w:lineRule="auto"/>
                    <w:rPr>
                      <w:color w:val="auto"/>
                    </w:rPr>
                  </w:pPr>
                  <w:r>
                    <w:rPr>
                      <w:rFonts w:hint="eastAsia"/>
                      <w:color w:val="auto"/>
                    </w:rPr>
                    <w:t>分类收集后由环卫部门处理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tcBorders>
                    <w:tl2br w:val="nil"/>
                    <w:tr2bl w:val="nil"/>
                  </w:tcBorders>
                  <w:vAlign w:val="center"/>
                </w:tcPr>
                <w:p>
                  <w:pPr>
                    <w:pStyle w:val="45"/>
                    <w:spacing w:line="276" w:lineRule="auto"/>
                    <w:rPr>
                      <w:color w:val="auto"/>
                    </w:rPr>
                  </w:pPr>
                  <w:r>
                    <w:rPr>
                      <w:color w:val="auto"/>
                    </w:rPr>
                    <w:t>2</w:t>
                  </w:r>
                </w:p>
              </w:tc>
              <w:tc>
                <w:tcPr>
                  <w:tcW w:w="1532" w:type="dxa"/>
                  <w:tcBorders>
                    <w:tl2br w:val="nil"/>
                    <w:tr2bl w:val="nil"/>
                  </w:tcBorders>
                  <w:vAlign w:val="center"/>
                </w:tcPr>
                <w:p>
                  <w:pPr>
                    <w:pStyle w:val="45"/>
                    <w:spacing w:line="276" w:lineRule="auto"/>
                    <w:rPr>
                      <w:color w:val="auto"/>
                    </w:rPr>
                  </w:pPr>
                  <w:r>
                    <w:rPr>
                      <w:rFonts w:hint="eastAsia"/>
                      <w:color w:val="auto"/>
                    </w:rPr>
                    <w:t>废包装材料</w:t>
                  </w:r>
                </w:p>
              </w:tc>
              <w:tc>
                <w:tcPr>
                  <w:tcW w:w="1480" w:type="dxa"/>
                  <w:tcBorders>
                    <w:tl2br w:val="nil"/>
                    <w:tr2bl w:val="nil"/>
                  </w:tcBorders>
                  <w:vAlign w:val="center"/>
                </w:tcPr>
                <w:p>
                  <w:pPr>
                    <w:pStyle w:val="45"/>
                    <w:spacing w:line="276" w:lineRule="auto"/>
                    <w:rPr>
                      <w:color w:val="auto"/>
                    </w:rPr>
                  </w:pPr>
                  <w:r>
                    <w:rPr>
                      <w:rFonts w:hint="eastAsia"/>
                      <w:color w:val="auto"/>
                    </w:rPr>
                    <w:t>1.0</w:t>
                  </w:r>
                </w:p>
              </w:tc>
              <w:tc>
                <w:tcPr>
                  <w:tcW w:w="1253" w:type="dxa"/>
                  <w:tcBorders>
                    <w:tl2br w:val="nil"/>
                    <w:tr2bl w:val="nil"/>
                  </w:tcBorders>
                  <w:vAlign w:val="center"/>
                </w:tcPr>
                <w:p>
                  <w:pPr>
                    <w:pStyle w:val="45"/>
                    <w:spacing w:line="276" w:lineRule="auto"/>
                    <w:rPr>
                      <w:color w:val="auto"/>
                    </w:rPr>
                  </w:pPr>
                  <w:r>
                    <w:rPr>
                      <w:rFonts w:hint="eastAsia"/>
                      <w:color w:val="auto"/>
                    </w:rPr>
                    <w:t>一般</w:t>
                  </w:r>
                  <w:r>
                    <w:rPr>
                      <w:color w:val="auto"/>
                    </w:rPr>
                    <w:t>废物</w:t>
                  </w:r>
                </w:p>
              </w:tc>
              <w:tc>
                <w:tcPr>
                  <w:tcW w:w="2815" w:type="dxa"/>
                  <w:tcBorders>
                    <w:tl2br w:val="nil"/>
                    <w:tr2bl w:val="nil"/>
                  </w:tcBorders>
                  <w:vAlign w:val="center"/>
                </w:tcPr>
                <w:p>
                  <w:pPr>
                    <w:pStyle w:val="45"/>
                    <w:spacing w:line="276" w:lineRule="auto"/>
                    <w:rPr>
                      <w:color w:val="auto"/>
                    </w:rPr>
                  </w:pPr>
                  <w:r>
                    <w:rPr>
                      <w:rFonts w:hint="eastAsia"/>
                      <w:color w:val="auto"/>
                    </w:rPr>
                    <w:t>收集后交资源回收公司处理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tcBorders>
                    <w:tl2br w:val="nil"/>
                    <w:tr2bl w:val="nil"/>
                  </w:tcBorders>
                  <w:vAlign w:val="center"/>
                </w:tcPr>
                <w:p>
                  <w:pPr>
                    <w:pStyle w:val="45"/>
                    <w:spacing w:line="276" w:lineRule="auto"/>
                    <w:rPr>
                      <w:color w:val="auto"/>
                    </w:rPr>
                  </w:pPr>
                  <w:r>
                    <w:rPr>
                      <w:rFonts w:hint="eastAsia"/>
                      <w:color w:val="auto"/>
                    </w:rPr>
                    <w:t>3</w:t>
                  </w:r>
                </w:p>
              </w:tc>
              <w:tc>
                <w:tcPr>
                  <w:tcW w:w="1532" w:type="dxa"/>
                  <w:tcBorders>
                    <w:tl2br w:val="nil"/>
                    <w:tr2bl w:val="nil"/>
                  </w:tcBorders>
                  <w:vAlign w:val="center"/>
                </w:tcPr>
                <w:p>
                  <w:pPr>
                    <w:pStyle w:val="45"/>
                    <w:spacing w:line="276" w:lineRule="auto"/>
                    <w:rPr>
                      <w:rFonts w:hint="eastAsia" w:eastAsia="宋体"/>
                      <w:color w:val="auto"/>
                      <w:lang w:eastAsia="zh-CN"/>
                    </w:rPr>
                  </w:pPr>
                  <w:r>
                    <w:rPr>
                      <w:rFonts w:hint="eastAsia"/>
                      <w:color w:val="auto"/>
                    </w:rPr>
                    <w:t xml:space="preserve">未污染的一次性塑料输液瓶 </w:t>
                  </w:r>
                  <w:r>
                    <w:rPr>
                      <w:rFonts w:hint="eastAsia"/>
                      <w:color w:val="auto"/>
                      <w:lang w:eastAsia="zh-CN"/>
                    </w:rPr>
                    <w:t>（袋）</w:t>
                  </w:r>
                </w:p>
              </w:tc>
              <w:tc>
                <w:tcPr>
                  <w:tcW w:w="1480" w:type="dxa"/>
                  <w:tcBorders>
                    <w:tl2br w:val="nil"/>
                    <w:tr2bl w:val="nil"/>
                  </w:tcBorders>
                  <w:vAlign w:val="center"/>
                </w:tcPr>
                <w:p>
                  <w:pPr>
                    <w:pStyle w:val="45"/>
                    <w:spacing w:line="276" w:lineRule="auto"/>
                    <w:rPr>
                      <w:color w:val="auto"/>
                    </w:rPr>
                  </w:pPr>
                  <w:r>
                    <w:rPr>
                      <w:rFonts w:hint="eastAsia"/>
                      <w:color w:val="auto"/>
                    </w:rPr>
                    <w:t>1.0</w:t>
                  </w:r>
                </w:p>
              </w:tc>
              <w:tc>
                <w:tcPr>
                  <w:tcW w:w="1253" w:type="dxa"/>
                  <w:tcBorders>
                    <w:tl2br w:val="nil"/>
                    <w:tr2bl w:val="nil"/>
                  </w:tcBorders>
                  <w:vAlign w:val="center"/>
                </w:tcPr>
                <w:p>
                  <w:pPr>
                    <w:pStyle w:val="45"/>
                    <w:spacing w:line="276" w:lineRule="auto"/>
                    <w:rPr>
                      <w:color w:val="auto"/>
                    </w:rPr>
                  </w:pPr>
                  <w:r>
                    <w:rPr>
                      <w:rFonts w:hint="eastAsia"/>
                      <w:color w:val="auto"/>
                    </w:rPr>
                    <w:t>一般</w:t>
                  </w:r>
                  <w:r>
                    <w:rPr>
                      <w:color w:val="auto"/>
                    </w:rPr>
                    <w:t>废物</w:t>
                  </w:r>
                </w:p>
              </w:tc>
              <w:tc>
                <w:tcPr>
                  <w:tcW w:w="2815" w:type="dxa"/>
                  <w:tcBorders>
                    <w:tl2br w:val="nil"/>
                    <w:tr2bl w:val="nil"/>
                  </w:tcBorders>
                  <w:vAlign w:val="center"/>
                </w:tcPr>
                <w:p>
                  <w:pPr>
                    <w:pStyle w:val="45"/>
                    <w:spacing w:line="276" w:lineRule="auto"/>
                    <w:rPr>
                      <w:color w:val="auto"/>
                    </w:rPr>
                  </w:pPr>
                  <w:r>
                    <w:rPr>
                      <w:rFonts w:hint="eastAsia"/>
                      <w:color w:val="auto"/>
                    </w:rPr>
                    <w:t>委托专门单位回收处置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tcBorders>
                    <w:tl2br w:val="nil"/>
                    <w:tr2bl w:val="nil"/>
                  </w:tcBorders>
                  <w:vAlign w:val="center"/>
                </w:tcPr>
                <w:p>
                  <w:pPr>
                    <w:pStyle w:val="45"/>
                    <w:spacing w:line="276" w:lineRule="auto"/>
                    <w:rPr>
                      <w:color w:val="auto"/>
                    </w:rPr>
                  </w:pPr>
                  <w:r>
                    <w:rPr>
                      <w:rFonts w:hint="eastAsia"/>
                      <w:color w:val="auto"/>
                    </w:rPr>
                    <w:t>4</w:t>
                  </w:r>
                </w:p>
              </w:tc>
              <w:tc>
                <w:tcPr>
                  <w:tcW w:w="1532" w:type="dxa"/>
                  <w:tcBorders>
                    <w:tl2br w:val="nil"/>
                    <w:tr2bl w:val="nil"/>
                  </w:tcBorders>
                  <w:vAlign w:val="center"/>
                </w:tcPr>
                <w:p>
                  <w:pPr>
                    <w:pStyle w:val="45"/>
                    <w:spacing w:line="276" w:lineRule="auto"/>
                    <w:rPr>
                      <w:color w:val="auto"/>
                    </w:rPr>
                  </w:pPr>
                  <w:r>
                    <w:rPr>
                      <w:rFonts w:hint="eastAsia"/>
                      <w:color w:val="auto"/>
                    </w:rPr>
                    <w:t>医疗废物</w:t>
                  </w:r>
                </w:p>
              </w:tc>
              <w:tc>
                <w:tcPr>
                  <w:tcW w:w="1480" w:type="dxa"/>
                  <w:tcBorders>
                    <w:tl2br w:val="nil"/>
                    <w:tr2bl w:val="nil"/>
                  </w:tcBorders>
                  <w:vAlign w:val="center"/>
                </w:tcPr>
                <w:p>
                  <w:pPr>
                    <w:pStyle w:val="45"/>
                    <w:spacing w:line="276" w:lineRule="auto"/>
                    <w:rPr>
                      <w:rFonts w:hint="default" w:eastAsia="宋体"/>
                      <w:color w:val="auto"/>
                      <w:lang w:val="en-US" w:eastAsia="zh-CN"/>
                    </w:rPr>
                  </w:pPr>
                  <w:r>
                    <w:rPr>
                      <w:rFonts w:hint="eastAsia"/>
                      <w:color w:val="auto"/>
                      <w:lang w:val="en-US" w:eastAsia="zh-CN"/>
                    </w:rPr>
                    <w:t>4.035</w:t>
                  </w:r>
                </w:p>
              </w:tc>
              <w:tc>
                <w:tcPr>
                  <w:tcW w:w="1253" w:type="dxa"/>
                  <w:tcBorders>
                    <w:tl2br w:val="nil"/>
                    <w:tr2bl w:val="nil"/>
                  </w:tcBorders>
                  <w:vAlign w:val="center"/>
                </w:tcPr>
                <w:p>
                  <w:pPr>
                    <w:pStyle w:val="45"/>
                    <w:spacing w:line="276" w:lineRule="auto"/>
                    <w:rPr>
                      <w:color w:val="auto"/>
                    </w:rPr>
                  </w:pPr>
                  <w:r>
                    <w:rPr>
                      <w:color w:val="auto"/>
                    </w:rPr>
                    <w:t>危险废物</w:t>
                  </w:r>
                </w:p>
              </w:tc>
              <w:tc>
                <w:tcPr>
                  <w:tcW w:w="2815" w:type="dxa"/>
                  <w:vMerge w:val="restart"/>
                  <w:tcBorders>
                    <w:tl2br w:val="nil"/>
                    <w:tr2bl w:val="nil"/>
                  </w:tcBorders>
                  <w:vAlign w:val="center"/>
                </w:tcPr>
                <w:p>
                  <w:pPr>
                    <w:pStyle w:val="45"/>
                    <w:spacing w:line="276" w:lineRule="auto"/>
                    <w:rPr>
                      <w:color w:val="auto"/>
                    </w:rPr>
                  </w:pPr>
                  <w:r>
                    <w:rPr>
                      <w:rFonts w:hint="eastAsia"/>
                      <w:color w:val="auto"/>
                    </w:rPr>
                    <w:t>暂存于医疗废物暂存间后委</w:t>
                  </w:r>
                </w:p>
                <w:p>
                  <w:pPr>
                    <w:pStyle w:val="45"/>
                    <w:spacing w:line="276" w:lineRule="auto"/>
                    <w:rPr>
                      <w:color w:val="auto"/>
                    </w:rPr>
                  </w:pPr>
                  <w:r>
                    <w:rPr>
                      <w:rFonts w:hint="eastAsia"/>
                      <w:color w:val="auto"/>
                    </w:rPr>
                    <w:t>托岳阳市方向固废安全处置有限公司定期清运和处置，该公司属于岳阳市定点的医疗废物集中处置单位，具备危险废物经营许可证。该公司危废资质类别包括HW01中的5类，能满足危废处置的要求，见附件。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tcBorders>
                    <w:tl2br w:val="nil"/>
                    <w:tr2bl w:val="nil"/>
                  </w:tcBorders>
                  <w:vAlign w:val="center"/>
                </w:tcPr>
                <w:p>
                  <w:pPr>
                    <w:pStyle w:val="45"/>
                    <w:spacing w:line="276" w:lineRule="auto"/>
                    <w:rPr>
                      <w:color w:val="auto"/>
                    </w:rPr>
                  </w:pPr>
                  <w:r>
                    <w:rPr>
                      <w:rFonts w:hint="eastAsia"/>
                      <w:color w:val="auto"/>
                    </w:rPr>
                    <w:t>5</w:t>
                  </w:r>
                </w:p>
              </w:tc>
              <w:tc>
                <w:tcPr>
                  <w:tcW w:w="1532" w:type="dxa"/>
                  <w:tcBorders>
                    <w:tl2br w:val="nil"/>
                    <w:tr2bl w:val="nil"/>
                  </w:tcBorders>
                  <w:vAlign w:val="center"/>
                </w:tcPr>
                <w:p>
                  <w:pPr>
                    <w:pStyle w:val="45"/>
                    <w:spacing w:line="276" w:lineRule="auto"/>
                    <w:rPr>
                      <w:color w:val="auto"/>
                    </w:rPr>
                  </w:pPr>
                  <w:r>
                    <w:rPr>
                      <w:color w:val="auto"/>
                    </w:rPr>
                    <w:t>污泥</w:t>
                  </w:r>
                </w:p>
              </w:tc>
              <w:tc>
                <w:tcPr>
                  <w:tcW w:w="1480" w:type="dxa"/>
                  <w:tcBorders>
                    <w:tl2br w:val="nil"/>
                    <w:tr2bl w:val="nil"/>
                  </w:tcBorders>
                  <w:vAlign w:val="center"/>
                </w:tcPr>
                <w:p>
                  <w:pPr>
                    <w:pStyle w:val="45"/>
                    <w:spacing w:line="276" w:lineRule="auto"/>
                    <w:rPr>
                      <w:rFonts w:hint="default"/>
                      <w:color w:val="auto"/>
                      <w:lang w:val="en-US"/>
                    </w:rPr>
                  </w:pPr>
                  <w:r>
                    <w:rPr>
                      <w:rFonts w:hint="eastAsia"/>
                      <w:color w:val="auto"/>
                      <w:lang w:val="en-US" w:eastAsia="zh-CN"/>
                    </w:rPr>
                    <w:t>0.48</w:t>
                  </w:r>
                </w:p>
              </w:tc>
              <w:tc>
                <w:tcPr>
                  <w:tcW w:w="1253" w:type="dxa"/>
                  <w:tcBorders>
                    <w:tl2br w:val="nil"/>
                    <w:tr2bl w:val="nil"/>
                  </w:tcBorders>
                  <w:vAlign w:val="center"/>
                </w:tcPr>
                <w:p>
                  <w:pPr>
                    <w:pStyle w:val="45"/>
                    <w:spacing w:line="276" w:lineRule="auto"/>
                    <w:rPr>
                      <w:color w:val="auto"/>
                    </w:rPr>
                  </w:pPr>
                  <w:r>
                    <w:rPr>
                      <w:color w:val="auto"/>
                    </w:rPr>
                    <w:t>危险废物</w:t>
                  </w:r>
                </w:p>
              </w:tc>
              <w:tc>
                <w:tcPr>
                  <w:tcW w:w="2815" w:type="dxa"/>
                  <w:vMerge w:val="continue"/>
                  <w:tcBorders>
                    <w:tl2br w:val="nil"/>
                    <w:tr2bl w:val="nil"/>
                  </w:tcBorders>
                  <w:vAlign w:val="center"/>
                </w:tcPr>
                <w:p>
                  <w:pPr>
                    <w:pStyle w:val="45"/>
                    <w:spacing w:line="276" w:lineRule="auto"/>
                    <w:rPr>
                      <w:color w:val="auto"/>
                    </w:rPr>
                  </w:pPr>
                </w:p>
              </w:tc>
            </w:tr>
          </w:tbl>
          <w:p>
            <w:pPr>
              <w:pStyle w:val="13"/>
              <w:widowControl/>
              <w:adjustRightInd/>
              <w:spacing w:line="360" w:lineRule="auto"/>
              <w:ind w:firstLine="480" w:firstLineChars="200"/>
              <w:textAlignment w:val="auto"/>
              <w:rPr>
                <w:b/>
                <w:bCs/>
                <w:color w:val="auto"/>
                <w:sz w:val="21"/>
                <w:szCs w:val="21"/>
              </w:rPr>
            </w:pPr>
            <w:r>
              <w:rPr>
                <w:rFonts w:hint="eastAsia"/>
                <w:color w:val="auto"/>
                <w:szCs w:val="24"/>
              </w:rPr>
              <w:t>根据《建设项目危险废物环境影响评价指南》，危险废物分析结果汇总见下表。</w:t>
            </w:r>
          </w:p>
          <w:p>
            <w:pPr>
              <w:pStyle w:val="46"/>
              <w:rPr>
                <w:color w:val="auto"/>
              </w:rPr>
            </w:pPr>
            <w:r>
              <w:rPr>
                <w:rFonts w:hint="eastAsia"/>
                <w:color w:val="auto"/>
              </w:rPr>
              <w:t>表4.2-17 项目危险废物汇总表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956"/>
              <w:gridCol w:w="920"/>
              <w:gridCol w:w="1418"/>
              <w:gridCol w:w="1002"/>
              <w:gridCol w:w="847"/>
              <w:gridCol w:w="732"/>
              <w:gridCol w:w="580"/>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rFonts w:hint="eastAsia"/>
                      <w:color w:val="auto"/>
                    </w:rPr>
                    <w:t>序号</w:t>
                  </w:r>
                </w:p>
              </w:tc>
              <w:tc>
                <w:tcPr>
                  <w:tcW w:w="616" w:type="pct"/>
                  <w:tcBorders>
                    <w:tl2br w:val="nil"/>
                    <w:tr2bl w:val="nil"/>
                  </w:tcBorders>
                  <w:vAlign w:val="center"/>
                </w:tcPr>
                <w:p>
                  <w:pPr>
                    <w:pStyle w:val="45"/>
                    <w:rPr>
                      <w:color w:val="auto"/>
                    </w:rPr>
                  </w:pPr>
                  <w:r>
                    <w:rPr>
                      <w:rFonts w:hint="eastAsia"/>
                      <w:color w:val="auto"/>
                    </w:rPr>
                    <w:t>危险废物名称</w:t>
                  </w:r>
                </w:p>
              </w:tc>
              <w:tc>
                <w:tcPr>
                  <w:tcW w:w="593" w:type="pct"/>
                  <w:tcBorders>
                    <w:tl2br w:val="nil"/>
                    <w:tr2bl w:val="nil"/>
                  </w:tcBorders>
                  <w:vAlign w:val="center"/>
                </w:tcPr>
                <w:p>
                  <w:pPr>
                    <w:pStyle w:val="45"/>
                    <w:rPr>
                      <w:color w:val="auto"/>
                    </w:rPr>
                  </w:pPr>
                  <w:r>
                    <w:rPr>
                      <w:rFonts w:hint="eastAsia"/>
                      <w:color w:val="auto"/>
                    </w:rPr>
                    <w:t>危险废物类别</w:t>
                  </w:r>
                </w:p>
              </w:tc>
              <w:tc>
                <w:tcPr>
                  <w:tcW w:w="914" w:type="pct"/>
                  <w:tcBorders>
                    <w:tl2br w:val="nil"/>
                    <w:tr2bl w:val="nil"/>
                  </w:tcBorders>
                  <w:vAlign w:val="center"/>
                </w:tcPr>
                <w:p>
                  <w:pPr>
                    <w:pStyle w:val="45"/>
                    <w:rPr>
                      <w:color w:val="auto"/>
                    </w:rPr>
                  </w:pPr>
                  <w:r>
                    <w:rPr>
                      <w:rFonts w:hint="eastAsia"/>
                      <w:color w:val="auto"/>
                    </w:rPr>
                    <w:t>危险废物代码</w:t>
                  </w:r>
                </w:p>
              </w:tc>
              <w:tc>
                <w:tcPr>
                  <w:tcW w:w="646" w:type="pct"/>
                  <w:tcBorders>
                    <w:tl2br w:val="nil"/>
                    <w:tr2bl w:val="nil"/>
                  </w:tcBorders>
                  <w:vAlign w:val="center"/>
                </w:tcPr>
                <w:p>
                  <w:pPr>
                    <w:pStyle w:val="45"/>
                    <w:rPr>
                      <w:color w:val="auto"/>
                    </w:rPr>
                  </w:pPr>
                  <w:r>
                    <w:rPr>
                      <w:rFonts w:hint="eastAsia"/>
                      <w:color w:val="auto"/>
                    </w:rPr>
                    <w:t>产生量（</w:t>
                  </w:r>
                  <w:r>
                    <w:rPr>
                      <w:color w:val="auto"/>
                    </w:rPr>
                    <w:t>t</w:t>
                  </w:r>
                  <w:r>
                    <w:rPr>
                      <w:rFonts w:hint="eastAsia"/>
                      <w:color w:val="auto"/>
                    </w:rPr>
                    <w:t>/</w:t>
                  </w:r>
                  <w:r>
                    <w:rPr>
                      <w:color w:val="auto"/>
                    </w:rPr>
                    <w:t>a</w:t>
                  </w:r>
                  <w:r>
                    <w:rPr>
                      <w:rFonts w:hint="eastAsia"/>
                      <w:color w:val="auto"/>
                    </w:rPr>
                    <w:t>）</w:t>
                  </w:r>
                </w:p>
              </w:tc>
              <w:tc>
                <w:tcPr>
                  <w:tcW w:w="546" w:type="pct"/>
                  <w:tcBorders>
                    <w:tl2br w:val="nil"/>
                    <w:tr2bl w:val="nil"/>
                  </w:tcBorders>
                  <w:vAlign w:val="center"/>
                </w:tcPr>
                <w:p>
                  <w:pPr>
                    <w:pStyle w:val="45"/>
                    <w:rPr>
                      <w:color w:val="auto"/>
                    </w:rPr>
                  </w:pPr>
                  <w:r>
                    <w:rPr>
                      <w:rFonts w:hint="eastAsia"/>
                      <w:color w:val="auto"/>
                    </w:rPr>
                    <w:t>产生</w:t>
                  </w:r>
                </w:p>
                <w:p>
                  <w:pPr>
                    <w:pStyle w:val="45"/>
                    <w:rPr>
                      <w:color w:val="auto"/>
                    </w:rPr>
                  </w:pPr>
                  <w:r>
                    <w:rPr>
                      <w:rFonts w:hint="eastAsia"/>
                      <w:color w:val="auto"/>
                    </w:rPr>
                    <w:t>工序</w:t>
                  </w:r>
                </w:p>
                <w:p>
                  <w:pPr>
                    <w:pStyle w:val="45"/>
                    <w:rPr>
                      <w:color w:val="auto"/>
                    </w:rPr>
                  </w:pPr>
                  <w:r>
                    <w:rPr>
                      <w:rFonts w:hint="eastAsia"/>
                      <w:color w:val="auto"/>
                    </w:rPr>
                    <w:t>及装</w:t>
                  </w:r>
                </w:p>
                <w:p>
                  <w:pPr>
                    <w:pStyle w:val="45"/>
                    <w:rPr>
                      <w:color w:val="auto"/>
                    </w:rPr>
                  </w:pPr>
                  <w:r>
                    <w:rPr>
                      <w:rFonts w:hint="eastAsia"/>
                      <w:color w:val="auto"/>
                    </w:rPr>
                    <w:t>置</w:t>
                  </w:r>
                </w:p>
              </w:tc>
              <w:tc>
                <w:tcPr>
                  <w:tcW w:w="472" w:type="pct"/>
                  <w:tcBorders>
                    <w:tl2br w:val="nil"/>
                    <w:tr2bl w:val="nil"/>
                  </w:tcBorders>
                  <w:vAlign w:val="center"/>
                </w:tcPr>
                <w:p>
                  <w:pPr>
                    <w:pStyle w:val="45"/>
                    <w:rPr>
                      <w:color w:val="auto"/>
                    </w:rPr>
                  </w:pPr>
                  <w:r>
                    <w:rPr>
                      <w:rFonts w:hint="eastAsia"/>
                      <w:color w:val="auto"/>
                    </w:rPr>
                    <w:t>形</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产生周期</w:t>
                  </w:r>
                </w:p>
              </w:tc>
              <w:tc>
                <w:tcPr>
                  <w:tcW w:w="509" w:type="pct"/>
                  <w:tcBorders>
                    <w:tl2br w:val="nil"/>
                    <w:tr2bl w:val="nil"/>
                  </w:tcBorders>
                  <w:vAlign w:val="center"/>
                </w:tcPr>
                <w:p>
                  <w:pPr>
                    <w:pStyle w:val="45"/>
                    <w:rPr>
                      <w:color w:val="auto"/>
                    </w:rPr>
                  </w:pPr>
                  <w:r>
                    <w:rPr>
                      <w:rFonts w:hint="eastAsia"/>
                      <w:color w:val="auto"/>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color w:val="auto"/>
                    </w:rPr>
                    <w:t>1</w:t>
                  </w:r>
                </w:p>
              </w:tc>
              <w:tc>
                <w:tcPr>
                  <w:tcW w:w="616" w:type="pct"/>
                  <w:tcBorders>
                    <w:tl2br w:val="nil"/>
                    <w:tr2bl w:val="nil"/>
                  </w:tcBorders>
                  <w:vAlign w:val="center"/>
                </w:tcPr>
                <w:p>
                  <w:pPr>
                    <w:pStyle w:val="45"/>
                    <w:rPr>
                      <w:color w:val="auto"/>
                    </w:rPr>
                  </w:pPr>
                  <w:r>
                    <w:rPr>
                      <w:color w:val="auto"/>
                    </w:rPr>
                    <w:t>感染性废物</w:t>
                  </w:r>
                </w:p>
              </w:tc>
              <w:tc>
                <w:tcPr>
                  <w:tcW w:w="593" w:type="pct"/>
                  <w:tcBorders>
                    <w:tl2br w:val="nil"/>
                    <w:tr2bl w:val="nil"/>
                  </w:tcBorders>
                  <w:vAlign w:val="center"/>
                </w:tcPr>
                <w:p>
                  <w:pPr>
                    <w:pStyle w:val="45"/>
                    <w:rPr>
                      <w:color w:val="auto"/>
                    </w:rPr>
                  </w:pPr>
                  <w:r>
                    <w:rPr>
                      <w:color w:val="auto"/>
                    </w:rPr>
                    <w:t xml:space="preserve">HW01 </w:t>
                  </w:r>
                </w:p>
                <w:p>
                  <w:pPr>
                    <w:pStyle w:val="45"/>
                    <w:rPr>
                      <w:color w:val="auto"/>
                    </w:rPr>
                  </w:pPr>
                  <w:r>
                    <w:rPr>
                      <w:rFonts w:hint="eastAsia"/>
                      <w:color w:val="auto"/>
                    </w:rPr>
                    <w:t>医疗</w:t>
                  </w:r>
                </w:p>
                <w:p>
                  <w:pPr>
                    <w:pStyle w:val="45"/>
                    <w:rPr>
                      <w:color w:val="auto"/>
                    </w:rPr>
                  </w:pPr>
                  <w:r>
                    <w:rPr>
                      <w:rFonts w:hint="eastAsia"/>
                      <w:color w:val="auto"/>
                    </w:rPr>
                    <w:t>废物</w:t>
                  </w:r>
                </w:p>
              </w:tc>
              <w:tc>
                <w:tcPr>
                  <w:tcW w:w="914" w:type="pct"/>
                  <w:tcBorders>
                    <w:tl2br w:val="nil"/>
                    <w:tr2bl w:val="nil"/>
                  </w:tcBorders>
                  <w:vAlign w:val="center"/>
                </w:tcPr>
                <w:p>
                  <w:pPr>
                    <w:pStyle w:val="45"/>
                    <w:rPr>
                      <w:color w:val="auto"/>
                    </w:rPr>
                  </w:pPr>
                  <w:r>
                    <w:rPr>
                      <w:color w:val="auto"/>
                    </w:rPr>
                    <w:t>841-001-01</w:t>
                  </w:r>
                </w:p>
              </w:tc>
              <w:tc>
                <w:tcPr>
                  <w:tcW w:w="646"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2.01</w:t>
                  </w:r>
                </w:p>
              </w:tc>
              <w:tc>
                <w:tcPr>
                  <w:tcW w:w="546" w:type="pct"/>
                  <w:tcBorders>
                    <w:tl2br w:val="nil"/>
                    <w:tr2bl w:val="nil"/>
                  </w:tcBorders>
                  <w:vAlign w:val="center"/>
                </w:tcPr>
                <w:p>
                  <w:pPr>
                    <w:pStyle w:val="45"/>
                    <w:rPr>
                      <w:color w:val="auto"/>
                    </w:rPr>
                  </w:pPr>
                  <w:r>
                    <w:rPr>
                      <w:rFonts w:hint="eastAsia"/>
                      <w:color w:val="auto"/>
                    </w:rPr>
                    <w:t>诊疗</w:t>
                  </w:r>
                </w:p>
              </w:tc>
              <w:tc>
                <w:tcPr>
                  <w:tcW w:w="472" w:type="pct"/>
                  <w:tcBorders>
                    <w:tl2br w:val="nil"/>
                    <w:tr2bl w:val="nil"/>
                  </w:tcBorders>
                  <w:vAlign w:val="center"/>
                </w:tcPr>
                <w:p>
                  <w:pPr>
                    <w:pStyle w:val="45"/>
                    <w:rPr>
                      <w:color w:val="auto"/>
                    </w:rPr>
                  </w:pPr>
                  <w:r>
                    <w:rPr>
                      <w:rFonts w:hint="eastAsia"/>
                      <w:color w:val="auto"/>
                    </w:rPr>
                    <w:t>固</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日</w:t>
                  </w:r>
                </w:p>
              </w:tc>
              <w:tc>
                <w:tcPr>
                  <w:tcW w:w="509" w:type="pct"/>
                  <w:tcBorders>
                    <w:tl2br w:val="nil"/>
                    <w:tr2bl w:val="nil"/>
                  </w:tcBorders>
                  <w:vAlign w:val="center"/>
                </w:tcPr>
                <w:p>
                  <w:pPr>
                    <w:pStyle w:val="45"/>
                    <w:rPr>
                      <w:color w:val="auto"/>
                    </w:rPr>
                  </w:pPr>
                  <w:r>
                    <w:rPr>
                      <w:color w:val="auto"/>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rFonts w:hint="eastAsia"/>
                      <w:color w:val="auto"/>
                    </w:rPr>
                    <w:t>2</w:t>
                  </w:r>
                </w:p>
              </w:tc>
              <w:tc>
                <w:tcPr>
                  <w:tcW w:w="616" w:type="pct"/>
                  <w:tcBorders>
                    <w:tl2br w:val="nil"/>
                    <w:tr2bl w:val="nil"/>
                  </w:tcBorders>
                  <w:vAlign w:val="center"/>
                </w:tcPr>
                <w:p>
                  <w:pPr>
                    <w:pStyle w:val="45"/>
                    <w:rPr>
                      <w:color w:val="auto"/>
                    </w:rPr>
                  </w:pPr>
                  <w:r>
                    <w:rPr>
                      <w:rFonts w:hint="eastAsia"/>
                      <w:color w:val="auto"/>
                    </w:rPr>
                    <w:t>损伤</w:t>
                  </w:r>
                </w:p>
                <w:p>
                  <w:pPr>
                    <w:pStyle w:val="45"/>
                    <w:rPr>
                      <w:color w:val="auto"/>
                    </w:rPr>
                  </w:pPr>
                  <w:r>
                    <w:rPr>
                      <w:rFonts w:hint="eastAsia"/>
                      <w:color w:val="auto"/>
                    </w:rPr>
                    <w:t>性废</w:t>
                  </w:r>
                </w:p>
                <w:p>
                  <w:pPr>
                    <w:pStyle w:val="45"/>
                    <w:rPr>
                      <w:color w:val="auto"/>
                    </w:rPr>
                  </w:pPr>
                  <w:r>
                    <w:rPr>
                      <w:rFonts w:hint="eastAsia"/>
                      <w:color w:val="auto"/>
                    </w:rPr>
                    <w:t>物</w:t>
                  </w:r>
                </w:p>
              </w:tc>
              <w:tc>
                <w:tcPr>
                  <w:tcW w:w="593" w:type="pct"/>
                  <w:tcBorders>
                    <w:tl2br w:val="nil"/>
                    <w:tr2bl w:val="nil"/>
                  </w:tcBorders>
                  <w:vAlign w:val="center"/>
                </w:tcPr>
                <w:p>
                  <w:pPr>
                    <w:pStyle w:val="45"/>
                    <w:rPr>
                      <w:color w:val="auto"/>
                    </w:rPr>
                  </w:pPr>
                  <w:r>
                    <w:rPr>
                      <w:color w:val="auto"/>
                    </w:rPr>
                    <w:t xml:space="preserve">HW01 </w:t>
                  </w:r>
                </w:p>
                <w:p>
                  <w:pPr>
                    <w:pStyle w:val="45"/>
                    <w:rPr>
                      <w:color w:val="auto"/>
                    </w:rPr>
                  </w:pPr>
                  <w:r>
                    <w:rPr>
                      <w:rFonts w:hint="eastAsia"/>
                      <w:color w:val="auto"/>
                    </w:rPr>
                    <w:t>医疗</w:t>
                  </w:r>
                </w:p>
                <w:p>
                  <w:pPr>
                    <w:pStyle w:val="45"/>
                    <w:rPr>
                      <w:color w:val="auto"/>
                    </w:rPr>
                  </w:pPr>
                  <w:r>
                    <w:rPr>
                      <w:rFonts w:hint="eastAsia"/>
                      <w:color w:val="auto"/>
                    </w:rPr>
                    <w:t>废物</w:t>
                  </w:r>
                </w:p>
              </w:tc>
              <w:tc>
                <w:tcPr>
                  <w:tcW w:w="914" w:type="pct"/>
                  <w:tcBorders>
                    <w:tl2br w:val="nil"/>
                    <w:tr2bl w:val="nil"/>
                  </w:tcBorders>
                  <w:vAlign w:val="center"/>
                </w:tcPr>
                <w:p>
                  <w:pPr>
                    <w:pStyle w:val="45"/>
                    <w:rPr>
                      <w:color w:val="auto"/>
                    </w:rPr>
                  </w:pPr>
                  <w:r>
                    <w:rPr>
                      <w:color w:val="auto"/>
                    </w:rPr>
                    <w:t>841-00</w:t>
                  </w:r>
                  <w:r>
                    <w:rPr>
                      <w:rFonts w:hint="eastAsia"/>
                      <w:color w:val="auto"/>
                    </w:rPr>
                    <w:t>2</w:t>
                  </w:r>
                  <w:r>
                    <w:rPr>
                      <w:color w:val="auto"/>
                    </w:rPr>
                    <w:t>-01</w:t>
                  </w:r>
                </w:p>
              </w:tc>
              <w:tc>
                <w:tcPr>
                  <w:tcW w:w="646" w:type="pct"/>
                  <w:tcBorders>
                    <w:tl2br w:val="nil"/>
                    <w:tr2bl w:val="nil"/>
                  </w:tcBorders>
                  <w:vAlign w:val="center"/>
                </w:tcPr>
                <w:p>
                  <w:pPr>
                    <w:pStyle w:val="45"/>
                    <w:rPr>
                      <w:rFonts w:hint="default" w:eastAsia="宋体"/>
                      <w:color w:val="auto"/>
                      <w:lang w:val="en-US" w:eastAsia="zh-CN"/>
                    </w:rPr>
                  </w:pPr>
                  <w:r>
                    <w:rPr>
                      <w:rFonts w:hint="eastAsia"/>
                      <w:color w:val="auto"/>
                      <w:lang w:val="en-US" w:eastAsia="zh-CN"/>
                    </w:rPr>
                    <w:t>1.55</w:t>
                  </w:r>
                </w:p>
              </w:tc>
              <w:tc>
                <w:tcPr>
                  <w:tcW w:w="546" w:type="pct"/>
                  <w:tcBorders>
                    <w:tl2br w:val="nil"/>
                    <w:tr2bl w:val="nil"/>
                  </w:tcBorders>
                  <w:vAlign w:val="center"/>
                </w:tcPr>
                <w:p>
                  <w:pPr>
                    <w:pStyle w:val="45"/>
                    <w:rPr>
                      <w:color w:val="auto"/>
                    </w:rPr>
                  </w:pPr>
                  <w:r>
                    <w:rPr>
                      <w:rFonts w:hint="eastAsia"/>
                      <w:color w:val="auto"/>
                    </w:rPr>
                    <w:t>诊疗</w:t>
                  </w:r>
                </w:p>
              </w:tc>
              <w:tc>
                <w:tcPr>
                  <w:tcW w:w="472" w:type="pct"/>
                  <w:tcBorders>
                    <w:tl2br w:val="nil"/>
                    <w:tr2bl w:val="nil"/>
                  </w:tcBorders>
                  <w:vAlign w:val="center"/>
                </w:tcPr>
                <w:p>
                  <w:pPr>
                    <w:pStyle w:val="45"/>
                    <w:rPr>
                      <w:color w:val="auto"/>
                    </w:rPr>
                  </w:pPr>
                  <w:r>
                    <w:rPr>
                      <w:rFonts w:hint="eastAsia"/>
                      <w:color w:val="auto"/>
                    </w:rPr>
                    <w:t>固</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日</w:t>
                  </w:r>
                </w:p>
              </w:tc>
              <w:tc>
                <w:tcPr>
                  <w:tcW w:w="509" w:type="pct"/>
                  <w:tcBorders>
                    <w:tl2br w:val="nil"/>
                    <w:tr2bl w:val="nil"/>
                  </w:tcBorders>
                  <w:vAlign w:val="center"/>
                </w:tcPr>
                <w:p>
                  <w:pPr>
                    <w:pStyle w:val="45"/>
                    <w:rPr>
                      <w:color w:val="auto"/>
                    </w:rPr>
                  </w:pPr>
                  <w:r>
                    <w:rPr>
                      <w:color w:val="auto"/>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rFonts w:hint="eastAsia"/>
                      <w:color w:val="auto"/>
                    </w:rPr>
                    <w:t>3</w:t>
                  </w:r>
                </w:p>
              </w:tc>
              <w:tc>
                <w:tcPr>
                  <w:tcW w:w="616" w:type="pct"/>
                  <w:tcBorders>
                    <w:tl2br w:val="nil"/>
                    <w:tr2bl w:val="nil"/>
                  </w:tcBorders>
                  <w:vAlign w:val="center"/>
                </w:tcPr>
                <w:p>
                  <w:pPr>
                    <w:pStyle w:val="45"/>
                    <w:rPr>
                      <w:color w:val="auto"/>
                    </w:rPr>
                  </w:pPr>
                  <w:r>
                    <w:rPr>
                      <w:rFonts w:hint="eastAsia"/>
                      <w:color w:val="auto"/>
                    </w:rPr>
                    <w:t>病理</w:t>
                  </w:r>
                </w:p>
                <w:p>
                  <w:pPr>
                    <w:pStyle w:val="45"/>
                    <w:rPr>
                      <w:color w:val="auto"/>
                    </w:rPr>
                  </w:pPr>
                  <w:r>
                    <w:rPr>
                      <w:rFonts w:hint="eastAsia"/>
                      <w:color w:val="auto"/>
                    </w:rPr>
                    <w:t>性废</w:t>
                  </w:r>
                </w:p>
                <w:p>
                  <w:pPr>
                    <w:pStyle w:val="45"/>
                    <w:rPr>
                      <w:color w:val="auto"/>
                    </w:rPr>
                  </w:pPr>
                  <w:r>
                    <w:rPr>
                      <w:rFonts w:hint="eastAsia"/>
                      <w:color w:val="auto"/>
                    </w:rPr>
                    <w:t>物</w:t>
                  </w:r>
                </w:p>
              </w:tc>
              <w:tc>
                <w:tcPr>
                  <w:tcW w:w="593" w:type="pct"/>
                  <w:tcBorders>
                    <w:tl2br w:val="nil"/>
                    <w:tr2bl w:val="nil"/>
                  </w:tcBorders>
                  <w:vAlign w:val="center"/>
                </w:tcPr>
                <w:p>
                  <w:pPr>
                    <w:pStyle w:val="45"/>
                    <w:rPr>
                      <w:color w:val="auto"/>
                    </w:rPr>
                  </w:pPr>
                  <w:r>
                    <w:rPr>
                      <w:color w:val="auto"/>
                    </w:rPr>
                    <w:t xml:space="preserve">HW01 </w:t>
                  </w:r>
                </w:p>
                <w:p>
                  <w:pPr>
                    <w:pStyle w:val="45"/>
                    <w:rPr>
                      <w:color w:val="auto"/>
                    </w:rPr>
                  </w:pPr>
                  <w:r>
                    <w:rPr>
                      <w:rFonts w:hint="eastAsia"/>
                      <w:color w:val="auto"/>
                    </w:rPr>
                    <w:t>医疗</w:t>
                  </w:r>
                </w:p>
                <w:p>
                  <w:pPr>
                    <w:pStyle w:val="45"/>
                    <w:rPr>
                      <w:color w:val="auto"/>
                    </w:rPr>
                  </w:pPr>
                  <w:r>
                    <w:rPr>
                      <w:rFonts w:hint="eastAsia"/>
                      <w:color w:val="auto"/>
                    </w:rPr>
                    <w:t>废物</w:t>
                  </w:r>
                </w:p>
              </w:tc>
              <w:tc>
                <w:tcPr>
                  <w:tcW w:w="914" w:type="pct"/>
                  <w:tcBorders>
                    <w:tl2br w:val="nil"/>
                    <w:tr2bl w:val="nil"/>
                  </w:tcBorders>
                  <w:vAlign w:val="center"/>
                </w:tcPr>
                <w:p>
                  <w:pPr>
                    <w:pStyle w:val="45"/>
                    <w:rPr>
                      <w:color w:val="auto"/>
                    </w:rPr>
                  </w:pPr>
                  <w:r>
                    <w:rPr>
                      <w:color w:val="auto"/>
                    </w:rPr>
                    <w:t>841-00</w:t>
                  </w:r>
                  <w:r>
                    <w:rPr>
                      <w:rFonts w:hint="eastAsia"/>
                      <w:color w:val="auto"/>
                    </w:rPr>
                    <w:t>3</w:t>
                  </w:r>
                  <w:r>
                    <w:rPr>
                      <w:color w:val="auto"/>
                    </w:rPr>
                    <w:t>-01</w:t>
                  </w:r>
                </w:p>
              </w:tc>
              <w:tc>
                <w:tcPr>
                  <w:tcW w:w="646" w:type="pct"/>
                  <w:tcBorders>
                    <w:tl2br w:val="nil"/>
                    <w:tr2bl w:val="nil"/>
                  </w:tcBorders>
                  <w:vAlign w:val="center"/>
                </w:tcPr>
                <w:p>
                  <w:pPr>
                    <w:pStyle w:val="45"/>
                    <w:rPr>
                      <w:color w:val="auto"/>
                    </w:rPr>
                  </w:pPr>
                  <w:r>
                    <w:rPr>
                      <w:rFonts w:hint="eastAsia"/>
                      <w:color w:val="auto"/>
                    </w:rPr>
                    <w:t>0.365</w:t>
                  </w:r>
                </w:p>
              </w:tc>
              <w:tc>
                <w:tcPr>
                  <w:tcW w:w="546" w:type="pct"/>
                  <w:tcBorders>
                    <w:tl2br w:val="nil"/>
                    <w:tr2bl w:val="nil"/>
                  </w:tcBorders>
                  <w:vAlign w:val="center"/>
                </w:tcPr>
                <w:p>
                  <w:pPr>
                    <w:pStyle w:val="45"/>
                    <w:rPr>
                      <w:color w:val="auto"/>
                    </w:rPr>
                  </w:pPr>
                  <w:r>
                    <w:rPr>
                      <w:rFonts w:hint="eastAsia"/>
                      <w:color w:val="auto"/>
                    </w:rPr>
                    <w:t>诊疗</w:t>
                  </w:r>
                </w:p>
              </w:tc>
              <w:tc>
                <w:tcPr>
                  <w:tcW w:w="472" w:type="pct"/>
                  <w:tcBorders>
                    <w:tl2br w:val="nil"/>
                    <w:tr2bl w:val="nil"/>
                  </w:tcBorders>
                  <w:vAlign w:val="center"/>
                </w:tcPr>
                <w:p>
                  <w:pPr>
                    <w:pStyle w:val="45"/>
                    <w:rPr>
                      <w:color w:val="auto"/>
                    </w:rPr>
                  </w:pPr>
                  <w:r>
                    <w:rPr>
                      <w:rFonts w:hint="eastAsia"/>
                      <w:color w:val="auto"/>
                    </w:rPr>
                    <w:t>固</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日</w:t>
                  </w:r>
                </w:p>
              </w:tc>
              <w:tc>
                <w:tcPr>
                  <w:tcW w:w="509" w:type="pct"/>
                  <w:tcBorders>
                    <w:tl2br w:val="nil"/>
                    <w:tr2bl w:val="nil"/>
                  </w:tcBorders>
                  <w:vAlign w:val="center"/>
                </w:tcPr>
                <w:p>
                  <w:pPr>
                    <w:pStyle w:val="45"/>
                    <w:rPr>
                      <w:color w:val="auto"/>
                    </w:rPr>
                  </w:pPr>
                  <w:r>
                    <w:rPr>
                      <w:color w:val="auto"/>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rFonts w:hint="eastAsia"/>
                      <w:color w:val="auto"/>
                    </w:rPr>
                    <w:t>4</w:t>
                  </w:r>
                </w:p>
              </w:tc>
              <w:tc>
                <w:tcPr>
                  <w:tcW w:w="616" w:type="pct"/>
                  <w:tcBorders>
                    <w:tl2br w:val="nil"/>
                    <w:tr2bl w:val="nil"/>
                  </w:tcBorders>
                  <w:vAlign w:val="center"/>
                </w:tcPr>
                <w:p>
                  <w:pPr>
                    <w:pStyle w:val="45"/>
                    <w:rPr>
                      <w:color w:val="auto"/>
                    </w:rPr>
                  </w:pPr>
                  <w:r>
                    <w:rPr>
                      <w:rFonts w:hint="eastAsia"/>
                      <w:color w:val="auto"/>
                    </w:rPr>
                    <w:t>化学</w:t>
                  </w:r>
                </w:p>
                <w:p>
                  <w:pPr>
                    <w:pStyle w:val="45"/>
                    <w:rPr>
                      <w:color w:val="auto"/>
                    </w:rPr>
                  </w:pPr>
                  <w:r>
                    <w:rPr>
                      <w:rFonts w:hint="eastAsia"/>
                      <w:color w:val="auto"/>
                    </w:rPr>
                    <w:t>性废</w:t>
                  </w:r>
                </w:p>
                <w:p>
                  <w:pPr>
                    <w:pStyle w:val="45"/>
                    <w:rPr>
                      <w:color w:val="auto"/>
                    </w:rPr>
                  </w:pPr>
                  <w:r>
                    <w:rPr>
                      <w:rFonts w:hint="eastAsia"/>
                      <w:color w:val="auto"/>
                    </w:rPr>
                    <w:t>物</w:t>
                  </w:r>
                </w:p>
              </w:tc>
              <w:tc>
                <w:tcPr>
                  <w:tcW w:w="593" w:type="pct"/>
                  <w:tcBorders>
                    <w:tl2br w:val="nil"/>
                    <w:tr2bl w:val="nil"/>
                  </w:tcBorders>
                  <w:vAlign w:val="center"/>
                </w:tcPr>
                <w:p>
                  <w:pPr>
                    <w:pStyle w:val="45"/>
                    <w:rPr>
                      <w:color w:val="auto"/>
                    </w:rPr>
                  </w:pPr>
                  <w:r>
                    <w:rPr>
                      <w:color w:val="auto"/>
                    </w:rPr>
                    <w:t xml:space="preserve">HW01 </w:t>
                  </w:r>
                </w:p>
                <w:p>
                  <w:pPr>
                    <w:pStyle w:val="45"/>
                    <w:rPr>
                      <w:color w:val="auto"/>
                    </w:rPr>
                  </w:pPr>
                  <w:r>
                    <w:rPr>
                      <w:rFonts w:hint="eastAsia"/>
                      <w:color w:val="auto"/>
                    </w:rPr>
                    <w:t>医疗</w:t>
                  </w:r>
                </w:p>
                <w:p>
                  <w:pPr>
                    <w:pStyle w:val="45"/>
                    <w:rPr>
                      <w:color w:val="auto"/>
                    </w:rPr>
                  </w:pPr>
                  <w:r>
                    <w:rPr>
                      <w:rFonts w:hint="eastAsia"/>
                      <w:color w:val="auto"/>
                    </w:rPr>
                    <w:t>废物</w:t>
                  </w:r>
                </w:p>
              </w:tc>
              <w:tc>
                <w:tcPr>
                  <w:tcW w:w="914" w:type="pct"/>
                  <w:tcBorders>
                    <w:tl2br w:val="nil"/>
                    <w:tr2bl w:val="nil"/>
                  </w:tcBorders>
                  <w:vAlign w:val="center"/>
                </w:tcPr>
                <w:p>
                  <w:pPr>
                    <w:pStyle w:val="45"/>
                    <w:rPr>
                      <w:color w:val="auto"/>
                    </w:rPr>
                  </w:pPr>
                  <w:r>
                    <w:rPr>
                      <w:color w:val="auto"/>
                    </w:rPr>
                    <w:t>841-00</w:t>
                  </w:r>
                  <w:r>
                    <w:rPr>
                      <w:rFonts w:hint="eastAsia"/>
                      <w:color w:val="auto"/>
                    </w:rPr>
                    <w:t>4</w:t>
                  </w:r>
                  <w:r>
                    <w:rPr>
                      <w:color w:val="auto"/>
                    </w:rPr>
                    <w:t>-01</w:t>
                  </w:r>
                </w:p>
              </w:tc>
              <w:tc>
                <w:tcPr>
                  <w:tcW w:w="646" w:type="pct"/>
                  <w:tcBorders>
                    <w:tl2br w:val="nil"/>
                    <w:tr2bl w:val="nil"/>
                  </w:tcBorders>
                  <w:vAlign w:val="center"/>
                </w:tcPr>
                <w:p>
                  <w:pPr>
                    <w:pStyle w:val="45"/>
                    <w:rPr>
                      <w:color w:val="auto"/>
                    </w:rPr>
                  </w:pPr>
                  <w:r>
                    <w:rPr>
                      <w:rFonts w:hint="eastAsia"/>
                      <w:color w:val="auto"/>
                    </w:rPr>
                    <w:t>0.037</w:t>
                  </w:r>
                </w:p>
              </w:tc>
              <w:tc>
                <w:tcPr>
                  <w:tcW w:w="546" w:type="pct"/>
                  <w:tcBorders>
                    <w:tl2br w:val="nil"/>
                    <w:tr2bl w:val="nil"/>
                  </w:tcBorders>
                  <w:vAlign w:val="center"/>
                </w:tcPr>
                <w:p>
                  <w:pPr>
                    <w:pStyle w:val="45"/>
                    <w:rPr>
                      <w:color w:val="auto"/>
                    </w:rPr>
                  </w:pPr>
                  <w:r>
                    <w:rPr>
                      <w:rFonts w:hint="eastAsia"/>
                      <w:color w:val="auto"/>
                    </w:rPr>
                    <w:t>检验</w:t>
                  </w:r>
                </w:p>
                <w:p>
                  <w:pPr>
                    <w:pStyle w:val="45"/>
                    <w:rPr>
                      <w:color w:val="auto"/>
                    </w:rPr>
                  </w:pPr>
                  <w:r>
                    <w:rPr>
                      <w:rFonts w:hint="eastAsia"/>
                      <w:color w:val="auto"/>
                    </w:rPr>
                    <w:t>室</w:t>
                  </w:r>
                </w:p>
              </w:tc>
              <w:tc>
                <w:tcPr>
                  <w:tcW w:w="472" w:type="pct"/>
                  <w:tcBorders>
                    <w:tl2br w:val="nil"/>
                    <w:tr2bl w:val="nil"/>
                  </w:tcBorders>
                  <w:vAlign w:val="center"/>
                </w:tcPr>
                <w:p>
                  <w:pPr>
                    <w:pStyle w:val="45"/>
                    <w:rPr>
                      <w:color w:val="auto"/>
                    </w:rPr>
                  </w:pPr>
                  <w:r>
                    <w:rPr>
                      <w:rFonts w:hint="eastAsia"/>
                      <w:color w:val="auto"/>
                    </w:rPr>
                    <w:t>固</w:t>
                  </w:r>
                </w:p>
                <w:p>
                  <w:pPr>
                    <w:pStyle w:val="45"/>
                    <w:rPr>
                      <w:color w:val="auto"/>
                    </w:rPr>
                  </w:pPr>
                  <w:r>
                    <w:rPr>
                      <w:rFonts w:hint="eastAsia"/>
                      <w:color w:val="auto"/>
                    </w:rPr>
                    <w:t>态</w:t>
                  </w:r>
                  <w:r>
                    <w:rPr>
                      <w:color w:val="auto"/>
                    </w:rPr>
                    <w:t xml:space="preserve">/ </w:t>
                  </w:r>
                </w:p>
                <w:p>
                  <w:pPr>
                    <w:pStyle w:val="45"/>
                    <w:rPr>
                      <w:color w:val="auto"/>
                    </w:rPr>
                  </w:pPr>
                  <w:r>
                    <w:rPr>
                      <w:rFonts w:hint="eastAsia"/>
                      <w:color w:val="auto"/>
                    </w:rPr>
                    <w:t>液</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日</w:t>
                  </w:r>
                </w:p>
              </w:tc>
              <w:tc>
                <w:tcPr>
                  <w:tcW w:w="509" w:type="pct"/>
                  <w:tcBorders>
                    <w:tl2br w:val="nil"/>
                    <w:tr2bl w:val="nil"/>
                  </w:tcBorders>
                  <w:vAlign w:val="center"/>
                </w:tcPr>
                <w:p>
                  <w:pPr>
                    <w:pStyle w:val="45"/>
                    <w:rPr>
                      <w:color w:val="auto"/>
                    </w:rPr>
                  </w:pPr>
                  <w:r>
                    <w:rPr>
                      <w:color w:val="auto"/>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rFonts w:hint="eastAsia"/>
                      <w:color w:val="auto"/>
                    </w:rPr>
                    <w:t>5</w:t>
                  </w:r>
                </w:p>
              </w:tc>
              <w:tc>
                <w:tcPr>
                  <w:tcW w:w="616" w:type="pct"/>
                  <w:tcBorders>
                    <w:tl2br w:val="nil"/>
                    <w:tr2bl w:val="nil"/>
                  </w:tcBorders>
                  <w:vAlign w:val="center"/>
                </w:tcPr>
                <w:p>
                  <w:pPr>
                    <w:pStyle w:val="45"/>
                    <w:rPr>
                      <w:color w:val="auto"/>
                    </w:rPr>
                  </w:pPr>
                  <w:r>
                    <w:rPr>
                      <w:rFonts w:hint="eastAsia"/>
                      <w:color w:val="auto"/>
                    </w:rPr>
                    <w:t>药物</w:t>
                  </w:r>
                </w:p>
                <w:p>
                  <w:pPr>
                    <w:pStyle w:val="45"/>
                    <w:rPr>
                      <w:color w:val="auto"/>
                    </w:rPr>
                  </w:pPr>
                  <w:r>
                    <w:rPr>
                      <w:rFonts w:hint="eastAsia"/>
                      <w:color w:val="auto"/>
                    </w:rPr>
                    <w:t>性废</w:t>
                  </w:r>
                </w:p>
                <w:p>
                  <w:pPr>
                    <w:pStyle w:val="45"/>
                    <w:rPr>
                      <w:color w:val="auto"/>
                    </w:rPr>
                  </w:pPr>
                  <w:r>
                    <w:rPr>
                      <w:rFonts w:hint="eastAsia"/>
                      <w:color w:val="auto"/>
                    </w:rPr>
                    <w:t>物</w:t>
                  </w:r>
                </w:p>
              </w:tc>
              <w:tc>
                <w:tcPr>
                  <w:tcW w:w="593" w:type="pct"/>
                  <w:tcBorders>
                    <w:tl2br w:val="nil"/>
                    <w:tr2bl w:val="nil"/>
                  </w:tcBorders>
                  <w:vAlign w:val="center"/>
                </w:tcPr>
                <w:p>
                  <w:pPr>
                    <w:pStyle w:val="45"/>
                    <w:rPr>
                      <w:color w:val="auto"/>
                    </w:rPr>
                  </w:pPr>
                  <w:r>
                    <w:rPr>
                      <w:color w:val="auto"/>
                    </w:rPr>
                    <w:t xml:space="preserve">HW01 </w:t>
                  </w:r>
                </w:p>
                <w:p>
                  <w:pPr>
                    <w:pStyle w:val="45"/>
                    <w:rPr>
                      <w:color w:val="auto"/>
                    </w:rPr>
                  </w:pPr>
                  <w:r>
                    <w:rPr>
                      <w:rFonts w:hint="eastAsia"/>
                      <w:color w:val="auto"/>
                    </w:rPr>
                    <w:t>医疗</w:t>
                  </w:r>
                </w:p>
                <w:p>
                  <w:pPr>
                    <w:pStyle w:val="45"/>
                    <w:rPr>
                      <w:color w:val="auto"/>
                    </w:rPr>
                  </w:pPr>
                  <w:r>
                    <w:rPr>
                      <w:rFonts w:hint="eastAsia"/>
                      <w:color w:val="auto"/>
                    </w:rPr>
                    <w:t>废物</w:t>
                  </w:r>
                </w:p>
              </w:tc>
              <w:tc>
                <w:tcPr>
                  <w:tcW w:w="914" w:type="pct"/>
                  <w:tcBorders>
                    <w:tl2br w:val="nil"/>
                    <w:tr2bl w:val="nil"/>
                  </w:tcBorders>
                  <w:vAlign w:val="center"/>
                </w:tcPr>
                <w:p>
                  <w:pPr>
                    <w:pStyle w:val="45"/>
                    <w:rPr>
                      <w:color w:val="auto"/>
                    </w:rPr>
                  </w:pPr>
                  <w:r>
                    <w:rPr>
                      <w:color w:val="auto"/>
                    </w:rPr>
                    <w:t>841-00</w:t>
                  </w:r>
                  <w:r>
                    <w:rPr>
                      <w:rFonts w:hint="eastAsia"/>
                      <w:color w:val="auto"/>
                    </w:rPr>
                    <w:t>5</w:t>
                  </w:r>
                  <w:r>
                    <w:rPr>
                      <w:color w:val="auto"/>
                    </w:rPr>
                    <w:t>-01</w:t>
                  </w:r>
                </w:p>
              </w:tc>
              <w:tc>
                <w:tcPr>
                  <w:tcW w:w="646" w:type="pct"/>
                  <w:tcBorders>
                    <w:tl2br w:val="nil"/>
                    <w:tr2bl w:val="nil"/>
                  </w:tcBorders>
                  <w:vAlign w:val="center"/>
                </w:tcPr>
                <w:p>
                  <w:pPr>
                    <w:pStyle w:val="45"/>
                    <w:rPr>
                      <w:color w:val="auto"/>
                    </w:rPr>
                  </w:pPr>
                  <w:r>
                    <w:rPr>
                      <w:rFonts w:hint="eastAsia"/>
                      <w:color w:val="auto"/>
                    </w:rPr>
                    <w:t>0.073</w:t>
                  </w:r>
                </w:p>
              </w:tc>
              <w:tc>
                <w:tcPr>
                  <w:tcW w:w="546" w:type="pct"/>
                  <w:tcBorders>
                    <w:tl2br w:val="nil"/>
                    <w:tr2bl w:val="nil"/>
                  </w:tcBorders>
                  <w:vAlign w:val="center"/>
                </w:tcPr>
                <w:p>
                  <w:pPr>
                    <w:pStyle w:val="45"/>
                    <w:rPr>
                      <w:color w:val="auto"/>
                    </w:rPr>
                  </w:pPr>
                  <w:r>
                    <w:rPr>
                      <w:rFonts w:hint="eastAsia"/>
                      <w:color w:val="auto"/>
                    </w:rPr>
                    <w:t>诊疗</w:t>
                  </w:r>
                </w:p>
              </w:tc>
              <w:tc>
                <w:tcPr>
                  <w:tcW w:w="472" w:type="pct"/>
                  <w:tcBorders>
                    <w:tl2br w:val="nil"/>
                    <w:tr2bl w:val="nil"/>
                  </w:tcBorders>
                  <w:vAlign w:val="center"/>
                </w:tcPr>
                <w:p>
                  <w:pPr>
                    <w:pStyle w:val="45"/>
                    <w:rPr>
                      <w:color w:val="auto"/>
                    </w:rPr>
                  </w:pPr>
                  <w:r>
                    <w:rPr>
                      <w:rFonts w:hint="eastAsia"/>
                      <w:color w:val="auto"/>
                    </w:rPr>
                    <w:t>固</w:t>
                  </w:r>
                </w:p>
                <w:p>
                  <w:pPr>
                    <w:pStyle w:val="45"/>
                    <w:rPr>
                      <w:color w:val="auto"/>
                    </w:rPr>
                  </w:pPr>
                  <w:r>
                    <w:rPr>
                      <w:rFonts w:hint="eastAsia"/>
                      <w:color w:val="auto"/>
                    </w:rPr>
                    <w:t>态</w:t>
                  </w:r>
                  <w:r>
                    <w:rPr>
                      <w:color w:val="auto"/>
                    </w:rPr>
                    <w:t xml:space="preserve">/ </w:t>
                  </w:r>
                </w:p>
                <w:p>
                  <w:pPr>
                    <w:pStyle w:val="45"/>
                    <w:rPr>
                      <w:color w:val="auto"/>
                    </w:rPr>
                  </w:pPr>
                  <w:r>
                    <w:rPr>
                      <w:rFonts w:hint="eastAsia"/>
                      <w:color w:val="auto"/>
                    </w:rPr>
                    <w:t>液</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日</w:t>
                  </w:r>
                </w:p>
              </w:tc>
              <w:tc>
                <w:tcPr>
                  <w:tcW w:w="509" w:type="pct"/>
                  <w:tcBorders>
                    <w:tl2br w:val="nil"/>
                    <w:tr2bl w:val="nil"/>
                  </w:tcBorders>
                  <w:vAlign w:val="center"/>
                </w:tcPr>
                <w:p>
                  <w:pPr>
                    <w:pStyle w:val="45"/>
                    <w:rPr>
                      <w:color w:val="auto"/>
                    </w:rPr>
                  </w:pPr>
                  <w:r>
                    <w:rPr>
                      <w:color w:val="auto"/>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tcBorders>
                    <w:tl2br w:val="nil"/>
                    <w:tr2bl w:val="nil"/>
                  </w:tcBorders>
                  <w:vAlign w:val="center"/>
                </w:tcPr>
                <w:p>
                  <w:pPr>
                    <w:pStyle w:val="45"/>
                    <w:rPr>
                      <w:color w:val="auto"/>
                    </w:rPr>
                  </w:pPr>
                  <w:r>
                    <w:rPr>
                      <w:rFonts w:hint="eastAsia"/>
                      <w:color w:val="auto"/>
                    </w:rPr>
                    <w:t>6</w:t>
                  </w:r>
                </w:p>
              </w:tc>
              <w:tc>
                <w:tcPr>
                  <w:tcW w:w="616" w:type="pct"/>
                  <w:tcBorders>
                    <w:tl2br w:val="nil"/>
                    <w:tr2bl w:val="nil"/>
                  </w:tcBorders>
                  <w:vAlign w:val="center"/>
                </w:tcPr>
                <w:p>
                  <w:pPr>
                    <w:pStyle w:val="45"/>
                    <w:rPr>
                      <w:color w:val="auto"/>
                    </w:rPr>
                  </w:pPr>
                  <w:r>
                    <w:rPr>
                      <w:rFonts w:hint="eastAsia"/>
                      <w:color w:val="auto"/>
                    </w:rPr>
                    <w:t>污水</w:t>
                  </w:r>
                </w:p>
                <w:p>
                  <w:pPr>
                    <w:pStyle w:val="45"/>
                    <w:rPr>
                      <w:color w:val="auto"/>
                    </w:rPr>
                  </w:pPr>
                  <w:r>
                    <w:rPr>
                      <w:rFonts w:hint="eastAsia"/>
                      <w:color w:val="auto"/>
                    </w:rPr>
                    <w:t>站污</w:t>
                  </w:r>
                </w:p>
                <w:p>
                  <w:pPr>
                    <w:pStyle w:val="45"/>
                    <w:rPr>
                      <w:color w:val="auto"/>
                    </w:rPr>
                  </w:pPr>
                  <w:r>
                    <w:rPr>
                      <w:rFonts w:hint="eastAsia"/>
                      <w:color w:val="auto"/>
                    </w:rPr>
                    <w:t>泥</w:t>
                  </w:r>
                </w:p>
              </w:tc>
              <w:tc>
                <w:tcPr>
                  <w:tcW w:w="593" w:type="pct"/>
                  <w:tcBorders>
                    <w:tl2br w:val="nil"/>
                    <w:tr2bl w:val="nil"/>
                  </w:tcBorders>
                  <w:vAlign w:val="center"/>
                </w:tcPr>
                <w:p>
                  <w:pPr>
                    <w:pStyle w:val="45"/>
                    <w:rPr>
                      <w:color w:val="auto"/>
                    </w:rPr>
                  </w:pPr>
                  <w:r>
                    <w:rPr>
                      <w:rFonts w:hint="eastAsia"/>
                      <w:color w:val="auto"/>
                    </w:rPr>
                    <w:t>HW01</w:t>
                  </w:r>
                  <w:r>
                    <w:rPr>
                      <w:color w:val="auto"/>
                    </w:rPr>
                    <w:t xml:space="preserve"> </w:t>
                  </w:r>
                </w:p>
                <w:p>
                  <w:pPr>
                    <w:pStyle w:val="45"/>
                    <w:rPr>
                      <w:color w:val="auto"/>
                    </w:rPr>
                  </w:pPr>
                  <w:r>
                    <w:rPr>
                      <w:rFonts w:hint="eastAsia"/>
                      <w:color w:val="auto"/>
                    </w:rPr>
                    <w:t>医疗</w:t>
                  </w:r>
                </w:p>
                <w:p>
                  <w:pPr>
                    <w:pStyle w:val="45"/>
                    <w:rPr>
                      <w:color w:val="auto"/>
                    </w:rPr>
                  </w:pPr>
                  <w:r>
                    <w:rPr>
                      <w:rFonts w:hint="eastAsia"/>
                      <w:color w:val="auto"/>
                    </w:rPr>
                    <w:t>废物</w:t>
                  </w:r>
                </w:p>
              </w:tc>
              <w:tc>
                <w:tcPr>
                  <w:tcW w:w="914" w:type="pct"/>
                  <w:tcBorders>
                    <w:tl2br w:val="nil"/>
                    <w:tr2bl w:val="nil"/>
                  </w:tcBorders>
                  <w:vAlign w:val="center"/>
                </w:tcPr>
                <w:p>
                  <w:pPr>
                    <w:pStyle w:val="45"/>
                    <w:rPr>
                      <w:color w:val="auto"/>
                    </w:rPr>
                  </w:pPr>
                  <w:r>
                    <w:rPr>
                      <w:rFonts w:hint="eastAsia"/>
                      <w:color w:val="auto"/>
                    </w:rPr>
                    <w:t>841-001-01</w:t>
                  </w:r>
                </w:p>
              </w:tc>
              <w:tc>
                <w:tcPr>
                  <w:tcW w:w="646" w:type="pct"/>
                  <w:tcBorders>
                    <w:tl2br w:val="nil"/>
                    <w:tr2bl w:val="nil"/>
                  </w:tcBorders>
                  <w:vAlign w:val="center"/>
                </w:tcPr>
                <w:p>
                  <w:pPr>
                    <w:pStyle w:val="45"/>
                    <w:rPr>
                      <w:rFonts w:hint="default"/>
                      <w:color w:val="auto"/>
                      <w:lang w:val="en-US"/>
                    </w:rPr>
                  </w:pPr>
                  <w:r>
                    <w:rPr>
                      <w:rFonts w:hint="eastAsia"/>
                      <w:color w:val="auto"/>
                      <w:lang w:val="en-US" w:eastAsia="zh-CN"/>
                    </w:rPr>
                    <w:t>0.48</w:t>
                  </w:r>
                </w:p>
              </w:tc>
              <w:tc>
                <w:tcPr>
                  <w:tcW w:w="546" w:type="pct"/>
                  <w:tcBorders>
                    <w:tl2br w:val="nil"/>
                    <w:tr2bl w:val="nil"/>
                  </w:tcBorders>
                  <w:vAlign w:val="center"/>
                </w:tcPr>
                <w:p>
                  <w:pPr>
                    <w:pStyle w:val="45"/>
                    <w:rPr>
                      <w:color w:val="auto"/>
                    </w:rPr>
                  </w:pPr>
                  <w:r>
                    <w:rPr>
                      <w:rFonts w:hint="eastAsia"/>
                      <w:color w:val="auto"/>
                    </w:rPr>
                    <w:t>医疗</w:t>
                  </w:r>
                </w:p>
                <w:p>
                  <w:pPr>
                    <w:pStyle w:val="45"/>
                    <w:rPr>
                      <w:color w:val="auto"/>
                    </w:rPr>
                  </w:pPr>
                  <w:r>
                    <w:rPr>
                      <w:rFonts w:hint="eastAsia"/>
                      <w:color w:val="auto"/>
                    </w:rPr>
                    <w:t>污水</w:t>
                  </w:r>
                </w:p>
                <w:p>
                  <w:pPr>
                    <w:pStyle w:val="45"/>
                    <w:rPr>
                      <w:color w:val="auto"/>
                    </w:rPr>
                  </w:pPr>
                  <w:r>
                    <w:rPr>
                      <w:rFonts w:hint="eastAsia"/>
                      <w:color w:val="auto"/>
                    </w:rPr>
                    <w:t>处理</w:t>
                  </w:r>
                </w:p>
                <w:p>
                  <w:pPr>
                    <w:pStyle w:val="45"/>
                    <w:rPr>
                      <w:color w:val="auto"/>
                    </w:rPr>
                  </w:pPr>
                  <w:r>
                    <w:rPr>
                      <w:rFonts w:hint="eastAsia"/>
                      <w:color w:val="auto"/>
                    </w:rPr>
                    <w:t>站</w:t>
                  </w:r>
                </w:p>
              </w:tc>
              <w:tc>
                <w:tcPr>
                  <w:tcW w:w="472" w:type="pct"/>
                  <w:tcBorders>
                    <w:tl2br w:val="nil"/>
                    <w:tr2bl w:val="nil"/>
                  </w:tcBorders>
                  <w:vAlign w:val="center"/>
                </w:tcPr>
                <w:p>
                  <w:pPr>
                    <w:pStyle w:val="45"/>
                    <w:rPr>
                      <w:color w:val="auto"/>
                    </w:rPr>
                  </w:pPr>
                  <w:r>
                    <w:rPr>
                      <w:rFonts w:hint="eastAsia"/>
                      <w:color w:val="auto"/>
                    </w:rPr>
                    <w:t>固</w:t>
                  </w:r>
                </w:p>
                <w:p>
                  <w:pPr>
                    <w:pStyle w:val="45"/>
                    <w:rPr>
                      <w:color w:val="auto"/>
                    </w:rPr>
                  </w:pPr>
                  <w:r>
                    <w:rPr>
                      <w:rFonts w:hint="eastAsia"/>
                      <w:color w:val="auto"/>
                    </w:rPr>
                    <w:t>态</w:t>
                  </w:r>
                </w:p>
              </w:tc>
              <w:tc>
                <w:tcPr>
                  <w:tcW w:w="374" w:type="pct"/>
                  <w:tcBorders>
                    <w:tl2br w:val="nil"/>
                    <w:tr2bl w:val="nil"/>
                  </w:tcBorders>
                  <w:vAlign w:val="center"/>
                </w:tcPr>
                <w:p>
                  <w:pPr>
                    <w:pStyle w:val="45"/>
                    <w:rPr>
                      <w:color w:val="auto"/>
                    </w:rPr>
                  </w:pPr>
                  <w:r>
                    <w:rPr>
                      <w:rFonts w:hint="eastAsia"/>
                      <w:color w:val="auto"/>
                    </w:rPr>
                    <w:t>日</w:t>
                  </w:r>
                </w:p>
              </w:tc>
              <w:tc>
                <w:tcPr>
                  <w:tcW w:w="509" w:type="pct"/>
                  <w:tcBorders>
                    <w:tl2br w:val="nil"/>
                    <w:tr2bl w:val="nil"/>
                  </w:tcBorders>
                  <w:vAlign w:val="center"/>
                </w:tcPr>
                <w:p>
                  <w:pPr>
                    <w:pStyle w:val="45"/>
                    <w:rPr>
                      <w:color w:val="auto"/>
                    </w:rPr>
                  </w:pPr>
                  <w:r>
                    <w:rPr>
                      <w:color w:val="auto"/>
                    </w:rPr>
                    <w:t>In</w:t>
                  </w:r>
                </w:p>
              </w:tc>
            </w:tr>
          </w:tbl>
          <w:p>
            <w:pPr>
              <w:pStyle w:val="7"/>
              <w:ind w:firstLine="480"/>
              <w:rPr>
                <w:color w:val="auto"/>
              </w:rPr>
            </w:pPr>
            <w:r>
              <w:rPr>
                <w:color w:val="auto"/>
              </w:rPr>
              <w:t>4</w:t>
            </w:r>
            <w:r>
              <w:rPr>
                <w:rFonts w:hint="eastAsia"/>
                <w:color w:val="auto"/>
              </w:rPr>
              <w:t>.2</w:t>
            </w:r>
            <w:r>
              <w:rPr>
                <w:color w:val="auto"/>
              </w:rPr>
              <w:t>、</w:t>
            </w:r>
            <w:r>
              <w:rPr>
                <w:rFonts w:hint="eastAsia"/>
                <w:color w:val="auto"/>
              </w:rPr>
              <w:t>固体废物环境影响分析</w:t>
            </w:r>
          </w:p>
          <w:p>
            <w:pPr>
              <w:pStyle w:val="7"/>
              <w:ind w:firstLine="480"/>
              <w:rPr>
                <w:color w:val="auto"/>
              </w:rPr>
            </w:pPr>
            <w:r>
              <w:rPr>
                <w:rFonts w:hint="eastAsia"/>
                <w:color w:val="auto"/>
              </w:rPr>
              <w:t>1、一般固体废物</w:t>
            </w:r>
          </w:p>
          <w:p>
            <w:pPr>
              <w:pStyle w:val="7"/>
              <w:ind w:firstLine="480"/>
              <w:jc w:val="both"/>
              <w:rPr>
                <w:color w:val="auto"/>
              </w:rPr>
            </w:pPr>
            <w:r>
              <w:rPr>
                <w:color w:val="auto"/>
              </w:rPr>
              <w:t>本项目运营期产生的一般固废主要为生活垃圾、未污染的一次性塑料输液瓶(袋)、一般包装材料(药品外包装）；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 (袋)</w:t>
            </w:r>
            <w:r>
              <w:rPr>
                <w:rFonts w:hint="eastAsia"/>
                <w:color w:val="000000" w:themeColor="text1"/>
                <w:highlight w:val="none"/>
                <w:lang w:val="en-US" w:eastAsia="zh-CN"/>
              </w:rPr>
              <w:t>经收集后暂存于一般固废暂存间（5m</w:t>
            </w:r>
            <w:r>
              <w:rPr>
                <w:rFonts w:hint="eastAsia"/>
                <w:color w:val="000000" w:themeColor="text1"/>
                <w:highlight w:val="none"/>
                <w:vertAlign w:val="superscript"/>
                <w:lang w:val="en-US" w:eastAsia="zh-CN"/>
              </w:rPr>
              <w:t>2</w:t>
            </w:r>
            <w:r>
              <w:rPr>
                <w:rFonts w:hint="eastAsia"/>
                <w:color w:val="000000" w:themeColor="text1"/>
                <w:highlight w:val="none"/>
                <w:lang w:val="en-US" w:eastAsia="zh-CN"/>
              </w:rPr>
              <w:t>）</w:t>
            </w:r>
            <w:r>
              <w:rPr>
                <w:color w:val="auto"/>
                <w:highlight w:val="none"/>
              </w:rPr>
              <w:t xml:space="preserve"> </w:t>
            </w:r>
            <w:r>
              <w:rPr>
                <w:rFonts w:hint="eastAsia"/>
                <w:color w:val="auto"/>
                <w:lang w:val="en-US" w:eastAsia="zh-CN"/>
              </w:rPr>
              <w:t>后</w:t>
            </w:r>
            <w:r>
              <w:rPr>
                <w:color w:val="auto"/>
              </w:rPr>
              <w:t>委托</w:t>
            </w:r>
            <w:r>
              <w:rPr>
                <w:rFonts w:hint="eastAsia"/>
                <w:color w:val="auto"/>
              </w:rPr>
              <w:t>专门单位</w:t>
            </w:r>
            <w:r>
              <w:rPr>
                <w:color w:val="auto"/>
              </w:rPr>
              <w:t>回收处置。一般包装材料(药品外包装) 作为一般资源回收处置。在做好分类的基础上，严格做好废弃物的分类投放、分类收集、分类贮存、分类交接、分类转运等工作。</w:t>
            </w:r>
          </w:p>
          <w:p>
            <w:pPr>
              <w:pStyle w:val="7"/>
              <w:ind w:firstLine="480"/>
              <w:rPr>
                <w:color w:val="auto"/>
              </w:rPr>
            </w:pPr>
            <w:r>
              <w:rPr>
                <w:rFonts w:hint="eastAsia"/>
                <w:color w:val="auto"/>
              </w:rPr>
              <w:t>2、医疗废物暂存间设置要求</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u w:val="single"/>
              </w:rPr>
            </w:pPr>
            <w:r>
              <w:rPr>
                <w:rFonts w:hint="eastAsia" w:ascii="Times New Roman" w:hAnsi="Times New Roman" w:eastAsia="宋体" w:cs="Times New Roman"/>
                <w:color w:val="auto"/>
                <w:kern w:val="2"/>
                <w:sz w:val="24"/>
                <w:szCs w:val="24"/>
                <w:u w:val="single"/>
                <w:lang w:val="en-US" w:eastAsia="zh-CN" w:bidi="ar-SA"/>
              </w:rPr>
              <w:t>根据现状调查，项目现有的医疗废物暂存间位于位于公卫楼西边，占地面积约15</w:t>
            </w:r>
            <w:r>
              <w:rPr>
                <w:rFonts w:hint="eastAsia" w:cs="Times New Roman"/>
                <w:color w:val="auto"/>
                <w:kern w:val="2"/>
                <w:sz w:val="24"/>
                <w:szCs w:val="24"/>
                <w:u w:val="single"/>
                <w:lang w:val="en-US" w:eastAsia="zh-CN" w:bidi="ar-SA"/>
              </w:rPr>
              <w:t>m</w:t>
            </w:r>
            <w:r>
              <w:rPr>
                <w:rFonts w:hint="eastAsia" w:cs="Times New Roman"/>
                <w:color w:val="auto"/>
                <w:kern w:val="2"/>
                <w:sz w:val="24"/>
                <w:szCs w:val="24"/>
                <w:u w:val="single"/>
                <w:vertAlign w:val="superscript"/>
                <w:lang w:val="en-US" w:eastAsia="zh-CN" w:bidi="ar-SA"/>
              </w:rPr>
              <w:t>2</w:t>
            </w:r>
            <w:r>
              <w:rPr>
                <w:rFonts w:hint="eastAsia" w:ascii="Times New Roman" w:hAnsi="Times New Roman" w:eastAsia="宋体" w:cs="Times New Roman"/>
                <w:color w:val="auto"/>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医疗废物暂存间的建设已基本严格按相关规范进行，并且医疗废物已委托岳阳市方向固废安全处置有限公司集中处置。医院还需进一步从医疗废物管理、收集、消毒、交接等工作中按照要求落实到位，因此重点对医疗废物治理和处置措施进行论证并提出要求。</w:t>
            </w:r>
            <w:r>
              <w:rPr>
                <w:rFonts w:hint="eastAsia" w:ascii="宋体" w:hAnsi="宋体" w:eastAsia="宋体" w:cs="宋体"/>
                <w:color w:val="000000"/>
                <w:kern w:val="0"/>
                <w:sz w:val="24"/>
                <w:szCs w:val="24"/>
                <w:u w:val="single"/>
                <w:lang w:val="en-US" w:eastAsia="zh-CN" w:bidi="ar"/>
              </w:rPr>
              <w:t xml:space="preserve"> </w:t>
            </w:r>
          </w:p>
          <w:p>
            <w:pPr>
              <w:pStyle w:val="7"/>
              <w:ind w:firstLine="480"/>
              <w:rPr>
                <w:rFonts w:hint="eastAsia"/>
                <w:color w:val="000000" w:themeColor="text1"/>
                <w:u w:val="single"/>
              </w:rPr>
            </w:pPr>
            <w:r>
              <w:rPr>
                <w:rFonts w:hint="eastAsia"/>
                <w:color w:val="000000" w:themeColor="text1"/>
                <w:u w:val="single"/>
              </w:rPr>
              <w:t>①</w:t>
            </w:r>
            <w:r>
              <w:rPr>
                <w:rFonts w:hint="eastAsia"/>
                <w:color w:val="000000" w:themeColor="text1"/>
                <w:u w:val="single"/>
                <w:lang w:val="en-US" w:eastAsia="zh-CN"/>
              </w:rPr>
              <w:t>危险废物管理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根据《医疗废物管理条例》，医院还需按照以下条例加强医疗废物的管理：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1)医院对本单位产生的固体废物从收集、运输、贮存到交接（交接给有资质单位处置）的全过程进行管理，制定并落实相应的规章制度、工作程序和要求、以及有关人员的工作职责及发生医疗废物流失、泄漏、扩散和意外事故的应急方案。</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2)</w:t>
            </w:r>
            <w:r>
              <w:rPr>
                <w:rFonts w:hint="eastAsia" w:ascii="Times New Roman" w:hAnsi="Times New Roman" w:eastAsia="宋体" w:cs="Times New Roman"/>
                <w:kern w:val="2"/>
                <w:sz w:val="24"/>
                <w:szCs w:val="24"/>
                <w:u w:val="single"/>
                <w:lang w:val="en-US" w:eastAsia="zh-CN" w:bidi="ar-SA"/>
              </w:rPr>
              <w:t>设置负责医疗废物管理的监控部门或者专</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兼</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职人员，负责检查、督促、落实本单位医疗废物的管理工作，建立医疗废物管理责任制。</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3)</w:t>
            </w:r>
            <w:r>
              <w:rPr>
                <w:rFonts w:hint="eastAsia" w:ascii="Times New Roman" w:hAnsi="Times New Roman" w:eastAsia="宋体" w:cs="Times New Roman"/>
                <w:kern w:val="2"/>
                <w:sz w:val="24"/>
                <w:szCs w:val="24"/>
                <w:u w:val="single"/>
                <w:lang w:val="en-US" w:eastAsia="zh-CN" w:bidi="ar-SA"/>
              </w:rPr>
              <w:t>专职负责人对医疗废物进行登记，登记内容应当包括医疗废物的来源、种类、重量或者数量、交接时间、处置方法、最终去向以及经办人签名等项目。登记资料至少保存</w:t>
            </w:r>
            <w:r>
              <w:rPr>
                <w:rFonts w:hint="default" w:ascii="Times New Roman" w:hAnsi="Times New Roman" w:eastAsia="宋体" w:cs="Times New Roman"/>
                <w:kern w:val="2"/>
                <w:sz w:val="24"/>
                <w:szCs w:val="24"/>
                <w:u w:val="single"/>
                <w:lang w:val="en-US" w:eastAsia="zh-CN" w:bidi="ar-SA"/>
              </w:rPr>
              <w:t>3</w:t>
            </w:r>
            <w:r>
              <w:rPr>
                <w:rFonts w:hint="eastAsia" w:ascii="Times New Roman" w:hAnsi="Times New Roman" w:eastAsia="宋体" w:cs="Times New Roman"/>
                <w:kern w:val="2"/>
                <w:sz w:val="24"/>
                <w:szCs w:val="24"/>
                <w:u w:val="single"/>
                <w:lang w:val="en-US" w:eastAsia="zh-CN" w:bidi="ar-SA"/>
              </w:rPr>
              <w:t>年。</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4)</w:t>
            </w:r>
            <w:r>
              <w:rPr>
                <w:rFonts w:hint="eastAsia" w:ascii="Times New Roman" w:hAnsi="Times New Roman" w:eastAsia="宋体" w:cs="Times New Roman"/>
                <w:kern w:val="2"/>
                <w:sz w:val="24"/>
                <w:szCs w:val="24"/>
                <w:u w:val="single"/>
                <w:lang w:val="en-US" w:eastAsia="zh-CN" w:bidi="ar-SA"/>
              </w:rPr>
              <w:t xml:space="preserve">医院对本单位从事医疗废物收集、运送、贮存等工作的人员和管理人员，进行相关法律和专业技术、安全防护以及紧急处理等知识的培训。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5)</w:t>
            </w:r>
            <w:r>
              <w:rPr>
                <w:rFonts w:hint="eastAsia" w:ascii="Times New Roman" w:hAnsi="Times New Roman" w:eastAsia="宋体" w:cs="Times New Roman"/>
                <w:kern w:val="2"/>
                <w:sz w:val="24"/>
                <w:szCs w:val="24"/>
                <w:u w:val="single"/>
                <w:lang w:val="en-US" w:eastAsia="zh-CN" w:bidi="ar-SA"/>
              </w:rPr>
              <w:t xml:space="preserve">医院采取有效的职业卫生防护措施，为从事医疗废物收集、运送、贮存等工作的人员和管理人员，配备必要的防护用品，定期进行健康检查；必要时，对有关人员进行免疫接种，防止其受到健康损害。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②危险废物收集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 xml:space="preserve">医疗垃圾的收集是否完善彻底、是否分类是医院废弃物处理处置的关键。医院需要严格按照以下要求加强医疗废物收集工作：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1)</w:t>
            </w:r>
            <w:r>
              <w:rPr>
                <w:rFonts w:hint="eastAsia" w:ascii="Times New Roman" w:hAnsi="Times New Roman" w:eastAsia="宋体" w:cs="Times New Roman"/>
                <w:kern w:val="2"/>
                <w:sz w:val="24"/>
                <w:szCs w:val="24"/>
                <w:u w:val="single"/>
                <w:lang w:val="en-US" w:eastAsia="zh-CN" w:bidi="ar-SA"/>
              </w:rPr>
              <w:t xml:space="preserve">根据医疗废物的类别，将医疗废物分类置于符合《医疗废物专用包装物、容器的标准和警示标识的规定》的包装物或者容器内；收集容器应符合规定要求，盛装医疗废物的每个单位、产生日期、类别及需要的特别说明等。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2)</w:t>
            </w:r>
            <w:r>
              <w:rPr>
                <w:rFonts w:hint="eastAsia" w:ascii="Times New Roman" w:hAnsi="Times New Roman" w:eastAsia="宋体" w:cs="Times New Roman"/>
                <w:kern w:val="2"/>
                <w:sz w:val="24"/>
                <w:szCs w:val="24"/>
                <w:u w:val="single"/>
                <w:lang w:val="en-US" w:eastAsia="zh-CN" w:bidi="ar-SA"/>
              </w:rPr>
              <w:t>在盛装医疗废物前，应当对医疗废物包装物或者容器进行认真检查，确保无破损、渗漏和其它缺陷。</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3)</w:t>
            </w:r>
            <w:r>
              <w:rPr>
                <w:rFonts w:hint="eastAsia" w:ascii="Times New Roman" w:hAnsi="Times New Roman" w:eastAsia="宋体" w:cs="Times New Roman"/>
                <w:kern w:val="2"/>
                <w:sz w:val="24"/>
                <w:szCs w:val="24"/>
                <w:u w:val="single"/>
                <w:lang w:val="en-US" w:eastAsia="zh-CN" w:bidi="ar-SA"/>
              </w:rPr>
              <w:t>各类医疗废物不能混合收集；有机、无机，液体、固体必须分开收集。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4)</w:t>
            </w:r>
            <w:r>
              <w:rPr>
                <w:rFonts w:hint="eastAsia" w:ascii="Times New Roman" w:hAnsi="Times New Roman" w:eastAsia="宋体" w:cs="Times New Roman"/>
                <w:kern w:val="2"/>
                <w:sz w:val="24"/>
                <w:szCs w:val="24"/>
                <w:u w:val="single"/>
                <w:lang w:val="en-US" w:eastAsia="zh-CN" w:bidi="ar-SA"/>
              </w:rPr>
              <w:t xml:space="preserve">在住院室、诊室等高危区必须采用双层废物袋或可密封处理的聚丙烯塑料桶，针头等锐器不应和其他废物混放，使用后要稳妥安全地放入防漏、防刺的专用锐器容器中。锐器容器要求有盖，并做好明显的标识，防止转运人员被锐器划伤引起疾病感染。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5)</w:t>
            </w:r>
            <w:r>
              <w:rPr>
                <w:rFonts w:hint="eastAsia" w:ascii="Times New Roman" w:hAnsi="Times New Roman" w:eastAsia="宋体" w:cs="Times New Roman"/>
                <w:kern w:val="2"/>
                <w:sz w:val="24"/>
                <w:szCs w:val="24"/>
                <w:u w:val="single"/>
                <w:lang w:val="en-US" w:eastAsia="zh-CN" w:bidi="ar-SA"/>
              </w:rPr>
              <w:t>医疗废物收集袋的颜色为黄色，印有盛装医疗废物的文字说明和医疗废物警示标识，装满</w:t>
            </w:r>
            <w:r>
              <w:rPr>
                <w:rFonts w:hint="default" w:ascii="Times New Roman" w:hAnsi="Times New Roman" w:eastAsia="宋体" w:cs="Times New Roman"/>
                <w:kern w:val="2"/>
                <w:sz w:val="24"/>
                <w:szCs w:val="24"/>
                <w:u w:val="single"/>
                <w:lang w:val="en-US" w:eastAsia="zh-CN" w:bidi="ar-SA"/>
              </w:rPr>
              <w:t>3/4</w:t>
            </w:r>
            <w:r>
              <w:rPr>
                <w:rFonts w:hint="eastAsia" w:ascii="Times New Roman" w:hAnsi="Times New Roman" w:eastAsia="宋体" w:cs="Times New Roman"/>
                <w:kern w:val="2"/>
                <w:sz w:val="24"/>
                <w:szCs w:val="24"/>
                <w:u w:val="single"/>
                <w:lang w:val="en-US" w:eastAsia="zh-CN" w:bidi="ar-SA"/>
              </w:rPr>
              <w:t xml:space="preserve">后就应当由专人密封清运至医疗垃圾暂存间。医疗废物收集袋口可用带子扎紧，禁止采用订书机之类的简易封口方式。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③危险废物消毒</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1)</w:t>
            </w:r>
            <w:r>
              <w:rPr>
                <w:rFonts w:hint="eastAsia" w:ascii="Times New Roman" w:hAnsi="Times New Roman" w:eastAsia="宋体" w:cs="Times New Roman"/>
                <w:kern w:val="2"/>
                <w:sz w:val="24"/>
                <w:szCs w:val="24"/>
                <w:u w:val="single"/>
                <w:lang w:val="en-US" w:eastAsia="zh-CN" w:bidi="ar-SA"/>
              </w:rPr>
              <w:t xml:space="preserve">医疗废物中病原体的培养基、标本和菌种、毒种保存液等高危险废物，在交医疗废物集中处置单位处置前应当应在产生地点进行压力蒸汽灭菌消毒。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2)</w:t>
            </w:r>
            <w:r>
              <w:rPr>
                <w:rFonts w:hint="eastAsia" w:ascii="Times New Roman" w:hAnsi="Times New Roman" w:eastAsia="宋体" w:cs="Times New Roman"/>
                <w:kern w:val="2"/>
                <w:sz w:val="24"/>
                <w:szCs w:val="24"/>
                <w:u w:val="single"/>
                <w:lang w:val="en-US" w:eastAsia="zh-CN" w:bidi="ar-SA"/>
              </w:rPr>
              <w:t>污水处理产生的污泥经投加石灰进行消毒处理，达到《医疗机构水污染物排放标准》表</w:t>
            </w:r>
            <w:r>
              <w:rPr>
                <w:rFonts w:hint="default" w:ascii="Times New Roman" w:hAnsi="Times New Roman" w:eastAsia="宋体" w:cs="Times New Roman"/>
                <w:kern w:val="2"/>
                <w:sz w:val="24"/>
                <w:szCs w:val="24"/>
                <w:u w:val="single"/>
                <w:lang w:val="en-US" w:eastAsia="zh-CN" w:bidi="ar-SA"/>
              </w:rPr>
              <w:t>4</w:t>
            </w:r>
            <w:r>
              <w:rPr>
                <w:rFonts w:hint="eastAsia" w:ascii="Times New Roman" w:hAnsi="Times New Roman" w:eastAsia="宋体" w:cs="Times New Roman"/>
                <w:kern w:val="2"/>
                <w:sz w:val="24"/>
                <w:szCs w:val="24"/>
                <w:u w:val="single"/>
                <w:lang w:val="en-US" w:eastAsia="zh-CN" w:bidi="ar-SA"/>
              </w:rPr>
              <w:t xml:space="preserve">中医疗机构污泥控制标准。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④危险废物交接</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医疗废物运送人员在接收医疗废物时</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 xml:space="preserve">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本医院医疗废物委托岳阳市方向固废安全处置有限公司收集处理，医疗废物交接依照《危险废物转移联单管理办法》的相关规定，执行危险废物转移联单管理制度。</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 xml:space="preserve">为进一步加强危险废物贮存管理，评价对本项目厂区危险废物暂存提出以下建议：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A、应使用符合标准的容器盛装危险废物，容器及其材质应满足相应的强度要求；液体危险废物可注入开孔直径不超过</w:t>
            </w:r>
            <w:r>
              <w:rPr>
                <w:rFonts w:hint="default" w:ascii="Times New Roman" w:hAnsi="Times New Roman" w:eastAsia="宋体" w:cs="Times New Roman"/>
                <w:kern w:val="2"/>
                <w:sz w:val="24"/>
                <w:szCs w:val="24"/>
                <w:u w:val="single"/>
                <w:lang w:val="en-US" w:eastAsia="zh-CN" w:bidi="ar-SA"/>
              </w:rPr>
              <w:t>70mm</w:t>
            </w:r>
            <w:r>
              <w:rPr>
                <w:rFonts w:hint="eastAsia" w:ascii="Times New Roman" w:hAnsi="Times New Roman" w:eastAsia="宋体" w:cs="Times New Roman"/>
                <w:kern w:val="2"/>
                <w:sz w:val="24"/>
                <w:szCs w:val="24"/>
                <w:u w:val="single"/>
                <w:lang w:val="en-US" w:eastAsia="zh-CN" w:bidi="ar-SA"/>
              </w:rPr>
              <w:t xml:space="preserve">并有放气孔的桶中。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B</w:t>
            </w:r>
            <w:r>
              <w:rPr>
                <w:rFonts w:hint="eastAsia" w:ascii="Times New Roman" w:hAnsi="Times New Roman" w:eastAsia="宋体" w:cs="Times New Roman"/>
                <w:kern w:val="2"/>
                <w:sz w:val="24"/>
                <w:szCs w:val="24"/>
                <w:u w:val="single"/>
                <w:lang w:val="en-US" w:eastAsia="zh-CN" w:bidi="ar-SA"/>
              </w:rPr>
              <w:t>、装载危废材质和衬里要与危险废物相容，并且保留足够的空间，容器顶部与液体表面之间保留</w:t>
            </w:r>
            <w:r>
              <w:rPr>
                <w:rFonts w:hint="default" w:ascii="Times New Roman" w:hAnsi="Times New Roman" w:eastAsia="宋体" w:cs="Times New Roman"/>
                <w:kern w:val="2"/>
                <w:sz w:val="24"/>
                <w:szCs w:val="24"/>
                <w:u w:val="single"/>
                <w:lang w:val="en-US" w:eastAsia="zh-CN" w:bidi="ar-SA"/>
              </w:rPr>
              <w:t>100mm</w:t>
            </w:r>
            <w:r>
              <w:rPr>
                <w:rFonts w:hint="eastAsia" w:ascii="Times New Roman" w:hAnsi="Times New Roman" w:eastAsia="宋体" w:cs="Times New Roman"/>
                <w:kern w:val="2"/>
                <w:sz w:val="24"/>
                <w:szCs w:val="24"/>
                <w:u w:val="single"/>
                <w:lang w:val="en-US" w:eastAsia="zh-CN" w:bidi="ar-SA"/>
              </w:rPr>
              <w:t xml:space="preserve">以上的空间。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C</w:t>
            </w:r>
            <w:r>
              <w:rPr>
                <w:rFonts w:hint="eastAsia" w:ascii="Times New Roman" w:hAnsi="Times New Roman" w:eastAsia="宋体" w:cs="Times New Roman"/>
                <w:kern w:val="2"/>
                <w:sz w:val="24"/>
                <w:szCs w:val="24"/>
                <w:u w:val="single"/>
                <w:lang w:val="en-US" w:eastAsia="zh-CN" w:bidi="ar-SA"/>
              </w:rPr>
              <w:t>、容器表面必须粘贴符合标准的标签（见《危险废物贮存污染控制标准》</w:t>
            </w:r>
            <w:r>
              <w:rPr>
                <w:rFonts w:hint="default" w:ascii="Times New Roman" w:hAnsi="Times New Roman" w:eastAsia="宋体" w:cs="Times New Roman"/>
                <w:kern w:val="2"/>
                <w:sz w:val="24"/>
                <w:szCs w:val="24"/>
                <w:u w:val="single"/>
                <w:lang w:val="en-US" w:eastAsia="zh-CN" w:bidi="ar-SA"/>
              </w:rPr>
              <w:t>GB18597-2023</w:t>
            </w:r>
            <w:r>
              <w:rPr>
                <w:rFonts w:hint="eastAsia" w:ascii="Times New Roman" w:hAnsi="Times New Roman" w:eastAsia="宋体" w:cs="Times New Roman"/>
                <w:kern w:val="2"/>
                <w:sz w:val="24"/>
                <w:szCs w:val="24"/>
                <w:u w:val="singl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F</w:t>
            </w:r>
            <w:r>
              <w:rPr>
                <w:rFonts w:hint="eastAsia" w:ascii="Times New Roman" w:hAnsi="Times New Roman" w:eastAsia="宋体" w:cs="Times New Roman"/>
                <w:kern w:val="2"/>
                <w:sz w:val="24"/>
                <w:szCs w:val="24"/>
                <w:u w:val="single"/>
                <w:lang w:val="en-US" w:eastAsia="zh-CN" w:bidi="ar-SA"/>
              </w:rPr>
              <w:t xml:space="preserve">、设置专人负责危废的日常收集和管理，对进出临时贮存所的危废都要记录在案。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G</w:t>
            </w:r>
            <w:r>
              <w:rPr>
                <w:rFonts w:hint="eastAsia" w:ascii="Times New Roman" w:hAnsi="Times New Roman" w:eastAsia="宋体" w:cs="Times New Roman"/>
                <w:kern w:val="2"/>
                <w:sz w:val="24"/>
                <w:szCs w:val="24"/>
                <w:u w:val="single"/>
                <w:lang w:val="en-US" w:eastAsia="zh-CN" w:bidi="ar-SA"/>
              </w:rPr>
              <w:t xml:space="preserve">、危废临时贮存所周围要设置防护栅栏，并设置警示标志。贮存所内应配备通讯设备、照明设备、安全防护服装及工具，并有应急防护设施。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根据《中华人民共和国固体废物污染环境防治法》规定，企业应制定危险废物管理计划，内容包括减少危险废物产生量和危害性的措施以及危险废物贮存、利用、处置措施。企业应严格按照《危险废物贮存污染控制标准》（</w:t>
            </w:r>
            <w:r>
              <w:rPr>
                <w:rFonts w:hint="default" w:ascii="Times New Roman" w:hAnsi="Times New Roman" w:eastAsia="宋体" w:cs="Times New Roman"/>
                <w:kern w:val="2"/>
                <w:sz w:val="24"/>
                <w:szCs w:val="24"/>
                <w:u w:val="single"/>
                <w:lang w:val="en-US" w:eastAsia="zh-CN" w:bidi="ar-SA"/>
              </w:rPr>
              <w:t>GB18597-2023</w:t>
            </w:r>
            <w:r>
              <w:rPr>
                <w:rFonts w:hint="eastAsia" w:ascii="Times New Roman" w:hAnsi="Times New Roman" w:eastAsia="宋体" w:cs="Times New Roman"/>
                <w:kern w:val="2"/>
                <w:sz w:val="24"/>
                <w:szCs w:val="24"/>
                <w:u w:val="single"/>
                <w:lang w:val="en-US" w:eastAsia="zh-CN" w:bidi="ar-SA"/>
              </w:rPr>
              <w:t>）中有关要求做好危险固废的收集、贮存工作，各类危险固废分别采用专门容器收集后，在厂区内设置专门的危险废物储存间暂存，储存间应按照《危险废物贮存污染控制标准》（</w:t>
            </w:r>
            <w:r>
              <w:rPr>
                <w:rFonts w:hint="default" w:ascii="Times New Roman" w:hAnsi="Times New Roman" w:eastAsia="宋体" w:cs="Times New Roman"/>
                <w:kern w:val="2"/>
                <w:sz w:val="24"/>
                <w:szCs w:val="24"/>
                <w:u w:val="single"/>
                <w:lang w:val="en-US" w:eastAsia="zh-CN" w:bidi="ar-SA"/>
              </w:rPr>
              <w:t>GB18597-2023</w:t>
            </w:r>
            <w:r>
              <w:rPr>
                <w:rFonts w:hint="eastAsia" w:ascii="Times New Roman" w:hAnsi="Times New Roman" w:eastAsia="宋体" w:cs="Times New Roman"/>
                <w:kern w:val="2"/>
                <w:sz w:val="24"/>
                <w:szCs w:val="24"/>
                <w:u w:val="single"/>
                <w:lang w:val="en-US" w:eastAsia="zh-CN" w:bidi="ar-SA"/>
              </w:rPr>
              <w:t xml:space="preserve">）中要求进行设置和管理。 </w:t>
            </w:r>
          </w:p>
          <w:p>
            <w:pPr>
              <w:pStyle w:val="7"/>
              <w:ind w:firstLine="480"/>
              <w:rPr>
                <w:color w:val="000000" w:themeColor="text1"/>
                <w:u w:val="single"/>
              </w:rPr>
            </w:pPr>
            <w:r>
              <w:rPr>
                <w:rFonts w:hint="eastAsia"/>
                <w:color w:val="000000" w:themeColor="text1"/>
                <w:highlight w:val="none"/>
                <w:u w:val="single"/>
              </w:rPr>
              <w:t>项目医疗废物规范地收集、贮存、运输，交由岳阳市方向固废安全处置有限公司进行处置；污水处理站污泥及时清挖随清随运不临时贮存；生活垃圾交由环卫部门统一清运处理；废包装材</w:t>
            </w:r>
            <w:r>
              <w:rPr>
                <w:rFonts w:hint="eastAsia"/>
                <w:color w:val="000000" w:themeColor="text1"/>
                <w:u w:val="single"/>
              </w:rPr>
              <w:t>料收集后交资源回收公司处理。</w:t>
            </w:r>
            <w:r>
              <w:rPr>
                <w:color w:val="000000" w:themeColor="text1"/>
                <w:u w:val="single"/>
              </w:rPr>
              <w:t>本项目的固废严格遵循</w:t>
            </w:r>
            <w:r>
              <w:rPr>
                <w:rFonts w:hint="eastAsia"/>
                <w:color w:val="000000" w:themeColor="text1"/>
                <w:u w:val="single"/>
              </w:rPr>
              <w:t>“</w:t>
            </w:r>
            <w:r>
              <w:rPr>
                <w:color w:val="000000" w:themeColor="text1"/>
                <w:u w:val="single"/>
              </w:rPr>
              <w:t>减量化、资源化、无害化</w:t>
            </w:r>
            <w:r>
              <w:rPr>
                <w:rFonts w:hint="eastAsia"/>
                <w:color w:val="000000" w:themeColor="text1"/>
                <w:u w:val="single"/>
              </w:rPr>
              <w:t>”</w:t>
            </w:r>
            <w:r>
              <w:rPr>
                <w:color w:val="000000" w:themeColor="text1"/>
                <w:u w:val="single"/>
              </w:rPr>
              <w:t>基本原则，通过上述措施妥善安置存放、合理利用处置，则不会对周围环境造成不利影响。</w:t>
            </w:r>
          </w:p>
          <w:p>
            <w:pPr>
              <w:pStyle w:val="7"/>
              <w:ind w:firstLine="480"/>
              <w:rPr>
                <w:color w:val="auto"/>
              </w:rPr>
            </w:pPr>
            <w:r>
              <w:rPr>
                <w:rFonts w:hint="eastAsia"/>
                <w:color w:val="auto"/>
              </w:rPr>
              <w:t>4.3固体废物影响结论</w:t>
            </w:r>
          </w:p>
          <w:p>
            <w:pPr>
              <w:pStyle w:val="7"/>
              <w:ind w:firstLine="480"/>
              <w:rPr>
                <w:color w:val="auto"/>
              </w:rPr>
            </w:pPr>
            <w:r>
              <w:rPr>
                <w:color w:val="auto"/>
              </w:rPr>
              <w:t>本项目营运期产生的固体废物均能够得到安全处置，</w:t>
            </w:r>
            <w:r>
              <w:rPr>
                <w:rFonts w:hint="eastAsia"/>
                <w:color w:val="auto"/>
              </w:rPr>
              <w:t>医疗废物收集、暂存符合《危险废物贮存污染控制标准》（GB18597-2023）；污水处理站产生的污泥处理符合《医疗机构水污染物排放标准》（</w:t>
            </w:r>
            <w:r>
              <w:rPr>
                <w:color w:val="auto"/>
              </w:rPr>
              <w:t>GB18466-2005</w:t>
            </w:r>
            <w:r>
              <w:rPr>
                <w:rFonts w:hint="eastAsia"/>
                <w:color w:val="auto"/>
              </w:rPr>
              <w:t>）中的医疗机构污泥控制标准；一般工业固废符合《一般工业固体废物贮存和填埋污染控制标准》</w:t>
            </w:r>
            <w:r>
              <w:rPr>
                <w:color w:val="auto"/>
              </w:rPr>
              <w:t>(GB18599-2020)</w:t>
            </w:r>
            <w:r>
              <w:rPr>
                <w:rFonts w:hint="eastAsia"/>
                <w:color w:val="auto"/>
              </w:rPr>
              <w:t>；生活垃圾符合《生活垃圾焚烧污染控制标准》(GB16889-2014)中的相关规定</w:t>
            </w:r>
            <w:r>
              <w:rPr>
                <w:color w:val="auto"/>
              </w:rPr>
              <w:t>，采取上述措施后，本</w:t>
            </w:r>
            <w:r>
              <w:rPr>
                <w:rFonts w:hint="eastAsia"/>
                <w:color w:val="auto"/>
              </w:rPr>
              <w:t>项目</w:t>
            </w:r>
            <w:r>
              <w:rPr>
                <w:color w:val="auto"/>
              </w:rPr>
              <w:t>固体废物可得到妥善的处理，对周围环境造成的影响</w:t>
            </w:r>
            <w:r>
              <w:rPr>
                <w:rFonts w:hint="eastAsia"/>
                <w:color w:val="auto"/>
              </w:rPr>
              <w:t>较</w:t>
            </w:r>
            <w:r>
              <w:rPr>
                <w:color w:val="auto"/>
              </w:rPr>
              <w:t>小。</w:t>
            </w:r>
          </w:p>
          <w:p>
            <w:pPr>
              <w:pStyle w:val="7"/>
              <w:ind w:firstLine="480"/>
              <w:rPr>
                <w:color w:val="auto"/>
                <w:u w:val="none"/>
              </w:rPr>
            </w:pPr>
            <w:r>
              <w:rPr>
                <w:rFonts w:hint="eastAsia"/>
                <w:color w:val="auto"/>
                <w:u w:val="none"/>
              </w:rPr>
              <w:t>5.地下水及土壤环境</w:t>
            </w:r>
          </w:p>
          <w:p>
            <w:pPr>
              <w:pStyle w:val="7"/>
              <w:ind w:firstLine="480"/>
              <w:rPr>
                <w:color w:val="auto"/>
                <w:u w:val="none"/>
              </w:rPr>
            </w:pPr>
            <w:r>
              <w:rPr>
                <w:rFonts w:hint="eastAsia"/>
                <w:color w:val="auto"/>
                <w:u w:val="none"/>
              </w:rPr>
              <w:t>地下水：厂界外500米范围内的地下水没有集中式饮用水水源和热水、矿泉水、温泉等特殊地下水资源，本项目可不进行地下水评价，因此，本环评不进行地下水环境影响评价。</w:t>
            </w:r>
          </w:p>
          <w:p>
            <w:pPr>
              <w:pStyle w:val="7"/>
              <w:ind w:firstLine="480"/>
              <w:rPr>
                <w:color w:val="auto"/>
                <w:u w:val="none"/>
              </w:rPr>
            </w:pPr>
            <w:r>
              <w:rPr>
                <w:rFonts w:hint="eastAsia"/>
                <w:color w:val="auto"/>
                <w:u w:val="none"/>
              </w:rPr>
              <w:t>本项目对地下水的污染源为危废、医疗废水、生活垃圾，主要途径为渗透污染。造成污染原因主要为：危废、生活污水因设备或人为操作失误，发生泄漏事故进入土壤，从而污染地下防水层。雨季或长时间放置的生活垃圾会产生液体进入土壤，进而污染地下水。</w:t>
            </w:r>
          </w:p>
          <w:p>
            <w:pPr>
              <w:pStyle w:val="7"/>
              <w:ind w:firstLine="480"/>
              <w:rPr>
                <w:color w:val="auto"/>
                <w:u w:val="single"/>
              </w:rPr>
            </w:pPr>
            <w:r>
              <w:rPr>
                <w:rFonts w:hint="eastAsia"/>
                <w:color w:val="auto"/>
                <w:u w:val="none"/>
              </w:rPr>
              <w:t>土壤：产业园区外建设项目新增用地的，应明确新增用地范围内生态环境保护目标，本项目为已建成的项目，不属于新增建设项目用地，本环评不进行土壤环境影响评价</w:t>
            </w:r>
            <w:r>
              <w:rPr>
                <w:color w:val="auto"/>
                <w:u w:val="none"/>
              </w:rPr>
              <w:t>。</w:t>
            </w:r>
          </w:p>
          <w:p>
            <w:pPr>
              <w:pStyle w:val="7"/>
              <w:ind w:firstLine="480"/>
              <w:rPr>
                <w:color w:val="auto"/>
                <w:u w:val="single"/>
              </w:rPr>
            </w:pPr>
            <w:r>
              <w:rPr>
                <w:rFonts w:hint="eastAsia"/>
                <w:color w:val="auto"/>
              </w:rPr>
              <w:t>因本项目大气污染物主要为无组织排放恶臭，主要成分为硫化氢、氯气、氨，不涉及重金属因子，所以恶臭的大气沉降对周边土壤影响较小。</w:t>
            </w:r>
          </w:p>
          <w:p>
            <w:pPr>
              <w:pStyle w:val="7"/>
              <w:ind w:firstLine="480"/>
              <w:rPr>
                <w:color w:val="auto"/>
              </w:rPr>
            </w:pPr>
            <w:r>
              <w:rPr>
                <w:rFonts w:hint="eastAsia"/>
                <w:color w:val="auto"/>
              </w:rPr>
              <w:t>造成危废、生活污水、生活垃圾对土壤的渗透污染原因为：危废、生活污水因设备或人为操作失误，发生泄漏事故进入土壤。雨季或长时间放置的生活垃圾会产生液体进入土壤，进而污染地下水。</w:t>
            </w:r>
          </w:p>
          <w:p>
            <w:pPr>
              <w:pStyle w:val="7"/>
              <w:ind w:firstLine="480"/>
              <w:rPr>
                <w:color w:val="auto"/>
              </w:rPr>
            </w:pPr>
            <w:r>
              <w:rPr>
                <w:rFonts w:hint="eastAsia" w:cs="Times New Roman"/>
                <w:kern w:val="0"/>
                <w:sz w:val="24"/>
                <w:highlight w:val="none"/>
                <w:lang w:val="en-US" w:eastAsia="zh-CN"/>
              </w:rPr>
              <w:t>医院未分区防控，</w:t>
            </w:r>
            <w:r>
              <w:rPr>
                <w:color w:val="auto"/>
              </w:rPr>
              <w:t>本环评建议采用分区防控措施。将全厂分为重点防渗区、一般防渗区和简单防渗区。</w:t>
            </w:r>
          </w:p>
          <w:p>
            <w:pPr>
              <w:pStyle w:val="46"/>
              <w:rPr>
                <w:color w:val="auto"/>
              </w:rPr>
            </w:pPr>
            <w:r>
              <w:rPr>
                <w:color w:val="auto"/>
              </w:rPr>
              <w:t>表</w:t>
            </w:r>
            <w:r>
              <w:rPr>
                <w:rFonts w:hint="eastAsia"/>
                <w:color w:val="auto"/>
              </w:rPr>
              <w:t>4.2-18</w:t>
            </w:r>
            <w:r>
              <w:rPr>
                <w:color w:val="auto"/>
              </w:rPr>
              <w:t>厂区分区防渗措施</w:t>
            </w:r>
          </w:p>
          <w:tbl>
            <w:tblPr>
              <w:tblStyle w:val="3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90"/>
              <w:gridCol w:w="915"/>
              <w:gridCol w:w="1547"/>
              <w:gridCol w:w="4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auto"/>
                    </w:rPr>
                  </w:pPr>
                  <w:r>
                    <w:rPr>
                      <w:color w:val="auto"/>
                    </w:rPr>
                    <w:t>序</w:t>
                  </w:r>
                  <w:r>
                    <w:rPr>
                      <w:rFonts w:hint="eastAsia"/>
                      <w:color w:val="auto"/>
                    </w:rPr>
                    <w:t>号</w:t>
                  </w:r>
                </w:p>
              </w:tc>
              <w:tc>
                <w:tcPr>
                  <w:tcW w:w="915" w:type="dxa"/>
                  <w:shd w:val="clear" w:color="auto" w:fill="auto"/>
                  <w:vAlign w:val="center"/>
                </w:tcPr>
                <w:p>
                  <w:pPr>
                    <w:pStyle w:val="45"/>
                    <w:rPr>
                      <w:color w:val="auto"/>
                    </w:rPr>
                  </w:pPr>
                  <w:r>
                    <w:rPr>
                      <w:color w:val="auto"/>
                    </w:rPr>
                    <w:t>污染分区</w:t>
                  </w:r>
                </w:p>
              </w:tc>
              <w:tc>
                <w:tcPr>
                  <w:tcW w:w="1547" w:type="dxa"/>
                  <w:shd w:val="clear" w:color="auto" w:fill="auto"/>
                  <w:vAlign w:val="center"/>
                </w:tcPr>
                <w:p>
                  <w:pPr>
                    <w:pStyle w:val="45"/>
                    <w:rPr>
                      <w:color w:val="auto"/>
                    </w:rPr>
                  </w:pPr>
                  <w:r>
                    <w:rPr>
                      <w:color w:val="auto"/>
                    </w:rPr>
                    <w:t>名称</w:t>
                  </w:r>
                </w:p>
              </w:tc>
              <w:tc>
                <w:tcPr>
                  <w:tcW w:w="4964" w:type="dxa"/>
                  <w:shd w:val="clear" w:color="auto" w:fill="auto"/>
                  <w:vAlign w:val="center"/>
                </w:tcPr>
                <w:p>
                  <w:pPr>
                    <w:pStyle w:val="45"/>
                    <w:rPr>
                      <w:color w:val="auto"/>
                    </w:rPr>
                  </w:pPr>
                  <w:r>
                    <w:rPr>
                      <w:color w:val="auto"/>
                    </w:rPr>
                    <w:t>防渗及防腐措施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auto"/>
                    </w:rPr>
                  </w:pPr>
                  <w:r>
                    <w:rPr>
                      <w:color w:val="auto"/>
                    </w:rPr>
                    <w:t>1</w:t>
                  </w:r>
                </w:p>
              </w:tc>
              <w:tc>
                <w:tcPr>
                  <w:tcW w:w="915" w:type="dxa"/>
                  <w:shd w:val="clear" w:color="auto" w:fill="auto"/>
                  <w:vAlign w:val="center"/>
                </w:tcPr>
                <w:p>
                  <w:pPr>
                    <w:pStyle w:val="45"/>
                    <w:rPr>
                      <w:color w:val="auto"/>
                    </w:rPr>
                  </w:pPr>
                  <w:r>
                    <w:rPr>
                      <w:color w:val="auto"/>
                    </w:rPr>
                    <w:t>重点防渗区</w:t>
                  </w:r>
                </w:p>
              </w:tc>
              <w:tc>
                <w:tcPr>
                  <w:tcW w:w="1547" w:type="dxa"/>
                  <w:shd w:val="clear" w:color="auto" w:fill="auto"/>
                  <w:vAlign w:val="center"/>
                </w:tcPr>
                <w:p>
                  <w:pPr>
                    <w:pStyle w:val="45"/>
                    <w:rPr>
                      <w:color w:val="auto"/>
                    </w:rPr>
                  </w:pPr>
                  <w:r>
                    <w:rPr>
                      <w:rFonts w:hint="eastAsia"/>
                      <w:color w:val="auto"/>
                    </w:rPr>
                    <w:t>危险化学品贮存区、医疗废物暂存间、污水处理站、化粪池等</w:t>
                  </w:r>
                </w:p>
              </w:tc>
              <w:tc>
                <w:tcPr>
                  <w:tcW w:w="4964" w:type="dxa"/>
                  <w:shd w:val="clear" w:color="auto" w:fill="auto"/>
                  <w:vAlign w:val="center"/>
                </w:tcPr>
                <w:p>
                  <w:pPr>
                    <w:pStyle w:val="45"/>
                    <w:rPr>
                      <w:color w:val="auto"/>
                    </w:rPr>
                  </w:pPr>
                  <w:r>
                    <w:rPr>
                      <w:color w:val="auto"/>
                    </w:rPr>
                    <w:t>采用钢筋混礙土加防渗</w:t>
                  </w:r>
                  <w:r>
                    <w:rPr>
                      <w:rFonts w:hint="eastAsia"/>
                      <w:color w:val="auto"/>
                    </w:rPr>
                    <w:t>剂</w:t>
                  </w:r>
                  <w:r>
                    <w:rPr>
                      <w:color w:val="auto"/>
                    </w:rPr>
                    <w:t>的防渗地坪-人工材料</w:t>
                  </w:r>
                  <w:r>
                    <w:rPr>
                      <w:color w:val="auto"/>
                      <w:lang w:eastAsia="en-US"/>
                    </w:rPr>
                    <w:t>（HDPE）</w:t>
                  </w:r>
                  <w:r>
                    <w:rPr>
                      <w:color w:val="auto"/>
                    </w:rPr>
                    <w:t>防渗层，或采</w:t>
                  </w:r>
                  <w:r>
                    <w:rPr>
                      <w:rFonts w:hint="eastAsia"/>
                      <w:color w:val="auto"/>
                    </w:rPr>
                    <w:t>取</w:t>
                  </w:r>
                  <w:r>
                    <w:rPr>
                      <w:color w:val="auto"/>
                    </w:rPr>
                    <w:t>其他防渗措施，确保等效黏土防渗层</w:t>
                  </w:r>
                  <w:r>
                    <w:rPr>
                      <w:color w:val="auto"/>
                      <w:lang w:eastAsia="en-US"/>
                    </w:rPr>
                    <w:t>Mb</w:t>
                  </w:r>
                  <w:r>
                    <w:rPr>
                      <w:rFonts w:ascii="Arial" w:hAnsi="Arial" w:cs="Arial"/>
                      <w:color w:val="auto"/>
                    </w:rPr>
                    <w:t>≥</w:t>
                  </w:r>
                  <w:r>
                    <w:rPr>
                      <w:color w:val="auto"/>
                      <w:lang w:eastAsia="en-US"/>
                    </w:rPr>
                    <w:t>6.0m,</w:t>
                  </w:r>
                  <w:r>
                    <w:rPr>
                      <w:color w:val="auto"/>
                    </w:rPr>
                    <w:t xml:space="preserve">渗透系数 </w:t>
                  </w:r>
                  <w:r>
                    <w:rPr>
                      <w:color w:val="auto"/>
                      <w:lang w:eastAsia="en-US"/>
                    </w:rPr>
                    <w:t>K</w:t>
                  </w:r>
                  <w:r>
                    <w:rPr>
                      <w:rFonts w:ascii="Arial" w:hAnsi="Arial" w:cs="Arial"/>
                      <w:color w:val="auto"/>
                    </w:rPr>
                    <w:t>≤</w:t>
                  </w:r>
                  <w:r>
                    <w:rPr>
                      <w:color w:val="auto"/>
                      <w:lang w:eastAsia="en-US"/>
                    </w:rPr>
                    <w:t xml:space="preserve"> 10</w:t>
                  </w:r>
                  <w:r>
                    <w:rPr>
                      <w:rFonts w:hint="eastAsia"/>
                      <w:color w:val="auto"/>
                      <w:vertAlign w:val="superscript"/>
                    </w:rPr>
                    <w:t>-7</w:t>
                  </w:r>
                  <w:r>
                    <w:rPr>
                      <w:color w:val="auto"/>
                      <w:lang w:eastAsia="en-US"/>
                    </w:rPr>
                    <w:t xml:space="preserve">cm </w:t>
                  </w:r>
                  <w:r>
                    <w:rPr>
                      <w:rFonts w:hint="eastAsia"/>
                      <w:color w:val="auto"/>
                    </w:rPr>
                    <w:t>/</w:t>
                  </w:r>
                  <w:r>
                    <w:rPr>
                      <w:color w:val="auto"/>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auto"/>
                    </w:rPr>
                  </w:pPr>
                  <w:r>
                    <w:rPr>
                      <w:rFonts w:hint="eastAsia"/>
                      <w:color w:val="auto"/>
                    </w:rPr>
                    <w:t>2</w:t>
                  </w:r>
                </w:p>
              </w:tc>
              <w:tc>
                <w:tcPr>
                  <w:tcW w:w="915" w:type="dxa"/>
                  <w:shd w:val="clear" w:color="auto" w:fill="auto"/>
                  <w:vAlign w:val="center"/>
                </w:tcPr>
                <w:p>
                  <w:pPr>
                    <w:pStyle w:val="45"/>
                    <w:rPr>
                      <w:color w:val="auto"/>
                    </w:rPr>
                  </w:pPr>
                  <w:r>
                    <w:rPr>
                      <w:color w:val="auto"/>
                    </w:rPr>
                    <w:t>一般防渗区</w:t>
                  </w:r>
                </w:p>
              </w:tc>
              <w:tc>
                <w:tcPr>
                  <w:tcW w:w="1547" w:type="dxa"/>
                  <w:shd w:val="clear" w:color="auto" w:fill="auto"/>
                  <w:vAlign w:val="center"/>
                </w:tcPr>
                <w:p>
                  <w:pPr>
                    <w:pStyle w:val="45"/>
                    <w:rPr>
                      <w:color w:val="auto"/>
                    </w:rPr>
                  </w:pPr>
                  <w:r>
                    <w:rPr>
                      <w:color w:val="auto"/>
                    </w:rPr>
                    <w:t>一般固废暂存区</w:t>
                  </w:r>
                </w:p>
              </w:tc>
              <w:tc>
                <w:tcPr>
                  <w:tcW w:w="4964" w:type="dxa"/>
                  <w:shd w:val="clear" w:color="auto" w:fill="auto"/>
                  <w:vAlign w:val="center"/>
                </w:tcPr>
                <w:p>
                  <w:pPr>
                    <w:pStyle w:val="45"/>
                    <w:rPr>
                      <w:color w:val="auto"/>
                    </w:rPr>
                  </w:pPr>
                  <w:r>
                    <w:rPr>
                      <w:rFonts w:hint="eastAsia"/>
                      <w:color w:val="auto"/>
                    </w:rPr>
                    <w:t>采</w:t>
                  </w:r>
                  <w:r>
                    <w:rPr>
                      <w:color w:val="auto"/>
                    </w:rPr>
                    <w:t>用钠筋混凝土加防渗剂的防渗地坪或在表面涂</w:t>
                  </w:r>
                  <w:r>
                    <w:rPr>
                      <w:rFonts w:hint="eastAsia"/>
                      <w:color w:val="auto"/>
                    </w:rPr>
                    <w:t>覆</w:t>
                  </w:r>
                  <w:r>
                    <w:rPr>
                      <w:color w:val="auto"/>
                    </w:rPr>
                    <w:t>防渗材料， 要求防渗等级达到等效站土防渗层</w:t>
                  </w:r>
                  <w:r>
                    <w:rPr>
                      <w:color w:val="auto"/>
                      <w:lang w:eastAsia="en-US"/>
                    </w:rPr>
                    <w:t>Mb</w:t>
                  </w:r>
                  <w:r>
                    <w:rPr>
                      <w:rFonts w:ascii="Arial" w:hAnsi="Arial" w:cs="Arial"/>
                      <w:color w:val="auto"/>
                    </w:rPr>
                    <w:t>≥</w:t>
                  </w:r>
                  <w:r>
                    <w:rPr>
                      <w:color w:val="auto"/>
                      <w:lang w:eastAsia="en-US"/>
                    </w:rPr>
                    <w:t>1.5m，K</w:t>
                  </w:r>
                  <w:r>
                    <w:rPr>
                      <w:rFonts w:ascii="Arial" w:hAnsi="Arial" w:cs="Arial"/>
                      <w:color w:val="auto"/>
                    </w:rPr>
                    <w:t>≤</w:t>
                  </w:r>
                  <w:r>
                    <w:rPr>
                      <w:color w:val="auto"/>
                      <w:lang w:eastAsia="en-US"/>
                    </w:rPr>
                    <w:t xml:space="preserve"> 10</w:t>
                  </w:r>
                  <w:r>
                    <w:rPr>
                      <w:rFonts w:hint="eastAsia"/>
                      <w:color w:val="auto"/>
                      <w:vertAlign w:val="superscript"/>
                    </w:rPr>
                    <w:t>-7</w:t>
                  </w:r>
                  <w:r>
                    <w:rPr>
                      <w:color w:val="auto"/>
                      <w:lang w:eastAsia="en-US"/>
                    </w:rPr>
                    <w:t xml:space="preserve">cm </w:t>
                  </w:r>
                  <w:r>
                    <w:rPr>
                      <w:rFonts w:hint="eastAsia"/>
                      <w:color w:val="auto"/>
                    </w:rPr>
                    <w:t>/</w:t>
                  </w:r>
                  <w:r>
                    <w:rPr>
                      <w:color w:val="auto"/>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auto"/>
                    </w:rPr>
                  </w:pPr>
                  <w:r>
                    <w:rPr>
                      <w:rFonts w:hint="eastAsia"/>
                      <w:color w:val="auto"/>
                    </w:rPr>
                    <w:t>3</w:t>
                  </w:r>
                </w:p>
              </w:tc>
              <w:tc>
                <w:tcPr>
                  <w:tcW w:w="915" w:type="dxa"/>
                  <w:shd w:val="clear" w:color="auto" w:fill="auto"/>
                  <w:vAlign w:val="center"/>
                </w:tcPr>
                <w:p>
                  <w:pPr>
                    <w:pStyle w:val="45"/>
                    <w:rPr>
                      <w:color w:val="auto"/>
                    </w:rPr>
                  </w:pPr>
                  <w:r>
                    <w:rPr>
                      <w:color w:val="auto"/>
                    </w:rPr>
                    <w:t>简单防渗 区</w:t>
                  </w:r>
                </w:p>
              </w:tc>
              <w:tc>
                <w:tcPr>
                  <w:tcW w:w="1547" w:type="dxa"/>
                  <w:shd w:val="clear" w:color="auto" w:fill="auto"/>
                  <w:vAlign w:val="center"/>
                </w:tcPr>
                <w:p>
                  <w:pPr>
                    <w:pStyle w:val="45"/>
                    <w:rPr>
                      <w:color w:val="auto"/>
                    </w:rPr>
                  </w:pPr>
                  <w:r>
                    <w:rPr>
                      <w:color w:val="auto"/>
                    </w:rPr>
                    <w:t>其他区域</w:t>
                  </w:r>
                </w:p>
              </w:tc>
              <w:tc>
                <w:tcPr>
                  <w:tcW w:w="4964" w:type="dxa"/>
                  <w:shd w:val="clear" w:color="auto" w:fill="auto"/>
                  <w:vAlign w:val="center"/>
                </w:tcPr>
                <w:p>
                  <w:pPr>
                    <w:pStyle w:val="45"/>
                    <w:rPr>
                      <w:color w:val="auto"/>
                    </w:rPr>
                  </w:pPr>
                  <w:r>
                    <w:rPr>
                      <w:color w:val="auto"/>
                    </w:rPr>
                    <w:t>一般地面硬化</w:t>
                  </w:r>
                </w:p>
              </w:tc>
            </w:tr>
          </w:tbl>
          <w:p>
            <w:pPr>
              <w:pStyle w:val="7"/>
              <w:ind w:firstLine="480"/>
              <w:rPr>
                <w:color w:val="auto"/>
              </w:rPr>
            </w:pPr>
            <w:r>
              <w:rPr>
                <w:color w:val="auto"/>
              </w:rPr>
              <w:t>若发生事故，建设单位应</w:t>
            </w:r>
            <w:r>
              <w:rPr>
                <w:rFonts w:hint="eastAsia"/>
                <w:color w:val="auto"/>
              </w:rPr>
              <w:t>及时处理，</w:t>
            </w:r>
            <w:r>
              <w:rPr>
                <w:color w:val="auto"/>
              </w:rPr>
              <w:t>首先清理泄漏源、收集泄漏的物料，然后清理污染区域，包括被渗入污染的土壤</w:t>
            </w:r>
            <w:r>
              <w:rPr>
                <w:rFonts w:hint="eastAsia"/>
                <w:color w:val="auto"/>
              </w:rPr>
              <w:t>，</w:t>
            </w:r>
            <w:r>
              <w:rPr>
                <w:color w:val="auto"/>
              </w:rPr>
              <w:t>由于本项目</w:t>
            </w:r>
            <w:r>
              <w:rPr>
                <w:rFonts w:hint="eastAsia"/>
                <w:color w:val="auto"/>
                <w:lang w:val="zh-CN" w:bidi="zh-CN"/>
              </w:rPr>
              <w:t>医疗废物</w:t>
            </w:r>
            <w:r>
              <w:rPr>
                <w:color w:val="auto"/>
              </w:rPr>
              <w:t>储存量不大，事故状态泄漏的物料量也较小，可以在短时间内处置完善，对</w:t>
            </w:r>
            <w:r>
              <w:rPr>
                <w:rFonts w:hint="eastAsia"/>
                <w:color w:val="auto"/>
              </w:rPr>
              <w:t>地下水、</w:t>
            </w:r>
            <w:r>
              <w:rPr>
                <w:color w:val="auto"/>
              </w:rPr>
              <w:t>土壤的影响可以接受。</w:t>
            </w:r>
          </w:p>
          <w:p>
            <w:pPr>
              <w:pStyle w:val="7"/>
              <w:ind w:firstLine="480"/>
              <w:rPr>
                <w:color w:val="auto"/>
              </w:rPr>
            </w:pPr>
            <w:r>
              <w:rPr>
                <w:color w:val="auto"/>
              </w:rPr>
              <w:t>综上所述，本项目在严格落实防渗措施的情况下，物料渗入影响土壤、地下水的可能性较小，若发生渗入影响，在及时处置的情况下对土壤、地下水的影响可以接受。</w:t>
            </w:r>
          </w:p>
          <w:p>
            <w:pPr>
              <w:pStyle w:val="7"/>
              <w:ind w:firstLine="480"/>
              <w:rPr>
                <w:color w:val="auto"/>
              </w:rPr>
            </w:pPr>
            <w:r>
              <w:rPr>
                <w:rFonts w:hint="eastAsia"/>
                <w:color w:val="auto"/>
              </w:rPr>
              <w:t>6、生态</w:t>
            </w:r>
          </w:p>
          <w:p>
            <w:pPr>
              <w:pStyle w:val="7"/>
              <w:ind w:firstLine="480"/>
              <w:rPr>
                <w:color w:val="auto"/>
              </w:rPr>
            </w:pPr>
            <w:r>
              <w:rPr>
                <w:rFonts w:hint="eastAsia"/>
                <w:color w:val="auto"/>
              </w:rPr>
              <w:t>本项目不涉及新增扰动土地，不涉及生态影响。</w:t>
            </w:r>
          </w:p>
          <w:p>
            <w:pPr>
              <w:pStyle w:val="7"/>
              <w:numPr>
                <w:ilvl w:val="0"/>
                <w:numId w:val="8"/>
              </w:numPr>
              <w:ind w:firstLine="480"/>
              <w:rPr>
                <w:color w:val="auto"/>
              </w:rPr>
            </w:pPr>
            <w:r>
              <w:rPr>
                <w:color w:val="auto"/>
              </w:rPr>
              <w:t>环境风险</w:t>
            </w:r>
          </w:p>
          <w:p>
            <w:pPr>
              <w:pStyle w:val="7"/>
              <w:ind w:firstLine="480"/>
              <w:rPr>
                <w:color w:val="FF0000"/>
              </w:rPr>
            </w:pPr>
            <w:bookmarkStart w:id="55" w:name="_Toc7229"/>
            <w:r>
              <w:rPr>
                <w:rFonts w:hint="eastAsia"/>
                <w:b/>
                <w:bCs/>
                <w:color w:val="auto"/>
                <w:lang w:val="en-US" w:eastAsia="zh-CN"/>
              </w:rPr>
              <w:t>7.1</w:t>
            </w:r>
            <w:r>
              <w:rPr>
                <w:rFonts w:hint="eastAsia"/>
                <w:b/>
                <w:bCs/>
                <w:color w:val="auto"/>
              </w:rPr>
              <w:t>环境风险识别</w:t>
            </w:r>
          </w:p>
          <w:p>
            <w:pPr>
              <w:pStyle w:val="7"/>
              <w:ind w:firstLine="480"/>
              <w:rPr>
                <w:color w:val="auto"/>
              </w:rPr>
            </w:pPr>
            <w:r>
              <w:rPr>
                <w:rFonts w:hint="eastAsia"/>
                <w:color w:val="auto"/>
                <w:highlight w:val="none"/>
                <w:u w:val="single"/>
              </w:rPr>
              <w:t>本项目的风险因素有：</w:t>
            </w:r>
            <w:r>
              <w:rPr>
                <w:rFonts w:hint="eastAsia"/>
                <w:color w:val="auto"/>
                <w:u w:val="single"/>
              </w:rPr>
              <w:t>（</w:t>
            </w:r>
            <w:r>
              <w:rPr>
                <w:rFonts w:hint="eastAsia"/>
                <w:color w:val="auto"/>
                <w:u w:val="single"/>
                <w:lang w:val="en-US" w:eastAsia="zh-CN"/>
              </w:rPr>
              <w:t>1</w:t>
            </w:r>
            <w:r>
              <w:rPr>
                <w:rFonts w:hint="eastAsia"/>
                <w:color w:val="auto"/>
                <w:u w:val="single"/>
              </w:rPr>
              <w:t>）</w:t>
            </w:r>
            <w:r>
              <w:rPr>
                <w:rFonts w:hint="eastAsia"/>
                <w:color w:val="auto"/>
                <w:highlight w:val="none"/>
                <w:u w:val="single"/>
              </w:rPr>
              <w:t>医疗废物在收集、贮存、运送过程中的存在的风险；</w:t>
            </w:r>
            <w:r>
              <w:rPr>
                <w:rFonts w:hint="eastAsia"/>
                <w:color w:val="auto"/>
                <w:u w:val="single"/>
              </w:rPr>
              <w:t>（</w:t>
            </w:r>
            <w:r>
              <w:rPr>
                <w:rFonts w:hint="eastAsia"/>
                <w:color w:val="auto"/>
                <w:u w:val="single"/>
                <w:lang w:val="en-US" w:eastAsia="zh-CN"/>
              </w:rPr>
              <w:t>2</w:t>
            </w:r>
            <w:r>
              <w:rPr>
                <w:rFonts w:hint="eastAsia"/>
                <w:color w:val="auto"/>
                <w:u w:val="single"/>
              </w:rPr>
              <w:t>）</w:t>
            </w:r>
            <w:r>
              <w:rPr>
                <w:rFonts w:hint="eastAsia"/>
                <w:color w:val="auto"/>
                <w:highlight w:val="none"/>
                <w:u w:val="single"/>
              </w:rPr>
              <w:t>废水处理设施事故状态下的排污</w:t>
            </w:r>
            <w:r>
              <w:rPr>
                <w:rFonts w:hint="eastAsia"/>
                <w:color w:val="auto"/>
                <w:highlight w:val="none"/>
                <w:u w:val="single"/>
                <w:lang w:eastAsia="zh-CN"/>
              </w:rPr>
              <w:t>；</w:t>
            </w:r>
            <w:r>
              <w:rPr>
                <w:rFonts w:hint="eastAsia"/>
                <w:color w:val="auto"/>
                <w:u w:val="single"/>
              </w:rPr>
              <w:t>（</w:t>
            </w:r>
            <w:r>
              <w:rPr>
                <w:rFonts w:hint="eastAsia"/>
                <w:color w:val="auto"/>
                <w:u w:val="single"/>
                <w:lang w:val="en-US" w:eastAsia="zh-CN"/>
              </w:rPr>
              <w:t>3</w:t>
            </w:r>
            <w:r>
              <w:rPr>
                <w:rFonts w:hint="eastAsia"/>
                <w:color w:val="auto"/>
                <w:u w:val="single"/>
              </w:rPr>
              <w:t>）</w:t>
            </w:r>
            <w:r>
              <w:rPr>
                <w:rFonts w:hint="eastAsia"/>
                <w:color w:val="auto"/>
                <w:highlight w:val="none"/>
                <w:u w:val="single"/>
                <w:lang w:eastAsia="zh-CN"/>
              </w:rPr>
              <w:t>火灾引发</w:t>
            </w:r>
            <w:r>
              <w:rPr>
                <w:rFonts w:hint="eastAsia"/>
                <w:color w:val="auto"/>
                <w:highlight w:val="none"/>
                <w:u w:val="single"/>
                <w:lang w:val="en-US" w:eastAsia="zh-CN"/>
              </w:rPr>
              <w:t>的次生</w:t>
            </w:r>
            <w:r>
              <w:rPr>
                <w:rFonts w:hint="eastAsia"/>
                <w:color w:val="auto"/>
                <w:highlight w:val="none"/>
                <w:u w:val="single"/>
                <w:lang w:eastAsia="zh-CN"/>
              </w:rPr>
              <w:t>环境事件</w:t>
            </w:r>
            <w:r>
              <w:rPr>
                <w:rFonts w:hint="eastAsia"/>
                <w:color w:val="auto"/>
                <w:highlight w:val="none"/>
                <w:u w:val="single"/>
              </w:rPr>
              <w:t>。另外，项目中放射性物质的泄露等造成的风险将在辐射环评中单独分析，在此不做细述。</w:t>
            </w:r>
          </w:p>
          <w:p>
            <w:pPr>
              <w:pStyle w:val="7"/>
              <w:ind w:firstLine="480"/>
              <w:rPr>
                <w:rFonts w:hint="eastAsia"/>
                <w:color w:val="auto"/>
                <w:highlight w:val="none"/>
                <w:lang w:eastAsia="zh-CN"/>
              </w:rPr>
            </w:pPr>
            <w:r>
              <w:rPr>
                <w:rFonts w:hint="eastAsia"/>
                <w:color w:val="auto"/>
                <w:u w:val="single"/>
              </w:rPr>
              <w:t>（</w:t>
            </w:r>
            <w:r>
              <w:rPr>
                <w:rFonts w:hint="eastAsia"/>
                <w:color w:val="auto"/>
                <w:u w:val="single"/>
                <w:lang w:val="en-US" w:eastAsia="zh-CN"/>
              </w:rPr>
              <w:t>1</w:t>
            </w:r>
            <w:r>
              <w:rPr>
                <w:rFonts w:hint="eastAsia"/>
                <w:color w:val="auto"/>
                <w:u w:val="single"/>
              </w:rPr>
              <w:t>）</w:t>
            </w:r>
            <w:r>
              <w:rPr>
                <w:rFonts w:hint="eastAsia"/>
                <w:color w:val="auto"/>
                <w:highlight w:val="none"/>
                <w:u w:val="single"/>
              </w:rPr>
              <w:t>医疗废物在收集、贮存、运送过程中的存在的风险</w:t>
            </w:r>
          </w:p>
          <w:p>
            <w:pPr>
              <w:pStyle w:val="7"/>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u w:val="single"/>
                <w:lang w:eastAsia="zh-CN"/>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w:t>
            </w:r>
          </w:p>
          <w:p>
            <w:pPr>
              <w:pStyle w:val="7"/>
              <w:ind w:firstLine="480"/>
              <w:rPr>
                <w:rFonts w:hint="eastAsia"/>
                <w:color w:val="auto"/>
                <w:highlight w:val="none"/>
                <w:lang w:eastAsia="zh-CN"/>
              </w:rPr>
            </w:pPr>
            <w:r>
              <w:rPr>
                <w:rFonts w:hint="eastAsia" w:ascii="Times New Roman" w:hAnsi="Times New Roman" w:eastAsia="宋体" w:cs="Times New Roman"/>
                <w:color w:val="auto"/>
                <w:u w:val="single"/>
                <w:lang w:val="en-US" w:eastAsia="zh-CN"/>
              </w:rPr>
              <w:t>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w:t>
            </w:r>
          </w:p>
          <w:p>
            <w:pPr>
              <w:pStyle w:val="7"/>
              <w:ind w:firstLine="480"/>
              <w:rPr>
                <w:rFonts w:hint="eastAsia"/>
                <w:color w:val="auto"/>
                <w:highlight w:val="none"/>
                <w:lang w:eastAsia="zh-CN"/>
              </w:rPr>
            </w:pPr>
            <w:r>
              <w:rPr>
                <w:rFonts w:hint="eastAsia"/>
                <w:color w:val="auto"/>
                <w:u w:val="single"/>
              </w:rPr>
              <w:t>（</w:t>
            </w:r>
            <w:r>
              <w:rPr>
                <w:rFonts w:hint="eastAsia"/>
                <w:color w:val="auto"/>
                <w:u w:val="single"/>
                <w:lang w:val="en-US" w:eastAsia="zh-CN"/>
              </w:rPr>
              <w:t>2</w:t>
            </w:r>
            <w:r>
              <w:rPr>
                <w:rFonts w:hint="eastAsia"/>
                <w:color w:val="auto"/>
                <w:u w:val="single"/>
              </w:rPr>
              <w:t>）</w:t>
            </w:r>
            <w:r>
              <w:rPr>
                <w:rFonts w:hint="eastAsia"/>
                <w:color w:val="auto"/>
                <w:highlight w:val="none"/>
                <w:u w:val="single"/>
                <w:lang w:eastAsia="zh-CN"/>
              </w:rPr>
              <w:t>废水处理设施事故状态下的排污</w:t>
            </w:r>
          </w:p>
          <w:p>
            <w:pPr>
              <w:pStyle w:val="7"/>
              <w:ind w:firstLine="480"/>
              <w:rPr>
                <w:rFonts w:hint="eastAsia"/>
                <w:color w:val="auto"/>
                <w:highlight w:val="none"/>
                <w:u w:val="single"/>
                <w:lang w:eastAsia="zh-CN"/>
              </w:rPr>
            </w:pPr>
            <w:r>
              <w:rPr>
                <w:rFonts w:hint="eastAsia"/>
                <w:color w:val="auto"/>
                <w:highlight w:val="none"/>
                <w:u w:val="single"/>
                <w:lang w:eastAsia="zh-CN"/>
              </w:rPr>
              <w:t>当项目废水由于某些不确定因素（如污水站设备故障、人为操作失当或过失等原因）而导致项目废水未能达到预期处理效果，对临湘市污水净化中心造成处理负荷。</w:t>
            </w:r>
          </w:p>
          <w:p>
            <w:pPr>
              <w:pStyle w:val="7"/>
              <w:ind w:firstLine="480"/>
              <w:rPr>
                <w:rFonts w:hint="eastAsia"/>
                <w:color w:val="auto"/>
                <w:highlight w:val="none"/>
                <w:lang w:eastAsia="zh-CN"/>
              </w:rPr>
            </w:pPr>
            <w:r>
              <w:rPr>
                <w:rFonts w:hint="eastAsia"/>
                <w:color w:val="auto"/>
                <w:highlight w:val="none"/>
                <w:u w:val="single"/>
                <w:lang w:eastAsia="zh-CN"/>
              </w:rPr>
              <w:t>本项目医疗废水经化粪池及污水处理站处理后排放至临湘市污水净化中心处理，即使因为操作不当或污水处理设施失灵，排放的废水进入污水厂并不会对污水处理厂处理工艺产生较大影响；少量病原微生物随污水管网进入污水厂处理系统，在混合稀释、消毒处理后也不会产生较大的环境影响。</w:t>
            </w:r>
          </w:p>
          <w:p>
            <w:pPr>
              <w:pStyle w:val="7"/>
              <w:ind w:firstLine="480"/>
              <w:rPr>
                <w:rFonts w:hint="eastAsia"/>
                <w:color w:val="auto"/>
                <w:highlight w:val="none"/>
                <w:u w:val="single"/>
                <w:lang w:eastAsia="zh-CN"/>
              </w:rPr>
            </w:pPr>
            <w:r>
              <w:rPr>
                <w:rFonts w:hint="eastAsia"/>
                <w:color w:val="auto"/>
                <w:u w:val="single"/>
              </w:rPr>
              <w:t>（</w:t>
            </w:r>
            <w:r>
              <w:rPr>
                <w:rFonts w:hint="eastAsia"/>
                <w:color w:val="auto"/>
                <w:u w:val="single"/>
                <w:lang w:val="en-US" w:eastAsia="zh-CN"/>
              </w:rPr>
              <w:t>3</w:t>
            </w:r>
            <w:r>
              <w:rPr>
                <w:rFonts w:hint="eastAsia"/>
                <w:color w:val="auto"/>
                <w:u w:val="single"/>
              </w:rPr>
              <w:t>）</w:t>
            </w:r>
            <w:r>
              <w:rPr>
                <w:rFonts w:hint="eastAsia"/>
                <w:color w:val="auto"/>
                <w:highlight w:val="none"/>
                <w:u w:val="single"/>
                <w:lang w:eastAsia="zh-CN"/>
              </w:rPr>
              <w:t>火灾引发的次生环境事件</w:t>
            </w:r>
          </w:p>
          <w:p>
            <w:pPr>
              <w:pStyle w:val="7"/>
              <w:ind w:firstLine="480"/>
              <w:rPr>
                <w:rFonts w:hint="default"/>
                <w:color w:val="auto"/>
                <w:highlight w:val="none"/>
                <w:u w:val="single"/>
                <w:lang w:val="en-US" w:eastAsia="zh-CN"/>
              </w:rPr>
            </w:pPr>
            <w:r>
              <w:rPr>
                <w:rFonts w:hint="eastAsia"/>
                <w:color w:val="auto"/>
                <w:highlight w:val="none"/>
                <w:u w:val="single"/>
                <w:lang w:val="en-US" w:eastAsia="zh-CN"/>
              </w:rPr>
              <w:t>本项目涉及的易燃物质如乙醇等，若贮存管理不当易发生火灾。火灾时产生的消防废水漫流入雨水管道，对地表水环境造成不利影响。</w:t>
            </w:r>
          </w:p>
          <w:p>
            <w:pPr>
              <w:pStyle w:val="7"/>
              <w:ind w:firstLine="480"/>
              <w:rPr>
                <w:rFonts w:hint="eastAsia"/>
                <w:color w:val="auto"/>
              </w:rPr>
            </w:pPr>
            <w:r>
              <w:rPr>
                <w:rFonts w:hint="eastAsia"/>
                <w:color w:val="auto"/>
                <w:highlight w:val="none"/>
                <w:u w:val="single"/>
                <w:lang w:val="en-US" w:eastAsia="zh-CN"/>
              </w:rPr>
              <w:t>本项目</w:t>
            </w:r>
            <w:r>
              <w:rPr>
                <w:rFonts w:hint="eastAsia"/>
                <w:color w:val="auto"/>
                <w:highlight w:val="none"/>
                <w:u w:val="single"/>
                <w:lang w:eastAsia="zh-CN"/>
              </w:rPr>
              <w:t>对于漫流入雨水管线的消防水，在确保雨水排放口封堵的情况下，将消防废水导入厂区污水管网进入污水处理站预处理后进入临湘市污水净化中心进行处理，</w:t>
            </w:r>
            <w:r>
              <w:rPr>
                <w:rFonts w:hint="eastAsia"/>
                <w:color w:val="auto"/>
                <w:highlight w:val="none"/>
                <w:u w:val="single"/>
                <w:lang w:val="en-US" w:eastAsia="zh-CN"/>
              </w:rPr>
              <w:t>对环境影响较小，风险可控。</w:t>
            </w:r>
          </w:p>
          <w:p>
            <w:pPr>
              <w:pStyle w:val="7"/>
              <w:ind w:firstLine="480"/>
              <w:rPr>
                <w:rFonts w:hint="eastAsia"/>
                <w:color w:val="auto"/>
              </w:rPr>
            </w:pPr>
            <w:r>
              <w:rPr>
                <w:rFonts w:hint="eastAsia"/>
                <w:color w:val="auto"/>
              </w:rPr>
              <w:t>（4）物质危险性识别</w:t>
            </w:r>
          </w:p>
          <w:p>
            <w:pPr>
              <w:pStyle w:val="7"/>
              <w:ind w:firstLine="480"/>
              <w:rPr>
                <w:color w:val="auto"/>
              </w:rPr>
            </w:pPr>
            <w:r>
              <w:rPr>
                <w:rFonts w:hint="eastAsia"/>
                <w:color w:val="auto"/>
              </w:rPr>
              <w:t>本项目使用环境风险物质主要为乙醇、医疗废物，与临界量的比值</w:t>
            </w:r>
            <w:r>
              <w:rPr>
                <w:color w:val="auto"/>
              </w:rPr>
              <w:t>Q</w:t>
            </w:r>
            <w:r>
              <w:rPr>
                <w:rFonts w:hint="eastAsia"/>
                <w:color w:val="auto"/>
              </w:rPr>
              <w:t>的计算见下表</w:t>
            </w:r>
            <w:r>
              <w:rPr>
                <w:color w:val="auto"/>
              </w:rPr>
              <w:t>。</w:t>
            </w:r>
          </w:p>
          <w:bookmarkEnd w:id="55"/>
          <w:p>
            <w:pPr>
              <w:pStyle w:val="46"/>
              <w:rPr>
                <w:color w:val="auto"/>
              </w:rPr>
            </w:pPr>
            <w:r>
              <w:rPr>
                <w:color w:val="auto"/>
              </w:rPr>
              <w:t>表</w:t>
            </w:r>
            <w:r>
              <w:rPr>
                <w:rFonts w:hint="eastAsia"/>
                <w:color w:val="auto"/>
              </w:rPr>
              <w:t>4.2-19 环境风险物质</w:t>
            </w:r>
            <w:r>
              <w:rPr>
                <w:color w:val="auto"/>
              </w:rPr>
              <w:t>分布及主要危险物质一览表</w:t>
            </w:r>
            <w:r>
              <w:rPr>
                <w:rFonts w:hint="eastAsia"/>
                <w:color w:val="auto"/>
              </w:rPr>
              <w:t xml:space="preserve"> </w:t>
            </w:r>
          </w:p>
          <w:tbl>
            <w:tblPr>
              <w:tblStyle w:val="31"/>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693"/>
              <w:gridCol w:w="1952"/>
              <w:gridCol w:w="1626"/>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6" w:type="dxa"/>
                  <w:tcBorders>
                    <w:tl2br w:val="nil"/>
                    <w:tr2bl w:val="nil"/>
                  </w:tcBorders>
                  <w:vAlign w:val="center"/>
                </w:tcPr>
                <w:p>
                  <w:pPr>
                    <w:pStyle w:val="45"/>
                    <w:rPr>
                      <w:color w:val="auto"/>
                    </w:rPr>
                  </w:pPr>
                  <w:r>
                    <w:rPr>
                      <w:color w:val="auto"/>
                    </w:rPr>
                    <w:t>序号</w:t>
                  </w:r>
                </w:p>
              </w:tc>
              <w:tc>
                <w:tcPr>
                  <w:tcW w:w="1713" w:type="dxa"/>
                  <w:tcBorders>
                    <w:tl2br w:val="nil"/>
                    <w:tr2bl w:val="nil"/>
                  </w:tcBorders>
                  <w:vAlign w:val="center"/>
                </w:tcPr>
                <w:p>
                  <w:pPr>
                    <w:pStyle w:val="45"/>
                    <w:rPr>
                      <w:color w:val="auto"/>
                    </w:rPr>
                  </w:pPr>
                  <w:r>
                    <w:rPr>
                      <w:color w:val="auto"/>
                    </w:rPr>
                    <w:t>物料名称</w:t>
                  </w:r>
                </w:p>
              </w:tc>
              <w:tc>
                <w:tcPr>
                  <w:tcW w:w="1976" w:type="dxa"/>
                  <w:tcBorders>
                    <w:tl2br w:val="nil"/>
                    <w:tr2bl w:val="nil"/>
                  </w:tcBorders>
                  <w:vAlign w:val="center"/>
                </w:tcPr>
                <w:p>
                  <w:pPr>
                    <w:pStyle w:val="45"/>
                    <w:rPr>
                      <w:color w:val="auto"/>
                    </w:rPr>
                  </w:pPr>
                  <w:r>
                    <w:rPr>
                      <w:color w:val="auto"/>
                    </w:rPr>
                    <w:t>最大储存量（q/t）</w:t>
                  </w:r>
                </w:p>
              </w:tc>
              <w:tc>
                <w:tcPr>
                  <w:tcW w:w="1645" w:type="dxa"/>
                  <w:tcBorders>
                    <w:tl2br w:val="nil"/>
                    <w:tr2bl w:val="nil"/>
                  </w:tcBorders>
                  <w:vAlign w:val="center"/>
                </w:tcPr>
                <w:p>
                  <w:pPr>
                    <w:pStyle w:val="45"/>
                    <w:rPr>
                      <w:color w:val="auto"/>
                    </w:rPr>
                  </w:pPr>
                  <w:r>
                    <w:rPr>
                      <w:color w:val="auto"/>
                    </w:rPr>
                    <w:t>临界量（Q</w:t>
                  </w:r>
                  <w:r>
                    <w:rPr>
                      <w:rFonts w:hint="eastAsia"/>
                      <w:color w:val="auto"/>
                    </w:rPr>
                    <w:t>/</w:t>
                  </w:r>
                  <w:r>
                    <w:rPr>
                      <w:color w:val="auto"/>
                    </w:rPr>
                    <w:t>t）</w:t>
                  </w:r>
                </w:p>
              </w:tc>
              <w:tc>
                <w:tcPr>
                  <w:tcW w:w="1476" w:type="dxa"/>
                  <w:tcBorders>
                    <w:tl2br w:val="nil"/>
                    <w:tr2bl w:val="nil"/>
                  </w:tcBorders>
                  <w:vAlign w:val="center"/>
                </w:tcPr>
                <w:p>
                  <w:pPr>
                    <w:pStyle w:val="45"/>
                    <w:rPr>
                      <w:color w:val="auto"/>
                    </w:rPr>
                  </w:pPr>
                  <w:r>
                    <w:rPr>
                      <w:color w:val="auto"/>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color w:val="auto"/>
                    </w:rPr>
                  </w:pPr>
                  <w:r>
                    <w:rPr>
                      <w:rFonts w:hint="eastAsia"/>
                      <w:color w:val="auto"/>
                    </w:rPr>
                    <w:t>1</w:t>
                  </w:r>
                </w:p>
              </w:tc>
              <w:tc>
                <w:tcPr>
                  <w:tcW w:w="1713" w:type="dxa"/>
                  <w:tcBorders>
                    <w:tl2br w:val="nil"/>
                    <w:tr2bl w:val="nil"/>
                  </w:tcBorders>
                  <w:vAlign w:val="center"/>
                </w:tcPr>
                <w:p>
                  <w:pPr>
                    <w:pStyle w:val="45"/>
                    <w:rPr>
                      <w:color w:val="auto"/>
                    </w:rPr>
                  </w:pPr>
                  <w:r>
                    <w:rPr>
                      <w:rFonts w:hint="eastAsia"/>
                      <w:color w:val="auto"/>
                    </w:rPr>
                    <w:t>乙醇</w:t>
                  </w:r>
                </w:p>
              </w:tc>
              <w:tc>
                <w:tcPr>
                  <w:tcW w:w="1976" w:type="dxa"/>
                  <w:tcBorders>
                    <w:tl2br w:val="nil"/>
                    <w:tr2bl w:val="nil"/>
                  </w:tcBorders>
                  <w:vAlign w:val="center"/>
                </w:tcPr>
                <w:p>
                  <w:pPr>
                    <w:pStyle w:val="45"/>
                    <w:rPr>
                      <w:rFonts w:hint="eastAsia" w:eastAsia="宋体"/>
                      <w:color w:val="auto"/>
                      <w:lang w:eastAsia="zh-CN"/>
                    </w:rPr>
                  </w:pPr>
                  <w:r>
                    <w:rPr>
                      <w:rFonts w:hint="eastAsia"/>
                      <w:color w:val="auto"/>
                    </w:rPr>
                    <w:t>0.</w:t>
                  </w:r>
                  <w:r>
                    <w:rPr>
                      <w:rFonts w:hint="eastAsia"/>
                      <w:color w:val="auto"/>
                      <w:lang w:val="en-US" w:eastAsia="zh-CN"/>
                    </w:rPr>
                    <w:t>01</w:t>
                  </w:r>
                </w:p>
              </w:tc>
              <w:tc>
                <w:tcPr>
                  <w:tcW w:w="1645" w:type="dxa"/>
                  <w:tcBorders>
                    <w:tl2br w:val="nil"/>
                    <w:tr2bl w:val="nil"/>
                  </w:tcBorders>
                  <w:vAlign w:val="center"/>
                </w:tcPr>
                <w:p>
                  <w:pPr>
                    <w:pStyle w:val="45"/>
                    <w:rPr>
                      <w:color w:val="auto"/>
                    </w:rPr>
                  </w:pPr>
                  <w:r>
                    <w:rPr>
                      <w:rFonts w:hint="eastAsia"/>
                      <w:color w:val="auto"/>
                    </w:rPr>
                    <w:t>500</w:t>
                  </w:r>
                </w:p>
              </w:tc>
              <w:tc>
                <w:tcPr>
                  <w:tcW w:w="1476" w:type="dxa"/>
                  <w:tcBorders>
                    <w:tl2br w:val="nil"/>
                    <w:tr2bl w:val="nil"/>
                  </w:tcBorders>
                  <w:vAlign w:val="center"/>
                </w:tcPr>
                <w:p>
                  <w:pPr>
                    <w:pStyle w:val="45"/>
                    <w:rPr>
                      <w:rFonts w:hint="eastAsia"/>
                      <w:color w:val="auto"/>
                      <w:lang w:val="en-US" w:eastAsia="zh-CN"/>
                    </w:rPr>
                  </w:pPr>
                  <w:r>
                    <w:rPr>
                      <w:rFonts w:hint="default"/>
                      <w:color w:val="auto"/>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color w:val="auto"/>
                    </w:rPr>
                  </w:pPr>
                  <w:r>
                    <w:rPr>
                      <w:rFonts w:hint="eastAsia"/>
                      <w:color w:val="auto"/>
                    </w:rPr>
                    <w:t>2</w:t>
                  </w:r>
                </w:p>
              </w:tc>
              <w:tc>
                <w:tcPr>
                  <w:tcW w:w="1713" w:type="dxa"/>
                  <w:tcBorders>
                    <w:tl2br w:val="nil"/>
                    <w:tr2bl w:val="nil"/>
                  </w:tcBorders>
                  <w:vAlign w:val="center"/>
                </w:tcPr>
                <w:p>
                  <w:pPr>
                    <w:pStyle w:val="45"/>
                    <w:rPr>
                      <w:color w:val="auto"/>
                    </w:rPr>
                  </w:pPr>
                  <w:r>
                    <w:rPr>
                      <w:color w:val="auto"/>
                    </w:rPr>
                    <w:t>医疗废物</w:t>
                  </w:r>
                </w:p>
              </w:tc>
              <w:tc>
                <w:tcPr>
                  <w:tcW w:w="1976" w:type="dxa"/>
                  <w:tcBorders>
                    <w:tl2br w:val="nil"/>
                    <w:tr2bl w:val="nil"/>
                  </w:tcBorders>
                  <w:vAlign w:val="center"/>
                </w:tcPr>
                <w:p>
                  <w:pPr>
                    <w:pStyle w:val="45"/>
                    <w:rPr>
                      <w:rFonts w:hint="default" w:eastAsia="宋体"/>
                      <w:color w:val="auto"/>
                      <w:lang w:val="en-US" w:eastAsia="zh-CN"/>
                    </w:rPr>
                  </w:pPr>
                  <w:r>
                    <w:rPr>
                      <w:rFonts w:hint="eastAsia"/>
                      <w:color w:val="auto"/>
                    </w:rPr>
                    <w:t>0.</w:t>
                  </w:r>
                  <w:r>
                    <w:rPr>
                      <w:rFonts w:hint="eastAsia"/>
                      <w:color w:val="auto"/>
                      <w:lang w:val="en-US" w:eastAsia="zh-CN"/>
                    </w:rPr>
                    <w:t>0221</w:t>
                  </w:r>
                </w:p>
              </w:tc>
              <w:tc>
                <w:tcPr>
                  <w:tcW w:w="1645" w:type="dxa"/>
                  <w:tcBorders>
                    <w:tl2br w:val="nil"/>
                    <w:tr2bl w:val="nil"/>
                  </w:tcBorders>
                  <w:vAlign w:val="center"/>
                </w:tcPr>
                <w:p>
                  <w:pPr>
                    <w:pStyle w:val="45"/>
                    <w:rPr>
                      <w:color w:val="auto"/>
                    </w:rPr>
                  </w:pPr>
                  <w:r>
                    <w:rPr>
                      <w:rFonts w:hint="eastAsia"/>
                      <w:color w:val="auto"/>
                    </w:rPr>
                    <w:t>50</w:t>
                  </w:r>
                </w:p>
              </w:tc>
              <w:tc>
                <w:tcPr>
                  <w:tcW w:w="1476" w:type="dxa"/>
                  <w:tcBorders>
                    <w:tl2br w:val="nil"/>
                    <w:tr2bl w:val="nil"/>
                  </w:tcBorders>
                  <w:vAlign w:val="center"/>
                </w:tcPr>
                <w:p>
                  <w:pPr>
                    <w:pStyle w:val="45"/>
                    <w:rPr>
                      <w:rFonts w:hint="eastAsia"/>
                      <w:color w:val="auto"/>
                      <w:lang w:val="en-US" w:eastAsia="zh-CN"/>
                    </w:rPr>
                  </w:pPr>
                  <w:r>
                    <w:rPr>
                      <w:rFonts w:hint="default"/>
                      <w:color w:val="auto"/>
                      <w:lang w:val="en-US" w:eastAsia="zh-CN"/>
                    </w:rPr>
                    <w:t>0.000</w:t>
                  </w:r>
                  <w:r>
                    <w:rPr>
                      <w:rFonts w:hint="eastAsia"/>
                      <w:color w:val="auto"/>
                      <w:lang w:val="en-US" w:eastAsia="zh-CN"/>
                    </w:rPr>
                    <w:t>44</w:t>
                  </w:r>
                  <w:r>
                    <w:rPr>
                      <w:rFonts w:hint="default"/>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rFonts w:hint="eastAsia"/>
                      <w:color w:val="auto"/>
                    </w:rPr>
                  </w:pPr>
                  <w:r>
                    <w:rPr>
                      <w:rFonts w:hint="eastAsia"/>
                      <w:color w:val="auto"/>
                      <w:highlight w:val="none"/>
                      <w:lang w:val="en-US" w:eastAsia="zh-CN"/>
                    </w:rPr>
                    <w:t>3</w:t>
                  </w:r>
                </w:p>
              </w:tc>
              <w:tc>
                <w:tcPr>
                  <w:tcW w:w="1713" w:type="dxa"/>
                  <w:tcBorders>
                    <w:tl2br w:val="nil"/>
                    <w:tr2bl w:val="nil"/>
                  </w:tcBorders>
                  <w:vAlign w:val="center"/>
                </w:tcPr>
                <w:p>
                  <w:pPr>
                    <w:pStyle w:val="45"/>
                    <w:rPr>
                      <w:color w:val="auto"/>
                    </w:rPr>
                  </w:pPr>
                  <w:r>
                    <w:rPr>
                      <w:rFonts w:hint="eastAsia"/>
                      <w:color w:val="auto"/>
                      <w:u w:val="none"/>
                    </w:rPr>
                    <w:t>二氯异氰尿酸钠</w:t>
                  </w:r>
                </w:p>
              </w:tc>
              <w:tc>
                <w:tcPr>
                  <w:tcW w:w="1976" w:type="dxa"/>
                  <w:tcBorders>
                    <w:tl2br w:val="nil"/>
                    <w:tr2bl w:val="nil"/>
                  </w:tcBorders>
                  <w:vAlign w:val="center"/>
                </w:tcPr>
                <w:p>
                  <w:pPr>
                    <w:pStyle w:val="45"/>
                    <w:rPr>
                      <w:rFonts w:hint="eastAsia"/>
                      <w:color w:val="auto"/>
                    </w:rPr>
                  </w:pPr>
                  <w:r>
                    <w:rPr>
                      <w:rFonts w:hint="eastAsia"/>
                      <w:color w:val="auto"/>
                      <w:u w:val="none"/>
                      <w:lang w:val="en-US" w:eastAsia="zh-CN"/>
                    </w:rPr>
                    <w:t>0.05</w:t>
                  </w:r>
                </w:p>
              </w:tc>
              <w:tc>
                <w:tcPr>
                  <w:tcW w:w="1645" w:type="dxa"/>
                  <w:tcBorders>
                    <w:tl2br w:val="nil"/>
                    <w:tr2bl w:val="nil"/>
                  </w:tcBorders>
                  <w:vAlign w:val="center"/>
                </w:tcPr>
                <w:p>
                  <w:pPr>
                    <w:pStyle w:val="45"/>
                    <w:rPr>
                      <w:rFonts w:hint="eastAsia"/>
                      <w:color w:val="auto"/>
                    </w:rPr>
                  </w:pPr>
                  <w:r>
                    <w:rPr>
                      <w:rFonts w:hint="eastAsia"/>
                      <w:color w:val="auto"/>
                    </w:rPr>
                    <w:t>500</w:t>
                  </w:r>
                </w:p>
              </w:tc>
              <w:tc>
                <w:tcPr>
                  <w:tcW w:w="1476" w:type="dxa"/>
                  <w:tcBorders>
                    <w:tl2br w:val="nil"/>
                    <w:tr2bl w:val="nil"/>
                  </w:tcBorders>
                  <w:vAlign w:val="center"/>
                </w:tcPr>
                <w:p>
                  <w:pPr>
                    <w:pStyle w:val="45"/>
                    <w:rPr>
                      <w:rFonts w:hint="default" w:eastAsia="宋体"/>
                      <w:color w:val="auto"/>
                      <w:lang w:val="en-US" w:eastAsia="zh-CN"/>
                    </w:rPr>
                  </w:pPr>
                  <w:r>
                    <w:rPr>
                      <w:rFonts w:hint="default" w:eastAsia="宋体"/>
                      <w:color w:val="auto"/>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rFonts w:hint="eastAsia"/>
                      <w:color w:val="auto"/>
                    </w:rPr>
                  </w:pPr>
                  <w:r>
                    <w:rPr>
                      <w:rFonts w:hint="eastAsia"/>
                      <w:color w:val="auto"/>
                      <w:highlight w:val="none"/>
                      <w:lang w:val="en-US" w:eastAsia="zh-CN"/>
                    </w:rPr>
                    <w:t>4</w:t>
                  </w:r>
                </w:p>
              </w:tc>
              <w:tc>
                <w:tcPr>
                  <w:tcW w:w="1713" w:type="dxa"/>
                  <w:tcBorders>
                    <w:tl2br w:val="nil"/>
                    <w:tr2bl w:val="nil"/>
                  </w:tcBorders>
                  <w:vAlign w:val="center"/>
                </w:tcPr>
                <w:p>
                  <w:pPr>
                    <w:pStyle w:val="45"/>
                    <w:rPr>
                      <w:color w:val="auto"/>
                    </w:rPr>
                  </w:pPr>
                  <w:r>
                    <w:rPr>
                      <w:color w:val="auto"/>
                      <w:u w:val="none"/>
                    </w:rPr>
                    <w:t>84消毒液</w:t>
                  </w:r>
                </w:p>
              </w:tc>
              <w:tc>
                <w:tcPr>
                  <w:tcW w:w="1976" w:type="dxa"/>
                  <w:tcBorders>
                    <w:tl2br w:val="nil"/>
                    <w:tr2bl w:val="nil"/>
                  </w:tcBorders>
                  <w:vAlign w:val="center"/>
                </w:tcPr>
                <w:p>
                  <w:pPr>
                    <w:pStyle w:val="45"/>
                    <w:rPr>
                      <w:rFonts w:hint="eastAsia"/>
                      <w:color w:val="auto"/>
                    </w:rPr>
                  </w:pPr>
                  <w:r>
                    <w:rPr>
                      <w:rFonts w:hint="eastAsia"/>
                      <w:color w:val="auto"/>
                      <w:u w:val="none"/>
                    </w:rPr>
                    <w:t>0.0</w:t>
                  </w:r>
                  <w:r>
                    <w:rPr>
                      <w:rFonts w:hint="eastAsia"/>
                      <w:color w:val="auto"/>
                      <w:u w:val="none"/>
                      <w:lang w:val="en-US" w:eastAsia="zh-CN"/>
                    </w:rPr>
                    <w:t>24</w:t>
                  </w:r>
                </w:p>
              </w:tc>
              <w:tc>
                <w:tcPr>
                  <w:tcW w:w="1645" w:type="dxa"/>
                  <w:tcBorders>
                    <w:tl2br w:val="nil"/>
                    <w:tr2bl w:val="nil"/>
                  </w:tcBorders>
                  <w:vAlign w:val="center"/>
                </w:tcPr>
                <w:p>
                  <w:pPr>
                    <w:pStyle w:val="45"/>
                    <w:rPr>
                      <w:rFonts w:hint="eastAsia"/>
                      <w:color w:val="auto"/>
                    </w:rPr>
                  </w:pPr>
                  <w:r>
                    <w:rPr>
                      <w:rFonts w:hint="eastAsia"/>
                      <w:color w:val="auto"/>
                      <w:lang w:val="en-US" w:eastAsia="zh-CN"/>
                    </w:rPr>
                    <w:t>500</w:t>
                  </w:r>
                </w:p>
              </w:tc>
              <w:tc>
                <w:tcPr>
                  <w:tcW w:w="1476" w:type="dxa"/>
                  <w:tcBorders>
                    <w:tl2br w:val="nil"/>
                    <w:tr2bl w:val="nil"/>
                  </w:tcBorders>
                  <w:vAlign w:val="center"/>
                </w:tcPr>
                <w:p>
                  <w:pPr>
                    <w:pStyle w:val="45"/>
                    <w:rPr>
                      <w:rFonts w:hint="default" w:eastAsia="宋体"/>
                      <w:color w:val="auto"/>
                      <w:lang w:val="en-US" w:eastAsia="zh-CN"/>
                    </w:rPr>
                  </w:pPr>
                  <w:r>
                    <w:rPr>
                      <w:rFonts w:hint="default" w:eastAsia="宋体"/>
                      <w:color w:val="auto"/>
                      <w:lang w:val="en-US" w:eastAsia="zh-CN"/>
                    </w:rPr>
                    <w:t>0.000048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0" w:type="dxa"/>
                  <w:gridSpan w:val="4"/>
                  <w:tcBorders>
                    <w:tl2br w:val="nil"/>
                    <w:tr2bl w:val="nil"/>
                  </w:tcBorders>
                  <w:vAlign w:val="center"/>
                </w:tcPr>
                <w:p>
                  <w:pPr>
                    <w:pStyle w:val="45"/>
                    <w:rPr>
                      <w:color w:val="auto"/>
                    </w:rPr>
                  </w:pPr>
                  <w:r>
                    <w:rPr>
                      <w:color w:val="auto"/>
                    </w:rPr>
                    <w:t>合计</w:t>
                  </w:r>
                </w:p>
              </w:tc>
              <w:tc>
                <w:tcPr>
                  <w:tcW w:w="1476" w:type="dxa"/>
                  <w:tcBorders>
                    <w:tl2br w:val="nil"/>
                    <w:tr2bl w:val="nil"/>
                  </w:tcBorders>
                  <w:vAlign w:val="center"/>
                </w:tcPr>
                <w:p>
                  <w:pPr>
                    <w:pStyle w:val="45"/>
                    <w:rPr>
                      <w:rFonts w:hint="eastAsia" w:eastAsia="宋体"/>
                      <w:color w:val="auto"/>
                      <w:lang w:val="en-US" w:eastAsia="zh-CN"/>
                    </w:rPr>
                  </w:pPr>
                  <w:r>
                    <w:rPr>
                      <w:rFonts w:hint="default" w:eastAsia="宋体"/>
                      <w:color w:val="auto"/>
                      <w:lang w:val="en-US" w:eastAsia="zh-CN"/>
                    </w:rPr>
                    <w:t>0.00061</w:t>
                  </w:r>
                </w:p>
              </w:tc>
            </w:tr>
          </w:tbl>
          <w:p>
            <w:pPr>
              <w:pStyle w:val="7"/>
              <w:ind w:firstLine="480"/>
              <w:rPr>
                <w:color w:val="auto"/>
              </w:rPr>
            </w:pPr>
            <w:r>
              <w:rPr>
                <w:rFonts w:hint="eastAsia"/>
                <w:color w:val="auto"/>
              </w:rPr>
              <w:t>根据</w:t>
            </w:r>
            <w:r>
              <w:rPr>
                <w:color w:val="auto"/>
              </w:rPr>
              <w:t>q/Q</w:t>
            </w:r>
            <w:r>
              <w:rPr>
                <w:rFonts w:hint="eastAsia"/>
                <w:color w:val="auto"/>
              </w:rPr>
              <w:t>=</w:t>
            </w:r>
            <w:r>
              <w:rPr>
                <w:rFonts w:hint="default" w:eastAsia="宋体"/>
                <w:color w:val="auto"/>
                <w:lang w:val="en-US" w:eastAsia="zh-CN"/>
              </w:rPr>
              <w:t>0.00061</w:t>
            </w:r>
            <w:r>
              <w:rPr>
                <w:rFonts w:hint="eastAsia"/>
                <w:color w:val="auto"/>
              </w:rPr>
              <w:t>可知，项目环境风险为一般环境风险等级。</w:t>
            </w:r>
          </w:p>
          <w:p>
            <w:pPr>
              <w:pStyle w:val="7"/>
              <w:ind w:firstLine="480"/>
              <w:rPr>
                <w:color w:val="auto"/>
                <w:u w:val="single"/>
              </w:rPr>
            </w:pPr>
            <w:r>
              <w:rPr>
                <w:rFonts w:hint="eastAsia"/>
                <w:b/>
                <w:bCs/>
                <w:color w:val="auto"/>
                <w:u w:val="single"/>
                <w:lang w:val="en-US" w:eastAsia="zh-CN"/>
              </w:rPr>
              <w:t>7.2</w:t>
            </w:r>
            <w:r>
              <w:rPr>
                <w:rFonts w:hint="eastAsia"/>
                <w:b/>
                <w:bCs/>
                <w:color w:val="auto"/>
                <w:u w:val="single"/>
              </w:rPr>
              <w:t>环境风险防范措施</w:t>
            </w:r>
          </w:p>
          <w:p>
            <w:pPr>
              <w:pStyle w:val="7"/>
              <w:ind w:firstLine="480"/>
              <w:rPr>
                <w:rFonts w:hint="eastAsia" w:ascii="Times New Roman" w:hAnsi="Times New Roman" w:eastAsia="宋体" w:cs="Times New Roman"/>
                <w:color w:val="auto"/>
                <w:u w:val="single"/>
                <w:lang w:val="en-US" w:eastAsia="zh-CN"/>
              </w:rPr>
            </w:pPr>
            <w:r>
              <w:rPr>
                <w:rFonts w:hint="eastAsia" w:cs="Times New Roman"/>
                <w:color w:val="auto"/>
                <w:u w:val="single"/>
                <w:lang w:val="en-US" w:eastAsia="zh-CN"/>
              </w:rPr>
              <w:t>（1）</w:t>
            </w:r>
            <w:r>
              <w:rPr>
                <w:rFonts w:hint="eastAsia" w:ascii="Times New Roman" w:hAnsi="Times New Roman" w:eastAsia="宋体" w:cs="Times New Roman"/>
                <w:color w:val="auto"/>
                <w:u w:val="single"/>
                <w:lang w:val="en-US" w:eastAsia="zh-CN"/>
              </w:rPr>
              <w:t>医疗废物在收集、贮存、运送过程中的存在的风险</w:t>
            </w:r>
          </w:p>
          <w:p>
            <w:pPr>
              <w:pStyle w:val="7"/>
              <w:ind w:firstLine="480"/>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eastAsia="zh-CN"/>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w:t>
            </w:r>
          </w:p>
          <w:p>
            <w:pPr>
              <w:pStyle w:val="7"/>
              <w:ind w:firstLine="480"/>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val="en-US" w:eastAsia="zh-CN"/>
              </w:rPr>
              <w:t>1</w:t>
            </w:r>
            <w:r>
              <w:rPr>
                <w:rFonts w:hint="eastAsia" w:ascii="Times New Roman" w:hAnsi="Times New Roman" w:eastAsia="宋体" w:cs="Times New Roman"/>
                <w:color w:val="auto"/>
                <w:u w:val="single"/>
                <w:lang w:eastAsia="zh-CN"/>
              </w:rPr>
              <w:t>）医疗废物在收集、贮存、运送过程中防范措施</w:t>
            </w:r>
          </w:p>
          <w:p>
            <w:pPr>
              <w:pStyle w:val="7"/>
              <w:ind w:firstLine="480"/>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lang w:eastAsia="zh-CN"/>
              </w:rPr>
              <w:t>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医疗废物</w:t>
            </w:r>
            <w:r>
              <w:rPr>
                <w:rFonts w:hint="eastAsia" w:ascii="Times New Roman" w:hAnsi="Times New Roman" w:eastAsia="宋体" w:cs="Times New Roman"/>
                <w:color w:val="auto"/>
                <w:u w:val="single"/>
              </w:rPr>
              <w:t>装卸运输应执行《汽车危险货物运输装卸作业规程》（JT/T31145-1991），《汽车危险货物运输规则》（JT3130-1988），《机动车辆安全规范》（GB10827-1989）等有关要求。</w:t>
            </w:r>
          </w:p>
          <w:p>
            <w:pPr>
              <w:pStyle w:val="7"/>
              <w:ind w:firstLine="480"/>
              <w:rPr>
                <w:color w:val="auto"/>
                <w:u w:val="single"/>
              </w:rPr>
            </w:pPr>
            <w:r>
              <w:rPr>
                <w:rFonts w:hint="eastAsia"/>
                <w:color w:val="auto"/>
                <w:u w:val="single"/>
              </w:rPr>
              <w:t>2）医院运营过程防范措施</w:t>
            </w:r>
          </w:p>
          <w:p>
            <w:pPr>
              <w:pStyle w:val="7"/>
              <w:ind w:firstLine="480"/>
              <w:rPr>
                <w:color w:val="auto"/>
                <w:u w:val="single"/>
              </w:rPr>
            </w:pPr>
            <w:r>
              <w:rPr>
                <w:rFonts w:hint="eastAsia"/>
                <w:color w:val="auto"/>
                <w:u w:val="single"/>
              </w:rPr>
              <w:t>①加强职工的安全教育，提高安全防范风险的意识。</w:t>
            </w:r>
          </w:p>
          <w:p>
            <w:pPr>
              <w:pStyle w:val="7"/>
              <w:ind w:firstLine="480"/>
              <w:rPr>
                <w:color w:val="auto"/>
                <w:u w:val="single"/>
              </w:rPr>
            </w:pPr>
            <w:r>
              <w:rPr>
                <w:rFonts w:hint="eastAsia"/>
                <w:color w:val="auto"/>
                <w:u w:val="single"/>
              </w:rPr>
              <w:t>②医院雨水排口应设置雨水阀门，一旦发生火灾，消防废水进入雨水沟渠，应当及时关闭雨水阀门，利用应急泵将消防废水抽至污水管网，进入</w:t>
            </w:r>
            <w:r>
              <w:rPr>
                <w:rFonts w:hint="eastAsia"/>
                <w:color w:val="auto"/>
                <w:u w:val="single"/>
                <w:lang w:eastAsia="zh-CN"/>
              </w:rPr>
              <w:t>临湘市污水净化中心</w:t>
            </w:r>
            <w:r>
              <w:rPr>
                <w:rFonts w:hint="eastAsia"/>
                <w:color w:val="auto"/>
                <w:u w:val="single"/>
              </w:rPr>
              <w:t>处理。</w:t>
            </w:r>
          </w:p>
          <w:p>
            <w:pPr>
              <w:pStyle w:val="7"/>
              <w:ind w:firstLine="480"/>
              <w:rPr>
                <w:color w:val="auto"/>
                <w:u w:val="single"/>
              </w:rPr>
            </w:pPr>
            <w:r>
              <w:rPr>
                <w:rFonts w:hint="eastAsia"/>
                <w:color w:val="auto"/>
                <w:u w:val="single"/>
              </w:rPr>
              <w:t>③医院医疗污水处理站排口应该设置污水阀门，一旦污水处理设备发生故障，废水非正常排放，应及时关闭污水阀门，待设备检修完成后，可恢复正常运行。</w:t>
            </w:r>
          </w:p>
          <w:p>
            <w:pPr>
              <w:pStyle w:val="7"/>
              <w:ind w:firstLine="480"/>
              <w:rPr>
                <w:color w:val="auto"/>
                <w:u w:val="single"/>
              </w:rPr>
            </w:pPr>
            <w:r>
              <w:rPr>
                <w:rFonts w:hint="eastAsia"/>
                <w:color w:val="auto"/>
                <w:u w:val="single"/>
              </w:rPr>
              <w:t>3）危险废物贮存过程的风险防范措施</w:t>
            </w:r>
          </w:p>
          <w:p>
            <w:pPr>
              <w:pStyle w:val="7"/>
              <w:ind w:firstLine="480"/>
              <w:rPr>
                <w:color w:val="auto"/>
                <w:u w:val="single"/>
              </w:rPr>
            </w:pPr>
            <w:r>
              <w:rPr>
                <w:rFonts w:hint="eastAsia"/>
                <w:color w:val="auto"/>
                <w:u w:val="single"/>
              </w:rPr>
              <w:t>针对危险废物的特性、数量，按照《危险废物贮存污染控制标准》（GB18597-2023)和《危险废物收集、贮存、运输技术规范》（HJ2025-2012）中要求，做好贮存风险事故防范工作。</w:t>
            </w:r>
          </w:p>
          <w:p>
            <w:pPr>
              <w:pStyle w:val="7"/>
              <w:ind w:firstLine="480"/>
              <w:rPr>
                <w:color w:val="auto"/>
                <w:u w:val="single"/>
              </w:rPr>
            </w:pPr>
            <w:r>
              <w:rPr>
                <w:rFonts w:hint="eastAsia"/>
                <w:color w:val="auto"/>
                <w:u w:val="single"/>
                <w:lang w:val="en-US" w:eastAsia="zh-CN"/>
              </w:rPr>
              <w:t>1、</w:t>
            </w:r>
            <w:r>
              <w:rPr>
                <w:rFonts w:hint="eastAsia"/>
                <w:color w:val="auto"/>
                <w:u w:val="single"/>
              </w:rPr>
              <w:t>危险废物暂存间应配备照明设施和消防设施。</w:t>
            </w:r>
          </w:p>
          <w:p>
            <w:pPr>
              <w:pStyle w:val="7"/>
              <w:ind w:firstLine="480"/>
              <w:rPr>
                <w:color w:val="auto"/>
                <w:u w:val="single"/>
              </w:rPr>
            </w:pPr>
            <w:r>
              <w:rPr>
                <w:rFonts w:hint="eastAsia"/>
                <w:color w:val="auto"/>
                <w:u w:val="single"/>
                <w:lang w:val="en-US" w:eastAsia="zh-CN"/>
              </w:rPr>
              <w:t>2、</w:t>
            </w:r>
            <w:r>
              <w:rPr>
                <w:rFonts w:hint="eastAsia"/>
                <w:color w:val="auto"/>
                <w:u w:val="single"/>
              </w:rPr>
              <w:t>危险废物暂存间基础做防渗处理，防渗层渗透系数不大于1.0</w:t>
            </w:r>
            <w:r>
              <w:rPr>
                <w:rFonts w:hint="eastAsia"/>
                <w:color w:val="auto"/>
                <w:u w:val="single"/>
                <w:lang w:val="en-US" w:eastAsia="zh-CN"/>
              </w:rPr>
              <w:t>*</w:t>
            </w:r>
            <w:r>
              <w:rPr>
                <w:rFonts w:hint="eastAsia"/>
                <w:color w:val="auto"/>
                <w:u w:val="single"/>
              </w:rPr>
              <w:t>10</w:t>
            </w:r>
            <w:r>
              <w:rPr>
                <w:rFonts w:hint="eastAsia"/>
                <w:color w:val="auto"/>
                <w:u w:val="single"/>
                <w:vertAlign w:val="superscript"/>
              </w:rPr>
              <w:t>-7</w:t>
            </w:r>
            <w:r>
              <w:rPr>
                <w:rFonts w:hint="eastAsia"/>
                <w:color w:val="auto"/>
                <w:u w:val="single"/>
              </w:rPr>
              <w:t>cm/s；地面与裙脚使用坚固、防渗材料建造，建筑材料必须与危险废物相容，地面必须为耐腐蚀硬化地面，且表面无裂隙。</w:t>
            </w:r>
          </w:p>
          <w:p>
            <w:pPr>
              <w:pStyle w:val="7"/>
              <w:ind w:firstLine="480"/>
              <w:rPr>
                <w:rFonts w:hint="eastAsia"/>
                <w:color w:val="auto"/>
                <w:u w:val="single"/>
              </w:rPr>
            </w:pPr>
            <w:r>
              <w:rPr>
                <w:rFonts w:hint="eastAsia"/>
                <w:color w:val="auto"/>
                <w:u w:val="single"/>
                <w:lang w:val="en-US" w:eastAsia="zh-CN"/>
              </w:rPr>
              <w:t>3、</w:t>
            </w:r>
            <w:r>
              <w:rPr>
                <w:rFonts w:hint="eastAsia"/>
                <w:color w:val="auto"/>
                <w:u w:val="single"/>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7"/>
              <w:ind w:firstLine="480"/>
              <w:rPr>
                <w:color w:val="auto"/>
                <w:u w:val="single"/>
              </w:rPr>
            </w:pPr>
            <w:r>
              <w:rPr>
                <w:rFonts w:hint="eastAsia"/>
                <w:color w:val="auto"/>
                <w:u w:val="single"/>
                <w:lang w:val="en-US" w:eastAsia="zh-CN"/>
              </w:rPr>
              <w:t>4、</w:t>
            </w:r>
            <w:r>
              <w:rPr>
                <w:rFonts w:hint="eastAsia"/>
                <w:color w:val="auto"/>
                <w:u w:val="single"/>
              </w:rPr>
              <w:t>编制环境风险应急预案。</w:t>
            </w:r>
          </w:p>
          <w:p>
            <w:pPr>
              <w:adjustRightInd w:val="0"/>
              <w:snapToGrid w:val="0"/>
              <w:ind w:firstLine="482"/>
              <w:rPr>
                <w:color w:val="auto"/>
                <w:szCs w:val="21"/>
                <w:u w:val="single"/>
              </w:rPr>
            </w:pPr>
            <w:r>
              <w:rPr>
                <w:rFonts w:hint="eastAsia"/>
                <w:b w:val="0"/>
                <w:bCs w:val="0"/>
                <w:color w:val="auto"/>
                <w:szCs w:val="21"/>
                <w:u w:val="single"/>
              </w:rPr>
              <w:t>（</w:t>
            </w:r>
            <w:r>
              <w:rPr>
                <w:rFonts w:hint="eastAsia"/>
                <w:b w:val="0"/>
                <w:bCs w:val="0"/>
                <w:color w:val="auto"/>
                <w:szCs w:val="21"/>
                <w:u w:val="single"/>
                <w:lang w:val="en-US" w:eastAsia="zh-CN"/>
              </w:rPr>
              <w:t>2</w:t>
            </w:r>
            <w:r>
              <w:rPr>
                <w:rFonts w:hint="eastAsia"/>
                <w:b w:val="0"/>
                <w:bCs w:val="0"/>
                <w:color w:val="auto"/>
                <w:szCs w:val="21"/>
                <w:u w:val="single"/>
              </w:rPr>
              <w:t>）</w:t>
            </w:r>
            <w:r>
              <w:rPr>
                <w:b w:val="0"/>
                <w:bCs w:val="0"/>
                <w:color w:val="auto"/>
                <w:szCs w:val="21"/>
                <w:u w:val="single"/>
              </w:rPr>
              <w:t>废水处理站应急处置措施</w:t>
            </w:r>
          </w:p>
          <w:p>
            <w:pPr>
              <w:adjustRightInd w:val="0"/>
              <w:snapToGrid w:val="0"/>
              <w:ind w:firstLine="482"/>
              <w:rPr>
                <w:color w:val="auto"/>
                <w:szCs w:val="21"/>
                <w:u w:val="single"/>
              </w:rPr>
            </w:pPr>
            <w:r>
              <w:rPr>
                <w:color w:val="auto"/>
                <w:szCs w:val="21"/>
                <w:u w:val="single"/>
              </w:rPr>
              <w:t>当项目废水由于某些不确定因素（如污水站设备故障、人为操作失当或过失等原因）而导致项目废水未能达到预期处理效果，对</w:t>
            </w:r>
            <w:r>
              <w:rPr>
                <w:rFonts w:hint="eastAsia"/>
                <w:color w:val="auto"/>
                <w:szCs w:val="21"/>
                <w:u w:val="single"/>
                <w:lang w:eastAsia="zh-CN"/>
              </w:rPr>
              <w:t>临湘市污水净化中心</w:t>
            </w:r>
            <w:r>
              <w:rPr>
                <w:color w:val="auto"/>
                <w:szCs w:val="21"/>
                <w:u w:val="single"/>
              </w:rPr>
              <w:t>造成处理负荷。</w:t>
            </w:r>
          </w:p>
          <w:p>
            <w:pPr>
              <w:adjustRightInd w:val="0"/>
              <w:snapToGrid w:val="0"/>
              <w:ind w:firstLine="482"/>
              <w:rPr>
                <w:color w:val="auto"/>
                <w:szCs w:val="21"/>
                <w:u w:val="single"/>
              </w:rPr>
            </w:pPr>
            <w:r>
              <w:rPr>
                <w:color w:val="auto"/>
                <w:szCs w:val="21"/>
                <w:u w:val="single"/>
              </w:rPr>
              <w:t>根据《医院污水处理技术指南》（环发[2003]197号）的指导精神，为提高医院污水处理设施对突发性公共卫生事件的防范能力，本评价建议采用以下措施：</w:t>
            </w:r>
          </w:p>
          <w:p>
            <w:pPr>
              <w:adjustRightInd w:val="0"/>
              <w:snapToGrid w:val="0"/>
              <w:ind w:firstLine="482"/>
              <w:rPr>
                <w:color w:val="auto"/>
                <w:szCs w:val="21"/>
                <w:u w:val="single"/>
              </w:rPr>
            </w:pPr>
            <w:r>
              <w:rPr>
                <w:color w:val="auto"/>
                <w:szCs w:val="21"/>
                <w:u w:val="single"/>
              </w:rPr>
              <w:t>①风机、泵、污泥阀等主要关键设备应有备用，污水处理供电系统应实行双回路控制，确保污水处理站的运行率；②加强污水站设备的日常维护，完善污水站各项规章制度；③制定完备的日常监测方案，并严格落实监测工作，保证第一时间内风险事故的发现和风险态势的掌握；④确保污水站操作人员具有相应的职业技能资格，同时加强其业务水平和责任感；⑤保证污水站营运经费的及时到位。</w:t>
            </w:r>
          </w:p>
          <w:p>
            <w:pPr>
              <w:adjustRightInd w:val="0"/>
              <w:snapToGrid w:val="0"/>
              <w:ind w:firstLine="482"/>
              <w:rPr>
                <w:color w:val="auto"/>
                <w:szCs w:val="21"/>
              </w:rPr>
            </w:pPr>
            <w:r>
              <w:rPr>
                <w:color w:val="auto"/>
                <w:szCs w:val="21"/>
                <w:u w:val="single"/>
              </w:rPr>
              <w:t>只要上述措施落实到位，医院污水的污染事故是可以控制在较低水平之内的，这一类的风险事故发生概率极低。评价认为项目污水环境风险发生概率是可以控制在可接受水平之内的</w:t>
            </w:r>
            <w:r>
              <w:rPr>
                <w:rFonts w:hint="eastAsia"/>
                <w:color w:val="auto"/>
                <w:szCs w:val="21"/>
                <w:u w:val="single"/>
              </w:rPr>
              <w:t>。</w:t>
            </w:r>
          </w:p>
          <w:p>
            <w:pPr>
              <w:adjustRightInd w:val="0"/>
              <w:snapToGrid w:val="0"/>
              <w:ind w:firstLine="482"/>
              <w:rPr>
                <w:color w:val="auto"/>
                <w:kern w:val="0"/>
                <w:u w:val="none"/>
              </w:rPr>
            </w:pPr>
            <w:r>
              <w:rPr>
                <w:rFonts w:hint="eastAsia"/>
                <w:color w:val="auto"/>
                <w:kern w:val="0"/>
                <w:u w:val="single"/>
              </w:rPr>
              <w:t>（</w:t>
            </w:r>
            <w:r>
              <w:rPr>
                <w:rFonts w:hint="eastAsia"/>
                <w:color w:val="auto"/>
                <w:kern w:val="0"/>
                <w:u w:val="single"/>
                <w:lang w:val="en-US" w:eastAsia="zh-CN"/>
              </w:rPr>
              <w:t>3</w:t>
            </w:r>
            <w:r>
              <w:rPr>
                <w:rFonts w:hint="eastAsia"/>
                <w:color w:val="auto"/>
                <w:kern w:val="0"/>
                <w:u w:val="single"/>
              </w:rPr>
              <w:t>）</w:t>
            </w:r>
            <w:r>
              <w:rPr>
                <w:color w:val="auto"/>
                <w:kern w:val="0"/>
                <w:u w:val="single"/>
              </w:rPr>
              <w:t>火灾引发突发环境事件消防废水收集、暂存、处理、排放</w:t>
            </w:r>
            <w:r>
              <w:rPr>
                <w:rFonts w:hint="eastAsia"/>
                <w:color w:val="auto"/>
                <w:kern w:val="0"/>
                <w:u w:val="single"/>
              </w:rPr>
              <w:t>应急</w:t>
            </w:r>
            <w:r>
              <w:rPr>
                <w:color w:val="auto"/>
                <w:kern w:val="0"/>
                <w:u w:val="single"/>
              </w:rPr>
              <w:t>措施</w:t>
            </w:r>
          </w:p>
          <w:p>
            <w:pPr>
              <w:adjustRightInd w:val="0"/>
              <w:snapToGrid w:val="0"/>
              <w:ind w:firstLine="482"/>
              <w:rPr>
                <w:color w:val="auto"/>
                <w:szCs w:val="21"/>
                <w:u w:val="single"/>
              </w:rPr>
            </w:pPr>
            <w:r>
              <w:rPr>
                <w:rFonts w:hint="eastAsia"/>
                <w:color w:val="auto"/>
                <w:szCs w:val="21"/>
                <w:u w:val="single"/>
              </w:rPr>
              <w:t>①</w:t>
            </w:r>
            <w:r>
              <w:rPr>
                <w:color w:val="auto"/>
                <w:szCs w:val="21"/>
                <w:u w:val="single"/>
              </w:rPr>
              <w:t>对于漫流入雨水管线的消防水，在确保雨水排放口封堵的情况下，将消防废水导入厂区污水管网进入</w:t>
            </w:r>
            <w:r>
              <w:rPr>
                <w:rFonts w:hint="eastAsia"/>
                <w:color w:val="auto"/>
                <w:szCs w:val="21"/>
                <w:u w:val="single"/>
              </w:rPr>
              <w:t>污水处理站预处理后进入</w:t>
            </w:r>
            <w:r>
              <w:rPr>
                <w:rFonts w:hint="eastAsia"/>
                <w:color w:val="auto"/>
                <w:szCs w:val="21"/>
                <w:highlight w:val="none"/>
                <w:u w:val="single"/>
                <w:lang w:val="en-US" w:eastAsia="zh-CN"/>
              </w:rPr>
              <w:t>临湘市污水净化中心</w:t>
            </w:r>
            <w:r>
              <w:rPr>
                <w:color w:val="auto"/>
                <w:szCs w:val="21"/>
                <w:u w:val="single"/>
              </w:rPr>
              <w:t>进行处理；</w:t>
            </w:r>
          </w:p>
          <w:p>
            <w:pPr>
              <w:adjustRightInd w:val="0"/>
              <w:snapToGrid w:val="0"/>
              <w:ind w:firstLine="482"/>
              <w:rPr>
                <w:color w:val="auto"/>
                <w:szCs w:val="21"/>
                <w:u w:val="single"/>
              </w:rPr>
            </w:pPr>
            <w:r>
              <w:rPr>
                <w:color w:val="auto"/>
                <w:szCs w:val="21"/>
                <w:u w:val="single"/>
              </w:rPr>
              <w:t>②灭火结束后，注意保护好现场，积极配合有关部门的调查处理工作，并做好伤亡人员的后勤保障。调查处理完毕后，经有关部门同意，立即组织人员进行现场清理，尽快恢复</w:t>
            </w:r>
            <w:r>
              <w:rPr>
                <w:rFonts w:hint="eastAsia"/>
                <w:color w:val="auto"/>
                <w:szCs w:val="21"/>
                <w:u w:val="single"/>
                <w:lang w:val="en-US" w:eastAsia="zh-CN"/>
              </w:rPr>
              <w:t>运营</w:t>
            </w:r>
            <w:r>
              <w:rPr>
                <w:color w:val="auto"/>
                <w:szCs w:val="21"/>
                <w:u w:val="single"/>
              </w:rPr>
              <w:t>。</w:t>
            </w:r>
          </w:p>
          <w:p>
            <w:pPr>
              <w:adjustRightInd w:val="0"/>
              <w:snapToGrid w:val="0"/>
              <w:ind w:firstLine="482"/>
              <w:rPr>
                <w:color w:val="auto"/>
                <w:szCs w:val="21"/>
                <w:u w:val="none"/>
              </w:rPr>
            </w:pPr>
            <w:r>
              <w:rPr>
                <w:rFonts w:hint="eastAsia"/>
                <w:color w:val="auto"/>
                <w:szCs w:val="21"/>
                <w:u w:val="single"/>
                <w:lang w:val="en-US" w:eastAsia="zh-CN"/>
              </w:rPr>
              <w:t>综上所述，</w:t>
            </w:r>
            <w:r>
              <w:rPr>
                <w:rFonts w:hint="eastAsia"/>
                <w:color w:val="auto"/>
                <w:szCs w:val="21"/>
                <w:u w:val="single"/>
              </w:rPr>
              <w:t>项目环境风险较低，在建设单位落实好各项的风险防范措施的要求后，风险事故发生的几率及风险发生时的环境影响均能得到有效控制。</w:t>
            </w:r>
          </w:p>
          <w:p>
            <w:pPr>
              <w:pStyle w:val="7"/>
              <w:numPr>
                <w:ilvl w:val="0"/>
                <w:numId w:val="8"/>
              </w:numPr>
              <w:ind w:firstLine="480"/>
              <w:rPr>
                <w:color w:val="auto"/>
              </w:rPr>
            </w:pPr>
            <w:r>
              <w:rPr>
                <w:color w:val="auto"/>
              </w:rPr>
              <w:t>电磁辐射</w:t>
            </w:r>
          </w:p>
          <w:p>
            <w:pPr>
              <w:pStyle w:val="7"/>
              <w:ind w:firstLine="480"/>
              <w:rPr>
                <w:rFonts w:ascii="宋体" w:hAnsi="宋体" w:cs="宋体"/>
                <w:bCs/>
                <w:color w:val="FF0000"/>
                <w:spacing w:val="-10"/>
                <w:szCs w:val="21"/>
              </w:rPr>
            </w:pPr>
            <w:r>
              <w:rPr>
                <w:rFonts w:hint="eastAsia"/>
                <w:color w:val="auto"/>
              </w:rPr>
              <w:t>医院建设有放射科，配置有</w:t>
            </w:r>
            <w:r>
              <w:rPr>
                <w:rFonts w:hint="eastAsia"/>
                <w:color w:val="auto"/>
                <w:lang w:val="en-US" w:eastAsia="zh-CN"/>
              </w:rPr>
              <w:t>DR</w:t>
            </w:r>
            <w:r>
              <w:rPr>
                <w:rFonts w:hint="eastAsia"/>
                <w:color w:val="auto"/>
              </w:rPr>
              <w:t>机等设备。医院</w:t>
            </w:r>
            <w:r>
              <w:rPr>
                <w:rFonts w:hint="eastAsia"/>
                <w:color w:val="auto"/>
                <w:lang w:val="en-US" w:eastAsia="zh-CN"/>
              </w:rPr>
              <w:t>已</w:t>
            </w:r>
            <w:r>
              <w:rPr>
                <w:rFonts w:hint="eastAsia"/>
                <w:color w:val="auto"/>
              </w:rPr>
              <w:t>办理相关许可证。本环评不对辐射相关内容进行评价。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69" w:type="dxa"/>
            <w:noWrap/>
            <w:tcMar>
              <w:left w:w="28" w:type="dxa"/>
              <w:right w:w="28" w:type="dxa"/>
            </w:tcMar>
            <w:vAlign w:val="center"/>
          </w:tcPr>
          <w:p>
            <w:pPr>
              <w:pStyle w:val="7"/>
              <w:ind w:firstLine="0" w:firstLineChars="0"/>
              <w:rPr>
                <w:color w:val="auto"/>
              </w:rPr>
            </w:pPr>
            <w:r>
              <w:rPr>
                <w:color w:val="auto"/>
              </w:rPr>
              <w:t>环保投资</w:t>
            </w:r>
          </w:p>
          <w:p>
            <w:pPr>
              <w:adjustRightInd w:val="0"/>
              <w:snapToGrid w:val="0"/>
              <w:jc w:val="center"/>
              <w:rPr>
                <w:rFonts w:ascii="宋体" w:hAnsi="宋体" w:cs="宋体"/>
                <w:bCs/>
                <w:color w:val="FF0000"/>
              </w:rPr>
            </w:pPr>
          </w:p>
        </w:tc>
        <w:tc>
          <w:tcPr>
            <w:tcW w:w="7974" w:type="dxa"/>
            <w:noWrap/>
          </w:tcPr>
          <w:p>
            <w:pPr>
              <w:ind w:firstLine="480" w:firstLineChars="200"/>
              <w:jc w:val="both"/>
              <w:rPr>
                <w:snapToGrid w:val="0"/>
                <w:color w:val="auto"/>
                <w:kern w:val="0"/>
                <w:u w:val="none"/>
              </w:rPr>
            </w:pPr>
            <w:r>
              <w:rPr>
                <w:color w:val="auto"/>
                <w:u w:val="none"/>
              </w:rPr>
              <w:t>本工程总投资</w:t>
            </w:r>
            <w:r>
              <w:rPr>
                <w:rFonts w:hint="eastAsia"/>
                <w:color w:val="auto"/>
                <w:u w:val="none"/>
                <w:lang w:val="en-US" w:eastAsia="zh-CN"/>
              </w:rPr>
              <w:t>452</w:t>
            </w:r>
            <w:r>
              <w:rPr>
                <w:rFonts w:hint="eastAsia"/>
                <w:color w:val="auto"/>
                <w:u w:val="none"/>
              </w:rPr>
              <w:t>万元</w:t>
            </w:r>
            <w:r>
              <w:rPr>
                <w:color w:val="auto"/>
                <w:u w:val="none"/>
              </w:rPr>
              <w:t>，</w:t>
            </w:r>
            <w:r>
              <w:rPr>
                <w:rFonts w:hint="eastAsia"/>
                <w:color w:val="auto"/>
                <w:u w:val="none"/>
              </w:rPr>
              <w:t>项目</w:t>
            </w:r>
            <w:r>
              <w:rPr>
                <w:color w:val="auto"/>
                <w:u w:val="none"/>
              </w:rPr>
              <w:t>环保</w:t>
            </w:r>
            <w:r>
              <w:rPr>
                <w:rFonts w:hint="eastAsia"/>
                <w:color w:val="auto"/>
                <w:u w:val="none"/>
              </w:rPr>
              <w:t>总</w:t>
            </w:r>
            <w:r>
              <w:rPr>
                <w:color w:val="auto"/>
                <w:u w:val="none"/>
              </w:rPr>
              <w:t>投资</w:t>
            </w:r>
            <w:r>
              <w:rPr>
                <w:rFonts w:hint="eastAsia"/>
                <w:color w:val="auto"/>
                <w:u w:val="none"/>
              </w:rPr>
              <w:t>2</w:t>
            </w:r>
            <w:r>
              <w:rPr>
                <w:rFonts w:hint="eastAsia"/>
                <w:color w:val="auto"/>
                <w:u w:val="none"/>
                <w:lang w:val="en-US" w:eastAsia="zh-CN"/>
              </w:rPr>
              <w:t>2</w:t>
            </w:r>
            <w:r>
              <w:rPr>
                <w:rFonts w:hint="eastAsia"/>
                <w:color w:val="auto"/>
                <w:u w:val="none"/>
              </w:rPr>
              <w:t>万元</w:t>
            </w:r>
            <w:r>
              <w:rPr>
                <w:color w:val="auto"/>
                <w:u w:val="none"/>
              </w:rPr>
              <w:t>，占总投资的</w:t>
            </w:r>
            <w:r>
              <w:rPr>
                <w:rFonts w:hint="eastAsia"/>
                <w:color w:val="auto"/>
                <w:u w:val="none"/>
                <w:lang w:val="en-US" w:eastAsia="zh-CN"/>
              </w:rPr>
              <w:t>4.87</w:t>
            </w:r>
            <w:r>
              <w:rPr>
                <w:rFonts w:hint="eastAsia"/>
                <w:color w:val="auto"/>
                <w:u w:val="none"/>
              </w:rPr>
              <w:t>%</w:t>
            </w:r>
            <w:r>
              <w:rPr>
                <w:color w:val="auto"/>
                <w:u w:val="none"/>
              </w:rPr>
              <w:t>，</w:t>
            </w:r>
            <w:r>
              <w:rPr>
                <w:snapToGrid w:val="0"/>
                <w:color w:val="auto"/>
                <w:kern w:val="0"/>
                <w:u w:val="none"/>
              </w:rPr>
              <w:t>项目环保投资情况，见</w:t>
            </w:r>
            <w:r>
              <w:rPr>
                <w:rFonts w:hint="eastAsia"/>
                <w:snapToGrid w:val="0"/>
                <w:color w:val="auto"/>
                <w:kern w:val="0"/>
                <w:u w:val="none"/>
              </w:rPr>
              <w:t>下</w:t>
            </w:r>
            <w:r>
              <w:rPr>
                <w:snapToGrid w:val="0"/>
                <w:color w:val="auto"/>
                <w:kern w:val="0"/>
                <w:u w:val="none"/>
              </w:rPr>
              <w:t>表。</w:t>
            </w:r>
          </w:p>
          <w:p>
            <w:pPr>
              <w:pStyle w:val="46"/>
              <w:rPr>
                <w:color w:val="auto"/>
                <w:u w:val="none"/>
              </w:rPr>
            </w:pPr>
            <w:r>
              <w:rPr>
                <w:color w:val="auto"/>
                <w:u w:val="none"/>
              </w:rPr>
              <w:t>表</w:t>
            </w:r>
            <w:r>
              <w:rPr>
                <w:rFonts w:hint="eastAsia"/>
                <w:color w:val="auto"/>
                <w:u w:val="none"/>
              </w:rPr>
              <w:t xml:space="preserve">4.3-1  </w:t>
            </w:r>
            <w:r>
              <w:rPr>
                <w:color w:val="auto"/>
                <w:u w:val="none"/>
              </w:rPr>
              <w:t>项目环保投资情况一览表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4"/>
              <w:gridCol w:w="1262"/>
              <w:gridCol w:w="2575"/>
              <w:gridCol w:w="611"/>
              <w:gridCol w:w="1197"/>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84" w:type="pct"/>
                  <w:vAlign w:val="center"/>
                </w:tcPr>
                <w:p>
                  <w:pPr>
                    <w:pStyle w:val="45"/>
                    <w:rPr>
                      <w:color w:val="auto"/>
                      <w:u w:val="none"/>
                    </w:rPr>
                  </w:pPr>
                  <w:r>
                    <w:rPr>
                      <w:color w:val="auto"/>
                      <w:u w:val="none"/>
                    </w:rPr>
                    <w:t>项目</w:t>
                  </w:r>
                </w:p>
              </w:tc>
              <w:tc>
                <w:tcPr>
                  <w:tcW w:w="815" w:type="pct"/>
                  <w:vAlign w:val="center"/>
                </w:tcPr>
                <w:p>
                  <w:pPr>
                    <w:pStyle w:val="45"/>
                    <w:rPr>
                      <w:color w:val="auto"/>
                      <w:u w:val="none"/>
                    </w:rPr>
                  </w:pPr>
                  <w:r>
                    <w:rPr>
                      <w:color w:val="auto"/>
                      <w:u w:val="none"/>
                    </w:rPr>
                    <w:t>污染源</w:t>
                  </w:r>
                </w:p>
              </w:tc>
              <w:tc>
                <w:tcPr>
                  <w:tcW w:w="1662" w:type="pct"/>
                  <w:vAlign w:val="center"/>
                </w:tcPr>
                <w:p>
                  <w:pPr>
                    <w:pStyle w:val="45"/>
                    <w:rPr>
                      <w:color w:val="auto"/>
                      <w:u w:val="none"/>
                    </w:rPr>
                  </w:pPr>
                  <w:r>
                    <w:rPr>
                      <w:color w:val="auto"/>
                      <w:u w:val="none"/>
                    </w:rPr>
                    <w:t>环保措施</w:t>
                  </w:r>
                </w:p>
              </w:tc>
              <w:tc>
                <w:tcPr>
                  <w:tcW w:w="392" w:type="pct"/>
                  <w:vAlign w:val="center"/>
                </w:tcPr>
                <w:p>
                  <w:pPr>
                    <w:pStyle w:val="45"/>
                    <w:rPr>
                      <w:color w:val="auto"/>
                      <w:u w:val="none"/>
                    </w:rPr>
                  </w:pPr>
                  <w:r>
                    <w:rPr>
                      <w:color w:val="auto"/>
                      <w:u w:val="none"/>
                    </w:rPr>
                    <w:t>规模</w:t>
                  </w:r>
                </w:p>
              </w:tc>
              <w:tc>
                <w:tcPr>
                  <w:tcW w:w="772" w:type="pct"/>
                  <w:vAlign w:val="center"/>
                </w:tcPr>
                <w:p>
                  <w:pPr>
                    <w:pStyle w:val="45"/>
                    <w:rPr>
                      <w:color w:val="auto"/>
                      <w:u w:val="none"/>
                    </w:rPr>
                  </w:pPr>
                  <w:r>
                    <w:rPr>
                      <w:color w:val="auto"/>
                      <w:u w:val="none"/>
                    </w:rPr>
                    <w:t>投资(万元)</w:t>
                  </w:r>
                </w:p>
              </w:tc>
              <w:tc>
                <w:tcPr>
                  <w:tcW w:w="772" w:type="pct"/>
                  <w:vAlign w:val="center"/>
                </w:tcPr>
                <w:p>
                  <w:pPr>
                    <w:pStyle w:val="45"/>
                    <w:rPr>
                      <w:rFonts w:hint="eastAsia" w:eastAsia="宋体"/>
                      <w:color w:val="auto"/>
                      <w:u w:val="none"/>
                      <w:lang w:val="en-US" w:eastAsia="zh-CN"/>
                    </w:rPr>
                  </w:pPr>
                  <w:r>
                    <w:rPr>
                      <w:rFonts w:hint="eastAsia"/>
                      <w:color w:val="auto"/>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584" w:type="pct"/>
                  <w:vMerge w:val="restart"/>
                  <w:vAlign w:val="center"/>
                </w:tcPr>
                <w:p>
                  <w:pPr>
                    <w:pStyle w:val="45"/>
                    <w:rPr>
                      <w:color w:val="auto"/>
                      <w:u w:val="none"/>
                    </w:rPr>
                  </w:pPr>
                  <w:r>
                    <w:rPr>
                      <w:color w:val="auto"/>
                      <w:u w:val="none"/>
                    </w:rPr>
                    <w:t>废水治理</w:t>
                  </w:r>
                </w:p>
              </w:tc>
              <w:tc>
                <w:tcPr>
                  <w:tcW w:w="815" w:type="pct"/>
                  <w:vMerge w:val="restart"/>
                  <w:vAlign w:val="center"/>
                </w:tcPr>
                <w:p>
                  <w:pPr>
                    <w:pStyle w:val="45"/>
                    <w:rPr>
                      <w:color w:val="auto"/>
                      <w:u w:val="none"/>
                    </w:rPr>
                  </w:pPr>
                  <w:r>
                    <w:rPr>
                      <w:rFonts w:hint="eastAsia"/>
                      <w:color w:val="auto"/>
                      <w:u w:val="none"/>
                    </w:rPr>
                    <w:t>废水</w:t>
                  </w:r>
                </w:p>
              </w:tc>
              <w:tc>
                <w:tcPr>
                  <w:tcW w:w="1662" w:type="pct"/>
                  <w:vAlign w:val="center"/>
                </w:tcPr>
                <w:p>
                  <w:pPr>
                    <w:pStyle w:val="45"/>
                    <w:rPr>
                      <w:color w:val="auto"/>
                      <w:u w:val="none"/>
                    </w:rPr>
                  </w:pPr>
                  <w:r>
                    <w:rPr>
                      <w:color w:val="auto"/>
                      <w:u w:val="none"/>
                    </w:rPr>
                    <w:t>化粪池</w:t>
                  </w:r>
                </w:p>
              </w:tc>
              <w:tc>
                <w:tcPr>
                  <w:tcW w:w="392" w:type="pct"/>
                  <w:vAlign w:val="center"/>
                </w:tcPr>
                <w:p>
                  <w:pPr>
                    <w:pStyle w:val="45"/>
                    <w:rPr>
                      <w:color w:val="auto"/>
                      <w:u w:val="none"/>
                    </w:rPr>
                  </w:pPr>
                  <w:r>
                    <w:rPr>
                      <w:rFonts w:hint="eastAsia"/>
                      <w:color w:val="auto"/>
                      <w:u w:val="none"/>
                    </w:rPr>
                    <w:t>1个</w:t>
                  </w:r>
                </w:p>
              </w:tc>
              <w:tc>
                <w:tcPr>
                  <w:tcW w:w="772" w:type="pct"/>
                  <w:vAlign w:val="center"/>
                </w:tcPr>
                <w:p>
                  <w:pPr>
                    <w:pStyle w:val="45"/>
                    <w:rPr>
                      <w:color w:val="auto"/>
                      <w:u w:val="none"/>
                    </w:rPr>
                  </w:pPr>
                  <w:r>
                    <w:rPr>
                      <w:rFonts w:hint="eastAsia"/>
                      <w:color w:val="auto"/>
                      <w:u w:val="none"/>
                    </w:rPr>
                    <w:t>1</w:t>
                  </w:r>
                </w:p>
              </w:tc>
              <w:tc>
                <w:tcPr>
                  <w:tcW w:w="1223" w:type="dxa"/>
                  <w:vAlign w:val="center"/>
                </w:tcPr>
                <w:p>
                  <w:pPr>
                    <w:pStyle w:val="45"/>
                    <w:rPr>
                      <w:rFonts w:hint="eastAsia"/>
                      <w:color w:val="auto"/>
                      <w:u w:val="none"/>
                    </w:rPr>
                  </w:pPr>
                  <w:r>
                    <w:rPr>
                      <w:rFonts w:hint="eastAsia"/>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 w:hRule="atLeast"/>
              </w:trPr>
              <w:tc>
                <w:tcPr>
                  <w:tcW w:w="584" w:type="pct"/>
                  <w:vMerge w:val="continue"/>
                  <w:vAlign w:val="center"/>
                </w:tcPr>
                <w:p>
                  <w:pPr>
                    <w:pStyle w:val="45"/>
                    <w:rPr>
                      <w:color w:val="auto"/>
                      <w:u w:val="none"/>
                    </w:rPr>
                  </w:pPr>
                </w:p>
              </w:tc>
              <w:tc>
                <w:tcPr>
                  <w:tcW w:w="815" w:type="pct"/>
                  <w:vMerge w:val="continue"/>
                  <w:vAlign w:val="center"/>
                </w:tcPr>
                <w:p>
                  <w:pPr>
                    <w:pStyle w:val="45"/>
                    <w:rPr>
                      <w:color w:val="auto"/>
                      <w:u w:val="none"/>
                    </w:rPr>
                  </w:pPr>
                </w:p>
              </w:tc>
              <w:tc>
                <w:tcPr>
                  <w:tcW w:w="1662" w:type="pct"/>
                  <w:vAlign w:val="center"/>
                </w:tcPr>
                <w:p>
                  <w:pPr>
                    <w:pStyle w:val="45"/>
                    <w:rPr>
                      <w:color w:val="auto"/>
                      <w:u w:val="none"/>
                    </w:rPr>
                  </w:pPr>
                  <w:r>
                    <w:rPr>
                      <w:rFonts w:hint="eastAsia"/>
                      <w:color w:val="auto"/>
                      <w:u w:val="none"/>
                    </w:rPr>
                    <w:t>配套污水处理站</w:t>
                  </w:r>
                </w:p>
              </w:tc>
              <w:tc>
                <w:tcPr>
                  <w:tcW w:w="392" w:type="pct"/>
                  <w:vAlign w:val="center"/>
                </w:tcPr>
                <w:p>
                  <w:pPr>
                    <w:pStyle w:val="45"/>
                    <w:rPr>
                      <w:color w:val="auto"/>
                      <w:u w:val="none"/>
                    </w:rPr>
                  </w:pPr>
                  <w:r>
                    <w:rPr>
                      <w:rFonts w:hint="eastAsia"/>
                      <w:color w:val="auto"/>
                      <w:u w:val="none"/>
                    </w:rPr>
                    <w:t>1</w:t>
                  </w:r>
                  <w:r>
                    <w:rPr>
                      <w:color w:val="auto"/>
                      <w:u w:val="none"/>
                    </w:rPr>
                    <w:t>套</w:t>
                  </w:r>
                </w:p>
              </w:tc>
              <w:tc>
                <w:tcPr>
                  <w:tcW w:w="772" w:type="pct"/>
                  <w:vAlign w:val="center"/>
                </w:tcPr>
                <w:p>
                  <w:pPr>
                    <w:pStyle w:val="45"/>
                    <w:rPr>
                      <w:rFonts w:hint="eastAsia" w:eastAsia="宋体"/>
                      <w:color w:val="auto"/>
                      <w:u w:val="none"/>
                      <w:lang w:eastAsia="zh-CN"/>
                    </w:rPr>
                  </w:pPr>
                  <w:r>
                    <w:rPr>
                      <w:rFonts w:hint="eastAsia"/>
                      <w:color w:val="auto"/>
                      <w:u w:val="none"/>
                      <w:lang w:val="en-US" w:eastAsia="zh-CN"/>
                    </w:rPr>
                    <w:t>3</w:t>
                  </w:r>
                </w:p>
              </w:tc>
              <w:tc>
                <w:tcPr>
                  <w:tcW w:w="1223" w:type="dxa"/>
                  <w:vAlign w:val="center"/>
                </w:tcPr>
                <w:p>
                  <w:pPr>
                    <w:pStyle w:val="45"/>
                    <w:rPr>
                      <w:rFonts w:hint="eastAsia"/>
                      <w:color w:val="auto"/>
                      <w:u w:val="none"/>
                      <w:lang w:val="en-US" w:eastAsia="zh-CN"/>
                    </w:rPr>
                  </w:pPr>
                  <w:r>
                    <w:rPr>
                      <w:rFonts w:hint="eastAsia" w:ascii="Times New Roman" w:hAnsi="Times New Roman" w:eastAsia="宋体" w:cs="Times New Roman"/>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pct"/>
                  <w:vAlign w:val="center"/>
                </w:tcPr>
                <w:p>
                  <w:pPr>
                    <w:pStyle w:val="45"/>
                    <w:rPr>
                      <w:color w:val="auto"/>
                      <w:u w:val="none"/>
                    </w:rPr>
                  </w:pPr>
                  <w:r>
                    <w:rPr>
                      <w:color w:val="auto"/>
                      <w:u w:val="none"/>
                    </w:rPr>
                    <w:t>废气治理</w:t>
                  </w:r>
                </w:p>
              </w:tc>
              <w:tc>
                <w:tcPr>
                  <w:tcW w:w="815" w:type="pct"/>
                  <w:vAlign w:val="center"/>
                </w:tcPr>
                <w:p>
                  <w:pPr>
                    <w:pStyle w:val="45"/>
                    <w:rPr>
                      <w:color w:val="auto"/>
                      <w:u w:val="none"/>
                    </w:rPr>
                  </w:pPr>
                  <w:r>
                    <w:rPr>
                      <w:rFonts w:hint="eastAsia"/>
                      <w:color w:val="auto"/>
                      <w:u w:val="none"/>
                    </w:rPr>
                    <w:t>恶臭</w:t>
                  </w:r>
                </w:p>
              </w:tc>
              <w:tc>
                <w:tcPr>
                  <w:tcW w:w="1662" w:type="pct"/>
                  <w:vAlign w:val="center"/>
                </w:tcPr>
                <w:p>
                  <w:pPr>
                    <w:pStyle w:val="45"/>
                    <w:rPr>
                      <w:color w:val="auto"/>
                      <w:u w:val="none"/>
                    </w:rPr>
                  </w:pPr>
                  <w:r>
                    <w:rPr>
                      <w:rFonts w:hint="eastAsia"/>
                      <w:color w:val="auto"/>
                      <w:u w:val="none"/>
                    </w:rPr>
                    <w:t>污水处理站加盖密闭</w:t>
                  </w:r>
                  <w:r>
                    <w:rPr>
                      <w:color w:val="auto"/>
                      <w:u w:val="none"/>
                    </w:rPr>
                    <w:t>+</w:t>
                  </w:r>
                  <w:r>
                    <w:rPr>
                      <w:rFonts w:hint="eastAsia"/>
                      <w:color w:val="auto"/>
                      <w:u w:val="none"/>
                    </w:rPr>
                    <w:t>除臭</w:t>
                  </w:r>
                </w:p>
              </w:tc>
              <w:tc>
                <w:tcPr>
                  <w:tcW w:w="392" w:type="pct"/>
                  <w:vAlign w:val="center"/>
                </w:tcPr>
                <w:p>
                  <w:pPr>
                    <w:pStyle w:val="45"/>
                    <w:rPr>
                      <w:color w:val="auto"/>
                      <w:u w:val="none"/>
                    </w:rPr>
                  </w:pPr>
                  <w:r>
                    <w:rPr>
                      <w:color w:val="auto"/>
                      <w:u w:val="none"/>
                    </w:rPr>
                    <w:t>1套</w:t>
                  </w:r>
                </w:p>
              </w:tc>
              <w:tc>
                <w:tcPr>
                  <w:tcW w:w="772" w:type="pct"/>
                  <w:vAlign w:val="center"/>
                </w:tcPr>
                <w:p>
                  <w:pPr>
                    <w:pStyle w:val="45"/>
                    <w:rPr>
                      <w:rFonts w:hint="eastAsia" w:eastAsia="宋体"/>
                      <w:color w:val="auto"/>
                      <w:u w:val="none"/>
                      <w:lang w:eastAsia="zh-CN"/>
                    </w:rPr>
                  </w:pPr>
                  <w:r>
                    <w:rPr>
                      <w:rFonts w:hint="eastAsia"/>
                      <w:color w:val="auto"/>
                      <w:u w:val="none"/>
                      <w:lang w:val="en-US" w:eastAsia="zh-CN"/>
                    </w:rPr>
                    <w:t>5</w:t>
                  </w:r>
                </w:p>
              </w:tc>
              <w:tc>
                <w:tcPr>
                  <w:tcW w:w="1223" w:type="dxa"/>
                  <w:vAlign w:val="center"/>
                </w:tcPr>
                <w:p>
                  <w:pPr>
                    <w:pStyle w:val="45"/>
                    <w:rPr>
                      <w:rFonts w:hint="eastAsia"/>
                      <w:color w:val="auto"/>
                      <w:u w:val="none"/>
                      <w:lang w:val="en-US" w:eastAsia="zh-CN"/>
                    </w:rPr>
                  </w:pPr>
                  <w:r>
                    <w:rPr>
                      <w:rFonts w:hint="eastAsia" w:ascii="Times New Roman" w:hAnsi="Times New Roman" w:eastAsia="宋体" w:cs="Times New Roman"/>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pct"/>
                  <w:vAlign w:val="center"/>
                </w:tcPr>
                <w:p>
                  <w:pPr>
                    <w:pStyle w:val="45"/>
                    <w:rPr>
                      <w:color w:val="auto"/>
                      <w:u w:val="none"/>
                    </w:rPr>
                  </w:pPr>
                  <w:r>
                    <w:rPr>
                      <w:color w:val="auto"/>
                      <w:u w:val="none"/>
                    </w:rPr>
                    <w:t>噪声治理</w:t>
                  </w:r>
                </w:p>
              </w:tc>
              <w:tc>
                <w:tcPr>
                  <w:tcW w:w="815" w:type="pct"/>
                  <w:vAlign w:val="center"/>
                </w:tcPr>
                <w:p>
                  <w:pPr>
                    <w:pStyle w:val="45"/>
                    <w:rPr>
                      <w:color w:val="auto"/>
                      <w:u w:val="none"/>
                    </w:rPr>
                  </w:pPr>
                  <w:r>
                    <w:rPr>
                      <w:color w:val="auto"/>
                      <w:u w:val="none"/>
                    </w:rPr>
                    <w:t>设备噪声</w:t>
                  </w:r>
                </w:p>
              </w:tc>
              <w:tc>
                <w:tcPr>
                  <w:tcW w:w="2055" w:type="pct"/>
                  <w:gridSpan w:val="2"/>
                  <w:vAlign w:val="center"/>
                </w:tcPr>
                <w:p>
                  <w:pPr>
                    <w:pStyle w:val="45"/>
                    <w:rPr>
                      <w:color w:val="auto"/>
                      <w:u w:val="none"/>
                    </w:rPr>
                  </w:pPr>
                  <w:r>
                    <w:rPr>
                      <w:rFonts w:hint="eastAsia"/>
                      <w:color w:val="auto"/>
                      <w:u w:val="none"/>
                    </w:rPr>
                    <w:t>隔声、减振处理，首选低噪设备，并进行合理放置，严格生产作业管理</w:t>
                  </w:r>
                </w:p>
              </w:tc>
              <w:tc>
                <w:tcPr>
                  <w:tcW w:w="772" w:type="pct"/>
                  <w:vAlign w:val="center"/>
                </w:tcPr>
                <w:p>
                  <w:pPr>
                    <w:pStyle w:val="45"/>
                    <w:rPr>
                      <w:rFonts w:hint="eastAsia" w:eastAsia="宋体"/>
                      <w:color w:val="auto"/>
                      <w:u w:val="none"/>
                      <w:lang w:eastAsia="zh-CN"/>
                    </w:rPr>
                  </w:pPr>
                  <w:r>
                    <w:rPr>
                      <w:rFonts w:hint="eastAsia"/>
                      <w:color w:val="auto"/>
                      <w:u w:val="none"/>
                      <w:lang w:val="en-US" w:eastAsia="zh-CN"/>
                    </w:rPr>
                    <w:t>4</w:t>
                  </w:r>
                </w:p>
              </w:tc>
              <w:tc>
                <w:tcPr>
                  <w:tcW w:w="1223" w:type="dxa"/>
                  <w:vAlign w:val="center"/>
                </w:tcPr>
                <w:p>
                  <w:pPr>
                    <w:pStyle w:val="45"/>
                    <w:rPr>
                      <w:rFonts w:hint="eastAsia"/>
                      <w:color w:val="auto"/>
                      <w:u w:val="none"/>
                      <w:lang w:val="en-US" w:eastAsia="zh-CN"/>
                    </w:rPr>
                  </w:pPr>
                  <w:r>
                    <w:rPr>
                      <w:rFonts w:hint="eastAsia" w:ascii="Times New Roman" w:hAnsi="Times New Roman" w:eastAsia="宋体" w:cs="Times New Roman"/>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pct"/>
                  <w:vMerge w:val="restart"/>
                  <w:vAlign w:val="center"/>
                </w:tcPr>
                <w:p>
                  <w:pPr>
                    <w:pStyle w:val="45"/>
                    <w:rPr>
                      <w:color w:val="auto"/>
                      <w:u w:val="none"/>
                    </w:rPr>
                  </w:pPr>
                  <w:r>
                    <w:rPr>
                      <w:color w:val="auto"/>
                      <w:u w:val="none"/>
                    </w:rPr>
                    <w:t>固废治理</w:t>
                  </w:r>
                </w:p>
              </w:tc>
              <w:tc>
                <w:tcPr>
                  <w:tcW w:w="815" w:type="pct"/>
                  <w:vAlign w:val="center"/>
                </w:tcPr>
                <w:p>
                  <w:pPr>
                    <w:pStyle w:val="45"/>
                    <w:rPr>
                      <w:color w:val="auto"/>
                      <w:u w:val="none"/>
                    </w:rPr>
                  </w:pPr>
                  <w:r>
                    <w:rPr>
                      <w:color w:val="auto"/>
                      <w:u w:val="none"/>
                    </w:rPr>
                    <w:t>生活垃圾</w:t>
                  </w:r>
                </w:p>
              </w:tc>
              <w:tc>
                <w:tcPr>
                  <w:tcW w:w="1662" w:type="pct"/>
                  <w:vAlign w:val="center"/>
                </w:tcPr>
                <w:p>
                  <w:pPr>
                    <w:pStyle w:val="45"/>
                    <w:rPr>
                      <w:color w:val="auto"/>
                      <w:u w:val="none"/>
                    </w:rPr>
                  </w:pPr>
                  <w:r>
                    <w:rPr>
                      <w:color w:val="auto"/>
                      <w:u w:val="none"/>
                    </w:rPr>
                    <w:t>生活垃圾收集箱</w:t>
                  </w:r>
                </w:p>
              </w:tc>
              <w:tc>
                <w:tcPr>
                  <w:tcW w:w="392" w:type="pct"/>
                  <w:vAlign w:val="center"/>
                </w:tcPr>
                <w:p>
                  <w:pPr>
                    <w:pStyle w:val="45"/>
                    <w:rPr>
                      <w:color w:val="auto"/>
                      <w:u w:val="none"/>
                    </w:rPr>
                  </w:pPr>
                  <w:r>
                    <w:rPr>
                      <w:rFonts w:hint="eastAsia"/>
                      <w:color w:val="auto"/>
                      <w:u w:val="none"/>
                    </w:rPr>
                    <w:t>若干</w:t>
                  </w:r>
                </w:p>
              </w:tc>
              <w:tc>
                <w:tcPr>
                  <w:tcW w:w="772" w:type="pct"/>
                  <w:vAlign w:val="center"/>
                </w:tcPr>
                <w:p>
                  <w:pPr>
                    <w:pStyle w:val="45"/>
                    <w:rPr>
                      <w:color w:val="auto"/>
                      <w:u w:val="none"/>
                    </w:rPr>
                  </w:pPr>
                  <w:r>
                    <w:rPr>
                      <w:rFonts w:hint="eastAsia"/>
                      <w:color w:val="auto"/>
                      <w:u w:val="none"/>
                    </w:rPr>
                    <w:t>1</w:t>
                  </w:r>
                </w:p>
              </w:tc>
              <w:tc>
                <w:tcPr>
                  <w:tcW w:w="1223" w:type="dxa"/>
                  <w:vAlign w:val="center"/>
                </w:tcPr>
                <w:p>
                  <w:pPr>
                    <w:pStyle w:val="45"/>
                    <w:rPr>
                      <w:rFonts w:hint="eastAsia"/>
                      <w:color w:val="auto"/>
                      <w:u w:val="none"/>
                    </w:rPr>
                  </w:pPr>
                  <w:r>
                    <w:rPr>
                      <w:rFonts w:hint="eastAsia" w:ascii="Times New Roman" w:hAnsi="Times New Roman" w:eastAsia="宋体" w:cs="Times New Roman"/>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pct"/>
                  <w:vMerge w:val="continue"/>
                  <w:vAlign w:val="center"/>
                </w:tcPr>
                <w:p>
                  <w:pPr>
                    <w:pStyle w:val="45"/>
                    <w:rPr>
                      <w:color w:val="auto"/>
                      <w:u w:val="none"/>
                    </w:rPr>
                  </w:pPr>
                </w:p>
              </w:tc>
              <w:tc>
                <w:tcPr>
                  <w:tcW w:w="815" w:type="pct"/>
                  <w:vAlign w:val="center"/>
                </w:tcPr>
                <w:p>
                  <w:pPr>
                    <w:pStyle w:val="45"/>
                    <w:rPr>
                      <w:color w:val="auto"/>
                      <w:u w:val="none"/>
                    </w:rPr>
                  </w:pPr>
                  <w:r>
                    <w:rPr>
                      <w:color w:val="auto"/>
                      <w:u w:val="none"/>
                    </w:rPr>
                    <w:t>一般性固废</w:t>
                  </w:r>
                </w:p>
              </w:tc>
              <w:tc>
                <w:tcPr>
                  <w:tcW w:w="1662" w:type="pct"/>
                  <w:vAlign w:val="center"/>
                </w:tcPr>
                <w:p>
                  <w:pPr>
                    <w:pStyle w:val="45"/>
                    <w:rPr>
                      <w:color w:val="auto"/>
                      <w:u w:val="none"/>
                    </w:rPr>
                  </w:pPr>
                  <w:r>
                    <w:rPr>
                      <w:color w:val="auto"/>
                      <w:u w:val="none"/>
                    </w:rPr>
                    <w:t>一般固废暂存间</w:t>
                  </w:r>
                </w:p>
              </w:tc>
              <w:tc>
                <w:tcPr>
                  <w:tcW w:w="392" w:type="pct"/>
                  <w:vAlign w:val="center"/>
                </w:tcPr>
                <w:p>
                  <w:pPr>
                    <w:pStyle w:val="45"/>
                    <w:rPr>
                      <w:color w:val="auto"/>
                      <w:u w:val="none"/>
                    </w:rPr>
                  </w:pPr>
                  <w:r>
                    <w:rPr>
                      <w:color w:val="auto"/>
                      <w:u w:val="none"/>
                    </w:rPr>
                    <w:t>1个</w:t>
                  </w:r>
                </w:p>
              </w:tc>
              <w:tc>
                <w:tcPr>
                  <w:tcW w:w="772" w:type="pct"/>
                  <w:vAlign w:val="center"/>
                </w:tcPr>
                <w:p>
                  <w:pPr>
                    <w:pStyle w:val="45"/>
                    <w:rPr>
                      <w:color w:val="auto"/>
                      <w:u w:val="none"/>
                    </w:rPr>
                  </w:pPr>
                  <w:r>
                    <w:rPr>
                      <w:rFonts w:hint="eastAsia"/>
                      <w:color w:val="auto"/>
                      <w:u w:val="none"/>
                    </w:rPr>
                    <w:t>2</w:t>
                  </w:r>
                </w:p>
              </w:tc>
              <w:tc>
                <w:tcPr>
                  <w:tcW w:w="1223" w:type="dxa"/>
                  <w:vAlign w:val="center"/>
                </w:tcPr>
                <w:p>
                  <w:pPr>
                    <w:pStyle w:val="45"/>
                    <w:rPr>
                      <w:rFonts w:hint="eastAsia"/>
                      <w:color w:val="auto"/>
                      <w:u w:val="none"/>
                    </w:rPr>
                  </w:pPr>
                  <w:r>
                    <w:rPr>
                      <w:rFonts w:hint="eastAsia" w:ascii="Times New Roman" w:hAnsi="Times New Roman" w:eastAsia="宋体" w:cs="Times New Roman"/>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pct"/>
                  <w:vMerge w:val="continue"/>
                  <w:vAlign w:val="center"/>
                </w:tcPr>
                <w:p>
                  <w:pPr>
                    <w:pStyle w:val="45"/>
                    <w:rPr>
                      <w:color w:val="auto"/>
                      <w:u w:val="none"/>
                    </w:rPr>
                  </w:pPr>
                </w:p>
              </w:tc>
              <w:tc>
                <w:tcPr>
                  <w:tcW w:w="815" w:type="pct"/>
                  <w:vAlign w:val="center"/>
                </w:tcPr>
                <w:p>
                  <w:pPr>
                    <w:pStyle w:val="45"/>
                    <w:rPr>
                      <w:color w:val="auto"/>
                      <w:u w:val="none"/>
                    </w:rPr>
                  </w:pPr>
                  <w:r>
                    <w:rPr>
                      <w:color w:val="auto"/>
                      <w:u w:val="none"/>
                    </w:rPr>
                    <w:t>危险废物</w:t>
                  </w:r>
                </w:p>
              </w:tc>
              <w:tc>
                <w:tcPr>
                  <w:tcW w:w="1662" w:type="pct"/>
                  <w:vAlign w:val="center"/>
                </w:tcPr>
                <w:p>
                  <w:pPr>
                    <w:pStyle w:val="45"/>
                    <w:rPr>
                      <w:color w:val="auto"/>
                      <w:u w:val="none"/>
                    </w:rPr>
                  </w:pPr>
                  <w:r>
                    <w:rPr>
                      <w:color w:val="auto"/>
                      <w:u w:val="none"/>
                    </w:rPr>
                    <w:t>危险废物暂存间</w:t>
                  </w:r>
                </w:p>
              </w:tc>
              <w:tc>
                <w:tcPr>
                  <w:tcW w:w="392" w:type="pct"/>
                  <w:vAlign w:val="center"/>
                </w:tcPr>
                <w:p>
                  <w:pPr>
                    <w:pStyle w:val="45"/>
                    <w:rPr>
                      <w:color w:val="auto"/>
                      <w:u w:val="none"/>
                    </w:rPr>
                  </w:pPr>
                  <w:r>
                    <w:rPr>
                      <w:color w:val="auto"/>
                      <w:u w:val="none"/>
                    </w:rPr>
                    <w:t>1个</w:t>
                  </w:r>
                </w:p>
              </w:tc>
              <w:tc>
                <w:tcPr>
                  <w:tcW w:w="772" w:type="pct"/>
                  <w:vAlign w:val="center"/>
                </w:tcPr>
                <w:p>
                  <w:pPr>
                    <w:pStyle w:val="45"/>
                    <w:rPr>
                      <w:rFonts w:hint="eastAsia" w:eastAsia="宋体"/>
                      <w:color w:val="auto"/>
                      <w:u w:val="none"/>
                      <w:lang w:eastAsia="zh-CN"/>
                    </w:rPr>
                  </w:pPr>
                  <w:r>
                    <w:rPr>
                      <w:rFonts w:hint="eastAsia"/>
                      <w:color w:val="auto"/>
                      <w:u w:val="none"/>
                      <w:lang w:val="en-US" w:eastAsia="zh-CN"/>
                    </w:rPr>
                    <w:t>6</w:t>
                  </w:r>
                </w:p>
              </w:tc>
              <w:tc>
                <w:tcPr>
                  <w:tcW w:w="1223" w:type="dxa"/>
                  <w:vAlign w:val="center"/>
                </w:tcPr>
                <w:p>
                  <w:pPr>
                    <w:pStyle w:val="45"/>
                    <w:rPr>
                      <w:rFonts w:hint="eastAsia"/>
                      <w:color w:val="auto"/>
                      <w:u w:val="none"/>
                    </w:rPr>
                  </w:pPr>
                  <w:r>
                    <w:rPr>
                      <w:rFonts w:hint="eastAsia" w:ascii="Times New Roman" w:hAnsi="Times New Roman" w:eastAsia="宋体" w:cs="Times New Roman"/>
                      <w:color w:val="auto"/>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55" w:type="pct"/>
                  <w:gridSpan w:val="4"/>
                  <w:vAlign w:val="center"/>
                </w:tcPr>
                <w:p>
                  <w:pPr>
                    <w:pStyle w:val="45"/>
                    <w:rPr>
                      <w:color w:val="auto"/>
                      <w:u w:val="none"/>
                    </w:rPr>
                  </w:pPr>
                  <w:r>
                    <w:rPr>
                      <w:rFonts w:hint="eastAsia"/>
                      <w:color w:val="auto"/>
                      <w:u w:val="none"/>
                    </w:rPr>
                    <w:t>合计</w:t>
                  </w:r>
                </w:p>
              </w:tc>
              <w:tc>
                <w:tcPr>
                  <w:tcW w:w="772" w:type="pct"/>
                  <w:vAlign w:val="center"/>
                </w:tcPr>
                <w:p>
                  <w:pPr>
                    <w:pStyle w:val="45"/>
                    <w:rPr>
                      <w:rFonts w:hint="default" w:eastAsia="宋体"/>
                      <w:color w:val="auto"/>
                      <w:u w:val="none"/>
                      <w:lang w:val="en-US" w:eastAsia="zh-CN"/>
                    </w:rPr>
                  </w:pPr>
                  <w:r>
                    <w:rPr>
                      <w:rFonts w:hint="eastAsia"/>
                      <w:color w:val="auto"/>
                      <w:u w:val="none"/>
                      <w:lang w:val="en-US" w:eastAsia="zh-CN"/>
                    </w:rPr>
                    <w:t>22</w:t>
                  </w:r>
                </w:p>
              </w:tc>
              <w:tc>
                <w:tcPr>
                  <w:tcW w:w="772" w:type="pct"/>
                  <w:vAlign w:val="center"/>
                </w:tcPr>
                <w:p>
                  <w:pPr>
                    <w:pStyle w:val="45"/>
                    <w:rPr>
                      <w:rFonts w:hint="eastAsia"/>
                      <w:color w:val="auto"/>
                      <w:u w:val="none"/>
                      <w:lang w:val="en-US" w:eastAsia="zh-CN"/>
                    </w:rPr>
                  </w:pPr>
                </w:p>
              </w:tc>
            </w:tr>
          </w:tbl>
          <w:p>
            <w:pPr>
              <w:rPr>
                <w:color w:val="FF0000"/>
              </w:rPr>
            </w:pPr>
          </w:p>
        </w:tc>
      </w:tr>
    </w:tbl>
    <w:p>
      <w:pPr>
        <w:adjustRightInd w:val="0"/>
        <w:snapToGrid w:val="0"/>
        <w:rPr>
          <w:rFonts w:ascii="宋体" w:cs="宋体"/>
          <w:b/>
          <w:color w:val="FF0000"/>
          <w:kern w:val="0"/>
          <w:sz w:val="28"/>
          <w:szCs w:val="28"/>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
        <w:numPr>
          <w:ilvl w:val="0"/>
          <w:numId w:val="9"/>
        </w:numPr>
        <w:rPr>
          <w:color w:val="auto"/>
        </w:rPr>
      </w:pPr>
      <w:bookmarkStart w:id="56" w:name="_Toc30857"/>
      <w:bookmarkStart w:id="57" w:name="_Toc15907"/>
      <w:bookmarkStart w:id="58" w:name="_Toc23461"/>
      <w:bookmarkStart w:id="59" w:name="_Toc13236"/>
      <w:bookmarkStart w:id="60" w:name="_Toc32376"/>
      <w:bookmarkStart w:id="61" w:name="_Toc29652"/>
      <w:bookmarkStart w:id="62" w:name="_Hlk54167917"/>
      <w:bookmarkStart w:id="63" w:name="_Toc24563"/>
      <w:bookmarkStart w:id="64" w:name="_Toc20696"/>
      <w:bookmarkStart w:id="65" w:name="_Toc9798"/>
      <w:bookmarkStart w:id="66" w:name="_Toc19949"/>
      <w:bookmarkStart w:id="67" w:name="_Toc29086"/>
      <w:bookmarkStart w:id="68" w:name="_Toc16653"/>
      <w:bookmarkStart w:id="69" w:name="_Toc8571"/>
      <w:bookmarkStart w:id="70" w:name="_Toc30913"/>
      <w:r>
        <w:rPr>
          <w:rFonts w:hint="eastAsia"/>
          <w:color w:val="auto"/>
        </w:rPr>
        <w:t>环境保护措施监督检查清单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25"/>
        <w:gridCol w:w="1531"/>
        <w:gridCol w:w="2223"/>
        <w:gridCol w:w="2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内容</w:t>
            </w:r>
          </w:p>
          <w:p>
            <w:pPr>
              <w:pStyle w:val="45"/>
              <w:spacing w:line="360" w:lineRule="auto"/>
              <w:rPr>
                <w:color w:val="auto"/>
                <w:sz w:val="24"/>
                <w:szCs w:val="24"/>
              </w:rPr>
            </w:pPr>
            <w:r>
              <w:rPr>
                <w:rFonts w:hint="eastAsia"/>
                <w:color w:val="auto"/>
                <w:sz w:val="24"/>
                <w:szCs w:val="24"/>
              </w:rPr>
              <w:t>要素</w:t>
            </w:r>
          </w:p>
        </w:tc>
        <w:tc>
          <w:tcPr>
            <w:tcW w:w="836"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排放口(编号、名称)/污染源</w:t>
            </w:r>
          </w:p>
        </w:tc>
        <w:tc>
          <w:tcPr>
            <w:tcW w:w="898"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污染物项目</w:t>
            </w:r>
          </w:p>
        </w:tc>
        <w:tc>
          <w:tcPr>
            <w:tcW w:w="1304"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环境保护措施</w:t>
            </w:r>
          </w:p>
        </w:tc>
        <w:tc>
          <w:tcPr>
            <w:tcW w:w="1462"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大气环境</w:t>
            </w:r>
          </w:p>
        </w:tc>
        <w:tc>
          <w:tcPr>
            <w:tcW w:w="836" w:type="pct"/>
            <w:tcBorders>
              <w:tl2br w:val="nil"/>
              <w:tr2bl w:val="nil"/>
            </w:tcBorders>
            <w:noWrap/>
            <w:vAlign w:val="center"/>
          </w:tcPr>
          <w:p>
            <w:pPr>
              <w:widowControl/>
              <w:jc w:val="center"/>
              <w:rPr>
                <w:color w:val="auto"/>
              </w:rPr>
            </w:pPr>
            <w:r>
              <w:rPr>
                <w:rFonts w:hint="eastAsia" w:ascii="宋体" w:hAnsi="宋体" w:cs="宋体"/>
                <w:color w:val="auto"/>
                <w:kern w:val="0"/>
              </w:rPr>
              <w:t>污水处理站</w:t>
            </w:r>
          </w:p>
        </w:tc>
        <w:tc>
          <w:tcPr>
            <w:tcW w:w="898" w:type="pct"/>
            <w:tcBorders>
              <w:tl2br w:val="nil"/>
              <w:tr2bl w:val="nil"/>
            </w:tcBorders>
            <w:noWrap/>
            <w:vAlign w:val="center"/>
          </w:tcPr>
          <w:p>
            <w:pPr>
              <w:pStyle w:val="45"/>
              <w:spacing w:line="360" w:lineRule="auto"/>
              <w:rPr>
                <w:rFonts w:hint="eastAsia" w:eastAsia="宋体"/>
                <w:color w:val="auto"/>
                <w:sz w:val="24"/>
                <w:szCs w:val="24"/>
                <w:lang w:val="en-US" w:eastAsia="zh-CN"/>
              </w:rPr>
            </w:pPr>
            <w:r>
              <w:rPr>
                <w:rFonts w:hint="eastAsia"/>
                <w:color w:val="auto"/>
                <w:sz w:val="24"/>
                <w:szCs w:val="24"/>
              </w:rPr>
              <w:t>臭气浓度、H</w:t>
            </w:r>
            <w:r>
              <w:rPr>
                <w:rFonts w:hint="eastAsia"/>
                <w:color w:val="auto"/>
                <w:sz w:val="24"/>
                <w:szCs w:val="24"/>
                <w:vertAlign w:val="subscript"/>
              </w:rPr>
              <w:t>2</w:t>
            </w:r>
            <w:r>
              <w:rPr>
                <w:rFonts w:hint="eastAsia"/>
                <w:color w:val="auto"/>
                <w:sz w:val="24"/>
                <w:szCs w:val="24"/>
              </w:rPr>
              <w:t>S、氯气、NH</w:t>
            </w:r>
            <w:r>
              <w:rPr>
                <w:rFonts w:hint="eastAsia"/>
                <w:color w:val="auto"/>
                <w:sz w:val="24"/>
                <w:szCs w:val="24"/>
                <w:vertAlign w:val="subscript"/>
              </w:rPr>
              <w:t>3</w:t>
            </w:r>
            <w:r>
              <w:rPr>
                <w:rFonts w:hint="eastAsia"/>
                <w:color w:val="auto"/>
                <w:sz w:val="24"/>
                <w:szCs w:val="24"/>
              </w:rPr>
              <w:t>、</w:t>
            </w:r>
            <w:r>
              <w:rPr>
                <w:rFonts w:hint="eastAsia"/>
                <w:color w:val="auto"/>
                <w:sz w:val="24"/>
                <w:szCs w:val="24"/>
                <w:lang w:val="en-US" w:eastAsia="zh-CN"/>
              </w:rPr>
              <w:t>甲烷</w:t>
            </w:r>
          </w:p>
        </w:tc>
        <w:tc>
          <w:tcPr>
            <w:tcW w:w="1304"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密闭设施，定期喷洒除臭剂，加强管理。</w:t>
            </w:r>
          </w:p>
        </w:tc>
        <w:tc>
          <w:tcPr>
            <w:tcW w:w="1462" w:type="pct"/>
            <w:tcBorders>
              <w:tl2br w:val="nil"/>
              <w:tr2bl w:val="nil"/>
            </w:tcBorders>
            <w:noWrap/>
            <w:vAlign w:val="center"/>
          </w:tcPr>
          <w:p>
            <w:pPr>
              <w:widowControl/>
              <w:jc w:val="center"/>
              <w:rPr>
                <w:color w:val="auto"/>
              </w:rPr>
            </w:pPr>
            <w:r>
              <w:rPr>
                <w:color w:val="auto"/>
              </w:rPr>
              <w:t>《医疗机构水污染物排放标准》（GB18466-2005）表3标准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99"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地表水环境</w:t>
            </w:r>
          </w:p>
        </w:tc>
        <w:tc>
          <w:tcPr>
            <w:tcW w:w="836" w:type="pct"/>
            <w:tcBorders>
              <w:tl2br w:val="nil"/>
              <w:tr2bl w:val="nil"/>
            </w:tcBorders>
            <w:noWrap/>
            <w:vAlign w:val="center"/>
          </w:tcPr>
          <w:p>
            <w:pPr>
              <w:widowControl/>
              <w:jc w:val="center"/>
              <w:rPr>
                <w:color w:val="auto"/>
              </w:rPr>
            </w:pPr>
            <w:r>
              <w:rPr>
                <w:color w:val="auto"/>
                <w:kern w:val="0"/>
              </w:rPr>
              <w:t>综合废水</w:t>
            </w:r>
          </w:p>
          <w:p>
            <w:pPr>
              <w:widowControl/>
              <w:jc w:val="center"/>
              <w:rPr>
                <w:color w:val="auto"/>
              </w:rPr>
            </w:pPr>
            <w:r>
              <w:rPr>
                <w:color w:val="auto"/>
                <w:kern w:val="0"/>
              </w:rPr>
              <w:t>(DW001)</w:t>
            </w:r>
          </w:p>
        </w:tc>
        <w:tc>
          <w:tcPr>
            <w:tcW w:w="898" w:type="pct"/>
            <w:tcBorders>
              <w:tl2br w:val="nil"/>
              <w:tr2bl w:val="nil"/>
            </w:tcBorders>
            <w:noWrap/>
            <w:vAlign w:val="center"/>
          </w:tcPr>
          <w:p>
            <w:pPr>
              <w:widowControl/>
              <w:spacing w:line="240" w:lineRule="auto"/>
              <w:jc w:val="center"/>
              <w:rPr>
                <w:color w:val="auto"/>
              </w:rPr>
            </w:pPr>
            <w:r>
              <w:rPr>
                <w:color w:val="auto"/>
                <w:kern w:val="0"/>
              </w:rPr>
              <w:t>BOD</w:t>
            </w:r>
            <w:r>
              <w:rPr>
                <w:color w:val="auto"/>
                <w:kern w:val="0"/>
                <w:vertAlign w:val="subscript"/>
              </w:rPr>
              <w:t>5</w:t>
            </w:r>
            <w:r>
              <w:rPr>
                <w:color w:val="auto"/>
                <w:kern w:val="0"/>
              </w:rPr>
              <w:t>、CODcr、SS、</w:t>
            </w:r>
          </w:p>
          <w:p>
            <w:pPr>
              <w:widowControl/>
              <w:spacing w:line="240" w:lineRule="auto"/>
              <w:jc w:val="center"/>
              <w:rPr>
                <w:color w:val="auto"/>
                <w:kern w:val="0"/>
              </w:rPr>
            </w:pPr>
            <w:r>
              <w:rPr>
                <w:rFonts w:hint="eastAsia"/>
                <w:color w:val="auto"/>
                <w:kern w:val="0"/>
              </w:rPr>
              <w:t>氨氮</w:t>
            </w:r>
            <w:r>
              <w:rPr>
                <w:rFonts w:hint="eastAsia"/>
                <w:color w:val="auto"/>
                <w:kern w:val="0"/>
                <w:lang w:eastAsia="zh-CN"/>
              </w:rPr>
              <w:t>、pH</w:t>
            </w:r>
            <w:r>
              <w:rPr>
                <w:rFonts w:hint="eastAsia"/>
                <w:color w:val="auto"/>
                <w:kern w:val="0"/>
                <w:lang w:val="en-US" w:eastAsia="zh-CN"/>
              </w:rPr>
              <w:t>值</w:t>
            </w:r>
            <w:r>
              <w:rPr>
                <w:rFonts w:hint="eastAsia"/>
                <w:color w:val="auto"/>
                <w:kern w:val="0"/>
                <w:lang w:eastAsia="zh-CN"/>
              </w:rPr>
              <w:t>、粪大肠菌群、</w:t>
            </w:r>
            <w:r>
              <w:rPr>
                <w:rFonts w:hint="eastAsia"/>
                <w:color w:val="auto"/>
                <w:u w:val="none"/>
              </w:rPr>
              <w:t>石油类、挥发酚、动植物油</w:t>
            </w:r>
            <w:r>
              <w:rPr>
                <w:rFonts w:hint="eastAsia"/>
                <w:color w:val="auto"/>
                <w:kern w:val="0"/>
              </w:rPr>
              <w:t>等</w:t>
            </w:r>
          </w:p>
        </w:tc>
        <w:tc>
          <w:tcPr>
            <w:tcW w:w="1304" w:type="pct"/>
            <w:tcBorders>
              <w:tl2br w:val="nil"/>
              <w:tr2bl w:val="nil"/>
            </w:tcBorders>
            <w:noWrap/>
            <w:vAlign w:val="center"/>
          </w:tcPr>
          <w:p>
            <w:pPr>
              <w:widowControl/>
              <w:spacing w:line="240" w:lineRule="auto"/>
              <w:jc w:val="center"/>
              <w:rPr>
                <w:color w:val="auto"/>
                <w:lang w:val="zh-CN"/>
              </w:rPr>
            </w:pPr>
            <w:r>
              <w:rPr>
                <w:rFonts w:hint="eastAsia"/>
                <w:color w:val="auto"/>
                <w:lang w:val="en-US" w:eastAsia="zh-CN"/>
              </w:rPr>
              <w:t>经</w:t>
            </w:r>
            <w:r>
              <w:rPr>
                <w:color w:val="auto"/>
              </w:rPr>
              <w:t>医院污水处理设施</w:t>
            </w:r>
            <w:r>
              <w:rPr>
                <w:rFonts w:hint="eastAsia"/>
                <w:color w:val="auto"/>
                <w:lang w:eastAsia="zh-CN"/>
              </w:rPr>
              <w:t>，</w:t>
            </w:r>
            <w:r>
              <w:rPr>
                <w:rFonts w:hint="eastAsia"/>
                <w:color w:val="auto"/>
                <w:lang w:val="en-US" w:eastAsia="zh-CN"/>
              </w:rPr>
              <w:t>采用“</w:t>
            </w:r>
            <w:r>
              <w:rPr>
                <w:rFonts w:hint="eastAsia"/>
                <w:color w:val="auto"/>
              </w:rPr>
              <w:t>化粪池+格栅井+调节池+AO工艺+沉淀池+消毒</w:t>
            </w:r>
            <w:r>
              <w:rPr>
                <w:rFonts w:hint="eastAsia"/>
                <w:color w:val="auto"/>
                <w:lang w:val="en-US" w:eastAsia="zh-CN"/>
              </w:rPr>
              <w:t>”工艺处理后，经市政污水管网排入临湘市污水净化中心进行进一步处理。</w:t>
            </w:r>
          </w:p>
        </w:tc>
        <w:tc>
          <w:tcPr>
            <w:tcW w:w="1462" w:type="pct"/>
            <w:tcBorders>
              <w:tl2br w:val="nil"/>
              <w:tr2bl w:val="nil"/>
            </w:tcBorders>
            <w:noWrap/>
            <w:vAlign w:val="center"/>
          </w:tcPr>
          <w:p>
            <w:pPr>
              <w:widowControl/>
              <w:spacing w:line="240" w:lineRule="auto"/>
              <w:jc w:val="center"/>
              <w:rPr>
                <w:rFonts w:hint="eastAsia" w:eastAsia="宋体"/>
                <w:color w:val="auto"/>
                <w:lang w:val="en-US" w:eastAsia="zh-CN"/>
              </w:rPr>
            </w:pPr>
            <w:r>
              <w:rPr>
                <w:color w:val="auto"/>
              </w:rPr>
              <w:t>《医疗机构水污染物排放标准》（GB18466-2005）表2预处理标准</w:t>
            </w:r>
            <w:r>
              <w:rPr>
                <w:rFonts w:hint="eastAsia"/>
                <w:color w:val="auto"/>
              </w:rPr>
              <w:t>及临湘市污水净化中心接管标准</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auto"/>
                <w:sz w:val="24"/>
                <w:szCs w:val="24"/>
              </w:rPr>
            </w:pPr>
            <w:r>
              <w:rPr>
                <w:rFonts w:hint="eastAsia"/>
                <w:color w:val="auto"/>
                <w:sz w:val="24"/>
                <w:szCs w:val="24"/>
              </w:rPr>
              <w:t>声环境</w:t>
            </w:r>
          </w:p>
        </w:tc>
        <w:tc>
          <w:tcPr>
            <w:tcW w:w="1734" w:type="pct"/>
            <w:gridSpan w:val="2"/>
            <w:tcBorders>
              <w:tl2br w:val="nil"/>
              <w:tr2bl w:val="nil"/>
            </w:tcBorders>
            <w:noWrap/>
            <w:vAlign w:val="center"/>
          </w:tcPr>
          <w:p>
            <w:pPr>
              <w:pStyle w:val="45"/>
              <w:rPr>
                <w:color w:val="auto"/>
                <w:sz w:val="24"/>
                <w:szCs w:val="24"/>
              </w:rPr>
            </w:pPr>
            <w:r>
              <w:rPr>
                <w:rFonts w:hint="eastAsia"/>
                <w:color w:val="auto"/>
                <w:sz w:val="24"/>
                <w:szCs w:val="24"/>
              </w:rPr>
              <w:t>设备噪声</w:t>
            </w:r>
          </w:p>
        </w:tc>
        <w:tc>
          <w:tcPr>
            <w:tcW w:w="1304" w:type="pct"/>
            <w:tcBorders>
              <w:tl2br w:val="nil"/>
              <w:tr2bl w:val="nil"/>
            </w:tcBorders>
            <w:noWrap/>
            <w:vAlign w:val="center"/>
          </w:tcPr>
          <w:p>
            <w:pPr>
              <w:widowControl/>
              <w:jc w:val="center"/>
              <w:rPr>
                <w:color w:val="auto"/>
              </w:rPr>
            </w:pPr>
            <w:r>
              <w:rPr>
                <w:rFonts w:hAnsi="宋体"/>
                <w:color w:val="auto"/>
              </w:rPr>
              <w:t>隔声减振、距离衰减、加强管理</w:t>
            </w:r>
            <w:r>
              <w:rPr>
                <w:rFonts w:hint="eastAsia"/>
                <w:color w:val="auto"/>
              </w:rPr>
              <w:t>。</w:t>
            </w:r>
          </w:p>
        </w:tc>
        <w:tc>
          <w:tcPr>
            <w:tcW w:w="1462" w:type="pct"/>
            <w:tcBorders>
              <w:tl2br w:val="nil"/>
              <w:tr2bl w:val="nil"/>
            </w:tcBorders>
            <w:noWrap/>
            <w:vAlign w:val="center"/>
          </w:tcPr>
          <w:p>
            <w:pPr>
              <w:pStyle w:val="45"/>
              <w:spacing w:line="240" w:lineRule="auto"/>
              <w:rPr>
                <w:rFonts w:hint="default" w:eastAsia="宋体"/>
                <w:color w:val="auto"/>
                <w:sz w:val="24"/>
                <w:szCs w:val="24"/>
                <w:lang w:val="en-US" w:eastAsia="zh-CN"/>
              </w:rPr>
            </w:pPr>
            <w:r>
              <w:rPr>
                <w:rFonts w:hint="eastAsia"/>
                <w:color w:val="auto"/>
                <w:sz w:val="24"/>
                <w:szCs w:val="24"/>
              </w:rPr>
              <w:t>《工业企业厂界环境噪声排放标准》中2类</w:t>
            </w:r>
            <w:r>
              <w:rPr>
                <w:color w:val="auto"/>
                <w:sz w:val="24"/>
                <w:szCs w:val="24"/>
              </w:rPr>
              <w:t>标准限值</w:t>
            </w:r>
            <w:r>
              <w:rPr>
                <w:rFonts w:hint="eastAsia"/>
                <w:color w:val="auto"/>
                <w:sz w:val="24"/>
                <w:szCs w:val="24"/>
                <w:lang w:eastAsia="zh-CN"/>
              </w:rPr>
              <w:t>，</w:t>
            </w:r>
            <w:r>
              <w:rPr>
                <w:rFonts w:hint="eastAsia"/>
                <w:color w:val="auto"/>
                <w:sz w:val="24"/>
                <w:szCs w:val="24"/>
                <w:highlight w:val="none"/>
                <w:lang w:val="en-US" w:eastAsia="zh-CN"/>
              </w:rPr>
              <w:t>北侧厂界执行4类标准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Merge w:val="restart"/>
            <w:tcBorders>
              <w:tl2br w:val="nil"/>
              <w:tr2bl w:val="nil"/>
            </w:tcBorders>
            <w:noWrap/>
            <w:vAlign w:val="center"/>
          </w:tcPr>
          <w:p>
            <w:pPr>
              <w:pStyle w:val="45"/>
              <w:spacing w:line="360" w:lineRule="auto"/>
              <w:rPr>
                <w:color w:val="auto"/>
                <w:sz w:val="24"/>
                <w:szCs w:val="24"/>
              </w:rPr>
            </w:pPr>
            <w:r>
              <w:rPr>
                <w:rFonts w:hint="eastAsia"/>
                <w:color w:val="auto"/>
                <w:sz w:val="24"/>
                <w:szCs w:val="24"/>
              </w:rPr>
              <w:t>固体废物</w:t>
            </w:r>
          </w:p>
        </w:tc>
        <w:tc>
          <w:tcPr>
            <w:tcW w:w="1734" w:type="pct"/>
            <w:gridSpan w:val="2"/>
            <w:tcBorders>
              <w:tl2br w:val="nil"/>
              <w:tr2bl w:val="nil"/>
            </w:tcBorders>
            <w:noWrap/>
            <w:vAlign w:val="center"/>
          </w:tcPr>
          <w:p>
            <w:pPr>
              <w:pStyle w:val="45"/>
              <w:rPr>
                <w:color w:val="auto"/>
                <w:sz w:val="24"/>
                <w:szCs w:val="24"/>
              </w:rPr>
            </w:pPr>
            <w:r>
              <w:rPr>
                <w:rFonts w:hint="eastAsia"/>
                <w:color w:val="auto"/>
                <w:sz w:val="24"/>
                <w:szCs w:val="24"/>
              </w:rPr>
              <w:t>生活垃圾</w:t>
            </w:r>
          </w:p>
        </w:tc>
        <w:tc>
          <w:tcPr>
            <w:tcW w:w="1304" w:type="pct"/>
            <w:tcBorders>
              <w:tl2br w:val="nil"/>
              <w:tr2bl w:val="nil"/>
            </w:tcBorders>
            <w:noWrap/>
            <w:vAlign w:val="center"/>
          </w:tcPr>
          <w:p>
            <w:pPr>
              <w:widowControl/>
              <w:jc w:val="center"/>
              <w:rPr>
                <w:color w:val="auto"/>
                <w:kern w:val="0"/>
              </w:rPr>
            </w:pPr>
            <w:r>
              <w:rPr>
                <w:rFonts w:hint="eastAsia" w:ascii="宋体" w:hAnsi="宋体" w:cs="宋体"/>
                <w:color w:val="auto"/>
                <w:kern w:val="0"/>
              </w:rPr>
              <w:t>分类收集交环卫部门处理</w:t>
            </w:r>
          </w:p>
        </w:tc>
        <w:tc>
          <w:tcPr>
            <w:tcW w:w="1462" w:type="pct"/>
            <w:tcBorders>
              <w:tl2br w:val="nil"/>
              <w:tr2bl w:val="nil"/>
            </w:tcBorders>
            <w:noWrap/>
            <w:vAlign w:val="center"/>
          </w:tcPr>
          <w:p>
            <w:pPr>
              <w:pStyle w:val="45"/>
              <w:spacing w:line="360" w:lineRule="auto"/>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5"/>
              <w:spacing w:line="360" w:lineRule="auto"/>
              <w:rPr>
                <w:color w:val="auto"/>
                <w:sz w:val="24"/>
                <w:szCs w:val="24"/>
              </w:rPr>
            </w:pPr>
          </w:p>
        </w:tc>
        <w:tc>
          <w:tcPr>
            <w:tcW w:w="1734" w:type="pct"/>
            <w:gridSpan w:val="2"/>
            <w:tcBorders>
              <w:tl2br w:val="nil"/>
              <w:tr2bl w:val="nil"/>
            </w:tcBorders>
            <w:noWrap/>
            <w:vAlign w:val="center"/>
          </w:tcPr>
          <w:p>
            <w:pPr>
              <w:pStyle w:val="45"/>
              <w:rPr>
                <w:color w:val="auto"/>
                <w:sz w:val="24"/>
                <w:szCs w:val="24"/>
              </w:rPr>
            </w:pPr>
            <w:r>
              <w:rPr>
                <w:rFonts w:hint="eastAsia"/>
                <w:color w:val="auto"/>
                <w:sz w:val="24"/>
                <w:szCs w:val="24"/>
              </w:rPr>
              <w:t>一次性塑料输液瓶（袋）</w:t>
            </w:r>
          </w:p>
        </w:tc>
        <w:tc>
          <w:tcPr>
            <w:tcW w:w="1304" w:type="pct"/>
            <w:tcBorders>
              <w:tl2br w:val="nil"/>
              <w:tr2bl w:val="nil"/>
            </w:tcBorders>
            <w:noWrap/>
            <w:vAlign w:val="center"/>
          </w:tcPr>
          <w:p>
            <w:pPr>
              <w:pStyle w:val="45"/>
              <w:rPr>
                <w:color w:val="auto"/>
                <w:sz w:val="24"/>
                <w:szCs w:val="24"/>
              </w:rPr>
            </w:pPr>
            <w:r>
              <w:rPr>
                <w:rFonts w:hint="eastAsia"/>
                <w:color w:val="auto"/>
                <w:sz w:val="24"/>
                <w:szCs w:val="24"/>
              </w:rPr>
              <w:t>交专门单位回收处理</w:t>
            </w:r>
          </w:p>
        </w:tc>
        <w:tc>
          <w:tcPr>
            <w:tcW w:w="1462" w:type="pct"/>
            <w:vMerge w:val="restart"/>
            <w:tcBorders>
              <w:tl2br w:val="nil"/>
              <w:tr2bl w:val="nil"/>
            </w:tcBorders>
            <w:noWrap/>
            <w:vAlign w:val="center"/>
          </w:tcPr>
          <w:p>
            <w:pPr>
              <w:pStyle w:val="45"/>
              <w:spacing w:line="360" w:lineRule="auto"/>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5"/>
              <w:spacing w:line="360" w:lineRule="auto"/>
              <w:rPr>
                <w:color w:val="auto"/>
                <w:sz w:val="24"/>
                <w:szCs w:val="24"/>
              </w:rPr>
            </w:pPr>
          </w:p>
        </w:tc>
        <w:tc>
          <w:tcPr>
            <w:tcW w:w="1734" w:type="pct"/>
            <w:gridSpan w:val="2"/>
            <w:tcBorders>
              <w:tl2br w:val="nil"/>
              <w:tr2bl w:val="nil"/>
            </w:tcBorders>
            <w:noWrap/>
            <w:vAlign w:val="center"/>
          </w:tcPr>
          <w:p>
            <w:pPr>
              <w:widowControl/>
              <w:jc w:val="center"/>
              <w:rPr>
                <w:color w:val="auto"/>
                <w:kern w:val="0"/>
              </w:rPr>
            </w:pPr>
            <w:r>
              <w:rPr>
                <w:rFonts w:hint="eastAsia" w:ascii="宋体" w:hAnsi="宋体" w:cs="宋体"/>
                <w:color w:val="auto"/>
                <w:kern w:val="0"/>
              </w:rPr>
              <w:t>废包装材料</w:t>
            </w:r>
          </w:p>
        </w:tc>
        <w:tc>
          <w:tcPr>
            <w:tcW w:w="1304" w:type="pct"/>
            <w:tcBorders>
              <w:tl2br w:val="nil"/>
              <w:tr2bl w:val="nil"/>
            </w:tcBorders>
            <w:noWrap/>
            <w:vAlign w:val="center"/>
          </w:tcPr>
          <w:p>
            <w:pPr>
              <w:widowControl/>
              <w:jc w:val="center"/>
              <w:rPr>
                <w:rFonts w:cstheme="minorBidi"/>
                <w:color w:val="auto"/>
              </w:rPr>
            </w:pPr>
            <w:r>
              <w:rPr>
                <w:rFonts w:hint="eastAsia" w:ascii="宋体" w:hAnsi="宋体" w:cs="宋体"/>
                <w:color w:val="auto"/>
                <w:kern w:val="0"/>
              </w:rPr>
              <w:t>收集后交资源回收公司处理</w:t>
            </w:r>
          </w:p>
        </w:tc>
        <w:tc>
          <w:tcPr>
            <w:tcW w:w="1462" w:type="pct"/>
            <w:vMerge w:val="continue"/>
            <w:tcBorders>
              <w:tl2br w:val="nil"/>
              <w:tr2bl w:val="nil"/>
            </w:tcBorders>
            <w:noWrap/>
            <w:vAlign w:val="center"/>
          </w:tcPr>
          <w:p>
            <w:pPr>
              <w:pStyle w:val="45"/>
              <w:spacing w:line="360" w:lineRule="auto"/>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99" w:type="pct"/>
            <w:vMerge w:val="continue"/>
            <w:tcBorders>
              <w:tl2br w:val="nil"/>
              <w:tr2bl w:val="nil"/>
            </w:tcBorders>
            <w:noWrap/>
            <w:vAlign w:val="center"/>
          </w:tcPr>
          <w:p>
            <w:pPr>
              <w:pStyle w:val="45"/>
              <w:spacing w:line="360" w:lineRule="auto"/>
              <w:rPr>
                <w:color w:val="auto"/>
                <w:sz w:val="24"/>
                <w:szCs w:val="24"/>
              </w:rPr>
            </w:pPr>
          </w:p>
        </w:tc>
        <w:tc>
          <w:tcPr>
            <w:tcW w:w="1734" w:type="pct"/>
            <w:gridSpan w:val="2"/>
            <w:tcBorders>
              <w:tl2br w:val="nil"/>
              <w:tr2bl w:val="nil"/>
            </w:tcBorders>
            <w:noWrap/>
            <w:vAlign w:val="center"/>
          </w:tcPr>
          <w:p>
            <w:pPr>
              <w:pStyle w:val="45"/>
              <w:rPr>
                <w:color w:val="auto"/>
                <w:sz w:val="24"/>
                <w:szCs w:val="24"/>
              </w:rPr>
            </w:pPr>
            <w:r>
              <w:rPr>
                <w:rFonts w:hint="eastAsia"/>
                <w:color w:val="auto"/>
                <w:sz w:val="24"/>
                <w:szCs w:val="24"/>
              </w:rPr>
              <w:t>医疗废物</w:t>
            </w:r>
          </w:p>
        </w:tc>
        <w:tc>
          <w:tcPr>
            <w:tcW w:w="1304" w:type="pct"/>
            <w:vMerge w:val="restart"/>
            <w:tcBorders>
              <w:tl2br w:val="nil"/>
              <w:tr2bl w:val="nil"/>
            </w:tcBorders>
            <w:noWrap/>
            <w:vAlign w:val="center"/>
          </w:tcPr>
          <w:p>
            <w:pPr>
              <w:pStyle w:val="45"/>
              <w:spacing w:line="360" w:lineRule="auto"/>
              <w:rPr>
                <w:color w:val="auto"/>
                <w:kern w:val="2"/>
                <w:sz w:val="24"/>
                <w:szCs w:val="24"/>
              </w:rPr>
            </w:pPr>
            <w:r>
              <w:rPr>
                <w:color w:val="auto"/>
                <w:kern w:val="2"/>
                <w:sz w:val="24"/>
                <w:szCs w:val="24"/>
              </w:rPr>
              <w:t>暂存于医疗废物暂存间后委托</w:t>
            </w:r>
            <w:r>
              <w:rPr>
                <w:rFonts w:hint="eastAsia"/>
                <w:color w:val="auto"/>
                <w:kern w:val="2"/>
                <w:sz w:val="24"/>
                <w:szCs w:val="24"/>
              </w:rPr>
              <w:t>岳阳市方向固废安全处置有限公司</w:t>
            </w:r>
            <w:r>
              <w:rPr>
                <w:color w:val="auto"/>
                <w:kern w:val="2"/>
                <w:sz w:val="24"/>
                <w:szCs w:val="24"/>
              </w:rPr>
              <w:t>定期清运和处置</w:t>
            </w:r>
          </w:p>
        </w:tc>
        <w:tc>
          <w:tcPr>
            <w:tcW w:w="1462" w:type="pct"/>
            <w:vMerge w:val="restart"/>
            <w:tcBorders>
              <w:tl2br w:val="nil"/>
              <w:tr2bl w:val="nil"/>
            </w:tcBorders>
            <w:noWrap/>
            <w:vAlign w:val="center"/>
          </w:tcPr>
          <w:p>
            <w:pPr>
              <w:pStyle w:val="45"/>
              <w:spacing w:line="360" w:lineRule="auto"/>
              <w:rPr>
                <w:color w:val="auto"/>
                <w:kern w:val="2"/>
                <w:sz w:val="24"/>
                <w:szCs w:val="24"/>
              </w:rPr>
            </w:pPr>
            <w:r>
              <w:rPr>
                <w:rFonts w:hint="eastAsia"/>
                <w:color w:val="auto"/>
                <w:sz w:val="24"/>
                <w:szCs w:val="24"/>
              </w:rPr>
              <w:t>《危险废物贮存污染控制标准》（GB18597-2023）</w:t>
            </w:r>
            <w:r>
              <w:rPr>
                <w:color w:val="auto"/>
                <w:sz w:val="24"/>
                <w:szCs w:val="24"/>
              </w:rPr>
              <w:t>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99" w:type="pct"/>
            <w:vMerge w:val="continue"/>
            <w:tcBorders>
              <w:tl2br w:val="nil"/>
              <w:tr2bl w:val="nil"/>
            </w:tcBorders>
            <w:noWrap/>
            <w:vAlign w:val="center"/>
          </w:tcPr>
          <w:p>
            <w:pPr>
              <w:pStyle w:val="45"/>
              <w:spacing w:line="360" w:lineRule="auto"/>
              <w:rPr>
                <w:color w:val="auto"/>
                <w:sz w:val="24"/>
                <w:szCs w:val="24"/>
              </w:rPr>
            </w:pPr>
          </w:p>
        </w:tc>
        <w:tc>
          <w:tcPr>
            <w:tcW w:w="1734" w:type="pct"/>
            <w:gridSpan w:val="2"/>
            <w:tcBorders>
              <w:tl2br w:val="nil"/>
              <w:tr2bl w:val="nil"/>
            </w:tcBorders>
            <w:noWrap/>
            <w:vAlign w:val="center"/>
          </w:tcPr>
          <w:p>
            <w:pPr>
              <w:pStyle w:val="45"/>
              <w:rPr>
                <w:color w:val="auto"/>
                <w:sz w:val="24"/>
                <w:szCs w:val="24"/>
              </w:rPr>
            </w:pPr>
            <w:r>
              <w:rPr>
                <w:color w:val="auto"/>
                <w:sz w:val="24"/>
                <w:szCs w:val="24"/>
              </w:rPr>
              <w:t>污泥</w:t>
            </w:r>
          </w:p>
        </w:tc>
        <w:tc>
          <w:tcPr>
            <w:tcW w:w="1304" w:type="pct"/>
            <w:vMerge w:val="continue"/>
            <w:tcBorders>
              <w:tl2br w:val="nil"/>
              <w:tr2bl w:val="nil"/>
            </w:tcBorders>
            <w:noWrap/>
            <w:vAlign w:val="center"/>
          </w:tcPr>
          <w:p>
            <w:pPr>
              <w:pStyle w:val="45"/>
              <w:rPr>
                <w:color w:val="FF0000"/>
                <w:sz w:val="24"/>
                <w:szCs w:val="24"/>
              </w:rPr>
            </w:pPr>
          </w:p>
        </w:tc>
        <w:tc>
          <w:tcPr>
            <w:tcW w:w="1462" w:type="pct"/>
            <w:vMerge w:val="continue"/>
            <w:tcBorders>
              <w:tl2br w:val="nil"/>
              <w:tr2bl w:val="nil"/>
            </w:tcBorders>
            <w:noWrap/>
            <w:vAlign w:val="center"/>
          </w:tcPr>
          <w:p>
            <w:pPr>
              <w:pStyle w:val="45"/>
              <w:spacing w:line="360" w:lineRule="auto"/>
              <w:rPr>
                <w:color w:val="FF0000"/>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电磁辐射</w:t>
            </w:r>
          </w:p>
        </w:tc>
        <w:tc>
          <w:tcPr>
            <w:tcW w:w="836"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pPr>
              <w:pStyle w:val="7"/>
              <w:ind w:firstLine="480"/>
              <w:jc w:val="both"/>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本项目一体化污水处理设施各类池体、池面均采取防渗措施，项目产生的医疗废水经市政管网排入</w:t>
            </w:r>
            <w:r>
              <w:rPr>
                <w:rFonts w:hint="eastAsia" w:ascii="Times New Roman" w:hAnsi="Times New Roman" w:eastAsia="宋体" w:cs="Times New Roman"/>
                <w:color w:val="000000" w:themeColor="text1"/>
                <w:lang w:val="en-US" w:eastAsia="zh-CN"/>
              </w:rPr>
              <w:t>临湘市污水净化中心</w:t>
            </w:r>
            <w:r>
              <w:rPr>
                <w:rFonts w:hint="eastAsia" w:ascii="Times New Roman" w:hAnsi="Times New Roman" w:eastAsia="宋体" w:cs="Times New Roman"/>
                <w:color w:val="000000" w:themeColor="text1"/>
              </w:rPr>
              <w:t>进行处理，对所在地的地下水环境基本无影响。</w:t>
            </w:r>
          </w:p>
          <w:p>
            <w:pPr>
              <w:pStyle w:val="7"/>
              <w:ind w:firstLine="480"/>
              <w:jc w:val="both"/>
              <w:rPr>
                <w:color w:val="000000" w:themeColor="text1"/>
              </w:rPr>
            </w:pPr>
            <w:r>
              <w:rPr>
                <w:rFonts w:hint="eastAsia" w:ascii="Times New Roman" w:hAnsi="Times New Roman" w:eastAsia="宋体" w:cs="Times New Roman"/>
                <w:color w:val="000000" w:themeColor="text1"/>
              </w:rPr>
              <w:t>根据现状，医院已设置了规范性的危废暂存间，为避免有毒有害物质下渗对土壤造成影响，贮存场所已严格按《危险废物贮存污染控制标准》（GB18597-2023）、《医疗废物集中处置技术规范》（环发〔2003〕206号）、《一般工业固体废物贮存和填埋污染控制标准》（GB18599-2020）中相关要求建设，采取防渗、防漏、防逸散措施，阻止其渗入土壤，不会对项目周边土壤、地下水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pPr>
              <w:pStyle w:val="7"/>
              <w:ind w:firstLine="480"/>
              <w:jc w:val="both"/>
              <w:rPr>
                <w:color w:val="000000" w:themeColor="text1"/>
              </w:rPr>
            </w:pPr>
            <w:r>
              <w:rPr>
                <w:rFonts w:hint="eastAsia"/>
                <w:color w:val="000000" w:themeColor="text1"/>
                <w:lang w:val="en-US" w:eastAsia="zh-CN"/>
              </w:rPr>
              <w:t>1）</w:t>
            </w:r>
            <w:r>
              <w:rPr>
                <w:color w:val="000000" w:themeColor="text1"/>
              </w:rPr>
              <w:t>医院运营过程防范措施</w:t>
            </w:r>
          </w:p>
          <w:p>
            <w:pPr>
              <w:pStyle w:val="7"/>
              <w:ind w:firstLine="480"/>
              <w:jc w:val="both"/>
              <w:rPr>
                <w:color w:val="000000" w:themeColor="text1"/>
              </w:rPr>
            </w:pPr>
            <w:r>
              <w:rPr>
                <w:color w:val="000000" w:themeColor="text1"/>
              </w:rPr>
              <w:t>①加强职工的安全教育，提高安全防范风险的意识。</w:t>
            </w:r>
          </w:p>
          <w:p>
            <w:pPr>
              <w:pStyle w:val="7"/>
              <w:ind w:firstLine="480"/>
              <w:jc w:val="both"/>
              <w:rPr>
                <w:color w:val="000000" w:themeColor="text1"/>
              </w:rPr>
            </w:pPr>
            <w:r>
              <w:rPr>
                <w:color w:val="000000" w:themeColor="text1"/>
              </w:rPr>
              <w:t>②医院雨水排口应设置雨水阀门，一旦发生火灾，消防废水进入雨水沟渠，应当及时关闭雨水阀门，利用应急泵将消防废水抽至污水管网，进入</w:t>
            </w:r>
            <w:r>
              <w:rPr>
                <w:rFonts w:hint="eastAsia"/>
                <w:color w:val="000000" w:themeColor="text1"/>
                <w:lang w:eastAsia="zh-CN"/>
              </w:rPr>
              <w:t>临湘市污水净化中心</w:t>
            </w:r>
            <w:r>
              <w:rPr>
                <w:rFonts w:hint="eastAsia"/>
                <w:color w:val="000000" w:themeColor="text1"/>
              </w:rPr>
              <w:t>处理</w:t>
            </w:r>
            <w:r>
              <w:rPr>
                <w:color w:val="000000" w:themeColor="text1"/>
              </w:rPr>
              <w:t>。</w:t>
            </w:r>
          </w:p>
          <w:p>
            <w:pPr>
              <w:pStyle w:val="7"/>
              <w:ind w:firstLine="480"/>
              <w:jc w:val="both"/>
              <w:rPr>
                <w:color w:val="000000" w:themeColor="text1"/>
              </w:rPr>
            </w:pPr>
            <w:r>
              <w:rPr>
                <w:color w:val="000000" w:themeColor="text1"/>
              </w:rPr>
              <w:t>③医院医疗污水处理站排口应该设置污水阀门，一旦污水处理设备发生故障，废水非正常排放，应及时关闭污水阀门，待设备检修完成后，可恢复正常运行。</w:t>
            </w:r>
          </w:p>
          <w:p>
            <w:pPr>
              <w:pStyle w:val="7"/>
              <w:ind w:firstLine="480"/>
              <w:jc w:val="both"/>
              <w:rPr>
                <w:color w:val="000000" w:themeColor="text1"/>
              </w:rPr>
            </w:pPr>
            <w:r>
              <w:rPr>
                <w:color w:val="000000" w:themeColor="text1"/>
              </w:rPr>
              <w:t>3）危险废物贮存过程的风险防范措施</w:t>
            </w:r>
          </w:p>
          <w:p>
            <w:pPr>
              <w:pStyle w:val="7"/>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)和《危险废物收集、贮存、运输技术规范》（HJ2025-2012）中要求，做好贮存风险事故防范工作。</w:t>
            </w:r>
          </w:p>
          <w:p>
            <w:pPr>
              <w:pStyle w:val="7"/>
              <w:ind w:firstLine="480"/>
              <w:jc w:val="both"/>
              <w:rPr>
                <w:color w:val="000000" w:themeColor="text1"/>
              </w:rPr>
            </w:pPr>
            <w:r>
              <w:rPr>
                <w:color w:val="000000" w:themeColor="text1"/>
              </w:rPr>
              <w:t>①危险废物暂存间应配备照明设施和消防设施。</w:t>
            </w:r>
          </w:p>
          <w:p>
            <w:pPr>
              <w:pStyle w:val="7"/>
              <w:ind w:firstLine="480"/>
              <w:jc w:val="both"/>
              <w:rPr>
                <w:color w:val="000000" w:themeColor="text1"/>
              </w:rPr>
            </w:pPr>
            <w:r>
              <w:rPr>
                <w:color w:val="000000" w:themeColor="text1"/>
              </w:rPr>
              <w:t>②危险废物暂存间基础做防渗处理，防渗层渗透系数不大于1.0×10</w:t>
            </w:r>
            <w:r>
              <w:rPr>
                <w:color w:val="000000" w:themeColor="text1"/>
                <w:vertAlign w:val="superscript"/>
              </w:rPr>
              <w:t>-7</w:t>
            </w:r>
            <w:r>
              <w:rPr>
                <w:color w:val="000000" w:themeColor="text1"/>
              </w:rPr>
              <w:t>cm/s；地面与裙脚使用坚固、防渗材料建造，建筑材料必须与危险废物相容，地面必须为耐腐蚀硬化地面，且表面无裂隙。</w:t>
            </w:r>
          </w:p>
          <w:p>
            <w:pPr>
              <w:pStyle w:val="7"/>
              <w:ind w:firstLine="480"/>
              <w:jc w:val="both"/>
              <w:rPr>
                <w:color w:val="000000" w:themeColor="text1"/>
              </w:rPr>
            </w:pPr>
            <w:r>
              <w:rPr>
                <w:color w:val="000000" w:themeColor="text1"/>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7"/>
              <w:ind w:firstLine="480"/>
              <w:jc w:val="both"/>
              <w:rPr>
                <w:color w:val="000000" w:themeColor="text1"/>
              </w:rPr>
            </w:pPr>
            <w:r>
              <w:rPr>
                <w:color w:val="000000" w:themeColor="text1"/>
              </w:rPr>
              <w:t>④编制环境风险应急预案。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499" w:type="pct"/>
            <w:tcBorders>
              <w:tl2br w:val="nil"/>
              <w:tr2bl w:val="nil"/>
            </w:tcBorders>
            <w:noWrap/>
            <w:vAlign w:val="center"/>
          </w:tcPr>
          <w:p>
            <w:pPr>
              <w:pStyle w:val="45"/>
              <w:spacing w:line="360" w:lineRule="auto"/>
              <w:rPr>
                <w:color w:val="000000" w:themeColor="text1"/>
                <w:sz w:val="24"/>
                <w:szCs w:val="24"/>
              </w:rPr>
            </w:pPr>
            <w:r>
              <w:rPr>
                <w:rFonts w:hint="eastAsia"/>
                <w:color w:val="000000" w:themeColor="text1"/>
                <w:sz w:val="24"/>
                <w:szCs w:val="24"/>
              </w:rPr>
              <w:t>其他环境管理要求</w:t>
            </w:r>
          </w:p>
        </w:tc>
        <w:tc>
          <w:tcPr>
            <w:tcW w:w="4500" w:type="pct"/>
            <w:gridSpan w:val="4"/>
            <w:tcBorders>
              <w:tl2br w:val="nil"/>
              <w:tr2bl w:val="nil"/>
            </w:tcBorders>
            <w:noWrap/>
            <w:vAlign w:val="center"/>
          </w:tcPr>
          <w:p>
            <w:pPr>
              <w:pStyle w:val="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（1）排污许可证办理</w:t>
            </w:r>
          </w:p>
          <w:p>
            <w:pPr>
              <w:pStyle w:val="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根据《固定污染源排污许可分类管理名录》（</w:t>
            </w:r>
            <w:r>
              <w:rPr>
                <w:rFonts w:hint="default"/>
                <w:color w:val="auto"/>
                <w:lang w:val="en-US" w:eastAsia="zh-CN"/>
              </w:rPr>
              <w:t xml:space="preserve">2019 </w:t>
            </w:r>
            <w:r>
              <w:rPr>
                <w:rFonts w:hint="eastAsia"/>
                <w:color w:val="auto"/>
                <w:lang w:val="en-US" w:eastAsia="zh-CN"/>
              </w:rPr>
              <w:t>年），本项目属于“四十九、卫生”“</w:t>
            </w:r>
            <w:r>
              <w:rPr>
                <w:rFonts w:ascii="Helvetica" w:hAnsi="Helvetica" w:eastAsia="Helvetica" w:cs="Helvetica"/>
                <w:i w:val="0"/>
                <w:iCs w:val="0"/>
                <w:caps w:val="0"/>
                <w:color w:val="333333"/>
                <w:spacing w:val="0"/>
                <w:sz w:val="24"/>
                <w:szCs w:val="24"/>
                <w:shd w:val="clear" w:fill="FFFFFF"/>
              </w:rPr>
              <w:t>床位100张以下的综合</w:t>
            </w:r>
            <w:r>
              <w:rPr>
                <w:rFonts w:hint="default" w:ascii="Helvetica" w:hAnsi="Helvetica" w:eastAsia="Helvetica" w:cs="Helvetica"/>
                <w:i w:val="0"/>
                <w:iCs w:val="0"/>
                <w:caps w:val="0"/>
                <w:color w:val="auto"/>
                <w:spacing w:val="0"/>
                <w:sz w:val="24"/>
                <w:szCs w:val="24"/>
                <w:shd w:val="clear" w:fill="FFFFFF"/>
              </w:rPr>
              <w:t>医院</w:t>
            </w:r>
            <w:r>
              <w:rPr>
                <w:rFonts w:hint="default" w:ascii="Helvetica" w:hAnsi="Helvetica" w:eastAsia="Helvetica" w:cs="Helvetica"/>
                <w:i w:val="0"/>
                <w:iCs w:val="0"/>
                <w:caps w:val="0"/>
                <w:color w:val="333333"/>
                <w:spacing w:val="0"/>
                <w:sz w:val="24"/>
                <w:szCs w:val="24"/>
                <w:shd w:val="clear" w:fill="FFFFFF"/>
              </w:rPr>
              <w:t>8411</w:t>
            </w:r>
            <w:r>
              <w:rPr>
                <w:rFonts w:hint="eastAsia"/>
                <w:color w:val="auto"/>
                <w:lang w:val="en-US" w:eastAsia="zh-CN"/>
              </w:rPr>
              <w:t>”，应实施排污许可证登记管理。</w:t>
            </w:r>
          </w:p>
          <w:p>
            <w:pPr>
              <w:pStyle w:val="7"/>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排污口规范化设置</w:t>
            </w:r>
          </w:p>
          <w:p>
            <w:pPr>
              <w:pStyle w:val="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按照国家环保总局《排污口规范化整治技术要求》，本项目排污口规范化管理具体要求见表</w:t>
            </w:r>
            <w:r>
              <w:rPr>
                <w:rFonts w:hint="default"/>
                <w:color w:val="auto"/>
                <w:lang w:val="en-US" w:eastAsia="zh-CN"/>
              </w:rPr>
              <w:t>5-1</w:t>
            </w:r>
            <w:r>
              <w:rPr>
                <w:rFonts w:hint="eastAsia"/>
                <w:color w:val="auto"/>
                <w:lang w:val="en-US" w:eastAsia="zh-CN"/>
              </w:rPr>
              <w:t xml:space="preserve">，各排污口图形符号见表 </w:t>
            </w:r>
            <w:r>
              <w:rPr>
                <w:rFonts w:hint="default"/>
                <w:color w:val="auto"/>
                <w:lang w:val="en-US" w:eastAsia="zh-CN"/>
              </w:rPr>
              <w:t>5-2</w:t>
            </w:r>
            <w:r>
              <w:rPr>
                <w:rFonts w:hint="eastAsia"/>
                <w:color w:val="auto"/>
                <w:lang w:val="en-US" w:eastAsia="zh-CN"/>
              </w:rPr>
              <w:t>。</w:t>
            </w:r>
          </w:p>
          <w:p>
            <w:pPr>
              <w:pStyle w:val="46"/>
              <w:rPr>
                <w:color w:val="auto"/>
                <w:u w:val="none"/>
              </w:rPr>
            </w:pPr>
            <w:r>
              <w:rPr>
                <w:rFonts w:hint="eastAsia"/>
                <w:color w:val="auto"/>
                <w:u w:val="none"/>
                <w:lang w:val="en-US" w:eastAsia="zh-CN"/>
              </w:rPr>
              <w:t xml:space="preserve">表 </w:t>
            </w:r>
            <w:r>
              <w:rPr>
                <w:rFonts w:hint="default"/>
                <w:color w:val="auto"/>
                <w:u w:val="none"/>
                <w:lang w:val="en-US" w:eastAsia="zh-CN"/>
              </w:rPr>
              <w:t xml:space="preserve">5-1 </w:t>
            </w:r>
            <w:r>
              <w:rPr>
                <w:rFonts w:hint="eastAsia"/>
                <w:color w:val="auto"/>
                <w:u w:val="none"/>
                <w:lang w:val="en-US" w:eastAsia="zh-CN"/>
              </w:rPr>
              <w:t>排污口规范化管理要求表</w:t>
            </w:r>
          </w:p>
          <w:tbl>
            <w:tblPr>
              <w:tblStyle w:val="32"/>
              <w:tblW w:w="7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6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pPr>
                    <w:pStyle w:val="45"/>
                    <w:jc w:val="center"/>
                    <w:rPr>
                      <w:rFonts w:hint="eastAsia"/>
                      <w:color w:val="auto"/>
                      <w:u w:val="none"/>
                      <w:lang w:val="en-US" w:eastAsia="zh-CN"/>
                    </w:rPr>
                  </w:pPr>
                  <w:r>
                    <w:rPr>
                      <w:rFonts w:hint="eastAsia"/>
                      <w:color w:val="auto"/>
                      <w:u w:val="none"/>
                      <w:lang w:val="en-US" w:eastAsia="zh-CN"/>
                    </w:rPr>
                    <w:t>项目</w:t>
                  </w:r>
                </w:p>
              </w:tc>
              <w:tc>
                <w:tcPr>
                  <w:tcW w:w="6224" w:type="dxa"/>
                  <w:vAlign w:val="center"/>
                </w:tcPr>
                <w:p>
                  <w:pPr>
                    <w:pStyle w:val="45"/>
                    <w:jc w:val="center"/>
                    <w:rPr>
                      <w:rFonts w:hint="eastAsia"/>
                      <w:color w:val="auto"/>
                      <w:u w:val="none"/>
                      <w:lang w:val="en-US" w:eastAsia="zh-CN"/>
                    </w:rPr>
                  </w:pPr>
                  <w:r>
                    <w:rPr>
                      <w:rFonts w:hint="eastAsia"/>
                      <w:color w:val="auto"/>
                      <w:u w:val="none"/>
                      <w:lang w:val="en-US" w:eastAsia="zh-CN"/>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pPr>
                    <w:pStyle w:val="45"/>
                    <w:jc w:val="center"/>
                    <w:rPr>
                      <w:rFonts w:hint="eastAsia"/>
                      <w:color w:val="auto"/>
                      <w:u w:val="none"/>
                      <w:lang w:val="en-US" w:eastAsia="zh-CN"/>
                    </w:rPr>
                  </w:pPr>
                  <w:r>
                    <w:rPr>
                      <w:rFonts w:hint="eastAsia"/>
                      <w:color w:val="auto"/>
                      <w:u w:val="none"/>
                      <w:lang w:val="en-US" w:eastAsia="zh-CN"/>
                    </w:rPr>
                    <w:t>基本原则</w:t>
                  </w:r>
                </w:p>
              </w:tc>
              <w:tc>
                <w:tcPr>
                  <w:tcW w:w="6224"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、凡向环境排放污染物的一切排污口必须进行规范化管理；</w:t>
                  </w:r>
                </w:p>
                <w:p>
                  <w:pPr>
                    <w:pStyle w:val="45"/>
                    <w:jc w:val="both"/>
                    <w:rPr>
                      <w:color w:val="auto"/>
                      <w:u w:val="none"/>
                    </w:rPr>
                  </w:pPr>
                  <w:r>
                    <w:rPr>
                      <w:rFonts w:hint="default"/>
                      <w:color w:val="auto"/>
                      <w:u w:val="none"/>
                      <w:lang w:val="en-US" w:eastAsia="zh-CN"/>
                    </w:rPr>
                    <w:t>2</w:t>
                  </w:r>
                  <w:r>
                    <w:rPr>
                      <w:rFonts w:hint="eastAsia"/>
                      <w:color w:val="auto"/>
                      <w:u w:val="none"/>
                      <w:lang w:val="en-US" w:eastAsia="zh-CN"/>
                    </w:rPr>
                    <w:t>、将总量控制的污染物排污口及行业特征污染物排放口列为管理的重点；</w:t>
                  </w:r>
                </w:p>
                <w:p>
                  <w:pPr>
                    <w:pStyle w:val="45"/>
                    <w:jc w:val="both"/>
                    <w:rPr>
                      <w:color w:val="auto"/>
                      <w:u w:val="none"/>
                    </w:rPr>
                  </w:pPr>
                  <w:r>
                    <w:rPr>
                      <w:rFonts w:hint="default"/>
                      <w:color w:val="auto"/>
                      <w:u w:val="none"/>
                      <w:lang w:val="en-US" w:eastAsia="zh-CN"/>
                    </w:rPr>
                    <w:t>3</w:t>
                  </w:r>
                  <w:r>
                    <w:rPr>
                      <w:rFonts w:hint="eastAsia"/>
                      <w:color w:val="auto"/>
                      <w:u w:val="none"/>
                      <w:lang w:val="en-US" w:eastAsia="zh-CN"/>
                    </w:rPr>
                    <w:t>、排污口设置应便于采样和计量监测，便于日常现场监督和检查；</w:t>
                  </w:r>
                </w:p>
                <w:p>
                  <w:pPr>
                    <w:pStyle w:val="45"/>
                    <w:jc w:val="both"/>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pPr>
                    <w:pStyle w:val="45"/>
                    <w:jc w:val="center"/>
                    <w:rPr>
                      <w:rFonts w:hint="eastAsia"/>
                      <w:color w:val="auto"/>
                      <w:u w:val="none"/>
                      <w:lang w:val="en-US" w:eastAsia="zh-CN"/>
                    </w:rPr>
                  </w:pPr>
                  <w:r>
                    <w:rPr>
                      <w:rFonts w:hint="eastAsia"/>
                      <w:color w:val="auto"/>
                      <w:u w:val="none"/>
                      <w:lang w:val="en-US" w:eastAsia="zh-CN"/>
                    </w:rPr>
                    <w:t>技术要求</w:t>
                  </w:r>
                </w:p>
              </w:tc>
              <w:tc>
                <w:tcPr>
                  <w:tcW w:w="6224"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、排污口位置必须按照环监（</w:t>
                  </w:r>
                  <w:r>
                    <w:rPr>
                      <w:rFonts w:hint="default"/>
                      <w:color w:val="auto"/>
                      <w:u w:val="none"/>
                      <w:lang w:val="en-US" w:eastAsia="zh-CN"/>
                    </w:rPr>
                    <w:t>1996</w:t>
                  </w:r>
                  <w:r>
                    <w:rPr>
                      <w:rFonts w:hint="eastAsia"/>
                      <w:color w:val="auto"/>
                      <w:u w:val="none"/>
                      <w:lang w:val="en-US" w:eastAsia="zh-CN"/>
                    </w:rPr>
                    <w:t>）</w:t>
                  </w:r>
                  <w:r>
                    <w:rPr>
                      <w:rFonts w:hint="default"/>
                      <w:color w:val="auto"/>
                      <w:u w:val="none"/>
                      <w:lang w:val="en-US" w:eastAsia="zh-CN"/>
                    </w:rPr>
                    <w:t xml:space="preserve">470 </w:t>
                  </w:r>
                  <w:r>
                    <w:rPr>
                      <w:rFonts w:hint="eastAsia"/>
                      <w:color w:val="auto"/>
                      <w:u w:val="none"/>
                      <w:lang w:val="en-US" w:eastAsia="zh-CN"/>
                    </w:rPr>
                    <w:t>号文要求合理确定，实行规范化管理；</w:t>
                  </w:r>
                </w:p>
                <w:p>
                  <w:pPr>
                    <w:pStyle w:val="45"/>
                    <w:jc w:val="both"/>
                    <w:rPr>
                      <w:rFonts w:hint="eastAsia"/>
                      <w:color w:val="auto"/>
                      <w:u w:val="none"/>
                      <w:lang w:val="en-US" w:eastAsia="zh-CN"/>
                    </w:rPr>
                  </w:pPr>
                  <w:r>
                    <w:rPr>
                      <w:rFonts w:hint="default"/>
                      <w:color w:val="auto"/>
                      <w:u w:val="none"/>
                      <w:lang w:val="en-US" w:eastAsia="zh-CN"/>
                    </w:rPr>
                    <w:t>2</w:t>
                  </w:r>
                  <w:r>
                    <w:rPr>
                      <w:rFonts w:hint="eastAsia"/>
                      <w:color w:val="auto"/>
                      <w:u w:val="none"/>
                      <w:lang w:val="en-US" w:eastAsia="zh-CN"/>
                    </w:rPr>
                    <w:t>、具体设置应符合《污染源监测技术规范》的规定与要求。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pPr>
                    <w:pStyle w:val="45"/>
                    <w:jc w:val="center"/>
                    <w:rPr>
                      <w:rFonts w:hint="eastAsia"/>
                      <w:color w:val="auto"/>
                      <w:u w:val="none"/>
                      <w:lang w:val="en-US" w:eastAsia="zh-CN"/>
                    </w:rPr>
                  </w:pPr>
                  <w:r>
                    <w:rPr>
                      <w:rFonts w:hint="eastAsia"/>
                      <w:color w:val="auto"/>
                      <w:u w:val="none"/>
                      <w:lang w:val="en-US" w:eastAsia="zh-CN"/>
                    </w:rPr>
                    <w:t>立标管理</w:t>
                  </w:r>
                </w:p>
              </w:tc>
              <w:tc>
                <w:tcPr>
                  <w:tcW w:w="6224"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、排污口必须按照国家《环境保护图形标志》相关规定，设置环保图形标志牌；</w:t>
                  </w:r>
                </w:p>
                <w:p>
                  <w:pPr>
                    <w:pStyle w:val="45"/>
                    <w:jc w:val="both"/>
                    <w:rPr>
                      <w:color w:val="auto"/>
                      <w:u w:val="none"/>
                    </w:rPr>
                  </w:pPr>
                  <w:r>
                    <w:rPr>
                      <w:rFonts w:hint="default"/>
                      <w:color w:val="auto"/>
                      <w:u w:val="none"/>
                      <w:lang w:val="en-US" w:eastAsia="zh-CN"/>
                    </w:rPr>
                    <w:t>2</w:t>
                  </w:r>
                  <w:r>
                    <w:rPr>
                      <w:rFonts w:hint="eastAsia"/>
                      <w:color w:val="auto"/>
                      <w:u w:val="none"/>
                      <w:lang w:val="en-US" w:eastAsia="zh-CN"/>
                    </w:rPr>
                    <w:t xml:space="preserve">、标志牌设置位置应距排污口及固体废物贮存（处置）场或采样点较近且醒目处，设置高度一般为标志牌上缘距离地面约 </w:t>
                  </w:r>
                  <w:r>
                    <w:rPr>
                      <w:rFonts w:hint="default"/>
                      <w:color w:val="auto"/>
                      <w:u w:val="none"/>
                      <w:lang w:val="en-US" w:eastAsia="zh-CN"/>
                    </w:rPr>
                    <w:t>2m</w:t>
                  </w:r>
                  <w:r>
                    <w:rPr>
                      <w:rFonts w:hint="eastAsia"/>
                      <w:color w:val="auto"/>
                      <w:u w:val="none"/>
                      <w:lang w:val="en-US" w:eastAsia="zh-CN"/>
                    </w:rPr>
                    <w:t>；</w:t>
                  </w:r>
                </w:p>
                <w:p>
                  <w:pPr>
                    <w:pStyle w:val="45"/>
                    <w:jc w:val="both"/>
                    <w:rPr>
                      <w:color w:val="auto"/>
                      <w:u w:val="none"/>
                    </w:rPr>
                  </w:pPr>
                  <w:r>
                    <w:rPr>
                      <w:rFonts w:hint="default"/>
                      <w:color w:val="auto"/>
                      <w:u w:val="none"/>
                      <w:lang w:val="en-US" w:eastAsia="zh-CN"/>
                    </w:rPr>
                    <w:t>3</w:t>
                  </w:r>
                  <w:r>
                    <w:rPr>
                      <w:rFonts w:hint="eastAsia"/>
                      <w:color w:val="auto"/>
                      <w:u w:val="none"/>
                      <w:lang w:val="en-US" w:eastAsia="zh-CN"/>
                    </w:rPr>
                    <w:t>、重点排污单位排污口设立式标志牌，一般单位排污口可设立式或平面固定式提示性环保图形标志牌；</w:t>
                  </w:r>
                </w:p>
                <w:p>
                  <w:pPr>
                    <w:pStyle w:val="45"/>
                    <w:jc w:val="both"/>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、对危险物贮存、处置场所，必须设置警告性环境保护图形标志牌。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pPr>
                    <w:pStyle w:val="45"/>
                    <w:jc w:val="center"/>
                    <w:rPr>
                      <w:rFonts w:hint="eastAsia"/>
                      <w:color w:val="auto"/>
                      <w:u w:val="none"/>
                      <w:lang w:val="en-US" w:eastAsia="zh-CN"/>
                    </w:rPr>
                  </w:pPr>
                  <w:r>
                    <w:rPr>
                      <w:rFonts w:hint="eastAsia"/>
                      <w:color w:val="auto"/>
                      <w:u w:val="none"/>
                      <w:lang w:val="en-US" w:eastAsia="zh-CN"/>
                    </w:rPr>
                    <w:t>建档管理</w:t>
                  </w:r>
                </w:p>
              </w:tc>
              <w:tc>
                <w:tcPr>
                  <w:tcW w:w="6224"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、使用《中华人民共和国规范化排污口标志登记证》，并按要求填写有关内容；</w:t>
                  </w:r>
                </w:p>
                <w:p>
                  <w:pPr>
                    <w:pStyle w:val="45"/>
                    <w:jc w:val="both"/>
                    <w:rPr>
                      <w:color w:val="auto"/>
                      <w:u w:val="none"/>
                    </w:rPr>
                  </w:pPr>
                  <w:r>
                    <w:rPr>
                      <w:rFonts w:hint="default"/>
                      <w:color w:val="auto"/>
                      <w:u w:val="none"/>
                      <w:lang w:val="en-US" w:eastAsia="zh-CN"/>
                    </w:rPr>
                    <w:t>2</w:t>
                  </w:r>
                  <w:r>
                    <w:rPr>
                      <w:rFonts w:hint="eastAsia"/>
                      <w:color w:val="auto"/>
                      <w:u w:val="none"/>
                      <w:lang w:val="en-US" w:eastAsia="zh-CN"/>
                    </w:rPr>
                    <w:t>、严格按照环境管理监控计划及排污口管理内容要求，在工程建成后将主要污染物种类、数量、排放浓度与去向，立标及环保设施运行情况记录在案，并及时上报；</w:t>
                  </w:r>
                </w:p>
                <w:p>
                  <w:pPr>
                    <w:pStyle w:val="45"/>
                    <w:jc w:val="both"/>
                    <w:rPr>
                      <w:rFonts w:hint="eastAsia"/>
                      <w:color w:val="auto"/>
                      <w:u w:val="none"/>
                      <w:lang w:val="en-US" w:eastAsia="zh-CN"/>
                    </w:rPr>
                  </w:pPr>
                  <w:r>
                    <w:rPr>
                      <w:rFonts w:hint="default"/>
                      <w:color w:val="auto"/>
                      <w:u w:val="none"/>
                      <w:lang w:val="en-US" w:eastAsia="zh-CN"/>
                    </w:rPr>
                    <w:t>3</w:t>
                  </w:r>
                  <w:r>
                    <w:rPr>
                      <w:rFonts w:hint="eastAsia"/>
                      <w:color w:val="auto"/>
                      <w:u w:val="none"/>
                      <w:lang w:val="en-US" w:eastAsia="zh-CN"/>
                    </w:rPr>
                    <w:t>、选派有专业技能环保人员对排污口进行管理，做到责任明确、奖罚分明。</w:t>
                  </w:r>
                </w:p>
              </w:tc>
            </w:tr>
          </w:tbl>
          <w:p>
            <w:pPr>
              <w:pStyle w:val="46"/>
              <w:rPr>
                <w:rFonts w:hint="eastAsia"/>
                <w:color w:val="auto"/>
                <w:u w:val="none"/>
                <w:lang w:val="en-US" w:eastAsia="zh-CN"/>
              </w:rPr>
            </w:pPr>
            <w:r>
              <w:rPr>
                <w:rFonts w:hint="eastAsia"/>
                <w:color w:val="auto"/>
                <w:u w:val="none"/>
                <w:lang w:val="en-US" w:eastAsia="zh-CN"/>
              </w:rPr>
              <w:t xml:space="preserve">表 </w:t>
            </w:r>
            <w:r>
              <w:rPr>
                <w:rFonts w:hint="default"/>
                <w:color w:val="auto"/>
                <w:u w:val="none"/>
                <w:lang w:val="en-US" w:eastAsia="zh-CN"/>
              </w:rPr>
              <w:t xml:space="preserve">5-2 </w:t>
            </w:r>
            <w:r>
              <w:rPr>
                <w:rFonts w:hint="eastAsia"/>
                <w:color w:val="auto"/>
                <w:u w:val="none"/>
                <w:lang w:val="en-US" w:eastAsia="zh-CN"/>
              </w:rPr>
              <w:t>排污口图形符号（提示标志）一览表</w:t>
            </w:r>
          </w:p>
          <w:tbl>
            <w:tblPr>
              <w:tblStyle w:val="32"/>
              <w:tblW w:w="7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784"/>
              <w:gridCol w:w="1674"/>
              <w:gridCol w:w="1503"/>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序号</w:t>
                  </w:r>
                </w:p>
              </w:tc>
              <w:tc>
                <w:tcPr>
                  <w:tcW w:w="165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提示图像符号</w:t>
                  </w:r>
                </w:p>
              </w:tc>
              <w:tc>
                <w:tcPr>
                  <w:tcW w:w="1548"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警告图像符号</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名称</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vAlign w:val="center"/>
                </w:tcPr>
                <w:p>
                  <w:pPr>
                    <w:pStyle w:val="45"/>
                    <w:jc w:val="center"/>
                    <w:rPr>
                      <w:rFonts w:hint="default" w:eastAsia="宋体"/>
                      <w:color w:val="auto"/>
                      <w:u w:val="none"/>
                      <w:lang w:val="en-US" w:eastAsia="zh-CN"/>
                    </w:rPr>
                  </w:pPr>
                  <w:r>
                    <w:rPr>
                      <w:rFonts w:hint="eastAsia" w:eastAsia="宋体"/>
                      <w:color w:val="auto"/>
                      <w:u w:val="none"/>
                      <w:lang w:val="en-US" w:eastAsia="zh-CN"/>
                    </w:rPr>
                    <w:t>1</w:t>
                  </w:r>
                </w:p>
              </w:tc>
              <w:tc>
                <w:tcPr>
                  <w:tcW w:w="165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8685" cy="916940"/>
                        <wp:effectExtent l="0" t="0" r="571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908685" cy="916940"/>
                                </a:xfrm>
                                <a:prstGeom prst="rect">
                                  <a:avLst/>
                                </a:prstGeom>
                                <a:noFill/>
                                <a:ln>
                                  <a:noFill/>
                                </a:ln>
                              </pic:spPr>
                            </pic:pic>
                          </a:graphicData>
                        </a:graphic>
                      </wp:inline>
                    </w:drawing>
                  </w:r>
                </w:p>
              </w:tc>
              <w:tc>
                <w:tcPr>
                  <w:tcW w:w="1548"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4550" cy="708025"/>
                        <wp:effectExtent l="0" t="0" r="889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844550" cy="708025"/>
                                </a:xfrm>
                                <a:prstGeom prst="rect">
                                  <a:avLst/>
                                </a:prstGeom>
                                <a:noFill/>
                                <a:ln>
                                  <a:noFill/>
                                </a:ln>
                              </pic:spPr>
                            </pic:pic>
                          </a:graphicData>
                        </a:graphic>
                      </wp:inline>
                    </w:drawing>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废气排放口</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vAlign w:val="center"/>
                </w:tcPr>
                <w:p>
                  <w:pPr>
                    <w:pStyle w:val="45"/>
                    <w:jc w:val="center"/>
                    <w:rPr>
                      <w:rFonts w:hint="default" w:eastAsia="宋体"/>
                      <w:color w:val="auto"/>
                      <w:u w:val="none"/>
                      <w:lang w:val="en-US" w:eastAsia="zh-CN"/>
                    </w:rPr>
                  </w:pPr>
                  <w:r>
                    <w:rPr>
                      <w:rFonts w:hint="eastAsia" w:eastAsia="宋体"/>
                      <w:color w:val="auto"/>
                      <w:u w:val="none"/>
                      <w:lang w:val="en-US" w:eastAsia="zh-CN"/>
                    </w:rPr>
                    <w:t>2</w:t>
                  </w:r>
                </w:p>
              </w:tc>
              <w:tc>
                <w:tcPr>
                  <w:tcW w:w="165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955" cy="90678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909955" cy="906780"/>
                                </a:xfrm>
                                <a:prstGeom prst="rect">
                                  <a:avLst/>
                                </a:prstGeom>
                                <a:noFill/>
                                <a:ln>
                                  <a:noFill/>
                                </a:ln>
                              </pic:spPr>
                            </pic:pic>
                          </a:graphicData>
                        </a:graphic>
                      </wp:inline>
                    </w:drawing>
                  </w:r>
                </w:p>
              </w:tc>
              <w:tc>
                <w:tcPr>
                  <w:tcW w:w="1548"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3915" cy="755650"/>
                        <wp:effectExtent l="0" t="0" r="9525"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843915" cy="755650"/>
                                </a:xfrm>
                                <a:prstGeom prst="rect">
                                  <a:avLst/>
                                </a:prstGeom>
                                <a:noFill/>
                                <a:ln>
                                  <a:noFill/>
                                </a:ln>
                              </pic:spPr>
                            </pic:pic>
                          </a:graphicData>
                        </a:graphic>
                      </wp:inline>
                    </w:drawing>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废水排放口</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表示废水向水环境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vAlign w:val="center"/>
                </w:tcPr>
                <w:p>
                  <w:pPr>
                    <w:pStyle w:val="45"/>
                    <w:jc w:val="center"/>
                    <w:rPr>
                      <w:rFonts w:hint="default" w:eastAsia="宋体"/>
                      <w:color w:val="auto"/>
                      <w:u w:val="none"/>
                      <w:lang w:val="en-US" w:eastAsia="zh-CN"/>
                    </w:rPr>
                  </w:pPr>
                  <w:r>
                    <w:rPr>
                      <w:rFonts w:hint="eastAsia" w:eastAsia="宋体"/>
                      <w:color w:val="auto"/>
                      <w:u w:val="none"/>
                      <w:lang w:val="en-US" w:eastAsia="zh-CN"/>
                    </w:rPr>
                    <w:t>3</w:t>
                  </w:r>
                </w:p>
              </w:tc>
              <w:tc>
                <w:tcPr>
                  <w:tcW w:w="165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955" cy="875665"/>
                        <wp:effectExtent l="0" t="0" r="4445" b="825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909955" cy="875665"/>
                                </a:xfrm>
                                <a:prstGeom prst="rect">
                                  <a:avLst/>
                                </a:prstGeom>
                                <a:noFill/>
                                <a:ln>
                                  <a:noFill/>
                                </a:ln>
                              </pic:spPr>
                            </pic:pic>
                          </a:graphicData>
                        </a:graphic>
                      </wp:inline>
                    </w:drawing>
                  </w:r>
                </w:p>
              </w:tc>
              <w:tc>
                <w:tcPr>
                  <w:tcW w:w="1548"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5185" cy="712470"/>
                        <wp:effectExtent l="0" t="0" r="8255" b="381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845185" cy="712470"/>
                                </a:xfrm>
                                <a:prstGeom prst="rect">
                                  <a:avLst/>
                                </a:prstGeom>
                                <a:noFill/>
                                <a:ln>
                                  <a:noFill/>
                                </a:ln>
                              </pic:spPr>
                            </pic:pic>
                          </a:graphicData>
                        </a:graphic>
                      </wp:inline>
                    </w:drawing>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一般固体废物储存</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表示固废储存处置场所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vAlign w:val="center"/>
                </w:tcPr>
                <w:p>
                  <w:pPr>
                    <w:pStyle w:val="45"/>
                    <w:jc w:val="center"/>
                    <w:rPr>
                      <w:rFonts w:hint="default" w:eastAsia="宋体"/>
                      <w:color w:val="auto"/>
                      <w:u w:val="none"/>
                      <w:lang w:val="en-US" w:eastAsia="zh-CN"/>
                    </w:rPr>
                  </w:pPr>
                  <w:r>
                    <w:rPr>
                      <w:rFonts w:hint="eastAsia" w:eastAsia="宋体"/>
                      <w:color w:val="auto"/>
                      <w:u w:val="none"/>
                      <w:lang w:val="en-US" w:eastAsia="zh-CN"/>
                    </w:rPr>
                    <w:t>4</w:t>
                  </w:r>
                </w:p>
              </w:tc>
              <w:tc>
                <w:tcPr>
                  <w:tcW w:w="165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320" cy="891540"/>
                        <wp:effectExtent l="0" t="0" r="508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3"/>
                                <a:stretch>
                                  <a:fillRect/>
                                </a:stretch>
                              </pic:blipFill>
                              <pic:spPr>
                                <a:xfrm>
                                  <a:off x="0" y="0"/>
                                  <a:ext cx="909320" cy="891540"/>
                                </a:xfrm>
                                <a:prstGeom prst="rect">
                                  <a:avLst/>
                                </a:prstGeom>
                                <a:noFill/>
                                <a:ln>
                                  <a:noFill/>
                                </a:ln>
                              </pic:spPr>
                            </pic:pic>
                          </a:graphicData>
                        </a:graphic>
                      </wp:inline>
                    </w:drawing>
                  </w:r>
                </w:p>
              </w:tc>
              <w:tc>
                <w:tcPr>
                  <w:tcW w:w="1548"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5185" cy="723900"/>
                        <wp:effectExtent l="0" t="0" r="8255" b="762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4"/>
                                <a:stretch>
                                  <a:fillRect/>
                                </a:stretch>
                              </pic:blipFill>
                              <pic:spPr>
                                <a:xfrm>
                                  <a:off x="0" y="0"/>
                                  <a:ext cx="845185" cy="723900"/>
                                </a:xfrm>
                                <a:prstGeom prst="rect">
                                  <a:avLst/>
                                </a:prstGeom>
                                <a:noFill/>
                                <a:ln>
                                  <a:noFill/>
                                </a:ln>
                              </pic:spPr>
                            </pic:pic>
                          </a:graphicData>
                        </a:graphic>
                      </wp:inline>
                    </w:drawing>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噪声源</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vAlign w:val="center"/>
                </w:tcPr>
                <w:p>
                  <w:pPr>
                    <w:pStyle w:val="45"/>
                    <w:jc w:val="center"/>
                    <w:rPr>
                      <w:rFonts w:hint="default" w:eastAsia="宋体"/>
                      <w:color w:val="auto"/>
                      <w:u w:val="none"/>
                      <w:lang w:val="en-US" w:eastAsia="zh-CN"/>
                    </w:rPr>
                  </w:pPr>
                  <w:r>
                    <w:rPr>
                      <w:rFonts w:hint="eastAsia" w:eastAsia="宋体"/>
                      <w:color w:val="auto"/>
                      <w:u w:val="none"/>
                      <w:lang w:val="en-US" w:eastAsia="zh-CN"/>
                    </w:rPr>
                    <w:t>5</w:t>
                  </w:r>
                </w:p>
              </w:tc>
              <w:tc>
                <w:tcPr>
                  <w:tcW w:w="1650" w:type="dxa"/>
                  <w:vAlign w:val="center"/>
                </w:tcPr>
                <w:p>
                  <w:pPr>
                    <w:pStyle w:val="45"/>
                    <w:jc w:val="center"/>
                    <w:rPr>
                      <w:rFonts w:hint="default" w:eastAsia="宋体"/>
                      <w:color w:val="auto"/>
                      <w:u w:val="none"/>
                      <w:lang w:val="en-US" w:eastAsia="zh-CN"/>
                    </w:rPr>
                  </w:pPr>
                  <w:r>
                    <w:rPr>
                      <w:rFonts w:hint="eastAsia" w:eastAsia="宋体"/>
                      <w:color w:val="auto"/>
                      <w:u w:val="none"/>
                      <w:lang w:val="en-US" w:eastAsia="zh-CN"/>
                    </w:rPr>
                    <w:t>/</w:t>
                  </w:r>
                </w:p>
              </w:tc>
              <w:tc>
                <w:tcPr>
                  <w:tcW w:w="1548" w:type="dxa"/>
                  <w:vAlign w:val="center"/>
                </w:tcPr>
                <w:p>
                  <w:pPr>
                    <w:pStyle w:val="45"/>
                    <w:jc w:val="center"/>
                    <w:rPr>
                      <w:rFonts w:hint="eastAsia" w:eastAsia="宋体"/>
                      <w:color w:val="auto"/>
                      <w:u w:val="none"/>
                      <w:lang w:val="en-US" w:eastAsia="zh-CN"/>
                    </w:rPr>
                  </w:pPr>
                  <w:r>
                    <w:rPr>
                      <w:rFonts w:hint="default"/>
                      <w:color w:val="auto"/>
                      <w:highlight w:val="none"/>
                      <w:u w:val="none"/>
                      <w:lang w:val="en-US" w:eastAsia="zh-CN"/>
                    </w:rPr>
                    <w:drawing>
                      <wp:inline distT="0" distB="0" distL="114300" distR="114300">
                        <wp:extent cx="879475" cy="723900"/>
                        <wp:effectExtent l="0" t="0" r="9525"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5"/>
                                <a:stretch>
                                  <a:fillRect/>
                                </a:stretch>
                              </pic:blipFill>
                              <pic:spPr>
                                <a:xfrm>
                                  <a:off x="0" y="0"/>
                                  <a:ext cx="879475" cy="723900"/>
                                </a:xfrm>
                                <a:prstGeom prst="rect">
                                  <a:avLst/>
                                </a:prstGeom>
                                <a:noFill/>
                                <a:ln>
                                  <a:noFill/>
                                </a:ln>
                              </pic:spPr>
                            </pic:pic>
                          </a:graphicData>
                        </a:graphic>
                      </wp:inline>
                    </w:drawing>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危险废物</w:t>
                  </w:r>
                </w:p>
              </w:tc>
              <w:tc>
                <w:tcPr>
                  <w:tcW w:w="1390" w:type="dxa"/>
                  <w:vAlign w:val="center"/>
                </w:tcPr>
                <w:p>
                  <w:pPr>
                    <w:pStyle w:val="45"/>
                    <w:jc w:val="center"/>
                    <w:rPr>
                      <w:rFonts w:hint="eastAsia" w:eastAsia="宋体"/>
                      <w:color w:val="auto"/>
                      <w:u w:val="none"/>
                      <w:lang w:val="en-US" w:eastAsia="zh-CN"/>
                    </w:rPr>
                  </w:pPr>
                  <w:r>
                    <w:rPr>
                      <w:rFonts w:hint="eastAsia" w:eastAsia="宋体"/>
                      <w:color w:val="auto"/>
                      <w:u w:val="none"/>
                      <w:lang w:val="en-US" w:eastAsia="zh-CN"/>
                    </w:rPr>
                    <w:t>危险废物贮存、处置场所</w:t>
                  </w:r>
                </w:p>
              </w:tc>
            </w:tr>
          </w:tbl>
          <w:p>
            <w:pPr>
              <w:widowControl/>
              <w:jc w:val="center"/>
              <w:rPr>
                <w:color w:val="000000" w:themeColor="text1"/>
              </w:rPr>
            </w:pPr>
          </w:p>
          <w:p>
            <w:pPr>
              <w:pStyle w:val="45"/>
              <w:spacing w:line="360" w:lineRule="auto"/>
              <w:rPr>
                <w:color w:val="000000" w:themeColor="text1"/>
                <w:sz w:val="24"/>
                <w:szCs w:val="24"/>
              </w:rPr>
            </w:pPr>
          </w:p>
        </w:tc>
      </w:tr>
    </w:tbl>
    <w:p>
      <w:pPr>
        <w:rPr>
          <w:color w:val="FF0000"/>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r>
        <w:rPr>
          <w:color w:val="000000" w:themeColor="text1"/>
        </w:rPr>
        <w:br w:type="page"/>
      </w:r>
      <w:bookmarkStart w:id="71" w:name="_Toc23000"/>
      <w:bookmarkStart w:id="72" w:name="_Toc27518"/>
      <w:bookmarkStart w:id="73" w:name="_Toc14711"/>
      <w:bookmarkStart w:id="74" w:name="_Toc12926"/>
      <w:bookmarkStart w:id="75" w:name="_Toc17826"/>
      <w:bookmarkStart w:id="76" w:name="_Toc6791"/>
      <w:bookmarkStart w:id="77" w:name="_Toc12031"/>
      <w:bookmarkStart w:id="78" w:name="_Toc24328"/>
      <w:bookmarkStart w:id="79" w:name="_Toc12687"/>
      <w:bookmarkStart w:id="80" w:name="_Toc32647"/>
      <w:bookmarkStart w:id="81" w:name="_Toc20273"/>
      <w:bookmarkStart w:id="82" w:name="_Toc19704"/>
    </w:p>
    <w:p>
      <w:pPr>
        <w:pStyle w:val="2"/>
        <w:rPr>
          <w:color w:val="auto"/>
        </w:rPr>
      </w:pPr>
      <w:bookmarkStart w:id="83" w:name="_Toc700"/>
      <w:bookmarkStart w:id="84" w:name="_Toc19112"/>
      <w:r>
        <w:rPr>
          <w:rFonts w:hint="eastAsia"/>
          <w:color w:val="auto"/>
        </w:rPr>
        <w:t>六、结论</w:t>
      </w:r>
      <w:bookmarkEnd w:id="71"/>
      <w:bookmarkEnd w:id="72"/>
      <w:bookmarkEnd w:id="73"/>
      <w:bookmarkEnd w:id="74"/>
      <w:bookmarkEnd w:id="75"/>
      <w:bookmarkEnd w:id="76"/>
      <w:bookmarkEnd w:id="77"/>
      <w:bookmarkEnd w:id="78"/>
      <w:bookmarkEnd w:id="79"/>
      <w:bookmarkEnd w:id="80"/>
      <w:bookmarkEnd w:id="81"/>
      <w:bookmarkEnd w:id="82"/>
      <w:bookmarkEnd w:id="83"/>
      <w:bookmarkEnd w:id="84"/>
    </w:p>
    <w:tbl>
      <w:tblPr>
        <w:tblStyle w:val="3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8" w:hRule="atLeast"/>
          <w:jc w:val="center"/>
        </w:trPr>
        <w:tc>
          <w:tcPr>
            <w:tcW w:w="8865" w:type="dxa"/>
            <w:noWrap/>
          </w:tcPr>
          <w:p>
            <w:pPr>
              <w:widowControl/>
              <w:ind w:firstLine="480" w:firstLineChars="200"/>
              <w:jc w:val="both"/>
              <w:rPr>
                <w:color w:val="auto"/>
              </w:rPr>
            </w:pPr>
            <w:r>
              <w:rPr>
                <w:color w:val="auto"/>
              </w:rPr>
              <w:t>本项目的建设符合国家及卫生部相关的产业政策，项目平面布置</w:t>
            </w:r>
            <w:r>
              <w:rPr>
                <w:rFonts w:hint="eastAsia"/>
                <w:color w:val="auto"/>
              </w:rPr>
              <w:t>基本</w:t>
            </w:r>
            <w:r>
              <w:rPr>
                <w:color w:val="auto"/>
              </w:rPr>
              <w:t>合理。项目在认真落实各项环保措施及风险防范措施的前提下，废气、污水、噪声可以做到达标排放，固废可以得到安全有效的处置。从环境保护的角度讲，项目的建设是可行的。</w:t>
            </w:r>
            <w:r>
              <w:rPr>
                <w:rFonts w:hint="eastAsia"/>
                <w:color w:val="auto"/>
              </w:rPr>
              <w:t xml:space="preserve"> </w:t>
            </w:r>
          </w:p>
          <w:p>
            <w:pPr>
              <w:autoSpaceDE w:val="0"/>
              <w:autoSpaceDN w:val="0"/>
              <w:adjustRightInd w:val="0"/>
              <w:snapToGrid w:val="0"/>
              <w:jc w:val="both"/>
              <w:rPr>
                <w:color w:val="FF0000"/>
              </w:rPr>
            </w:pPr>
          </w:p>
          <w:p>
            <w:pPr>
              <w:pStyle w:val="8"/>
              <w:ind w:left="480"/>
              <w:jc w:val="both"/>
              <w:rPr>
                <w:color w:val="FF0000"/>
              </w:rPr>
            </w:pPr>
          </w:p>
          <w:p>
            <w:pPr>
              <w:pStyle w:val="30"/>
              <w:ind w:firstLine="240"/>
              <w:jc w:val="both"/>
              <w:rPr>
                <w:color w:val="FF0000"/>
              </w:rPr>
            </w:pPr>
          </w:p>
          <w:p>
            <w:pPr>
              <w:jc w:val="both"/>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p>
            <w:pPr>
              <w:pStyle w:val="42"/>
              <w:ind w:firstLine="360"/>
              <w:rPr>
                <w:color w:val="FF0000"/>
              </w:rPr>
            </w:pPr>
          </w:p>
          <w:p>
            <w:pPr>
              <w:rPr>
                <w:color w:val="FF0000"/>
              </w:rPr>
            </w:pPr>
          </w:p>
          <w:p>
            <w:pPr>
              <w:pStyle w:val="41"/>
              <w:rPr>
                <w:color w:val="FF0000"/>
                <w:kern w:val="2"/>
              </w:rPr>
            </w:pPr>
          </w:p>
        </w:tc>
      </w:tr>
    </w:tbl>
    <w:p>
      <w:pPr>
        <w:rPr>
          <w:rFonts w:ascii="宋体"/>
          <w:color w:val="FF0000"/>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keepNext/>
        <w:keepLines/>
        <w:jc w:val="center"/>
        <w:outlineLvl w:val="9"/>
        <w:rPr>
          <w:b/>
          <w:bCs/>
          <w:color w:val="auto"/>
          <w:sz w:val="32"/>
          <w:szCs w:val="32"/>
        </w:rPr>
      </w:pPr>
      <w:bookmarkStart w:id="85" w:name="_Toc15741"/>
      <w:bookmarkStart w:id="86" w:name="_Toc14030"/>
      <w:bookmarkStart w:id="87" w:name="_Toc22157"/>
      <w:bookmarkStart w:id="88" w:name="_Toc14339"/>
      <w:bookmarkStart w:id="89" w:name="_Toc14201"/>
      <w:bookmarkStart w:id="90" w:name="_Toc3822"/>
      <w:r>
        <w:rPr>
          <w:rFonts w:hint="eastAsia"/>
          <w:b/>
          <w:bCs/>
          <w:color w:val="auto"/>
          <w:sz w:val="32"/>
          <w:szCs w:val="32"/>
        </w:rPr>
        <w:t>建设项目污染物排放量汇总表</w:t>
      </w:r>
      <w:bookmarkEnd w:id="85"/>
      <w:bookmarkEnd w:id="86"/>
      <w:bookmarkEnd w:id="87"/>
      <w:bookmarkEnd w:id="88"/>
      <w:bookmarkEnd w:id="89"/>
      <w:bookmarkEnd w:id="90"/>
    </w:p>
    <w:tbl>
      <w:tblPr>
        <w:tblStyle w:val="31"/>
        <w:tblW w:w="1401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84"/>
        <w:gridCol w:w="1854"/>
        <w:gridCol w:w="1137"/>
        <w:gridCol w:w="2030"/>
        <w:gridCol w:w="1925"/>
        <w:gridCol w:w="1794"/>
        <w:gridCol w:w="2279"/>
        <w:gridCol w:w="1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tcBorders>
              <w:tl2br w:val="single" w:color="auto" w:sz="4" w:space="0"/>
            </w:tcBorders>
            <w:noWrap/>
            <w:tcMar>
              <w:left w:w="28" w:type="dxa"/>
              <w:right w:w="28" w:type="dxa"/>
            </w:tcMar>
            <w:vAlign w:val="center"/>
          </w:tcPr>
          <w:p>
            <w:pPr>
              <w:pStyle w:val="45"/>
              <w:rPr>
                <w:color w:val="auto"/>
              </w:rPr>
            </w:pPr>
            <w:r>
              <w:rPr>
                <w:rFonts w:hint="eastAsia"/>
                <w:color w:val="auto"/>
              </w:rPr>
              <w:t>项目</w:t>
            </w:r>
          </w:p>
          <w:p>
            <w:pPr>
              <w:pStyle w:val="45"/>
              <w:rPr>
                <w:color w:val="auto"/>
              </w:rPr>
            </w:pPr>
            <w:r>
              <w:rPr>
                <w:rFonts w:hint="eastAsia"/>
                <w:color w:val="auto"/>
              </w:rPr>
              <w:t>分类</w:t>
            </w:r>
          </w:p>
        </w:tc>
        <w:tc>
          <w:tcPr>
            <w:tcW w:w="1284" w:type="dxa"/>
            <w:noWrap/>
            <w:tcMar>
              <w:left w:w="28" w:type="dxa"/>
              <w:right w:w="28" w:type="dxa"/>
            </w:tcMar>
            <w:vAlign w:val="center"/>
          </w:tcPr>
          <w:p>
            <w:pPr>
              <w:pStyle w:val="45"/>
              <w:rPr>
                <w:color w:val="auto"/>
              </w:rPr>
            </w:pPr>
            <w:r>
              <w:rPr>
                <w:rFonts w:hint="eastAsia"/>
                <w:color w:val="auto"/>
              </w:rPr>
              <w:t>污染物名称</w:t>
            </w:r>
          </w:p>
        </w:tc>
        <w:tc>
          <w:tcPr>
            <w:tcW w:w="1854" w:type="dxa"/>
            <w:noWrap/>
            <w:tcMar>
              <w:left w:w="28" w:type="dxa"/>
              <w:right w:w="28" w:type="dxa"/>
            </w:tcMar>
            <w:vAlign w:val="center"/>
          </w:tcPr>
          <w:p>
            <w:pPr>
              <w:pStyle w:val="45"/>
              <w:rPr>
                <w:color w:val="auto"/>
              </w:rPr>
            </w:pPr>
            <w:r>
              <w:rPr>
                <w:color w:val="auto"/>
              </w:rPr>
              <w:t>现有工程排放量（固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p>
        </w:tc>
        <w:tc>
          <w:tcPr>
            <w:tcW w:w="1137" w:type="dxa"/>
            <w:noWrap/>
            <w:tcMar>
              <w:left w:w="28" w:type="dxa"/>
              <w:right w:w="28" w:type="dxa"/>
            </w:tcMar>
            <w:vAlign w:val="center"/>
          </w:tcPr>
          <w:p>
            <w:pPr>
              <w:pStyle w:val="45"/>
              <w:rPr>
                <w:color w:val="auto"/>
              </w:rPr>
            </w:pPr>
            <w:r>
              <w:rPr>
                <w:color w:val="auto"/>
              </w:rPr>
              <w:t>现有工程许可排放量</w:t>
            </w:r>
          </w:p>
          <w:p>
            <w:pPr>
              <w:pStyle w:val="45"/>
              <w:rPr>
                <w:color w:val="auto"/>
              </w:rPr>
            </w:pPr>
            <w:r>
              <w:rPr>
                <w:color w:val="auto"/>
              </w:rPr>
              <w:fldChar w:fldCharType="begin"/>
            </w:r>
            <w:r>
              <w:rPr>
                <w:color w:val="auto"/>
              </w:rPr>
              <w:instrText xml:space="preserve"> = 2 \* GB3 \* MERGEFORMAT </w:instrText>
            </w:r>
            <w:r>
              <w:rPr>
                <w:color w:val="auto"/>
              </w:rPr>
              <w:fldChar w:fldCharType="separate"/>
            </w:r>
            <w:r>
              <w:rPr>
                <w:rFonts w:hint="eastAsia"/>
                <w:color w:val="auto"/>
              </w:rPr>
              <w:t>②</w:t>
            </w:r>
            <w:r>
              <w:rPr>
                <w:color w:val="auto"/>
              </w:rPr>
              <w:fldChar w:fldCharType="end"/>
            </w:r>
          </w:p>
        </w:tc>
        <w:tc>
          <w:tcPr>
            <w:tcW w:w="2030" w:type="dxa"/>
            <w:noWrap/>
            <w:tcMar>
              <w:left w:w="28" w:type="dxa"/>
              <w:right w:w="28" w:type="dxa"/>
            </w:tcMar>
            <w:vAlign w:val="center"/>
          </w:tcPr>
          <w:p>
            <w:pPr>
              <w:pStyle w:val="45"/>
              <w:rPr>
                <w:color w:val="auto"/>
              </w:rPr>
            </w:pPr>
            <w:r>
              <w:rPr>
                <w:color w:val="auto"/>
              </w:rPr>
              <w:t>在建工程排放量（固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p>
        </w:tc>
        <w:tc>
          <w:tcPr>
            <w:tcW w:w="1925" w:type="dxa"/>
            <w:noWrap/>
            <w:tcMar>
              <w:left w:w="28" w:type="dxa"/>
              <w:right w:w="28" w:type="dxa"/>
            </w:tcMar>
            <w:vAlign w:val="center"/>
          </w:tcPr>
          <w:p>
            <w:pPr>
              <w:pStyle w:val="45"/>
              <w:rPr>
                <w:color w:val="auto"/>
              </w:rPr>
            </w:pPr>
            <w:r>
              <w:rPr>
                <w:color w:val="auto"/>
              </w:rPr>
              <w:t>本项目排放量（固</w:t>
            </w:r>
            <w:r>
              <w:rPr>
                <w:rFonts w:hint="eastAsia"/>
                <w:color w:val="auto"/>
              </w:rPr>
              <w:t>体</w:t>
            </w:r>
            <w:r>
              <w:rPr>
                <w:color w:val="auto"/>
              </w:rPr>
              <w:t>废</w:t>
            </w:r>
            <w:r>
              <w:rPr>
                <w:rFonts w:hint="eastAsia"/>
                <w:color w:val="auto"/>
              </w:rPr>
              <w:t>物</w:t>
            </w:r>
            <w:r>
              <w:rPr>
                <w:color w:val="auto"/>
              </w:rPr>
              <w:t>产生量）</w:t>
            </w:r>
            <w:r>
              <w:rPr>
                <w:rFonts w:hint="eastAsia" w:ascii="宋体" w:hAnsi="宋体" w:cs="宋体"/>
                <w:color w:val="auto"/>
              </w:rPr>
              <w:t>t</w:t>
            </w:r>
            <w:r>
              <w:rPr>
                <w:rFonts w:hint="eastAsia"/>
                <w:color w:val="auto"/>
              </w:rPr>
              <w:t>/</w:t>
            </w:r>
            <w:r>
              <w:rPr>
                <w:color w:val="auto"/>
              </w:rPr>
              <w:t>a</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p>
        </w:tc>
        <w:tc>
          <w:tcPr>
            <w:tcW w:w="1794" w:type="dxa"/>
            <w:noWrap/>
            <w:tcMar>
              <w:left w:w="28" w:type="dxa"/>
              <w:right w:w="28" w:type="dxa"/>
            </w:tcMar>
            <w:vAlign w:val="center"/>
          </w:tcPr>
          <w:p>
            <w:pPr>
              <w:pStyle w:val="45"/>
              <w:rPr>
                <w:color w:val="auto"/>
              </w:rPr>
            </w:pPr>
            <w:r>
              <w:rPr>
                <w:color w:val="auto"/>
              </w:rPr>
              <w:t>以新带老削减量（新建项目不填）</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p>
        </w:tc>
        <w:tc>
          <w:tcPr>
            <w:tcW w:w="2279" w:type="dxa"/>
            <w:noWrap/>
            <w:tcMar>
              <w:left w:w="28" w:type="dxa"/>
              <w:right w:w="28" w:type="dxa"/>
            </w:tcMar>
            <w:vAlign w:val="center"/>
          </w:tcPr>
          <w:p>
            <w:pPr>
              <w:pStyle w:val="45"/>
              <w:rPr>
                <w:color w:val="auto"/>
              </w:rPr>
            </w:pPr>
            <w:r>
              <w:rPr>
                <w:color w:val="auto"/>
              </w:rPr>
              <w:t>本项目建成后</w:t>
            </w:r>
            <w:r>
              <w:rPr>
                <w:rFonts w:hint="eastAsia"/>
                <w:color w:val="auto"/>
              </w:rPr>
              <w:t>全厂</w:t>
            </w:r>
            <w:r>
              <w:rPr>
                <w:color w:val="auto"/>
              </w:rPr>
              <w:t>排放量（固</w:t>
            </w:r>
            <w:r>
              <w:rPr>
                <w:rFonts w:hint="eastAsia"/>
                <w:color w:val="auto"/>
              </w:rPr>
              <w:t>体</w:t>
            </w:r>
            <w:r>
              <w:rPr>
                <w:color w:val="auto"/>
              </w:rPr>
              <w:t>废</w:t>
            </w:r>
            <w:r>
              <w:rPr>
                <w:rFonts w:hint="eastAsia"/>
                <w:color w:val="auto"/>
              </w:rPr>
              <w:t>物</w:t>
            </w:r>
            <w:r>
              <w:rPr>
                <w:color w:val="auto"/>
              </w:rPr>
              <w:t>产生量）</w:t>
            </w:r>
            <w:r>
              <w:rPr>
                <w:rFonts w:hint="eastAsia" w:ascii="宋体" w:hAnsi="宋体" w:cs="宋体"/>
                <w:color w:val="auto"/>
              </w:rPr>
              <w:t>t</w:t>
            </w:r>
            <w:r>
              <w:rPr>
                <w:rFonts w:hint="eastAsia"/>
                <w:color w:val="auto"/>
              </w:rPr>
              <w:t>/</w:t>
            </w:r>
            <w:r>
              <w:rPr>
                <w:color w:val="auto"/>
              </w:rPr>
              <w:t>a</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p>
        </w:tc>
        <w:tc>
          <w:tcPr>
            <w:tcW w:w="1053" w:type="dxa"/>
            <w:noWrap/>
            <w:tcMar>
              <w:left w:w="28" w:type="dxa"/>
              <w:right w:w="28" w:type="dxa"/>
            </w:tcMar>
            <w:vAlign w:val="center"/>
          </w:tcPr>
          <w:p>
            <w:pPr>
              <w:pStyle w:val="45"/>
              <w:rPr>
                <w:color w:val="auto"/>
              </w:rPr>
            </w:pPr>
            <w:r>
              <w:rPr>
                <w:color w:val="auto"/>
              </w:rPr>
              <w:t>变化量</w:t>
            </w:r>
          </w:p>
          <w:p>
            <w:pPr>
              <w:pStyle w:val="45"/>
              <w:rPr>
                <w:color w:val="auto"/>
              </w:rPr>
            </w:pPr>
            <w:r>
              <w:rPr>
                <w:color w:val="auto"/>
              </w:rPr>
              <w:fldChar w:fldCharType="begin"/>
            </w:r>
            <w:r>
              <w:rPr>
                <w:color w:val="auto"/>
              </w:rPr>
              <w:instrText xml:space="preserve"> = 7 \* GB3 \* MERGEFORMAT </w:instrText>
            </w:r>
            <w:r>
              <w:rPr>
                <w:color w:val="auto"/>
              </w:rPr>
              <w:fldChar w:fldCharType="separate"/>
            </w:r>
            <w:r>
              <w:rPr>
                <w:rFonts w:hint="eastAsia"/>
                <w:color w:val="auto"/>
              </w:rPr>
              <w:t>⑦</w:t>
            </w:r>
            <w:r>
              <w:rPr>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662" w:type="dxa"/>
            <w:vMerge w:val="restart"/>
            <w:noWrap/>
            <w:vAlign w:val="center"/>
          </w:tcPr>
          <w:p>
            <w:pPr>
              <w:pStyle w:val="45"/>
              <w:rPr>
                <w:rFonts w:hint="eastAsia" w:eastAsia="宋体"/>
                <w:color w:val="auto"/>
                <w:lang w:val="en-US" w:eastAsia="zh-CN"/>
              </w:rPr>
            </w:pPr>
            <w:r>
              <w:rPr>
                <w:rFonts w:hint="eastAsia"/>
                <w:color w:val="auto"/>
                <w:lang w:val="en-US" w:eastAsia="zh-CN"/>
              </w:rPr>
              <w:t>废气</w:t>
            </w:r>
          </w:p>
        </w:tc>
        <w:tc>
          <w:tcPr>
            <w:tcW w:w="1284" w:type="dxa"/>
            <w:noWrap/>
            <w:vAlign w:val="center"/>
          </w:tcPr>
          <w:p>
            <w:pPr>
              <w:pStyle w:val="45"/>
              <w:rPr>
                <w:color w:val="auto"/>
              </w:rPr>
            </w:pPr>
            <w:r>
              <w:rPr>
                <w:rFonts w:hint="eastAsia"/>
                <w:color w:val="auto"/>
              </w:rPr>
              <w:t>H</w:t>
            </w:r>
            <w:r>
              <w:rPr>
                <w:rFonts w:hint="eastAsia"/>
                <w:color w:val="auto"/>
                <w:vertAlign w:val="subscript"/>
              </w:rPr>
              <w:t>2</w:t>
            </w:r>
            <w:r>
              <w:rPr>
                <w:rFonts w:hint="eastAsia"/>
                <w:color w:val="auto"/>
              </w:rPr>
              <w:t>S</w:t>
            </w:r>
          </w:p>
        </w:tc>
        <w:tc>
          <w:tcPr>
            <w:tcW w:w="1854" w:type="dxa"/>
            <w:noWrap/>
            <w:vAlign w:val="center"/>
          </w:tcPr>
          <w:p>
            <w:pPr>
              <w:jc w:val="center"/>
              <w:rPr>
                <w:color w:val="auto"/>
                <w:kern w:val="0"/>
                <w:sz w:val="21"/>
                <w:szCs w:val="21"/>
              </w:rPr>
            </w:pPr>
            <w:r>
              <w:rPr>
                <w:rFonts w:hint="eastAsia"/>
                <w:color w:val="auto"/>
                <w:kern w:val="0"/>
                <w:sz w:val="21"/>
                <w:szCs w:val="21"/>
              </w:rPr>
              <w:t>0</w:t>
            </w:r>
          </w:p>
        </w:tc>
        <w:tc>
          <w:tcPr>
            <w:tcW w:w="1137" w:type="dxa"/>
            <w:noWrap/>
            <w:vAlign w:val="center"/>
          </w:tcPr>
          <w:p>
            <w:pPr>
              <w:jc w:val="center"/>
              <w:rPr>
                <w:color w:val="auto"/>
                <w:kern w:val="0"/>
                <w:sz w:val="21"/>
                <w:szCs w:val="21"/>
              </w:rPr>
            </w:pPr>
            <w:r>
              <w:rPr>
                <w:rFonts w:hint="eastAsia"/>
                <w:color w:val="auto"/>
                <w:kern w:val="0"/>
                <w:sz w:val="21"/>
                <w:szCs w:val="21"/>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rPr>
                <w:color w:val="auto"/>
              </w:rPr>
            </w:pPr>
            <w:r>
              <w:rPr>
                <w:rFonts w:hint="eastAsia"/>
                <w:color w:val="auto"/>
                <w:lang w:val="en-US" w:eastAsia="zh-CN"/>
              </w:rPr>
              <w:t>0.0000085</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rPr>
                <w:color w:val="auto"/>
              </w:rPr>
            </w:pPr>
            <w:r>
              <w:rPr>
                <w:rFonts w:hint="eastAsia"/>
                <w:color w:val="auto"/>
                <w:lang w:val="en-US" w:eastAsia="zh-CN"/>
              </w:rPr>
              <w:t>0.0000085</w:t>
            </w:r>
          </w:p>
        </w:tc>
        <w:tc>
          <w:tcPr>
            <w:tcW w:w="1053" w:type="dxa"/>
            <w:noWrap/>
            <w:vAlign w:val="center"/>
          </w:tcPr>
          <w:p>
            <w:pPr>
              <w:pStyle w:val="45"/>
              <w:rPr>
                <w:color w:val="auto"/>
              </w:rPr>
            </w:pPr>
            <w:r>
              <w:rPr>
                <w:rFonts w:hint="eastAsia"/>
                <w:color w:val="auto"/>
                <w:lang w:val="en-US" w:eastAsia="zh-CN"/>
              </w:rPr>
              <w:t>+0.0000085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62" w:type="dxa"/>
            <w:vMerge w:val="continue"/>
            <w:noWrap/>
            <w:vAlign w:val="center"/>
          </w:tcPr>
          <w:p>
            <w:pPr>
              <w:pStyle w:val="45"/>
              <w:rPr>
                <w:color w:val="auto"/>
              </w:rPr>
            </w:pPr>
          </w:p>
        </w:tc>
        <w:tc>
          <w:tcPr>
            <w:tcW w:w="1284" w:type="dxa"/>
            <w:noWrap/>
            <w:vAlign w:val="center"/>
          </w:tcPr>
          <w:p>
            <w:pPr>
              <w:pStyle w:val="45"/>
              <w:rPr>
                <w:color w:val="auto"/>
              </w:rPr>
            </w:pPr>
            <w:r>
              <w:rPr>
                <w:rFonts w:hint="eastAsia"/>
                <w:color w:val="auto"/>
              </w:rPr>
              <w:t>NH</w:t>
            </w:r>
            <w:r>
              <w:rPr>
                <w:rFonts w:hint="eastAsia"/>
                <w:color w:val="auto"/>
                <w:vertAlign w:val="subscript"/>
              </w:rPr>
              <w:t>3</w:t>
            </w:r>
          </w:p>
        </w:tc>
        <w:tc>
          <w:tcPr>
            <w:tcW w:w="1854" w:type="dxa"/>
            <w:noWrap/>
            <w:vAlign w:val="center"/>
          </w:tcPr>
          <w:p>
            <w:pPr>
              <w:jc w:val="center"/>
              <w:rPr>
                <w:color w:val="auto"/>
                <w:kern w:val="0"/>
                <w:sz w:val="21"/>
                <w:szCs w:val="21"/>
              </w:rPr>
            </w:pPr>
            <w:r>
              <w:rPr>
                <w:rFonts w:hint="eastAsia"/>
                <w:color w:val="auto"/>
                <w:kern w:val="0"/>
                <w:sz w:val="21"/>
                <w:szCs w:val="21"/>
              </w:rPr>
              <w:t>0</w:t>
            </w:r>
          </w:p>
        </w:tc>
        <w:tc>
          <w:tcPr>
            <w:tcW w:w="1137" w:type="dxa"/>
            <w:noWrap/>
            <w:vAlign w:val="center"/>
          </w:tcPr>
          <w:p>
            <w:pPr>
              <w:jc w:val="center"/>
              <w:rPr>
                <w:color w:val="auto"/>
                <w:kern w:val="0"/>
                <w:sz w:val="21"/>
                <w:szCs w:val="21"/>
              </w:rPr>
            </w:pPr>
            <w:r>
              <w:rPr>
                <w:rFonts w:hint="eastAsia"/>
                <w:color w:val="auto"/>
                <w:kern w:val="0"/>
                <w:sz w:val="21"/>
                <w:szCs w:val="21"/>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rPr>
                <w:color w:val="auto"/>
              </w:rPr>
            </w:pPr>
            <w:r>
              <w:rPr>
                <w:rFonts w:hint="eastAsia"/>
                <w:color w:val="auto"/>
                <w:lang w:val="en-US" w:eastAsia="zh-CN"/>
              </w:rPr>
              <w:t>0.000218</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rPr>
                <w:color w:val="auto"/>
              </w:rPr>
            </w:pPr>
            <w:r>
              <w:rPr>
                <w:rFonts w:hint="eastAsia"/>
                <w:color w:val="auto"/>
                <w:lang w:val="en-US" w:eastAsia="zh-CN"/>
              </w:rPr>
              <w:t>0.000218</w:t>
            </w:r>
          </w:p>
        </w:tc>
        <w:tc>
          <w:tcPr>
            <w:tcW w:w="1053" w:type="dxa"/>
            <w:noWrap/>
            <w:vAlign w:val="center"/>
          </w:tcPr>
          <w:p>
            <w:pPr>
              <w:pStyle w:val="45"/>
              <w:rPr>
                <w:color w:val="auto"/>
              </w:rPr>
            </w:pPr>
            <w:r>
              <w:rPr>
                <w:rFonts w:hint="eastAsia"/>
                <w:color w:val="auto"/>
                <w:lang w:val="en-US" w:eastAsia="zh-CN"/>
              </w:rPr>
              <w:t>+0.000218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noWrap/>
            <w:vAlign w:val="center"/>
          </w:tcPr>
          <w:p>
            <w:pPr>
              <w:pStyle w:val="45"/>
              <w:rPr>
                <w:rFonts w:hint="eastAsia" w:eastAsia="宋体"/>
                <w:color w:val="auto"/>
                <w:lang w:val="en-US" w:eastAsia="zh-CN"/>
              </w:rPr>
            </w:pPr>
            <w:r>
              <w:rPr>
                <w:rFonts w:hint="eastAsia"/>
                <w:color w:val="auto"/>
                <w:lang w:val="en-US" w:eastAsia="zh-CN"/>
              </w:rPr>
              <w:t>废水</w:t>
            </w:r>
          </w:p>
        </w:tc>
        <w:tc>
          <w:tcPr>
            <w:tcW w:w="1284" w:type="dxa"/>
            <w:noWrap/>
            <w:vAlign w:val="center"/>
          </w:tcPr>
          <w:p>
            <w:pPr>
              <w:pStyle w:val="45"/>
              <w:rPr>
                <w:color w:val="auto"/>
              </w:rPr>
            </w:pPr>
            <w:r>
              <w:rPr>
                <w:rFonts w:hint="eastAsia"/>
                <w:color w:val="auto"/>
              </w:rPr>
              <w:t>COD</w:t>
            </w:r>
            <w:r>
              <w:rPr>
                <w:color w:val="auto"/>
              </w:rPr>
              <w:t>cr</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0.159</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rPr>
                <w:color w:val="auto"/>
                <w:kern w:val="2"/>
              </w:rPr>
            </w:pPr>
            <w:r>
              <w:rPr>
                <w:rFonts w:hint="eastAsia" w:ascii="Times New Roman" w:hAnsi="Times New Roman" w:eastAsia="宋体" w:cs="Times New Roman"/>
                <w:color w:val="auto"/>
                <w:lang w:val="en-US" w:eastAsia="zh-CN"/>
              </w:rPr>
              <w:t>0.159</w:t>
            </w:r>
          </w:p>
        </w:tc>
        <w:tc>
          <w:tcPr>
            <w:tcW w:w="1053" w:type="dxa"/>
            <w:noWrap/>
            <w:vAlign w:val="center"/>
          </w:tcPr>
          <w:p>
            <w:pPr>
              <w:pStyle w:val="45"/>
              <w:rPr>
                <w:color w:val="auto"/>
              </w:rPr>
            </w:pPr>
            <w:r>
              <w:rPr>
                <w:rFonts w:hint="eastAsia" w:ascii="Times New Roman" w:hAnsi="Times New Roman" w:eastAsia="宋体" w:cs="Times New Roman"/>
                <w:color w:val="auto"/>
                <w:lang w:val="en-US" w:eastAsia="zh-CN"/>
              </w:rPr>
              <w:t>+0.159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noWrap/>
            <w:vAlign w:val="center"/>
          </w:tcPr>
          <w:p>
            <w:pPr>
              <w:pStyle w:val="45"/>
              <w:rPr>
                <w:color w:val="auto"/>
              </w:rPr>
            </w:pPr>
          </w:p>
        </w:tc>
        <w:tc>
          <w:tcPr>
            <w:tcW w:w="1284" w:type="dxa"/>
            <w:noWrap/>
            <w:vAlign w:val="center"/>
          </w:tcPr>
          <w:p>
            <w:pPr>
              <w:pStyle w:val="45"/>
              <w:rPr>
                <w:color w:val="auto"/>
              </w:rPr>
            </w:pPr>
            <w:r>
              <w:rPr>
                <w:rFonts w:hint="eastAsia"/>
                <w:color w:val="auto"/>
              </w:rPr>
              <w:t>氨氮</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0.0159</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rPr>
                <w:color w:val="auto"/>
                <w:kern w:val="2"/>
              </w:rPr>
            </w:pPr>
            <w:r>
              <w:rPr>
                <w:rFonts w:hint="eastAsia" w:ascii="Times New Roman" w:hAnsi="Times New Roman" w:eastAsia="宋体" w:cs="Times New Roman"/>
                <w:color w:val="auto"/>
                <w:lang w:val="en-US" w:eastAsia="zh-CN"/>
              </w:rPr>
              <w:t>0.0159</w:t>
            </w:r>
          </w:p>
        </w:tc>
        <w:tc>
          <w:tcPr>
            <w:tcW w:w="1053" w:type="dxa"/>
            <w:noWrap/>
            <w:vAlign w:val="center"/>
          </w:tcPr>
          <w:p>
            <w:pPr>
              <w:pStyle w:val="45"/>
              <w:rPr>
                <w:color w:val="auto"/>
              </w:rPr>
            </w:pPr>
            <w:r>
              <w:rPr>
                <w:rFonts w:hint="eastAsia" w:ascii="Times New Roman" w:hAnsi="Times New Roman" w:eastAsia="宋体" w:cs="Times New Roman"/>
                <w:color w:val="auto"/>
                <w:lang w:val="en-US" w:eastAsia="zh-CN"/>
              </w:rPr>
              <w:t>+0.0159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restart"/>
            <w:noWrap/>
            <w:vAlign w:val="center"/>
          </w:tcPr>
          <w:p>
            <w:pPr>
              <w:pStyle w:val="45"/>
              <w:rPr>
                <w:color w:val="auto"/>
              </w:rPr>
            </w:pPr>
            <w:r>
              <w:rPr>
                <w:rFonts w:hint="eastAsia"/>
                <w:color w:val="auto"/>
              </w:rPr>
              <w:t>一般</w:t>
            </w:r>
          </w:p>
          <w:p>
            <w:pPr>
              <w:pStyle w:val="45"/>
              <w:rPr>
                <w:color w:val="auto"/>
              </w:rPr>
            </w:pPr>
            <w:r>
              <w:rPr>
                <w:rFonts w:hint="eastAsia"/>
                <w:color w:val="auto"/>
              </w:rPr>
              <w:t>固废</w:t>
            </w:r>
          </w:p>
        </w:tc>
        <w:tc>
          <w:tcPr>
            <w:tcW w:w="1284" w:type="dxa"/>
            <w:noWrap/>
            <w:vAlign w:val="center"/>
          </w:tcPr>
          <w:p>
            <w:pPr>
              <w:pStyle w:val="45"/>
              <w:rPr>
                <w:color w:val="auto"/>
              </w:rPr>
            </w:pPr>
            <w:r>
              <w:rPr>
                <w:rFonts w:hint="eastAsia"/>
                <w:color w:val="auto"/>
              </w:rPr>
              <w:t>生活垃圾</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spacing w:line="276" w:lineRule="auto"/>
              <w:rPr>
                <w:color w:val="auto"/>
              </w:rPr>
            </w:pPr>
            <w:r>
              <w:rPr>
                <w:rFonts w:hint="default" w:eastAsia="宋体"/>
                <w:color w:val="auto"/>
                <w:lang w:val="en-US" w:eastAsia="zh-CN"/>
              </w:rPr>
              <w:t>22.81</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spacing w:line="276" w:lineRule="auto"/>
              <w:rPr>
                <w:color w:val="auto"/>
              </w:rPr>
            </w:pPr>
            <w:r>
              <w:rPr>
                <w:rFonts w:hint="default" w:eastAsia="宋体"/>
                <w:color w:val="auto"/>
                <w:lang w:val="en-US" w:eastAsia="zh-CN"/>
              </w:rPr>
              <w:t>22.81</w:t>
            </w:r>
          </w:p>
        </w:tc>
        <w:tc>
          <w:tcPr>
            <w:tcW w:w="1053" w:type="dxa"/>
            <w:noWrap/>
            <w:vAlign w:val="center"/>
          </w:tcPr>
          <w:p>
            <w:pPr>
              <w:pStyle w:val="45"/>
              <w:spacing w:line="276" w:lineRule="auto"/>
              <w:rPr>
                <w:color w:val="auto"/>
              </w:rPr>
            </w:pPr>
            <w:r>
              <w:rPr>
                <w:rFonts w:hint="eastAsia" w:eastAsia="宋体"/>
                <w:color w:val="auto"/>
                <w:lang w:val="en-US" w:eastAsia="zh-CN"/>
              </w:rPr>
              <w:t>+</w:t>
            </w:r>
            <w:r>
              <w:rPr>
                <w:rFonts w:hint="default" w:eastAsia="宋体"/>
                <w:color w:val="auto"/>
                <w:lang w:val="en-US" w:eastAsia="zh-CN"/>
              </w:rPr>
              <w:t>22.81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continue"/>
            <w:noWrap/>
            <w:vAlign w:val="center"/>
          </w:tcPr>
          <w:p>
            <w:pPr>
              <w:pStyle w:val="45"/>
              <w:rPr>
                <w:color w:val="auto"/>
              </w:rPr>
            </w:pPr>
          </w:p>
        </w:tc>
        <w:tc>
          <w:tcPr>
            <w:tcW w:w="1284" w:type="dxa"/>
            <w:noWrap/>
            <w:vAlign w:val="center"/>
          </w:tcPr>
          <w:p>
            <w:pPr>
              <w:pStyle w:val="45"/>
              <w:rPr>
                <w:color w:val="auto"/>
              </w:rPr>
            </w:pPr>
            <w:r>
              <w:rPr>
                <w:rFonts w:hint="eastAsia"/>
                <w:color w:val="auto"/>
              </w:rPr>
              <w:t>一次性塑料输液瓶（袋）</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spacing w:line="276" w:lineRule="auto"/>
              <w:rPr>
                <w:color w:val="auto"/>
              </w:rPr>
            </w:pPr>
            <w:r>
              <w:rPr>
                <w:rFonts w:hint="eastAsia"/>
                <w:color w:val="auto"/>
              </w:rPr>
              <w:t>1.0</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spacing w:line="276" w:lineRule="auto"/>
              <w:rPr>
                <w:color w:val="auto"/>
              </w:rPr>
            </w:pPr>
            <w:r>
              <w:rPr>
                <w:rFonts w:hint="eastAsia"/>
                <w:color w:val="auto"/>
              </w:rPr>
              <w:t>1.0</w:t>
            </w:r>
          </w:p>
        </w:tc>
        <w:tc>
          <w:tcPr>
            <w:tcW w:w="1053" w:type="dxa"/>
            <w:noWrap/>
            <w:vAlign w:val="center"/>
          </w:tcPr>
          <w:p>
            <w:pPr>
              <w:pStyle w:val="45"/>
              <w:spacing w:line="276" w:lineRule="auto"/>
              <w:rPr>
                <w:color w:val="auto"/>
              </w:rPr>
            </w:pPr>
            <w:r>
              <w:rPr>
                <w:rFonts w:hint="eastAsia"/>
                <w:color w:val="auto"/>
                <w:lang w:val="en-US" w:eastAsia="zh-CN"/>
              </w:rPr>
              <w:t>+</w:t>
            </w:r>
            <w:r>
              <w:rPr>
                <w:rFonts w:hint="eastAsia"/>
                <w:color w:val="auto"/>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2" w:type="dxa"/>
            <w:vMerge w:val="continue"/>
            <w:noWrap/>
            <w:vAlign w:val="center"/>
          </w:tcPr>
          <w:p>
            <w:pPr>
              <w:pStyle w:val="45"/>
              <w:rPr>
                <w:color w:val="auto"/>
              </w:rPr>
            </w:pPr>
          </w:p>
        </w:tc>
        <w:tc>
          <w:tcPr>
            <w:tcW w:w="1284" w:type="dxa"/>
            <w:noWrap/>
            <w:vAlign w:val="center"/>
          </w:tcPr>
          <w:p>
            <w:pPr>
              <w:pStyle w:val="45"/>
              <w:rPr>
                <w:color w:val="auto"/>
              </w:rPr>
            </w:pPr>
            <w:r>
              <w:rPr>
                <w:rFonts w:hint="eastAsia"/>
                <w:color w:val="auto"/>
              </w:rPr>
              <w:t>废包装材料</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spacing w:line="276" w:lineRule="auto"/>
              <w:rPr>
                <w:color w:val="auto"/>
              </w:rPr>
            </w:pPr>
            <w:r>
              <w:rPr>
                <w:rFonts w:hint="eastAsia"/>
                <w:color w:val="auto"/>
              </w:rPr>
              <w:t>1.0</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spacing w:line="276" w:lineRule="auto"/>
              <w:rPr>
                <w:color w:val="auto"/>
              </w:rPr>
            </w:pPr>
            <w:r>
              <w:rPr>
                <w:rFonts w:hint="eastAsia"/>
                <w:color w:val="auto"/>
              </w:rPr>
              <w:t>1.0</w:t>
            </w:r>
          </w:p>
        </w:tc>
        <w:tc>
          <w:tcPr>
            <w:tcW w:w="1053" w:type="dxa"/>
            <w:noWrap/>
            <w:vAlign w:val="center"/>
          </w:tcPr>
          <w:p>
            <w:pPr>
              <w:pStyle w:val="45"/>
              <w:spacing w:line="276" w:lineRule="auto"/>
              <w:rPr>
                <w:color w:val="auto"/>
              </w:rPr>
            </w:pPr>
            <w:r>
              <w:rPr>
                <w:rFonts w:hint="eastAsia"/>
                <w:color w:val="auto"/>
                <w:lang w:val="en-US" w:eastAsia="zh-CN"/>
              </w:rPr>
              <w:t>+</w:t>
            </w:r>
            <w:r>
              <w:rPr>
                <w:rFonts w:hint="eastAsia"/>
                <w:color w:val="auto"/>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restart"/>
            <w:noWrap/>
            <w:vAlign w:val="center"/>
          </w:tcPr>
          <w:p>
            <w:pPr>
              <w:pStyle w:val="45"/>
              <w:rPr>
                <w:color w:val="auto"/>
              </w:rPr>
            </w:pPr>
            <w:r>
              <w:rPr>
                <w:rFonts w:hint="eastAsia"/>
                <w:color w:val="auto"/>
              </w:rPr>
              <w:t>危险废物</w:t>
            </w:r>
          </w:p>
        </w:tc>
        <w:tc>
          <w:tcPr>
            <w:tcW w:w="1284" w:type="dxa"/>
            <w:noWrap/>
            <w:vAlign w:val="center"/>
          </w:tcPr>
          <w:p>
            <w:pPr>
              <w:pStyle w:val="45"/>
              <w:rPr>
                <w:color w:val="auto"/>
              </w:rPr>
            </w:pPr>
            <w:r>
              <w:rPr>
                <w:rFonts w:hint="eastAsia"/>
                <w:color w:val="auto"/>
              </w:rPr>
              <w:t>医疗废物</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spacing w:line="276" w:lineRule="auto"/>
              <w:rPr>
                <w:color w:val="auto"/>
              </w:rPr>
            </w:pPr>
            <w:r>
              <w:rPr>
                <w:rFonts w:hint="eastAsia"/>
                <w:color w:val="auto"/>
                <w:lang w:val="en-US" w:eastAsia="zh-CN"/>
              </w:rPr>
              <w:t>4.035</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spacing w:line="276" w:lineRule="auto"/>
              <w:rPr>
                <w:color w:val="auto"/>
              </w:rPr>
            </w:pPr>
            <w:r>
              <w:rPr>
                <w:rFonts w:hint="eastAsia"/>
                <w:color w:val="auto"/>
                <w:lang w:val="en-US" w:eastAsia="zh-CN"/>
              </w:rPr>
              <w:t>4.035</w:t>
            </w:r>
          </w:p>
        </w:tc>
        <w:tc>
          <w:tcPr>
            <w:tcW w:w="1053" w:type="dxa"/>
            <w:noWrap/>
            <w:vAlign w:val="center"/>
          </w:tcPr>
          <w:p>
            <w:pPr>
              <w:pStyle w:val="45"/>
              <w:spacing w:line="276" w:lineRule="auto"/>
              <w:rPr>
                <w:color w:val="auto"/>
              </w:rPr>
            </w:pPr>
            <w:r>
              <w:rPr>
                <w:rFonts w:hint="eastAsia"/>
                <w:color w:val="auto"/>
                <w:lang w:val="en-US" w:eastAsia="zh-CN"/>
              </w:rPr>
              <w:t>+4.035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continue"/>
            <w:noWrap/>
            <w:vAlign w:val="center"/>
          </w:tcPr>
          <w:p>
            <w:pPr>
              <w:pStyle w:val="45"/>
              <w:rPr>
                <w:color w:val="auto"/>
              </w:rPr>
            </w:pPr>
          </w:p>
        </w:tc>
        <w:tc>
          <w:tcPr>
            <w:tcW w:w="1284" w:type="dxa"/>
            <w:noWrap/>
            <w:vAlign w:val="center"/>
          </w:tcPr>
          <w:p>
            <w:pPr>
              <w:pStyle w:val="45"/>
              <w:rPr>
                <w:color w:val="auto"/>
              </w:rPr>
            </w:pPr>
            <w:r>
              <w:rPr>
                <w:color w:val="auto"/>
              </w:rPr>
              <w:t>污泥</w:t>
            </w:r>
          </w:p>
        </w:tc>
        <w:tc>
          <w:tcPr>
            <w:tcW w:w="1854" w:type="dxa"/>
            <w:noWrap/>
            <w:vAlign w:val="center"/>
          </w:tcPr>
          <w:p>
            <w:pPr>
              <w:pStyle w:val="45"/>
              <w:rPr>
                <w:color w:val="auto"/>
              </w:rPr>
            </w:pPr>
            <w:r>
              <w:rPr>
                <w:rFonts w:hint="eastAsia"/>
                <w:color w:val="auto"/>
              </w:rPr>
              <w:t>0</w:t>
            </w:r>
          </w:p>
        </w:tc>
        <w:tc>
          <w:tcPr>
            <w:tcW w:w="1137" w:type="dxa"/>
            <w:noWrap/>
            <w:vAlign w:val="center"/>
          </w:tcPr>
          <w:p>
            <w:pPr>
              <w:pStyle w:val="45"/>
              <w:rPr>
                <w:color w:val="auto"/>
              </w:rPr>
            </w:pPr>
            <w:r>
              <w:rPr>
                <w:rFonts w:hint="eastAsia"/>
                <w:color w:val="auto"/>
              </w:rPr>
              <w:t>0</w:t>
            </w:r>
          </w:p>
        </w:tc>
        <w:tc>
          <w:tcPr>
            <w:tcW w:w="2030" w:type="dxa"/>
            <w:noWrap/>
            <w:vAlign w:val="center"/>
          </w:tcPr>
          <w:p>
            <w:pPr>
              <w:pStyle w:val="45"/>
              <w:rPr>
                <w:color w:val="auto"/>
              </w:rPr>
            </w:pPr>
            <w:r>
              <w:rPr>
                <w:rFonts w:hint="eastAsia"/>
                <w:color w:val="auto"/>
              </w:rPr>
              <w:t>0</w:t>
            </w:r>
          </w:p>
        </w:tc>
        <w:tc>
          <w:tcPr>
            <w:tcW w:w="1925" w:type="dxa"/>
            <w:noWrap/>
            <w:vAlign w:val="center"/>
          </w:tcPr>
          <w:p>
            <w:pPr>
              <w:pStyle w:val="45"/>
              <w:spacing w:line="276" w:lineRule="auto"/>
              <w:rPr>
                <w:color w:val="auto"/>
              </w:rPr>
            </w:pPr>
            <w:r>
              <w:rPr>
                <w:rFonts w:hint="eastAsia"/>
                <w:color w:val="auto"/>
                <w:lang w:val="en-US" w:eastAsia="zh-CN"/>
              </w:rPr>
              <w:t>0.48</w:t>
            </w:r>
          </w:p>
        </w:tc>
        <w:tc>
          <w:tcPr>
            <w:tcW w:w="1794" w:type="dxa"/>
            <w:noWrap/>
            <w:vAlign w:val="center"/>
          </w:tcPr>
          <w:p>
            <w:pPr>
              <w:pStyle w:val="45"/>
              <w:rPr>
                <w:color w:val="auto"/>
              </w:rPr>
            </w:pPr>
            <w:r>
              <w:rPr>
                <w:rFonts w:hint="eastAsia"/>
                <w:color w:val="auto"/>
              </w:rPr>
              <w:t>0</w:t>
            </w:r>
          </w:p>
        </w:tc>
        <w:tc>
          <w:tcPr>
            <w:tcW w:w="2279" w:type="dxa"/>
            <w:noWrap/>
            <w:vAlign w:val="center"/>
          </w:tcPr>
          <w:p>
            <w:pPr>
              <w:pStyle w:val="45"/>
              <w:spacing w:line="276" w:lineRule="auto"/>
              <w:rPr>
                <w:color w:val="auto"/>
              </w:rPr>
            </w:pPr>
            <w:r>
              <w:rPr>
                <w:rFonts w:hint="eastAsia"/>
                <w:color w:val="auto"/>
                <w:lang w:val="en-US" w:eastAsia="zh-CN"/>
              </w:rPr>
              <w:t>0.48</w:t>
            </w:r>
          </w:p>
        </w:tc>
        <w:tc>
          <w:tcPr>
            <w:tcW w:w="1053" w:type="dxa"/>
            <w:noWrap/>
            <w:vAlign w:val="center"/>
          </w:tcPr>
          <w:p>
            <w:pPr>
              <w:pStyle w:val="45"/>
              <w:spacing w:line="276" w:lineRule="auto"/>
              <w:rPr>
                <w:color w:val="auto"/>
              </w:rPr>
            </w:pPr>
            <w:r>
              <w:rPr>
                <w:rFonts w:hint="eastAsia"/>
                <w:color w:val="auto"/>
                <w:lang w:val="en-US" w:eastAsia="zh-CN"/>
              </w:rPr>
              <w:t>+0.48</w:t>
            </w:r>
          </w:p>
        </w:tc>
      </w:tr>
    </w:tbl>
    <w:p>
      <w:pPr>
        <w:spacing w:beforeLines="80" w:after="24"/>
        <w:rPr>
          <w:color w:val="000000" w:themeColor="text1"/>
        </w:r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p>
    <w:p>
      <w:pPr>
        <w:pStyle w:val="8"/>
        <w:ind w:left="480"/>
        <w:rPr>
          <w:color w:val="FF0000"/>
        </w:rPr>
      </w:pPr>
      <w:bookmarkStart w:id="91" w:name="_GoBack"/>
      <w:bookmarkEnd w:id="91"/>
    </w:p>
    <w:sectPr>
      <w:footerReference r:id="rId8" w:type="default"/>
      <w:pgSz w:w="16840" w:h="11910" w:orient="landscape"/>
      <w:pgMar w:top="1800" w:right="1440" w:bottom="1800" w:left="1440" w:header="892" w:footer="1115"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隶书">
    <w:panose1 w:val="02010509060101010101"/>
    <w:charset w:val="86"/>
    <w:family w:val="roma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49</w:t>
                </w:r>
                <w:r>
                  <w:rPr>
                    <w:rStyle w:val="34"/>
                    <w:rFonts w:ascii="宋体" w:hAnsi="宋体"/>
                    <w:sz w:val="26"/>
                    <w:szCs w:val="26"/>
                  </w:rPr>
                  <w:fldChar w:fldCharType="end"/>
                </w:r>
                <w:r>
                  <w:rPr>
                    <w:rStyle w:val="34"/>
                    <w:rFonts w:hint="eastAsia" w:ascii="宋体" w:hAnsi="宋体"/>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pict>
        <v:shape id="_x0000_s1027" o:spid="_x0000_s1027"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50</w:t>
                </w:r>
                <w:r>
                  <w:rPr>
                    <w:rStyle w:val="34"/>
                    <w:rFonts w:ascii="宋体" w:hAnsi="宋体"/>
                    <w:sz w:val="26"/>
                    <w:szCs w:val="26"/>
                  </w:rPr>
                  <w:fldChar w:fldCharType="end"/>
                </w:r>
                <w:r>
                  <w:rPr>
                    <w:rStyle w:val="34"/>
                    <w:rFonts w:hint="eastAsia" w:ascii="宋体" w:hAnsi="宋体"/>
                    <w:sz w:val="28"/>
                    <w:szCs w:val="28"/>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CB673"/>
    <w:multiLevelType w:val="singleLevel"/>
    <w:tmpl w:val="98BCB673"/>
    <w:lvl w:ilvl="0" w:tentative="0">
      <w:start w:val="7"/>
      <w:numFmt w:val="decimal"/>
      <w:suff w:val="nothing"/>
      <w:lvlText w:val="%1、"/>
      <w:lvlJc w:val="left"/>
    </w:lvl>
  </w:abstractNum>
  <w:abstractNum w:abstractNumId="1">
    <w:nsid w:val="9A6A00AE"/>
    <w:multiLevelType w:val="singleLevel"/>
    <w:tmpl w:val="9A6A00AE"/>
    <w:lvl w:ilvl="0" w:tentative="0">
      <w:start w:val="1"/>
      <w:numFmt w:val="decimal"/>
      <w:suff w:val="nothing"/>
      <w:lvlText w:val="%1、"/>
      <w:lvlJc w:val="left"/>
    </w:lvl>
  </w:abstractNum>
  <w:abstractNum w:abstractNumId="2">
    <w:nsid w:val="B10D20E4"/>
    <w:multiLevelType w:val="singleLevel"/>
    <w:tmpl w:val="B10D20E4"/>
    <w:lvl w:ilvl="0" w:tentative="0">
      <w:start w:val="1"/>
      <w:numFmt w:val="decimal"/>
      <w:suff w:val="nothing"/>
      <w:lvlText w:val="%1、"/>
      <w:lvlJc w:val="left"/>
    </w:lvl>
  </w:abstractNum>
  <w:abstractNum w:abstractNumId="3">
    <w:nsid w:val="B6D0797E"/>
    <w:multiLevelType w:val="singleLevel"/>
    <w:tmpl w:val="B6D0797E"/>
    <w:lvl w:ilvl="0" w:tentative="0">
      <w:start w:val="5"/>
      <w:numFmt w:val="chineseCounting"/>
      <w:suff w:val="nothing"/>
      <w:lvlText w:val="%1、"/>
      <w:lvlJc w:val="left"/>
      <w:rPr>
        <w:rFonts w:hint="eastAsia"/>
        <w:color w:val="auto"/>
      </w:rPr>
    </w:lvl>
  </w:abstractNum>
  <w:abstractNum w:abstractNumId="4">
    <w:nsid w:val="D70D89B0"/>
    <w:multiLevelType w:val="singleLevel"/>
    <w:tmpl w:val="D70D89B0"/>
    <w:lvl w:ilvl="0" w:tentative="0">
      <w:start w:val="1"/>
      <w:numFmt w:val="decimal"/>
      <w:suff w:val="nothing"/>
      <w:lvlText w:val="%1、"/>
      <w:lvlJc w:val="left"/>
    </w:lvl>
  </w:abstractNum>
  <w:abstractNum w:abstractNumId="5">
    <w:nsid w:val="FCC5956F"/>
    <w:multiLevelType w:val="singleLevel"/>
    <w:tmpl w:val="FCC5956F"/>
    <w:lvl w:ilvl="0" w:tentative="0">
      <w:start w:val="6"/>
      <w:numFmt w:val="decimal"/>
      <w:suff w:val="nothing"/>
      <w:lvlText w:val="（%1）"/>
      <w:lvlJc w:val="left"/>
    </w:lvl>
  </w:abstractNum>
  <w:abstractNum w:abstractNumId="6">
    <w:nsid w:val="38A2AEB9"/>
    <w:multiLevelType w:val="singleLevel"/>
    <w:tmpl w:val="38A2AEB9"/>
    <w:lvl w:ilvl="0" w:tentative="0">
      <w:start w:val="4"/>
      <w:numFmt w:val="decimal"/>
      <w:suff w:val="nothing"/>
      <w:lvlText w:val="%1、"/>
      <w:lvlJc w:val="left"/>
    </w:lvl>
  </w:abstractNum>
  <w:abstractNum w:abstractNumId="7">
    <w:nsid w:val="618006C3"/>
    <w:multiLevelType w:val="singleLevel"/>
    <w:tmpl w:val="618006C3"/>
    <w:lvl w:ilvl="0" w:tentative="0">
      <w:start w:val="2"/>
      <w:numFmt w:val="decimal"/>
      <w:suff w:val="nothing"/>
      <w:lvlText w:val="（%1）"/>
      <w:lvlJc w:val="left"/>
    </w:lvl>
  </w:abstractNum>
  <w:abstractNum w:abstractNumId="8">
    <w:nsid w:val="6E1C81C6"/>
    <w:multiLevelType w:val="singleLevel"/>
    <w:tmpl w:val="6E1C81C6"/>
    <w:lvl w:ilvl="0" w:tentative="0">
      <w:start w:val="4"/>
      <w:numFmt w:val="decimal"/>
      <w:suff w:val="nothing"/>
      <w:lvlText w:val="%1、"/>
      <w:lvlJc w:val="left"/>
    </w:lvl>
  </w:abstractNum>
  <w:abstractNum w:abstractNumId="9">
    <w:nsid w:val="6F625AA7"/>
    <w:multiLevelType w:val="multilevel"/>
    <w:tmpl w:val="6F625AA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9"/>
  </w:num>
  <w:num w:numId="2">
    <w:abstractNumId w:val="4"/>
  </w:num>
  <w:num w:numId="3">
    <w:abstractNumId w:val="6"/>
  </w:num>
  <w:num w:numId="4">
    <w:abstractNumId w:val="5"/>
  </w:num>
  <w:num w:numId="5">
    <w:abstractNumId w:val="2"/>
  </w:num>
  <w:num w:numId="6">
    <w:abstractNumId w:val="1"/>
  </w:num>
  <w:num w:numId="7">
    <w:abstractNumId w:val="8"/>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VlYWNkYWMwNDllNGIxMzU3NTJiZjI0ZGI2ZjUzMDgifQ=="/>
  </w:docVars>
  <w:rsids>
    <w:rsidRoot w:val="00172A27"/>
    <w:rsid w:val="00005402"/>
    <w:rsid w:val="00097346"/>
    <w:rsid w:val="001669D4"/>
    <w:rsid w:val="00172A27"/>
    <w:rsid w:val="00360E24"/>
    <w:rsid w:val="00417BD3"/>
    <w:rsid w:val="006176F0"/>
    <w:rsid w:val="006836D3"/>
    <w:rsid w:val="006C27AF"/>
    <w:rsid w:val="007C2D94"/>
    <w:rsid w:val="00883B6F"/>
    <w:rsid w:val="00975D66"/>
    <w:rsid w:val="009F5DFF"/>
    <w:rsid w:val="00AD7338"/>
    <w:rsid w:val="00B7254C"/>
    <w:rsid w:val="00BD5834"/>
    <w:rsid w:val="00BE16CB"/>
    <w:rsid w:val="00C30909"/>
    <w:rsid w:val="00CF3B29"/>
    <w:rsid w:val="00D6630E"/>
    <w:rsid w:val="00DD75D2"/>
    <w:rsid w:val="00E954FE"/>
    <w:rsid w:val="00EB3ABA"/>
    <w:rsid w:val="00F1191B"/>
    <w:rsid w:val="00F44669"/>
    <w:rsid w:val="01192C1F"/>
    <w:rsid w:val="01205144"/>
    <w:rsid w:val="01287748"/>
    <w:rsid w:val="015E4AD6"/>
    <w:rsid w:val="0167398B"/>
    <w:rsid w:val="019127B6"/>
    <w:rsid w:val="0192652E"/>
    <w:rsid w:val="01CD6E8B"/>
    <w:rsid w:val="01EC5C3E"/>
    <w:rsid w:val="020225EC"/>
    <w:rsid w:val="02193B03"/>
    <w:rsid w:val="022C24DE"/>
    <w:rsid w:val="024A0CCD"/>
    <w:rsid w:val="025B2DC4"/>
    <w:rsid w:val="025C1016"/>
    <w:rsid w:val="02703797"/>
    <w:rsid w:val="027544D1"/>
    <w:rsid w:val="027A149C"/>
    <w:rsid w:val="027D71DE"/>
    <w:rsid w:val="028B51DC"/>
    <w:rsid w:val="02A227A1"/>
    <w:rsid w:val="02D23086"/>
    <w:rsid w:val="02E1151B"/>
    <w:rsid w:val="02E96621"/>
    <w:rsid w:val="02ED7EC0"/>
    <w:rsid w:val="02FA25DD"/>
    <w:rsid w:val="02FC6355"/>
    <w:rsid w:val="03113B51"/>
    <w:rsid w:val="0313544C"/>
    <w:rsid w:val="0348159A"/>
    <w:rsid w:val="038773B8"/>
    <w:rsid w:val="038834A2"/>
    <w:rsid w:val="039C5442"/>
    <w:rsid w:val="03C84489"/>
    <w:rsid w:val="03F139E0"/>
    <w:rsid w:val="03F4702C"/>
    <w:rsid w:val="03FB660C"/>
    <w:rsid w:val="040C25C7"/>
    <w:rsid w:val="04133956"/>
    <w:rsid w:val="043D6C25"/>
    <w:rsid w:val="04460E6B"/>
    <w:rsid w:val="04583A60"/>
    <w:rsid w:val="045A4A29"/>
    <w:rsid w:val="045C37C0"/>
    <w:rsid w:val="047E13C2"/>
    <w:rsid w:val="049001AC"/>
    <w:rsid w:val="049432C9"/>
    <w:rsid w:val="049C1B9D"/>
    <w:rsid w:val="04AE367F"/>
    <w:rsid w:val="04D372DB"/>
    <w:rsid w:val="04E86B91"/>
    <w:rsid w:val="054643BE"/>
    <w:rsid w:val="056B5C75"/>
    <w:rsid w:val="059E36F3"/>
    <w:rsid w:val="05AF3B52"/>
    <w:rsid w:val="05C16769"/>
    <w:rsid w:val="05D610DF"/>
    <w:rsid w:val="05E27A84"/>
    <w:rsid w:val="05F9301F"/>
    <w:rsid w:val="05F94DCD"/>
    <w:rsid w:val="06147E59"/>
    <w:rsid w:val="061D2E70"/>
    <w:rsid w:val="062E0F1B"/>
    <w:rsid w:val="063876A4"/>
    <w:rsid w:val="063B3638"/>
    <w:rsid w:val="063B7194"/>
    <w:rsid w:val="06434579"/>
    <w:rsid w:val="065344DE"/>
    <w:rsid w:val="06570D1B"/>
    <w:rsid w:val="06764670"/>
    <w:rsid w:val="06826B71"/>
    <w:rsid w:val="06930D7E"/>
    <w:rsid w:val="069861E6"/>
    <w:rsid w:val="06B01930"/>
    <w:rsid w:val="06B50CF4"/>
    <w:rsid w:val="06BE1950"/>
    <w:rsid w:val="071B7485"/>
    <w:rsid w:val="073C7668"/>
    <w:rsid w:val="075C60D1"/>
    <w:rsid w:val="07753585"/>
    <w:rsid w:val="077C1812"/>
    <w:rsid w:val="078B414B"/>
    <w:rsid w:val="07927288"/>
    <w:rsid w:val="07A174CB"/>
    <w:rsid w:val="07A65AF6"/>
    <w:rsid w:val="07B13BB2"/>
    <w:rsid w:val="07C1191B"/>
    <w:rsid w:val="07DE2B23"/>
    <w:rsid w:val="08030185"/>
    <w:rsid w:val="080A1514"/>
    <w:rsid w:val="080F2205"/>
    <w:rsid w:val="08332819"/>
    <w:rsid w:val="08395955"/>
    <w:rsid w:val="086E6A1B"/>
    <w:rsid w:val="08874912"/>
    <w:rsid w:val="08903B46"/>
    <w:rsid w:val="08BE235F"/>
    <w:rsid w:val="08C83852"/>
    <w:rsid w:val="08DF44CB"/>
    <w:rsid w:val="08EE6740"/>
    <w:rsid w:val="092343E6"/>
    <w:rsid w:val="0923693C"/>
    <w:rsid w:val="09412D13"/>
    <w:rsid w:val="09496AB1"/>
    <w:rsid w:val="09652EA6"/>
    <w:rsid w:val="096802A0"/>
    <w:rsid w:val="098175B4"/>
    <w:rsid w:val="098F7F23"/>
    <w:rsid w:val="099E0166"/>
    <w:rsid w:val="09A6526C"/>
    <w:rsid w:val="09D83DD8"/>
    <w:rsid w:val="09EB1672"/>
    <w:rsid w:val="0A014251"/>
    <w:rsid w:val="0A38300E"/>
    <w:rsid w:val="0A397E8E"/>
    <w:rsid w:val="0A4A5BF8"/>
    <w:rsid w:val="0A786C09"/>
    <w:rsid w:val="0A7D7D7B"/>
    <w:rsid w:val="0A8D3D36"/>
    <w:rsid w:val="0AB42ECF"/>
    <w:rsid w:val="0ABA47FB"/>
    <w:rsid w:val="0AEC7E43"/>
    <w:rsid w:val="0AFC25EF"/>
    <w:rsid w:val="0AFD2C6A"/>
    <w:rsid w:val="0B097861"/>
    <w:rsid w:val="0B0C33E4"/>
    <w:rsid w:val="0B312BA9"/>
    <w:rsid w:val="0B41349E"/>
    <w:rsid w:val="0B4F3AA9"/>
    <w:rsid w:val="0B512FB6"/>
    <w:rsid w:val="0B696551"/>
    <w:rsid w:val="0B6D4294"/>
    <w:rsid w:val="0B7F5D75"/>
    <w:rsid w:val="0B996E37"/>
    <w:rsid w:val="0BDE0CED"/>
    <w:rsid w:val="0BE103CC"/>
    <w:rsid w:val="0BE1433A"/>
    <w:rsid w:val="0BE91440"/>
    <w:rsid w:val="0C1B3CF0"/>
    <w:rsid w:val="0C22507E"/>
    <w:rsid w:val="0C3F3D88"/>
    <w:rsid w:val="0C4844F5"/>
    <w:rsid w:val="0C50326D"/>
    <w:rsid w:val="0C545549"/>
    <w:rsid w:val="0C654272"/>
    <w:rsid w:val="0C677C6A"/>
    <w:rsid w:val="0C684A5B"/>
    <w:rsid w:val="0C7D78F9"/>
    <w:rsid w:val="0C9363A8"/>
    <w:rsid w:val="0C9B6BDE"/>
    <w:rsid w:val="0CB0183C"/>
    <w:rsid w:val="0CB35CD6"/>
    <w:rsid w:val="0CB657C6"/>
    <w:rsid w:val="0CC31C91"/>
    <w:rsid w:val="0CEE4F60"/>
    <w:rsid w:val="0CF9004E"/>
    <w:rsid w:val="0CFF53BF"/>
    <w:rsid w:val="0D134413"/>
    <w:rsid w:val="0D417786"/>
    <w:rsid w:val="0D444B80"/>
    <w:rsid w:val="0D450E61"/>
    <w:rsid w:val="0D49488C"/>
    <w:rsid w:val="0D4C7ED9"/>
    <w:rsid w:val="0D534FDE"/>
    <w:rsid w:val="0D575CDC"/>
    <w:rsid w:val="0D623C07"/>
    <w:rsid w:val="0D6C462A"/>
    <w:rsid w:val="0D6E7E4F"/>
    <w:rsid w:val="0D8458C4"/>
    <w:rsid w:val="0D847672"/>
    <w:rsid w:val="0D870F11"/>
    <w:rsid w:val="0D923CAE"/>
    <w:rsid w:val="0D9C2C0E"/>
    <w:rsid w:val="0DC363ED"/>
    <w:rsid w:val="0DD00E43"/>
    <w:rsid w:val="0E0F33E0"/>
    <w:rsid w:val="0E166430"/>
    <w:rsid w:val="0E1E1875"/>
    <w:rsid w:val="0E2A114A"/>
    <w:rsid w:val="0E2F75DE"/>
    <w:rsid w:val="0E582D88"/>
    <w:rsid w:val="0E6A6868"/>
    <w:rsid w:val="0E7C7F3E"/>
    <w:rsid w:val="0E960F7B"/>
    <w:rsid w:val="0E963B01"/>
    <w:rsid w:val="0EB61AAE"/>
    <w:rsid w:val="0F022F45"/>
    <w:rsid w:val="0F0D5446"/>
    <w:rsid w:val="0F1D4CFD"/>
    <w:rsid w:val="0F25287E"/>
    <w:rsid w:val="0F2729AB"/>
    <w:rsid w:val="0F2904D1"/>
    <w:rsid w:val="0F2F360E"/>
    <w:rsid w:val="0F4C2412"/>
    <w:rsid w:val="0F53554E"/>
    <w:rsid w:val="0F7A2ADB"/>
    <w:rsid w:val="0F7C2CF7"/>
    <w:rsid w:val="0F916077"/>
    <w:rsid w:val="0F9A4F2B"/>
    <w:rsid w:val="0FC30926"/>
    <w:rsid w:val="0FC41BBC"/>
    <w:rsid w:val="0FE8038D"/>
    <w:rsid w:val="0FFC7994"/>
    <w:rsid w:val="100D7DF3"/>
    <w:rsid w:val="101D790A"/>
    <w:rsid w:val="10245407"/>
    <w:rsid w:val="102558ED"/>
    <w:rsid w:val="103C2486"/>
    <w:rsid w:val="10463305"/>
    <w:rsid w:val="104D6442"/>
    <w:rsid w:val="10596B94"/>
    <w:rsid w:val="105C48D7"/>
    <w:rsid w:val="1060045A"/>
    <w:rsid w:val="1066305F"/>
    <w:rsid w:val="10667503"/>
    <w:rsid w:val="107A6B0B"/>
    <w:rsid w:val="107B4F98"/>
    <w:rsid w:val="108F3DAB"/>
    <w:rsid w:val="10993435"/>
    <w:rsid w:val="10AF0EAA"/>
    <w:rsid w:val="10C04E65"/>
    <w:rsid w:val="10D3566E"/>
    <w:rsid w:val="10E5667A"/>
    <w:rsid w:val="10EC17B7"/>
    <w:rsid w:val="10F22B45"/>
    <w:rsid w:val="10FB5E9E"/>
    <w:rsid w:val="110E3E08"/>
    <w:rsid w:val="111D5BA4"/>
    <w:rsid w:val="111E4A8C"/>
    <w:rsid w:val="1125116C"/>
    <w:rsid w:val="11370766"/>
    <w:rsid w:val="11494E5B"/>
    <w:rsid w:val="114E54DD"/>
    <w:rsid w:val="115B693C"/>
    <w:rsid w:val="115F58E9"/>
    <w:rsid w:val="118934A9"/>
    <w:rsid w:val="11A402E3"/>
    <w:rsid w:val="11BD1A9D"/>
    <w:rsid w:val="11BD6E3E"/>
    <w:rsid w:val="11E725FA"/>
    <w:rsid w:val="11EE77B0"/>
    <w:rsid w:val="11F46E20"/>
    <w:rsid w:val="12040D82"/>
    <w:rsid w:val="12422F86"/>
    <w:rsid w:val="12541D09"/>
    <w:rsid w:val="12573F25"/>
    <w:rsid w:val="12704669"/>
    <w:rsid w:val="12751C80"/>
    <w:rsid w:val="12810624"/>
    <w:rsid w:val="1283439D"/>
    <w:rsid w:val="12851EC3"/>
    <w:rsid w:val="12C02EFB"/>
    <w:rsid w:val="12EE1465"/>
    <w:rsid w:val="131B45D5"/>
    <w:rsid w:val="131E40C5"/>
    <w:rsid w:val="13246584"/>
    <w:rsid w:val="132C67E2"/>
    <w:rsid w:val="13346AFF"/>
    <w:rsid w:val="13383E5A"/>
    <w:rsid w:val="13443EA5"/>
    <w:rsid w:val="134F0723"/>
    <w:rsid w:val="135E2714"/>
    <w:rsid w:val="13767A5D"/>
    <w:rsid w:val="137A3491"/>
    <w:rsid w:val="137B1518"/>
    <w:rsid w:val="139D4FEA"/>
    <w:rsid w:val="13A66595"/>
    <w:rsid w:val="13BA3DEE"/>
    <w:rsid w:val="13CA5171"/>
    <w:rsid w:val="13F54E26"/>
    <w:rsid w:val="141379A2"/>
    <w:rsid w:val="142D2C60"/>
    <w:rsid w:val="143400BF"/>
    <w:rsid w:val="143F6A45"/>
    <w:rsid w:val="145E6E6F"/>
    <w:rsid w:val="145F4995"/>
    <w:rsid w:val="148F7029"/>
    <w:rsid w:val="1499110D"/>
    <w:rsid w:val="149A3C1F"/>
    <w:rsid w:val="14AD3953"/>
    <w:rsid w:val="14B545B5"/>
    <w:rsid w:val="14D72BAD"/>
    <w:rsid w:val="14E07884"/>
    <w:rsid w:val="15033573"/>
    <w:rsid w:val="15122F7E"/>
    <w:rsid w:val="15192D96"/>
    <w:rsid w:val="15233C15"/>
    <w:rsid w:val="157D3325"/>
    <w:rsid w:val="157F5F13"/>
    <w:rsid w:val="159E5049"/>
    <w:rsid w:val="15A00DC2"/>
    <w:rsid w:val="15EF58A5"/>
    <w:rsid w:val="15F930EB"/>
    <w:rsid w:val="16286221"/>
    <w:rsid w:val="162B2D81"/>
    <w:rsid w:val="162D3043"/>
    <w:rsid w:val="163A33ED"/>
    <w:rsid w:val="165878EE"/>
    <w:rsid w:val="165C118C"/>
    <w:rsid w:val="166938A9"/>
    <w:rsid w:val="16753FFC"/>
    <w:rsid w:val="16881768"/>
    <w:rsid w:val="168E3310"/>
    <w:rsid w:val="16A668AC"/>
    <w:rsid w:val="16C62AAA"/>
    <w:rsid w:val="16D90A2F"/>
    <w:rsid w:val="16E524CF"/>
    <w:rsid w:val="17027E70"/>
    <w:rsid w:val="17562080"/>
    <w:rsid w:val="17654071"/>
    <w:rsid w:val="1776002C"/>
    <w:rsid w:val="177B0E6C"/>
    <w:rsid w:val="17D567AE"/>
    <w:rsid w:val="17D631C0"/>
    <w:rsid w:val="17FD24FB"/>
    <w:rsid w:val="182300F4"/>
    <w:rsid w:val="182C2DE0"/>
    <w:rsid w:val="18506ACF"/>
    <w:rsid w:val="18552337"/>
    <w:rsid w:val="1865196E"/>
    <w:rsid w:val="18AD3F21"/>
    <w:rsid w:val="18B46832"/>
    <w:rsid w:val="18C64FE3"/>
    <w:rsid w:val="18F02060"/>
    <w:rsid w:val="18FC27B3"/>
    <w:rsid w:val="19010413"/>
    <w:rsid w:val="1907085F"/>
    <w:rsid w:val="190D676E"/>
    <w:rsid w:val="1917583F"/>
    <w:rsid w:val="191D46A7"/>
    <w:rsid w:val="19287A4C"/>
    <w:rsid w:val="19306900"/>
    <w:rsid w:val="193840F4"/>
    <w:rsid w:val="195D6994"/>
    <w:rsid w:val="19662322"/>
    <w:rsid w:val="19722A75"/>
    <w:rsid w:val="198D3D53"/>
    <w:rsid w:val="19A30E80"/>
    <w:rsid w:val="19AC5F87"/>
    <w:rsid w:val="19DC72B5"/>
    <w:rsid w:val="19E020D4"/>
    <w:rsid w:val="19E35721"/>
    <w:rsid w:val="1A107B93"/>
    <w:rsid w:val="1A16562F"/>
    <w:rsid w:val="1A2B1828"/>
    <w:rsid w:val="1A383CBF"/>
    <w:rsid w:val="1A394CFA"/>
    <w:rsid w:val="1A442393"/>
    <w:rsid w:val="1A4E703E"/>
    <w:rsid w:val="1A952E85"/>
    <w:rsid w:val="1A9D7FC6"/>
    <w:rsid w:val="1AC12B11"/>
    <w:rsid w:val="1AC76B94"/>
    <w:rsid w:val="1AD05CA5"/>
    <w:rsid w:val="1AD5150D"/>
    <w:rsid w:val="1AD734D7"/>
    <w:rsid w:val="1AF71484"/>
    <w:rsid w:val="1B0E4AD3"/>
    <w:rsid w:val="1B1C441D"/>
    <w:rsid w:val="1B300E3A"/>
    <w:rsid w:val="1B5543FC"/>
    <w:rsid w:val="1B656D35"/>
    <w:rsid w:val="1B695C92"/>
    <w:rsid w:val="1B865AB3"/>
    <w:rsid w:val="1BBB0703"/>
    <w:rsid w:val="1BD417C5"/>
    <w:rsid w:val="1BDB6FF7"/>
    <w:rsid w:val="1C313E81"/>
    <w:rsid w:val="1C3F578D"/>
    <w:rsid w:val="1C44694B"/>
    <w:rsid w:val="1C4921B3"/>
    <w:rsid w:val="1C5B5A42"/>
    <w:rsid w:val="1C6E39C8"/>
    <w:rsid w:val="1C897E65"/>
    <w:rsid w:val="1CC730D8"/>
    <w:rsid w:val="1CDA72AF"/>
    <w:rsid w:val="1D000EA6"/>
    <w:rsid w:val="1D037327"/>
    <w:rsid w:val="1D196CB1"/>
    <w:rsid w:val="1D210A3A"/>
    <w:rsid w:val="1D3505AF"/>
    <w:rsid w:val="1D591496"/>
    <w:rsid w:val="1D6D0123"/>
    <w:rsid w:val="1D8F0099"/>
    <w:rsid w:val="1DB23D88"/>
    <w:rsid w:val="1DEB2A3F"/>
    <w:rsid w:val="1E002D45"/>
    <w:rsid w:val="1E0565AE"/>
    <w:rsid w:val="1E197963"/>
    <w:rsid w:val="1E344866"/>
    <w:rsid w:val="1E366767"/>
    <w:rsid w:val="1E4D585F"/>
    <w:rsid w:val="1E713795"/>
    <w:rsid w:val="1EB63404"/>
    <w:rsid w:val="1EC2624D"/>
    <w:rsid w:val="1EC45B21"/>
    <w:rsid w:val="1EE241F9"/>
    <w:rsid w:val="1EE75CB3"/>
    <w:rsid w:val="1F095817"/>
    <w:rsid w:val="1F0A7BCF"/>
    <w:rsid w:val="1F1F0CAA"/>
    <w:rsid w:val="1F2760B0"/>
    <w:rsid w:val="1F2B2044"/>
    <w:rsid w:val="1F3410FC"/>
    <w:rsid w:val="1F3A2287"/>
    <w:rsid w:val="1F495A63"/>
    <w:rsid w:val="1F666BD8"/>
    <w:rsid w:val="1F8D685B"/>
    <w:rsid w:val="1F9116DA"/>
    <w:rsid w:val="1F953961"/>
    <w:rsid w:val="1FB02549"/>
    <w:rsid w:val="1FC644C7"/>
    <w:rsid w:val="1FC87893"/>
    <w:rsid w:val="1FCD4EA9"/>
    <w:rsid w:val="1FDE2C12"/>
    <w:rsid w:val="1FF16DE9"/>
    <w:rsid w:val="1FF67F9B"/>
    <w:rsid w:val="200156E5"/>
    <w:rsid w:val="20062169"/>
    <w:rsid w:val="20123E09"/>
    <w:rsid w:val="20174376"/>
    <w:rsid w:val="201B5C14"/>
    <w:rsid w:val="2040567B"/>
    <w:rsid w:val="204607B7"/>
    <w:rsid w:val="2053478F"/>
    <w:rsid w:val="206F5F60"/>
    <w:rsid w:val="20745325"/>
    <w:rsid w:val="208B7018"/>
    <w:rsid w:val="2099122F"/>
    <w:rsid w:val="20A83220"/>
    <w:rsid w:val="20B0044B"/>
    <w:rsid w:val="20B0346B"/>
    <w:rsid w:val="20B56069"/>
    <w:rsid w:val="20D85698"/>
    <w:rsid w:val="20DE36B4"/>
    <w:rsid w:val="20E1146A"/>
    <w:rsid w:val="20E457F2"/>
    <w:rsid w:val="2100305C"/>
    <w:rsid w:val="210163ED"/>
    <w:rsid w:val="210C7C53"/>
    <w:rsid w:val="211014F1"/>
    <w:rsid w:val="211803A6"/>
    <w:rsid w:val="212873DB"/>
    <w:rsid w:val="2129494B"/>
    <w:rsid w:val="21313216"/>
    <w:rsid w:val="21465EFC"/>
    <w:rsid w:val="214967B1"/>
    <w:rsid w:val="215018EE"/>
    <w:rsid w:val="21507C6B"/>
    <w:rsid w:val="215B1899"/>
    <w:rsid w:val="21647640"/>
    <w:rsid w:val="21823A71"/>
    <w:rsid w:val="21863561"/>
    <w:rsid w:val="218B6DCA"/>
    <w:rsid w:val="21D7200F"/>
    <w:rsid w:val="21DC13D3"/>
    <w:rsid w:val="21E14C3C"/>
    <w:rsid w:val="21F91F85"/>
    <w:rsid w:val="22140B6D"/>
    <w:rsid w:val="22280ABD"/>
    <w:rsid w:val="22511DC1"/>
    <w:rsid w:val="22622EC9"/>
    <w:rsid w:val="226D43E2"/>
    <w:rsid w:val="226D4721"/>
    <w:rsid w:val="22771FA7"/>
    <w:rsid w:val="229D6DB5"/>
    <w:rsid w:val="22A23C7D"/>
    <w:rsid w:val="22AC3262"/>
    <w:rsid w:val="22AF4D3A"/>
    <w:rsid w:val="22B5014B"/>
    <w:rsid w:val="22DE117B"/>
    <w:rsid w:val="23137077"/>
    <w:rsid w:val="23161E2B"/>
    <w:rsid w:val="231D6147"/>
    <w:rsid w:val="232079E6"/>
    <w:rsid w:val="2322375E"/>
    <w:rsid w:val="232B48DD"/>
    <w:rsid w:val="23337719"/>
    <w:rsid w:val="2339265A"/>
    <w:rsid w:val="233D2346"/>
    <w:rsid w:val="234D330E"/>
    <w:rsid w:val="23616034"/>
    <w:rsid w:val="237225F1"/>
    <w:rsid w:val="23733FB9"/>
    <w:rsid w:val="239D4B92"/>
    <w:rsid w:val="23A22109"/>
    <w:rsid w:val="23A87C8F"/>
    <w:rsid w:val="23B64B34"/>
    <w:rsid w:val="23EE53EE"/>
    <w:rsid w:val="24044C11"/>
    <w:rsid w:val="24082954"/>
    <w:rsid w:val="24172532"/>
    <w:rsid w:val="24207C9D"/>
    <w:rsid w:val="244F40DF"/>
    <w:rsid w:val="2472601F"/>
    <w:rsid w:val="24813911"/>
    <w:rsid w:val="24C5091D"/>
    <w:rsid w:val="24DA7B6B"/>
    <w:rsid w:val="24E011DB"/>
    <w:rsid w:val="24E0742D"/>
    <w:rsid w:val="24FF5DE0"/>
    <w:rsid w:val="251610A0"/>
    <w:rsid w:val="2524556B"/>
    <w:rsid w:val="254A57DC"/>
    <w:rsid w:val="257302A1"/>
    <w:rsid w:val="25983863"/>
    <w:rsid w:val="25A536DC"/>
    <w:rsid w:val="25AB7A3A"/>
    <w:rsid w:val="25CB1E8B"/>
    <w:rsid w:val="25D7082F"/>
    <w:rsid w:val="25E20F82"/>
    <w:rsid w:val="26031625"/>
    <w:rsid w:val="261849A4"/>
    <w:rsid w:val="261D0B5A"/>
    <w:rsid w:val="262F4200"/>
    <w:rsid w:val="263B7010"/>
    <w:rsid w:val="26591245"/>
    <w:rsid w:val="2665408D"/>
    <w:rsid w:val="267A11BB"/>
    <w:rsid w:val="269E134D"/>
    <w:rsid w:val="26A30712"/>
    <w:rsid w:val="26AD77E2"/>
    <w:rsid w:val="26B85575"/>
    <w:rsid w:val="26B91CE3"/>
    <w:rsid w:val="26C37006"/>
    <w:rsid w:val="2706588F"/>
    <w:rsid w:val="270F3FF9"/>
    <w:rsid w:val="272C6959"/>
    <w:rsid w:val="27383D1B"/>
    <w:rsid w:val="273B6B9C"/>
    <w:rsid w:val="273F4E8C"/>
    <w:rsid w:val="27425571"/>
    <w:rsid w:val="27433CA3"/>
    <w:rsid w:val="275B2D9A"/>
    <w:rsid w:val="275E015E"/>
    <w:rsid w:val="275F35AE"/>
    <w:rsid w:val="276205CD"/>
    <w:rsid w:val="27846795"/>
    <w:rsid w:val="27906EE8"/>
    <w:rsid w:val="27BF1FEC"/>
    <w:rsid w:val="27C3427E"/>
    <w:rsid w:val="27C61C7C"/>
    <w:rsid w:val="280B2A12"/>
    <w:rsid w:val="283232D4"/>
    <w:rsid w:val="283E4B96"/>
    <w:rsid w:val="286345FC"/>
    <w:rsid w:val="286A598B"/>
    <w:rsid w:val="286C4595"/>
    <w:rsid w:val="28702875"/>
    <w:rsid w:val="2879797C"/>
    <w:rsid w:val="288D1679"/>
    <w:rsid w:val="289522DC"/>
    <w:rsid w:val="289C18BC"/>
    <w:rsid w:val="28C476E0"/>
    <w:rsid w:val="28F17B81"/>
    <w:rsid w:val="29081417"/>
    <w:rsid w:val="291458F7"/>
    <w:rsid w:val="292024ED"/>
    <w:rsid w:val="29475193"/>
    <w:rsid w:val="295F5AC6"/>
    <w:rsid w:val="29634188"/>
    <w:rsid w:val="296E14AB"/>
    <w:rsid w:val="296F5223"/>
    <w:rsid w:val="29891E41"/>
    <w:rsid w:val="29A95B93"/>
    <w:rsid w:val="29C72969"/>
    <w:rsid w:val="29C966E1"/>
    <w:rsid w:val="29CA61B7"/>
    <w:rsid w:val="29CE03A5"/>
    <w:rsid w:val="29D07A70"/>
    <w:rsid w:val="29D82DC8"/>
    <w:rsid w:val="29DA269C"/>
    <w:rsid w:val="29DD03DE"/>
    <w:rsid w:val="29EA6657"/>
    <w:rsid w:val="29FC0A8F"/>
    <w:rsid w:val="2A120B13"/>
    <w:rsid w:val="2A181417"/>
    <w:rsid w:val="2A1831C5"/>
    <w:rsid w:val="2A28344F"/>
    <w:rsid w:val="2A2B2EF8"/>
    <w:rsid w:val="2A2D4EC2"/>
    <w:rsid w:val="2A375D41"/>
    <w:rsid w:val="2A3C3357"/>
    <w:rsid w:val="2A8071EA"/>
    <w:rsid w:val="2A81520E"/>
    <w:rsid w:val="2A9860B3"/>
    <w:rsid w:val="2AA607D0"/>
    <w:rsid w:val="2AAC64B7"/>
    <w:rsid w:val="2AAE0F81"/>
    <w:rsid w:val="2AB96756"/>
    <w:rsid w:val="2AD46E63"/>
    <w:rsid w:val="2AD90BA6"/>
    <w:rsid w:val="2ADB491E"/>
    <w:rsid w:val="2ADF3CE2"/>
    <w:rsid w:val="2AED4651"/>
    <w:rsid w:val="2AFD1D96"/>
    <w:rsid w:val="2B053749"/>
    <w:rsid w:val="2B066F3C"/>
    <w:rsid w:val="2B110340"/>
    <w:rsid w:val="2B125E66"/>
    <w:rsid w:val="2B231E21"/>
    <w:rsid w:val="2B536BAA"/>
    <w:rsid w:val="2B724B56"/>
    <w:rsid w:val="2BAF7B59"/>
    <w:rsid w:val="2BDD46C6"/>
    <w:rsid w:val="2BDF46B0"/>
    <w:rsid w:val="2BEA0B91"/>
    <w:rsid w:val="2C260AF1"/>
    <w:rsid w:val="2C2878E5"/>
    <w:rsid w:val="2C82701B"/>
    <w:rsid w:val="2C987C97"/>
    <w:rsid w:val="2C9C632F"/>
    <w:rsid w:val="2CCB451E"/>
    <w:rsid w:val="2CD7120F"/>
    <w:rsid w:val="2CDE053C"/>
    <w:rsid w:val="2CF33A75"/>
    <w:rsid w:val="2D11647C"/>
    <w:rsid w:val="2D1B54A6"/>
    <w:rsid w:val="2D236108"/>
    <w:rsid w:val="2D426ED6"/>
    <w:rsid w:val="2D4362D4"/>
    <w:rsid w:val="2D483DC1"/>
    <w:rsid w:val="2D5B3AF4"/>
    <w:rsid w:val="2D9D410D"/>
    <w:rsid w:val="2DB62D53"/>
    <w:rsid w:val="2DBB4593"/>
    <w:rsid w:val="2DD37B2E"/>
    <w:rsid w:val="2DEB6E74"/>
    <w:rsid w:val="2DEF06E0"/>
    <w:rsid w:val="2E19750B"/>
    <w:rsid w:val="2E3908D5"/>
    <w:rsid w:val="2E3B56D4"/>
    <w:rsid w:val="2E4858BB"/>
    <w:rsid w:val="2E9A689E"/>
    <w:rsid w:val="2E9D028B"/>
    <w:rsid w:val="2EB07E70"/>
    <w:rsid w:val="2EBC05C2"/>
    <w:rsid w:val="2EC85484"/>
    <w:rsid w:val="2EC92CDF"/>
    <w:rsid w:val="2EDA4EED"/>
    <w:rsid w:val="2EE64A43"/>
    <w:rsid w:val="2EEB534C"/>
    <w:rsid w:val="2EFA10EB"/>
    <w:rsid w:val="2EFE0BDB"/>
    <w:rsid w:val="2F0E4B96"/>
    <w:rsid w:val="2F1321AD"/>
    <w:rsid w:val="2F154177"/>
    <w:rsid w:val="2F2115DF"/>
    <w:rsid w:val="2F2820FC"/>
    <w:rsid w:val="2F2A49E0"/>
    <w:rsid w:val="2F2C0968"/>
    <w:rsid w:val="2F302D5E"/>
    <w:rsid w:val="2F544C9F"/>
    <w:rsid w:val="2F700DEB"/>
    <w:rsid w:val="2F7762B0"/>
    <w:rsid w:val="2F854E58"/>
    <w:rsid w:val="2F8A246F"/>
    <w:rsid w:val="2F971030"/>
    <w:rsid w:val="2FB90FA6"/>
    <w:rsid w:val="2FC94EB2"/>
    <w:rsid w:val="2FE9188B"/>
    <w:rsid w:val="2FF7387C"/>
    <w:rsid w:val="305331A8"/>
    <w:rsid w:val="30727505"/>
    <w:rsid w:val="30A07FD4"/>
    <w:rsid w:val="30BC0D4E"/>
    <w:rsid w:val="30CC4A16"/>
    <w:rsid w:val="30E95D30"/>
    <w:rsid w:val="30F1527B"/>
    <w:rsid w:val="30FD4EC2"/>
    <w:rsid w:val="31046251"/>
    <w:rsid w:val="31053115"/>
    <w:rsid w:val="3135465C"/>
    <w:rsid w:val="313A7EC4"/>
    <w:rsid w:val="316F060E"/>
    <w:rsid w:val="3175714F"/>
    <w:rsid w:val="317909ED"/>
    <w:rsid w:val="3186135C"/>
    <w:rsid w:val="318F2B68"/>
    <w:rsid w:val="31910237"/>
    <w:rsid w:val="319C57BD"/>
    <w:rsid w:val="31A16195"/>
    <w:rsid w:val="31D67BED"/>
    <w:rsid w:val="31FB3AF8"/>
    <w:rsid w:val="32196446"/>
    <w:rsid w:val="321D581C"/>
    <w:rsid w:val="322F554F"/>
    <w:rsid w:val="32380BAE"/>
    <w:rsid w:val="323F039F"/>
    <w:rsid w:val="32433D4E"/>
    <w:rsid w:val="32593DA3"/>
    <w:rsid w:val="32742649"/>
    <w:rsid w:val="3277182F"/>
    <w:rsid w:val="32910342"/>
    <w:rsid w:val="32AC7DED"/>
    <w:rsid w:val="32AE46C6"/>
    <w:rsid w:val="32C43EEA"/>
    <w:rsid w:val="32D0288E"/>
    <w:rsid w:val="32E53E60"/>
    <w:rsid w:val="32F966F8"/>
    <w:rsid w:val="33034963"/>
    <w:rsid w:val="330C09CA"/>
    <w:rsid w:val="330E1609"/>
    <w:rsid w:val="330F71A0"/>
    <w:rsid w:val="3310712F"/>
    <w:rsid w:val="3321133C"/>
    <w:rsid w:val="333D3C9C"/>
    <w:rsid w:val="33661445"/>
    <w:rsid w:val="336D4799"/>
    <w:rsid w:val="339228B3"/>
    <w:rsid w:val="33C23086"/>
    <w:rsid w:val="33C70135"/>
    <w:rsid w:val="340D7B12"/>
    <w:rsid w:val="3411315F"/>
    <w:rsid w:val="341474A9"/>
    <w:rsid w:val="3417273F"/>
    <w:rsid w:val="34190265"/>
    <w:rsid w:val="342E1F62"/>
    <w:rsid w:val="3451558C"/>
    <w:rsid w:val="34A00986"/>
    <w:rsid w:val="34A82C7F"/>
    <w:rsid w:val="34AF4725"/>
    <w:rsid w:val="34B64462"/>
    <w:rsid w:val="34C77CC1"/>
    <w:rsid w:val="34C93A39"/>
    <w:rsid w:val="34D32B0A"/>
    <w:rsid w:val="34D73B6E"/>
    <w:rsid w:val="34DB19BE"/>
    <w:rsid w:val="34E22D4D"/>
    <w:rsid w:val="34E6283D"/>
    <w:rsid w:val="34F86D6A"/>
    <w:rsid w:val="35155271"/>
    <w:rsid w:val="351A2FF5"/>
    <w:rsid w:val="353F1F4D"/>
    <w:rsid w:val="35731BF7"/>
    <w:rsid w:val="35895CA1"/>
    <w:rsid w:val="359202CF"/>
    <w:rsid w:val="35BE10C4"/>
    <w:rsid w:val="35EB5C31"/>
    <w:rsid w:val="35F745D6"/>
    <w:rsid w:val="3619279E"/>
    <w:rsid w:val="361B6516"/>
    <w:rsid w:val="36464CCC"/>
    <w:rsid w:val="36496DE4"/>
    <w:rsid w:val="36590DED"/>
    <w:rsid w:val="3676374D"/>
    <w:rsid w:val="36985DB9"/>
    <w:rsid w:val="36A04C6E"/>
    <w:rsid w:val="36B73BDD"/>
    <w:rsid w:val="36BF53DF"/>
    <w:rsid w:val="36CA3A99"/>
    <w:rsid w:val="36E42DAC"/>
    <w:rsid w:val="36E76C88"/>
    <w:rsid w:val="370B53CC"/>
    <w:rsid w:val="37130068"/>
    <w:rsid w:val="371A67CE"/>
    <w:rsid w:val="372E414E"/>
    <w:rsid w:val="373B52E1"/>
    <w:rsid w:val="373F4487"/>
    <w:rsid w:val="374B2E2B"/>
    <w:rsid w:val="376161AB"/>
    <w:rsid w:val="37661A13"/>
    <w:rsid w:val="37722262"/>
    <w:rsid w:val="378E0F6A"/>
    <w:rsid w:val="3790083E"/>
    <w:rsid w:val="37920A5A"/>
    <w:rsid w:val="379A16BD"/>
    <w:rsid w:val="379F0A81"/>
    <w:rsid w:val="379F4F25"/>
    <w:rsid w:val="37B00EE0"/>
    <w:rsid w:val="37B95FE7"/>
    <w:rsid w:val="37BB526F"/>
    <w:rsid w:val="37BF1123"/>
    <w:rsid w:val="37D2727A"/>
    <w:rsid w:val="37EF7C5B"/>
    <w:rsid w:val="37FE1858"/>
    <w:rsid w:val="38044D88"/>
    <w:rsid w:val="38196A86"/>
    <w:rsid w:val="383513E6"/>
    <w:rsid w:val="3881462B"/>
    <w:rsid w:val="38871C41"/>
    <w:rsid w:val="3896026B"/>
    <w:rsid w:val="38A10829"/>
    <w:rsid w:val="38A5656B"/>
    <w:rsid w:val="38CC1D4A"/>
    <w:rsid w:val="38CE3E46"/>
    <w:rsid w:val="38FD0155"/>
    <w:rsid w:val="39073F8D"/>
    <w:rsid w:val="39186D3D"/>
    <w:rsid w:val="39471586"/>
    <w:rsid w:val="39532FE0"/>
    <w:rsid w:val="3971644D"/>
    <w:rsid w:val="397B72CC"/>
    <w:rsid w:val="399A59A4"/>
    <w:rsid w:val="39A93E39"/>
    <w:rsid w:val="39B34CB8"/>
    <w:rsid w:val="39BD1693"/>
    <w:rsid w:val="39BD7D59"/>
    <w:rsid w:val="39C11183"/>
    <w:rsid w:val="39C24EFB"/>
    <w:rsid w:val="39E906DA"/>
    <w:rsid w:val="39ED01CA"/>
    <w:rsid w:val="3A1C2D3E"/>
    <w:rsid w:val="3A396F6B"/>
    <w:rsid w:val="3A486334"/>
    <w:rsid w:val="3A4A257D"/>
    <w:rsid w:val="3A4B6D79"/>
    <w:rsid w:val="3A731CF5"/>
    <w:rsid w:val="3A9B5E78"/>
    <w:rsid w:val="3AAA7E69"/>
    <w:rsid w:val="3AAC7D66"/>
    <w:rsid w:val="3ABD5DEE"/>
    <w:rsid w:val="3ABE5F92"/>
    <w:rsid w:val="3AFB2473"/>
    <w:rsid w:val="3B1654FE"/>
    <w:rsid w:val="3B181276"/>
    <w:rsid w:val="3B261128"/>
    <w:rsid w:val="3B610EC8"/>
    <w:rsid w:val="3B65225F"/>
    <w:rsid w:val="3B7B35B3"/>
    <w:rsid w:val="3BA53106"/>
    <w:rsid w:val="3BB6283D"/>
    <w:rsid w:val="3BCE5DD9"/>
    <w:rsid w:val="3BD97807"/>
    <w:rsid w:val="3BE03E4B"/>
    <w:rsid w:val="3BE13D5E"/>
    <w:rsid w:val="3BE1425D"/>
    <w:rsid w:val="3BEB24E7"/>
    <w:rsid w:val="3C0161AE"/>
    <w:rsid w:val="3C221C81"/>
    <w:rsid w:val="3C442115"/>
    <w:rsid w:val="3C5F1580"/>
    <w:rsid w:val="3C7301F1"/>
    <w:rsid w:val="3C793F97"/>
    <w:rsid w:val="3C8A164C"/>
    <w:rsid w:val="3C8A7F52"/>
    <w:rsid w:val="3C9137E0"/>
    <w:rsid w:val="3C926E07"/>
    <w:rsid w:val="3CA32DC2"/>
    <w:rsid w:val="3CA371C7"/>
    <w:rsid w:val="3CEB6517"/>
    <w:rsid w:val="3CF11D7F"/>
    <w:rsid w:val="3D08468D"/>
    <w:rsid w:val="3D265397"/>
    <w:rsid w:val="3D2C2DB7"/>
    <w:rsid w:val="3D3C244E"/>
    <w:rsid w:val="3D3D3216"/>
    <w:rsid w:val="3D3D6D72"/>
    <w:rsid w:val="3D840E45"/>
    <w:rsid w:val="3D867D03"/>
    <w:rsid w:val="3DAB63D2"/>
    <w:rsid w:val="3DB52CA0"/>
    <w:rsid w:val="3DB92773"/>
    <w:rsid w:val="3DD11BB1"/>
    <w:rsid w:val="3DE1632C"/>
    <w:rsid w:val="3DEA60C5"/>
    <w:rsid w:val="3DF02037"/>
    <w:rsid w:val="3DFA4C63"/>
    <w:rsid w:val="3E10092B"/>
    <w:rsid w:val="3E1D0952"/>
    <w:rsid w:val="3E263CAA"/>
    <w:rsid w:val="3E4951B3"/>
    <w:rsid w:val="3E614006"/>
    <w:rsid w:val="3E646581"/>
    <w:rsid w:val="3E6D7B2B"/>
    <w:rsid w:val="3E831516"/>
    <w:rsid w:val="3E8804C1"/>
    <w:rsid w:val="3E8A0FA4"/>
    <w:rsid w:val="3EAD7F28"/>
    <w:rsid w:val="3EED4953"/>
    <w:rsid w:val="3EF26282"/>
    <w:rsid w:val="3F020381"/>
    <w:rsid w:val="3F390222"/>
    <w:rsid w:val="3F7D269C"/>
    <w:rsid w:val="3F8A0269"/>
    <w:rsid w:val="3FCE23EB"/>
    <w:rsid w:val="3FDB2873"/>
    <w:rsid w:val="3FE67B95"/>
    <w:rsid w:val="3FE94F8F"/>
    <w:rsid w:val="3FF17CCF"/>
    <w:rsid w:val="40070FB8"/>
    <w:rsid w:val="4012098A"/>
    <w:rsid w:val="402955A7"/>
    <w:rsid w:val="40624D42"/>
    <w:rsid w:val="40780425"/>
    <w:rsid w:val="40906885"/>
    <w:rsid w:val="409745D2"/>
    <w:rsid w:val="40980764"/>
    <w:rsid w:val="40A0202D"/>
    <w:rsid w:val="40B82BB4"/>
    <w:rsid w:val="40B957EF"/>
    <w:rsid w:val="40DA6197"/>
    <w:rsid w:val="40E1035D"/>
    <w:rsid w:val="40E53AAB"/>
    <w:rsid w:val="40EA7211"/>
    <w:rsid w:val="40ED0AAF"/>
    <w:rsid w:val="41140DE5"/>
    <w:rsid w:val="4114428E"/>
    <w:rsid w:val="411918A4"/>
    <w:rsid w:val="412D5350"/>
    <w:rsid w:val="41432DC5"/>
    <w:rsid w:val="414803DC"/>
    <w:rsid w:val="414D1AC6"/>
    <w:rsid w:val="41566655"/>
    <w:rsid w:val="41576633"/>
    <w:rsid w:val="415C79E3"/>
    <w:rsid w:val="415F0418"/>
    <w:rsid w:val="41780811"/>
    <w:rsid w:val="417D0085"/>
    <w:rsid w:val="4180784A"/>
    <w:rsid w:val="41A01FC6"/>
    <w:rsid w:val="41AF3FB7"/>
    <w:rsid w:val="41D57EC1"/>
    <w:rsid w:val="41DD28D2"/>
    <w:rsid w:val="41F1637D"/>
    <w:rsid w:val="420774D2"/>
    <w:rsid w:val="421701A7"/>
    <w:rsid w:val="421C359D"/>
    <w:rsid w:val="423050F8"/>
    <w:rsid w:val="42497F67"/>
    <w:rsid w:val="425516C3"/>
    <w:rsid w:val="4255690C"/>
    <w:rsid w:val="425F2679"/>
    <w:rsid w:val="426422E7"/>
    <w:rsid w:val="42666D6B"/>
    <w:rsid w:val="427756CB"/>
    <w:rsid w:val="428D254A"/>
    <w:rsid w:val="429C09DF"/>
    <w:rsid w:val="42C13FA2"/>
    <w:rsid w:val="42C54AC7"/>
    <w:rsid w:val="42EB7271"/>
    <w:rsid w:val="42F73E67"/>
    <w:rsid w:val="43065E58"/>
    <w:rsid w:val="43244531"/>
    <w:rsid w:val="432A08FD"/>
    <w:rsid w:val="434D08CE"/>
    <w:rsid w:val="436438EC"/>
    <w:rsid w:val="43665781"/>
    <w:rsid w:val="43667D3A"/>
    <w:rsid w:val="436C4625"/>
    <w:rsid w:val="439706EC"/>
    <w:rsid w:val="43A253C6"/>
    <w:rsid w:val="43A85162"/>
    <w:rsid w:val="43B239F7"/>
    <w:rsid w:val="43CD4BC8"/>
    <w:rsid w:val="43EA5F57"/>
    <w:rsid w:val="4404683C"/>
    <w:rsid w:val="445552E9"/>
    <w:rsid w:val="4469195A"/>
    <w:rsid w:val="449035E0"/>
    <w:rsid w:val="4497022A"/>
    <w:rsid w:val="44A26055"/>
    <w:rsid w:val="44A43B7B"/>
    <w:rsid w:val="44A771C7"/>
    <w:rsid w:val="44B02520"/>
    <w:rsid w:val="44BC2C73"/>
    <w:rsid w:val="44BC7469"/>
    <w:rsid w:val="44C164DB"/>
    <w:rsid w:val="44CC6C2E"/>
    <w:rsid w:val="44D3620E"/>
    <w:rsid w:val="44F05012"/>
    <w:rsid w:val="45154A79"/>
    <w:rsid w:val="4521341D"/>
    <w:rsid w:val="4521476E"/>
    <w:rsid w:val="45244CBC"/>
    <w:rsid w:val="457E3A30"/>
    <w:rsid w:val="45AC3E09"/>
    <w:rsid w:val="45B70A3D"/>
    <w:rsid w:val="45CA13BF"/>
    <w:rsid w:val="45DA12EF"/>
    <w:rsid w:val="45DD5596"/>
    <w:rsid w:val="45E435E2"/>
    <w:rsid w:val="45F57860"/>
    <w:rsid w:val="46250CEB"/>
    <w:rsid w:val="4629258A"/>
    <w:rsid w:val="462A4554"/>
    <w:rsid w:val="462F56C6"/>
    <w:rsid w:val="463D6035"/>
    <w:rsid w:val="4685178A"/>
    <w:rsid w:val="46BB51AC"/>
    <w:rsid w:val="46C027C2"/>
    <w:rsid w:val="46D544C0"/>
    <w:rsid w:val="46DC75FC"/>
    <w:rsid w:val="46DF70EC"/>
    <w:rsid w:val="46ED1809"/>
    <w:rsid w:val="46F10BCE"/>
    <w:rsid w:val="4707595C"/>
    <w:rsid w:val="47212803"/>
    <w:rsid w:val="47282841"/>
    <w:rsid w:val="473311E6"/>
    <w:rsid w:val="475278BE"/>
    <w:rsid w:val="47541095"/>
    <w:rsid w:val="476B0980"/>
    <w:rsid w:val="47721D0E"/>
    <w:rsid w:val="477535AD"/>
    <w:rsid w:val="47906638"/>
    <w:rsid w:val="47C3256A"/>
    <w:rsid w:val="47D227AD"/>
    <w:rsid w:val="47D93B3C"/>
    <w:rsid w:val="47EA3F9B"/>
    <w:rsid w:val="47FD3CCE"/>
    <w:rsid w:val="480A57D7"/>
    <w:rsid w:val="481132D5"/>
    <w:rsid w:val="48174664"/>
    <w:rsid w:val="481D7ECC"/>
    <w:rsid w:val="48270D4B"/>
    <w:rsid w:val="482F7BFF"/>
    <w:rsid w:val="483B65A4"/>
    <w:rsid w:val="485F2075"/>
    <w:rsid w:val="486270F7"/>
    <w:rsid w:val="48657AC5"/>
    <w:rsid w:val="486F26F2"/>
    <w:rsid w:val="48885EE0"/>
    <w:rsid w:val="489A776F"/>
    <w:rsid w:val="48A71E8C"/>
    <w:rsid w:val="48A759E8"/>
    <w:rsid w:val="48E629B4"/>
    <w:rsid w:val="48F60818"/>
    <w:rsid w:val="48FC471B"/>
    <w:rsid w:val="49252F24"/>
    <w:rsid w:val="493354CD"/>
    <w:rsid w:val="4948541D"/>
    <w:rsid w:val="495711BC"/>
    <w:rsid w:val="496164DE"/>
    <w:rsid w:val="4981092F"/>
    <w:rsid w:val="498D72D3"/>
    <w:rsid w:val="49A168DB"/>
    <w:rsid w:val="49A3772A"/>
    <w:rsid w:val="49B54134"/>
    <w:rsid w:val="49C64593"/>
    <w:rsid w:val="49CF3448"/>
    <w:rsid w:val="49D24CE6"/>
    <w:rsid w:val="49D7054F"/>
    <w:rsid w:val="49E113CD"/>
    <w:rsid w:val="49EC3FFA"/>
    <w:rsid w:val="4A097145"/>
    <w:rsid w:val="4A3459A1"/>
    <w:rsid w:val="4A37497D"/>
    <w:rsid w:val="4A3D4856"/>
    <w:rsid w:val="4A4A6F73"/>
    <w:rsid w:val="4A527BD5"/>
    <w:rsid w:val="4A5E657A"/>
    <w:rsid w:val="4A6873F9"/>
    <w:rsid w:val="4A7A7858"/>
    <w:rsid w:val="4A953621"/>
    <w:rsid w:val="4A965D14"/>
    <w:rsid w:val="4AD74B40"/>
    <w:rsid w:val="4AE01685"/>
    <w:rsid w:val="4AE22D3E"/>
    <w:rsid w:val="4AEA6060"/>
    <w:rsid w:val="4B1530DD"/>
    <w:rsid w:val="4B1B26BD"/>
    <w:rsid w:val="4B35377F"/>
    <w:rsid w:val="4B3E3678"/>
    <w:rsid w:val="4B4E1F59"/>
    <w:rsid w:val="4B6623CF"/>
    <w:rsid w:val="4B8169C4"/>
    <w:rsid w:val="4B8D5369"/>
    <w:rsid w:val="4B944949"/>
    <w:rsid w:val="4BAB6DCF"/>
    <w:rsid w:val="4BBD5522"/>
    <w:rsid w:val="4BC366C0"/>
    <w:rsid w:val="4BCE772F"/>
    <w:rsid w:val="4BDC3BFA"/>
    <w:rsid w:val="4BEC3F5C"/>
    <w:rsid w:val="4BF21670"/>
    <w:rsid w:val="4BFE0015"/>
    <w:rsid w:val="4C07132A"/>
    <w:rsid w:val="4C211F55"/>
    <w:rsid w:val="4C577725"/>
    <w:rsid w:val="4C594369"/>
    <w:rsid w:val="4C5C742B"/>
    <w:rsid w:val="4C5E7A3D"/>
    <w:rsid w:val="4C681932"/>
    <w:rsid w:val="4C885B30"/>
    <w:rsid w:val="4C8C783C"/>
    <w:rsid w:val="4C991AEB"/>
    <w:rsid w:val="4CC90623"/>
    <w:rsid w:val="4CCC0113"/>
    <w:rsid w:val="4CD86AB8"/>
    <w:rsid w:val="4CEC60BF"/>
    <w:rsid w:val="4CEE32D5"/>
    <w:rsid w:val="4D003B9C"/>
    <w:rsid w:val="4D096C71"/>
    <w:rsid w:val="4D2910C1"/>
    <w:rsid w:val="4D31344E"/>
    <w:rsid w:val="4D3F03B7"/>
    <w:rsid w:val="4D472D6D"/>
    <w:rsid w:val="4D5D6ECE"/>
    <w:rsid w:val="4D6C7200"/>
    <w:rsid w:val="4D7E614F"/>
    <w:rsid w:val="4D853FE5"/>
    <w:rsid w:val="4D866514"/>
    <w:rsid w:val="4DA906B9"/>
    <w:rsid w:val="4DD3727F"/>
    <w:rsid w:val="4DE60D60"/>
    <w:rsid w:val="4DFA0CB0"/>
    <w:rsid w:val="4E0D09E3"/>
    <w:rsid w:val="4E261AA5"/>
    <w:rsid w:val="4E453CD9"/>
    <w:rsid w:val="4E5263F6"/>
    <w:rsid w:val="4E5E123E"/>
    <w:rsid w:val="4E6C5709"/>
    <w:rsid w:val="4E7018CF"/>
    <w:rsid w:val="4E712D20"/>
    <w:rsid w:val="4E7E71EB"/>
    <w:rsid w:val="4E865398"/>
    <w:rsid w:val="4EA76741"/>
    <w:rsid w:val="4EB37268"/>
    <w:rsid w:val="4EB61BBC"/>
    <w:rsid w:val="4EB96475"/>
    <w:rsid w:val="4EE67FDB"/>
    <w:rsid w:val="4EF86F9D"/>
    <w:rsid w:val="4F0C2E34"/>
    <w:rsid w:val="4F2C30EB"/>
    <w:rsid w:val="4F3501F1"/>
    <w:rsid w:val="4F477F24"/>
    <w:rsid w:val="4F4C1097"/>
    <w:rsid w:val="4F4E12B3"/>
    <w:rsid w:val="4F5575B8"/>
    <w:rsid w:val="4F676753"/>
    <w:rsid w:val="4F703396"/>
    <w:rsid w:val="4F734D00"/>
    <w:rsid w:val="4F8933C5"/>
    <w:rsid w:val="4F8E2AC8"/>
    <w:rsid w:val="4F93321A"/>
    <w:rsid w:val="4FA52023"/>
    <w:rsid w:val="4FCB6460"/>
    <w:rsid w:val="4FEE6CD8"/>
    <w:rsid w:val="4FFA6D45"/>
    <w:rsid w:val="50176CF0"/>
    <w:rsid w:val="5019366F"/>
    <w:rsid w:val="50212524"/>
    <w:rsid w:val="50502E09"/>
    <w:rsid w:val="505A0D30"/>
    <w:rsid w:val="505F58AD"/>
    <w:rsid w:val="50681F00"/>
    <w:rsid w:val="508D74DE"/>
    <w:rsid w:val="50942CF5"/>
    <w:rsid w:val="509D6FA2"/>
    <w:rsid w:val="50BF0E64"/>
    <w:rsid w:val="50D712A1"/>
    <w:rsid w:val="50DC644B"/>
    <w:rsid w:val="511A2440"/>
    <w:rsid w:val="51234079"/>
    <w:rsid w:val="51281690"/>
    <w:rsid w:val="513242BC"/>
    <w:rsid w:val="51347986"/>
    <w:rsid w:val="514A7858"/>
    <w:rsid w:val="515F3925"/>
    <w:rsid w:val="518E42C1"/>
    <w:rsid w:val="51956D25"/>
    <w:rsid w:val="51A60F32"/>
    <w:rsid w:val="51E23F34"/>
    <w:rsid w:val="51E348E9"/>
    <w:rsid w:val="51EB7A8C"/>
    <w:rsid w:val="520B6FE7"/>
    <w:rsid w:val="520E2D4A"/>
    <w:rsid w:val="522105B9"/>
    <w:rsid w:val="52354064"/>
    <w:rsid w:val="5247498C"/>
    <w:rsid w:val="52522E68"/>
    <w:rsid w:val="525A3ACB"/>
    <w:rsid w:val="525C75D4"/>
    <w:rsid w:val="5268443A"/>
    <w:rsid w:val="526F57C8"/>
    <w:rsid w:val="52952D55"/>
    <w:rsid w:val="529E3F58"/>
    <w:rsid w:val="52B94123"/>
    <w:rsid w:val="52BB0A0D"/>
    <w:rsid w:val="52C33D66"/>
    <w:rsid w:val="52D970E6"/>
    <w:rsid w:val="52E00474"/>
    <w:rsid w:val="533C108C"/>
    <w:rsid w:val="5349426B"/>
    <w:rsid w:val="53650979"/>
    <w:rsid w:val="538834FE"/>
    <w:rsid w:val="538E7ED0"/>
    <w:rsid w:val="539B083F"/>
    <w:rsid w:val="539C61A7"/>
    <w:rsid w:val="53F02939"/>
    <w:rsid w:val="540B7773"/>
    <w:rsid w:val="54176117"/>
    <w:rsid w:val="54280325"/>
    <w:rsid w:val="542B05EA"/>
    <w:rsid w:val="54363A17"/>
    <w:rsid w:val="54476FB8"/>
    <w:rsid w:val="54887441"/>
    <w:rsid w:val="54AB2D04"/>
    <w:rsid w:val="54C46B9F"/>
    <w:rsid w:val="54C77FF5"/>
    <w:rsid w:val="54CF51E4"/>
    <w:rsid w:val="55000C8A"/>
    <w:rsid w:val="5512757B"/>
    <w:rsid w:val="552D3719"/>
    <w:rsid w:val="55425416"/>
    <w:rsid w:val="55480552"/>
    <w:rsid w:val="55570796"/>
    <w:rsid w:val="556057DC"/>
    <w:rsid w:val="557830EE"/>
    <w:rsid w:val="558066AF"/>
    <w:rsid w:val="55825812"/>
    <w:rsid w:val="5587107B"/>
    <w:rsid w:val="558E065B"/>
    <w:rsid w:val="55A0213D"/>
    <w:rsid w:val="55C66E38"/>
    <w:rsid w:val="55CE0A58"/>
    <w:rsid w:val="55D50038"/>
    <w:rsid w:val="55E70B87"/>
    <w:rsid w:val="56566879"/>
    <w:rsid w:val="565A5D3C"/>
    <w:rsid w:val="565F3DA6"/>
    <w:rsid w:val="567C04B4"/>
    <w:rsid w:val="56890E23"/>
    <w:rsid w:val="56A12F8A"/>
    <w:rsid w:val="56A17F1A"/>
    <w:rsid w:val="56A874FB"/>
    <w:rsid w:val="56B85264"/>
    <w:rsid w:val="571F3442"/>
    <w:rsid w:val="57407B2C"/>
    <w:rsid w:val="57460AC2"/>
    <w:rsid w:val="57472757"/>
    <w:rsid w:val="574A2360"/>
    <w:rsid w:val="57560358"/>
    <w:rsid w:val="577473DD"/>
    <w:rsid w:val="57A53A3A"/>
    <w:rsid w:val="57A87C2C"/>
    <w:rsid w:val="57B14CC6"/>
    <w:rsid w:val="57B41ECF"/>
    <w:rsid w:val="57BE68AA"/>
    <w:rsid w:val="57CD4D3F"/>
    <w:rsid w:val="5805272B"/>
    <w:rsid w:val="5806097D"/>
    <w:rsid w:val="5818245E"/>
    <w:rsid w:val="582A1A5B"/>
    <w:rsid w:val="582B39F2"/>
    <w:rsid w:val="584C4CD1"/>
    <w:rsid w:val="58597CE7"/>
    <w:rsid w:val="58637B11"/>
    <w:rsid w:val="586E207E"/>
    <w:rsid w:val="5875340D"/>
    <w:rsid w:val="587D6765"/>
    <w:rsid w:val="58801DB1"/>
    <w:rsid w:val="5889335C"/>
    <w:rsid w:val="589870FB"/>
    <w:rsid w:val="589A10C5"/>
    <w:rsid w:val="58B101BD"/>
    <w:rsid w:val="58B71C77"/>
    <w:rsid w:val="58BF6D7E"/>
    <w:rsid w:val="58C16652"/>
    <w:rsid w:val="58D42829"/>
    <w:rsid w:val="58F011F8"/>
    <w:rsid w:val="58FE1654"/>
    <w:rsid w:val="59126EAD"/>
    <w:rsid w:val="5923730C"/>
    <w:rsid w:val="59262959"/>
    <w:rsid w:val="592B4413"/>
    <w:rsid w:val="59407D71"/>
    <w:rsid w:val="596040BD"/>
    <w:rsid w:val="5966544B"/>
    <w:rsid w:val="59692C57"/>
    <w:rsid w:val="59701E26"/>
    <w:rsid w:val="59A9527B"/>
    <w:rsid w:val="59AD4E28"/>
    <w:rsid w:val="59AF0D83"/>
    <w:rsid w:val="59B166C6"/>
    <w:rsid w:val="59C77A9D"/>
    <w:rsid w:val="5A026AF5"/>
    <w:rsid w:val="5A0D113D"/>
    <w:rsid w:val="5A1804F3"/>
    <w:rsid w:val="5A24333C"/>
    <w:rsid w:val="5A2B5E67"/>
    <w:rsid w:val="5A625E1E"/>
    <w:rsid w:val="5A6608EB"/>
    <w:rsid w:val="5AE91E90"/>
    <w:rsid w:val="5AFA74C4"/>
    <w:rsid w:val="5B1769FD"/>
    <w:rsid w:val="5B2A4FDA"/>
    <w:rsid w:val="5B2F14BA"/>
    <w:rsid w:val="5B3F5F54"/>
    <w:rsid w:val="5B465534"/>
    <w:rsid w:val="5B595267"/>
    <w:rsid w:val="5B6C5036"/>
    <w:rsid w:val="5B7A6F8C"/>
    <w:rsid w:val="5B8D4F11"/>
    <w:rsid w:val="5BC76675"/>
    <w:rsid w:val="5BCA45BD"/>
    <w:rsid w:val="5BDD0A0D"/>
    <w:rsid w:val="5BE64F4A"/>
    <w:rsid w:val="5C4F21C6"/>
    <w:rsid w:val="5C5B6DBD"/>
    <w:rsid w:val="5C797348"/>
    <w:rsid w:val="5C8F6A67"/>
    <w:rsid w:val="5C9B365E"/>
    <w:rsid w:val="5CBF3C55"/>
    <w:rsid w:val="5CC42BB4"/>
    <w:rsid w:val="5CC6518D"/>
    <w:rsid w:val="5CDA52E8"/>
    <w:rsid w:val="5CF65E8A"/>
    <w:rsid w:val="5D0D6309"/>
    <w:rsid w:val="5D105DFA"/>
    <w:rsid w:val="5D156F6C"/>
    <w:rsid w:val="5D157897"/>
    <w:rsid w:val="5D2B2C34"/>
    <w:rsid w:val="5D303DA6"/>
    <w:rsid w:val="5D335644"/>
    <w:rsid w:val="5D394917"/>
    <w:rsid w:val="5D577585"/>
    <w:rsid w:val="5D6053DE"/>
    <w:rsid w:val="5D767412"/>
    <w:rsid w:val="5D7874FB"/>
    <w:rsid w:val="5D861C18"/>
    <w:rsid w:val="5D8A795A"/>
    <w:rsid w:val="5D8F6D1E"/>
    <w:rsid w:val="5DAB7BC1"/>
    <w:rsid w:val="5DC32037"/>
    <w:rsid w:val="5DD00701"/>
    <w:rsid w:val="5DD24E5D"/>
    <w:rsid w:val="5DE828D3"/>
    <w:rsid w:val="5E053485"/>
    <w:rsid w:val="5E1B4A56"/>
    <w:rsid w:val="5E201A2B"/>
    <w:rsid w:val="5E525F9E"/>
    <w:rsid w:val="5E5408F0"/>
    <w:rsid w:val="5E883F35"/>
    <w:rsid w:val="5E913683"/>
    <w:rsid w:val="5E9B16F3"/>
    <w:rsid w:val="5E9D36BD"/>
    <w:rsid w:val="5E9F7435"/>
    <w:rsid w:val="5EA54320"/>
    <w:rsid w:val="5EC450EE"/>
    <w:rsid w:val="5EE12C44"/>
    <w:rsid w:val="5EEC1F4F"/>
    <w:rsid w:val="5EF54B85"/>
    <w:rsid w:val="5F021772"/>
    <w:rsid w:val="5F0279C4"/>
    <w:rsid w:val="5F310A0D"/>
    <w:rsid w:val="5F41098E"/>
    <w:rsid w:val="5F6441DB"/>
    <w:rsid w:val="5F8959EF"/>
    <w:rsid w:val="5FA12D39"/>
    <w:rsid w:val="5FA56CCD"/>
    <w:rsid w:val="5FAE5456"/>
    <w:rsid w:val="5FC91D47"/>
    <w:rsid w:val="5FCA04E2"/>
    <w:rsid w:val="5FD715D7"/>
    <w:rsid w:val="5FE07D05"/>
    <w:rsid w:val="5FF732A1"/>
    <w:rsid w:val="60164927"/>
    <w:rsid w:val="601A5689"/>
    <w:rsid w:val="604858AA"/>
    <w:rsid w:val="6065283C"/>
    <w:rsid w:val="606A5821"/>
    <w:rsid w:val="606D0118"/>
    <w:rsid w:val="607B60BA"/>
    <w:rsid w:val="608F5287"/>
    <w:rsid w:val="60C07B37"/>
    <w:rsid w:val="60C30678"/>
    <w:rsid w:val="60E2185B"/>
    <w:rsid w:val="60EE1FAE"/>
    <w:rsid w:val="61016185"/>
    <w:rsid w:val="61161505"/>
    <w:rsid w:val="611A57AA"/>
    <w:rsid w:val="611F03B9"/>
    <w:rsid w:val="613C1835"/>
    <w:rsid w:val="615362B5"/>
    <w:rsid w:val="61554CED"/>
    <w:rsid w:val="61572852"/>
    <w:rsid w:val="616365BA"/>
    <w:rsid w:val="617D1968"/>
    <w:rsid w:val="6186668A"/>
    <w:rsid w:val="61E433B1"/>
    <w:rsid w:val="61F730E4"/>
    <w:rsid w:val="61FF25AC"/>
    <w:rsid w:val="6220088D"/>
    <w:rsid w:val="62210161"/>
    <w:rsid w:val="62257C51"/>
    <w:rsid w:val="622814F0"/>
    <w:rsid w:val="623D6281"/>
    <w:rsid w:val="62410803"/>
    <w:rsid w:val="62606EDB"/>
    <w:rsid w:val="627B1F67"/>
    <w:rsid w:val="62864468"/>
    <w:rsid w:val="629848C7"/>
    <w:rsid w:val="62B92A90"/>
    <w:rsid w:val="62E21FE6"/>
    <w:rsid w:val="63001032"/>
    <w:rsid w:val="63035AB9"/>
    <w:rsid w:val="630F0A82"/>
    <w:rsid w:val="631B2E02"/>
    <w:rsid w:val="632220BB"/>
    <w:rsid w:val="635B76A3"/>
    <w:rsid w:val="638135AD"/>
    <w:rsid w:val="6390559E"/>
    <w:rsid w:val="63964B6C"/>
    <w:rsid w:val="63B03E93"/>
    <w:rsid w:val="63BA6ABF"/>
    <w:rsid w:val="63C03819"/>
    <w:rsid w:val="63C464E1"/>
    <w:rsid w:val="63D027BA"/>
    <w:rsid w:val="63DD5916"/>
    <w:rsid w:val="64242F04"/>
    <w:rsid w:val="6437795D"/>
    <w:rsid w:val="643D7F21"/>
    <w:rsid w:val="645059B4"/>
    <w:rsid w:val="645A5423"/>
    <w:rsid w:val="64964E36"/>
    <w:rsid w:val="64976126"/>
    <w:rsid w:val="64B153C7"/>
    <w:rsid w:val="64BE25DF"/>
    <w:rsid w:val="64DD4813"/>
    <w:rsid w:val="64EE1C5B"/>
    <w:rsid w:val="64F20CB4"/>
    <w:rsid w:val="65071890"/>
    <w:rsid w:val="65120423"/>
    <w:rsid w:val="654D7CCF"/>
    <w:rsid w:val="65555AC7"/>
    <w:rsid w:val="656211BC"/>
    <w:rsid w:val="656441A9"/>
    <w:rsid w:val="658D448B"/>
    <w:rsid w:val="6598698C"/>
    <w:rsid w:val="659A0956"/>
    <w:rsid w:val="65BB6B6B"/>
    <w:rsid w:val="65BE77DA"/>
    <w:rsid w:val="65C71020"/>
    <w:rsid w:val="65F067C8"/>
    <w:rsid w:val="666B22F3"/>
    <w:rsid w:val="666B5E4F"/>
    <w:rsid w:val="66807B4C"/>
    <w:rsid w:val="66A6332B"/>
    <w:rsid w:val="66BC0678"/>
    <w:rsid w:val="66E005EB"/>
    <w:rsid w:val="66E60BBC"/>
    <w:rsid w:val="66F978FF"/>
    <w:rsid w:val="670D6F06"/>
    <w:rsid w:val="671706A1"/>
    <w:rsid w:val="67380D8F"/>
    <w:rsid w:val="674566A0"/>
    <w:rsid w:val="674E19F8"/>
    <w:rsid w:val="6759039D"/>
    <w:rsid w:val="676034DA"/>
    <w:rsid w:val="676905E0"/>
    <w:rsid w:val="676C6322"/>
    <w:rsid w:val="67705E13"/>
    <w:rsid w:val="67803303"/>
    <w:rsid w:val="67892A30"/>
    <w:rsid w:val="67A41618"/>
    <w:rsid w:val="67AE332B"/>
    <w:rsid w:val="67BF28F6"/>
    <w:rsid w:val="67C717AB"/>
    <w:rsid w:val="67CE48E7"/>
    <w:rsid w:val="67D0065F"/>
    <w:rsid w:val="67DD2D7C"/>
    <w:rsid w:val="67E20393"/>
    <w:rsid w:val="67E4410B"/>
    <w:rsid w:val="67F51E74"/>
    <w:rsid w:val="68183DB4"/>
    <w:rsid w:val="68342313"/>
    <w:rsid w:val="6861575B"/>
    <w:rsid w:val="68653364"/>
    <w:rsid w:val="68A1024E"/>
    <w:rsid w:val="68B27D65"/>
    <w:rsid w:val="68B604CF"/>
    <w:rsid w:val="68C9702B"/>
    <w:rsid w:val="68CB7079"/>
    <w:rsid w:val="68E03400"/>
    <w:rsid w:val="68F92D79"/>
    <w:rsid w:val="69004F74"/>
    <w:rsid w:val="690B27CC"/>
    <w:rsid w:val="69196036"/>
    <w:rsid w:val="692769A5"/>
    <w:rsid w:val="69304835"/>
    <w:rsid w:val="693710DE"/>
    <w:rsid w:val="693766A8"/>
    <w:rsid w:val="6942733B"/>
    <w:rsid w:val="695B21AB"/>
    <w:rsid w:val="697F6758"/>
    <w:rsid w:val="69831701"/>
    <w:rsid w:val="69BB0E9B"/>
    <w:rsid w:val="69C77840"/>
    <w:rsid w:val="69CD5C19"/>
    <w:rsid w:val="69DC3A7E"/>
    <w:rsid w:val="69E41524"/>
    <w:rsid w:val="69E44896"/>
    <w:rsid w:val="69EB7F03"/>
    <w:rsid w:val="69ED49C8"/>
    <w:rsid w:val="69FD14B4"/>
    <w:rsid w:val="6A0B1E23"/>
    <w:rsid w:val="6A0D1D68"/>
    <w:rsid w:val="6A3824EC"/>
    <w:rsid w:val="6AA40C44"/>
    <w:rsid w:val="6AC67AF8"/>
    <w:rsid w:val="6AD660A9"/>
    <w:rsid w:val="6AE52674"/>
    <w:rsid w:val="6B0074AE"/>
    <w:rsid w:val="6B113469"/>
    <w:rsid w:val="6B2A452A"/>
    <w:rsid w:val="6B2C02A3"/>
    <w:rsid w:val="6B362ECF"/>
    <w:rsid w:val="6B454EC0"/>
    <w:rsid w:val="6B4F3F91"/>
    <w:rsid w:val="6B8974A3"/>
    <w:rsid w:val="6B8F0831"/>
    <w:rsid w:val="6BA75B7B"/>
    <w:rsid w:val="6BCD1928"/>
    <w:rsid w:val="6BD279A1"/>
    <w:rsid w:val="6BD821D8"/>
    <w:rsid w:val="6BFD2BC8"/>
    <w:rsid w:val="6BFE1F71"/>
    <w:rsid w:val="6C25535F"/>
    <w:rsid w:val="6C2947E2"/>
    <w:rsid w:val="6C4E3951"/>
    <w:rsid w:val="6C546607"/>
    <w:rsid w:val="6C81461E"/>
    <w:rsid w:val="6C970F26"/>
    <w:rsid w:val="6C983716"/>
    <w:rsid w:val="6CB93DB8"/>
    <w:rsid w:val="6CBA1C8C"/>
    <w:rsid w:val="6CC14A1B"/>
    <w:rsid w:val="6CD244C1"/>
    <w:rsid w:val="6CD544EA"/>
    <w:rsid w:val="6CD868AD"/>
    <w:rsid w:val="6CDF33E1"/>
    <w:rsid w:val="6CF7043C"/>
    <w:rsid w:val="6CF7668E"/>
    <w:rsid w:val="6D107750"/>
    <w:rsid w:val="6D554EF7"/>
    <w:rsid w:val="6D5556A1"/>
    <w:rsid w:val="6D5910F7"/>
    <w:rsid w:val="6D977978"/>
    <w:rsid w:val="6DAB2AD4"/>
    <w:rsid w:val="6DBB30B8"/>
    <w:rsid w:val="6DDB7D5E"/>
    <w:rsid w:val="6E201C15"/>
    <w:rsid w:val="6E423939"/>
    <w:rsid w:val="6E543061"/>
    <w:rsid w:val="6E5711BD"/>
    <w:rsid w:val="6E5D69C5"/>
    <w:rsid w:val="6E600263"/>
    <w:rsid w:val="6E930D4C"/>
    <w:rsid w:val="6EC66318"/>
    <w:rsid w:val="6ED24CBD"/>
    <w:rsid w:val="6EF015E7"/>
    <w:rsid w:val="6F03527B"/>
    <w:rsid w:val="6F3239AE"/>
    <w:rsid w:val="6F3911E0"/>
    <w:rsid w:val="6F6F7ED8"/>
    <w:rsid w:val="6F87652A"/>
    <w:rsid w:val="6F8A37EA"/>
    <w:rsid w:val="6F9212E5"/>
    <w:rsid w:val="6FB92EDC"/>
    <w:rsid w:val="6FE94CC0"/>
    <w:rsid w:val="6FEF7AF1"/>
    <w:rsid w:val="70131A31"/>
    <w:rsid w:val="7036571F"/>
    <w:rsid w:val="703B7634"/>
    <w:rsid w:val="706202C3"/>
    <w:rsid w:val="70651B61"/>
    <w:rsid w:val="707D35B5"/>
    <w:rsid w:val="70C349EF"/>
    <w:rsid w:val="70F80C27"/>
    <w:rsid w:val="71080E6A"/>
    <w:rsid w:val="711C4915"/>
    <w:rsid w:val="71357785"/>
    <w:rsid w:val="71474F56"/>
    <w:rsid w:val="715E7633"/>
    <w:rsid w:val="71687B5B"/>
    <w:rsid w:val="716C647C"/>
    <w:rsid w:val="71752277"/>
    <w:rsid w:val="719E6751"/>
    <w:rsid w:val="71AA1F21"/>
    <w:rsid w:val="71FB4B45"/>
    <w:rsid w:val="71FE3F70"/>
    <w:rsid w:val="722F2426"/>
    <w:rsid w:val="72375C66"/>
    <w:rsid w:val="724B4D0F"/>
    <w:rsid w:val="72514A93"/>
    <w:rsid w:val="727E7680"/>
    <w:rsid w:val="72A76461"/>
    <w:rsid w:val="72B03567"/>
    <w:rsid w:val="72C00209"/>
    <w:rsid w:val="72D33F8C"/>
    <w:rsid w:val="72D46EF4"/>
    <w:rsid w:val="72D60AF4"/>
    <w:rsid w:val="72DC7DE4"/>
    <w:rsid w:val="72E651DB"/>
    <w:rsid w:val="72EF7CA5"/>
    <w:rsid w:val="72FB055A"/>
    <w:rsid w:val="73012015"/>
    <w:rsid w:val="73165394"/>
    <w:rsid w:val="733A72D5"/>
    <w:rsid w:val="73682094"/>
    <w:rsid w:val="736B03F8"/>
    <w:rsid w:val="73774085"/>
    <w:rsid w:val="739015EB"/>
    <w:rsid w:val="73B21561"/>
    <w:rsid w:val="73BC23E0"/>
    <w:rsid w:val="73C419DA"/>
    <w:rsid w:val="73F71A18"/>
    <w:rsid w:val="73F83B3E"/>
    <w:rsid w:val="73FB2F08"/>
    <w:rsid w:val="73FC0ABA"/>
    <w:rsid w:val="73FE7350"/>
    <w:rsid w:val="741727C5"/>
    <w:rsid w:val="74324C48"/>
    <w:rsid w:val="74650381"/>
    <w:rsid w:val="746C5BB4"/>
    <w:rsid w:val="746E0B2C"/>
    <w:rsid w:val="748710D1"/>
    <w:rsid w:val="74C23A26"/>
    <w:rsid w:val="74DB0643"/>
    <w:rsid w:val="74F33BDF"/>
    <w:rsid w:val="74F57957"/>
    <w:rsid w:val="750202C6"/>
    <w:rsid w:val="75045DEC"/>
    <w:rsid w:val="75061B64"/>
    <w:rsid w:val="750D66D2"/>
    <w:rsid w:val="750E0EA6"/>
    <w:rsid w:val="753A29EB"/>
    <w:rsid w:val="753E3F1E"/>
    <w:rsid w:val="75483F2B"/>
    <w:rsid w:val="75536E8E"/>
    <w:rsid w:val="757271FA"/>
    <w:rsid w:val="75A241B6"/>
    <w:rsid w:val="75B71450"/>
    <w:rsid w:val="75CB690A"/>
    <w:rsid w:val="75CD61DE"/>
    <w:rsid w:val="75E1612D"/>
    <w:rsid w:val="75F47C0F"/>
    <w:rsid w:val="76053C67"/>
    <w:rsid w:val="760F67F7"/>
    <w:rsid w:val="761262E7"/>
    <w:rsid w:val="761E6A3A"/>
    <w:rsid w:val="762B1157"/>
    <w:rsid w:val="76325C2F"/>
    <w:rsid w:val="7645046A"/>
    <w:rsid w:val="765265A3"/>
    <w:rsid w:val="766D3522"/>
    <w:rsid w:val="766D79C1"/>
    <w:rsid w:val="767E397C"/>
    <w:rsid w:val="7693567A"/>
    <w:rsid w:val="76A02F78"/>
    <w:rsid w:val="76C515AB"/>
    <w:rsid w:val="76EF36C2"/>
    <w:rsid w:val="76F459ED"/>
    <w:rsid w:val="76FF6B4B"/>
    <w:rsid w:val="770D7644"/>
    <w:rsid w:val="7717683B"/>
    <w:rsid w:val="77297302"/>
    <w:rsid w:val="773B1232"/>
    <w:rsid w:val="775D17E4"/>
    <w:rsid w:val="77672662"/>
    <w:rsid w:val="776E1471"/>
    <w:rsid w:val="779F3BAA"/>
    <w:rsid w:val="77A318EC"/>
    <w:rsid w:val="77B51620"/>
    <w:rsid w:val="77D05B9F"/>
    <w:rsid w:val="77D45F4A"/>
    <w:rsid w:val="77DF044B"/>
    <w:rsid w:val="78056103"/>
    <w:rsid w:val="780B739F"/>
    <w:rsid w:val="783562BD"/>
    <w:rsid w:val="78470381"/>
    <w:rsid w:val="78951CBC"/>
    <w:rsid w:val="78A82F32"/>
    <w:rsid w:val="78C00309"/>
    <w:rsid w:val="78D77AC4"/>
    <w:rsid w:val="78F82B40"/>
    <w:rsid w:val="79056970"/>
    <w:rsid w:val="790D39B3"/>
    <w:rsid w:val="79117FAE"/>
    <w:rsid w:val="792B7DEB"/>
    <w:rsid w:val="793004C8"/>
    <w:rsid w:val="79314CD6"/>
    <w:rsid w:val="793D7B1F"/>
    <w:rsid w:val="794118E8"/>
    <w:rsid w:val="7949798C"/>
    <w:rsid w:val="795F7A95"/>
    <w:rsid w:val="79627585"/>
    <w:rsid w:val="796855F0"/>
    <w:rsid w:val="797C64A0"/>
    <w:rsid w:val="79B17BC5"/>
    <w:rsid w:val="79BC6C95"/>
    <w:rsid w:val="79CC022D"/>
    <w:rsid w:val="79CC7ED8"/>
    <w:rsid w:val="79E166FC"/>
    <w:rsid w:val="79EE447D"/>
    <w:rsid w:val="7A0B5527"/>
    <w:rsid w:val="7A0F3269"/>
    <w:rsid w:val="7A1B0F60"/>
    <w:rsid w:val="7A262361"/>
    <w:rsid w:val="7A2D36EF"/>
    <w:rsid w:val="7A40582E"/>
    <w:rsid w:val="7A4F1ACF"/>
    <w:rsid w:val="7A56120A"/>
    <w:rsid w:val="7A636489"/>
    <w:rsid w:val="7A796935"/>
    <w:rsid w:val="7A7E3F4B"/>
    <w:rsid w:val="7A8A10BD"/>
    <w:rsid w:val="7AB20098"/>
    <w:rsid w:val="7AC6633E"/>
    <w:rsid w:val="7AC80FAD"/>
    <w:rsid w:val="7AD4000F"/>
    <w:rsid w:val="7AD973D3"/>
    <w:rsid w:val="7B0F54EB"/>
    <w:rsid w:val="7B315461"/>
    <w:rsid w:val="7B3F5F83"/>
    <w:rsid w:val="7B503B39"/>
    <w:rsid w:val="7B6618B7"/>
    <w:rsid w:val="7B663376"/>
    <w:rsid w:val="7B6A2721"/>
    <w:rsid w:val="7B6E2211"/>
    <w:rsid w:val="7B7517F2"/>
    <w:rsid w:val="7B8C6B3B"/>
    <w:rsid w:val="7BB34313"/>
    <w:rsid w:val="7BBD5956"/>
    <w:rsid w:val="7BCE74FC"/>
    <w:rsid w:val="7BD31AE3"/>
    <w:rsid w:val="7BE67083"/>
    <w:rsid w:val="7C0A01EC"/>
    <w:rsid w:val="7C0D37D8"/>
    <w:rsid w:val="7C142DB9"/>
    <w:rsid w:val="7C176A1E"/>
    <w:rsid w:val="7C2F3586"/>
    <w:rsid w:val="7C371865"/>
    <w:rsid w:val="7C3E7E36"/>
    <w:rsid w:val="7C5F7DAC"/>
    <w:rsid w:val="7C7575D0"/>
    <w:rsid w:val="7C885555"/>
    <w:rsid w:val="7C8E5772"/>
    <w:rsid w:val="7C961804"/>
    <w:rsid w:val="7CC748CB"/>
    <w:rsid w:val="7CCA29F4"/>
    <w:rsid w:val="7CEF1130"/>
    <w:rsid w:val="7CFB1883"/>
    <w:rsid w:val="7CFC1DB1"/>
    <w:rsid w:val="7CFD1A9F"/>
    <w:rsid w:val="7D11554A"/>
    <w:rsid w:val="7D142945"/>
    <w:rsid w:val="7D1F30F6"/>
    <w:rsid w:val="7D24527D"/>
    <w:rsid w:val="7D33163F"/>
    <w:rsid w:val="7D367990"/>
    <w:rsid w:val="7D627B54"/>
    <w:rsid w:val="7D7B252F"/>
    <w:rsid w:val="7D7F1DDB"/>
    <w:rsid w:val="7D7F24B4"/>
    <w:rsid w:val="7D834802"/>
    <w:rsid w:val="7D877EB1"/>
    <w:rsid w:val="7D8D6A0C"/>
    <w:rsid w:val="7DAB14FB"/>
    <w:rsid w:val="7DC97BD3"/>
    <w:rsid w:val="7DCD5E62"/>
    <w:rsid w:val="7DDF3FAA"/>
    <w:rsid w:val="7DE13CC6"/>
    <w:rsid w:val="7DE844FD"/>
    <w:rsid w:val="7E41287D"/>
    <w:rsid w:val="7E5020A2"/>
    <w:rsid w:val="7E6F077A"/>
    <w:rsid w:val="7E745D91"/>
    <w:rsid w:val="7EA926A4"/>
    <w:rsid w:val="7ED06D3F"/>
    <w:rsid w:val="7ED358B4"/>
    <w:rsid w:val="7ED700CE"/>
    <w:rsid w:val="7EDC1B88"/>
    <w:rsid w:val="7EEF71C5"/>
    <w:rsid w:val="7F2A46A1"/>
    <w:rsid w:val="7F2F7F0A"/>
    <w:rsid w:val="7F5B19EB"/>
    <w:rsid w:val="7F8B126C"/>
    <w:rsid w:val="7F925EDF"/>
    <w:rsid w:val="7F986465"/>
    <w:rsid w:val="7FAB1346"/>
    <w:rsid w:val="7FAF376D"/>
    <w:rsid w:val="7FD1229D"/>
    <w:rsid w:val="7FE40CF4"/>
    <w:rsid w:val="7FFA05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spacing w:line="240" w:lineRule="auto"/>
      <w:outlineLvl w:val="0"/>
    </w:pPr>
    <w:rPr>
      <w:b/>
      <w:kern w:val="44"/>
      <w:sz w:val="32"/>
      <w:szCs w:val="32"/>
    </w:rPr>
  </w:style>
  <w:style w:type="paragraph" w:styleId="3">
    <w:name w:val="heading 2"/>
    <w:basedOn w:val="1"/>
    <w:next w:val="1"/>
    <w:autoRedefine/>
    <w:qFormat/>
    <w:uiPriority w:val="0"/>
    <w:pPr>
      <w:keepNext/>
      <w:keepLines/>
      <w:outlineLvl w:val="1"/>
    </w:pPr>
    <w:rPr>
      <w:b/>
      <w:bCs/>
      <w:sz w:val="28"/>
      <w:szCs w:val="28"/>
    </w:rPr>
  </w:style>
  <w:style w:type="paragraph" w:styleId="4">
    <w:name w:val="heading 3"/>
    <w:basedOn w:val="1"/>
    <w:next w:val="1"/>
    <w:autoRedefine/>
    <w:unhideWhenUsed/>
    <w:qFormat/>
    <w:uiPriority w:val="0"/>
    <w:pPr>
      <w:keepNext/>
      <w:keepLines/>
      <w:outlineLvl w:val="2"/>
    </w:pPr>
    <w:rPr>
      <w:b/>
    </w:rPr>
  </w:style>
  <w:style w:type="paragraph" w:styleId="5">
    <w:name w:val="heading 4"/>
    <w:basedOn w:val="1"/>
    <w:next w:val="1"/>
    <w:autoRedefine/>
    <w:unhideWhenUsed/>
    <w:qFormat/>
    <w:uiPriority w:val="0"/>
    <w:pPr>
      <w:keepNext/>
      <w:keepLines/>
      <w:numPr>
        <w:ilvl w:val="3"/>
        <w:numId w:val="1"/>
      </w:numPr>
      <w:ind w:left="0" w:firstLine="0"/>
      <w:outlineLvl w:val="3"/>
    </w:pPr>
    <w:rPr>
      <w:b/>
      <w:bCs/>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6">
    <w:name w:val="Note Heading"/>
    <w:basedOn w:val="1"/>
    <w:next w:val="1"/>
    <w:autoRedefine/>
    <w:qFormat/>
    <w:uiPriority w:val="0"/>
    <w:pPr>
      <w:jc w:val="center"/>
    </w:pPr>
    <w:rPr>
      <w:kern w:val="0"/>
    </w:rPr>
  </w:style>
  <w:style w:type="paragraph" w:styleId="7">
    <w:name w:val="Normal Indent"/>
    <w:basedOn w:val="1"/>
    <w:next w:val="8"/>
    <w:link w:val="48"/>
    <w:autoRedefine/>
    <w:qFormat/>
    <w:uiPriority w:val="0"/>
    <w:pPr>
      <w:ind w:firstLine="420" w:firstLineChars="200"/>
    </w:pPr>
  </w:style>
  <w:style w:type="paragraph" w:styleId="8">
    <w:name w:val="Body Text First Indent 2"/>
    <w:basedOn w:val="9"/>
    <w:next w:val="1"/>
    <w:autoRedefine/>
    <w:qFormat/>
    <w:uiPriority w:val="0"/>
    <w:pPr>
      <w:ind w:firstLine="420"/>
    </w:pPr>
  </w:style>
  <w:style w:type="paragraph" w:styleId="9">
    <w:name w:val="Body Text Indent"/>
    <w:basedOn w:val="1"/>
    <w:next w:val="10"/>
    <w:autoRedefine/>
    <w:qFormat/>
    <w:uiPriority w:val="0"/>
    <w:pPr>
      <w:ind w:left="420" w:leftChars="200"/>
    </w:pPr>
  </w:style>
  <w:style w:type="paragraph" w:styleId="10">
    <w:name w:val="toc 3"/>
    <w:basedOn w:val="1"/>
    <w:next w:val="1"/>
    <w:autoRedefine/>
    <w:unhideWhenUsed/>
    <w:qFormat/>
    <w:uiPriority w:val="39"/>
    <w:pPr>
      <w:spacing w:line="240" w:lineRule="auto"/>
      <w:ind w:left="840" w:leftChars="400"/>
    </w:pPr>
    <w:rPr>
      <w:sz w:val="21"/>
    </w:rPr>
  </w:style>
  <w:style w:type="paragraph" w:styleId="11">
    <w:name w:val="caption"/>
    <w:basedOn w:val="1"/>
    <w:next w:val="1"/>
    <w:autoRedefine/>
    <w:unhideWhenUsed/>
    <w:qFormat/>
    <w:uiPriority w:val="0"/>
    <w:pPr>
      <w:widowControl/>
      <w:adjustRightInd w:val="0"/>
      <w:snapToGrid w:val="0"/>
      <w:jc w:val="center"/>
    </w:pPr>
    <w:rPr>
      <w:rFonts w:cs="Arial"/>
    </w:rPr>
  </w:style>
  <w:style w:type="paragraph" w:styleId="12">
    <w:name w:val="annotation text"/>
    <w:basedOn w:val="1"/>
    <w:link w:val="49"/>
    <w:autoRedefine/>
    <w:qFormat/>
    <w:uiPriority w:val="0"/>
  </w:style>
  <w:style w:type="paragraph" w:styleId="13">
    <w:name w:val="Body Text"/>
    <w:basedOn w:val="1"/>
    <w:next w:val="14"/>
    <w:autoRedefine/>
    <w:qFormat/>
    <w:uiPriority w:val="0"/>
    <w:pPr>
      <w:adjustRightInd w:val="0"/>
      <w:spacing w:line="312" w:lineRule="atLeast"/>
      <w:textAlignment w:val="baseline"/>
    </w:pPr>
    <w:rPr>
      <w:kern w:val="0"/>
      <w:szCs w:val="20"/>
    </w:rPr>
  </w:style>
  <w:style w:type="paragraph" w:customStyle="1" w:styleId="14">
    <w:name w:val="xl27"/>
    <w:basedOn w:val="1"/>
    <w:next w:val="15"/>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5">
    <w:name w:val="Body Text Indent 2"/>
    <w:basedOn w:val="1"/>
    <w:next w:val="1"/>
    <w:autoRedefine/>
    <w:qFormat/>
    <w:uiPriority w:val="0"/>
    <w:pPr>
      <w:spacing w:after="120" w:line="480" w:lineRule="auto"/>
      <w:ind w:left="420" w:leftChars="200" w:firstLine="510"/>
    </w:pPr>
    <w:rPr>
      <w:sz w:val="28"/>
      <w:szCs w:val="20"/>
    </w:rPr>
  </w:style>
  <w:style w:type="paragraph" w:styleId="16">
    <w:name w:val="Plain Text"/>
    <w:basedOn w:val="1"/>
    <w:autoRedefine/>
    <w:qFormat/>
    <w:uiPriority w:val="0"/>
    <w:pPr>
      <w:ind w:firstLine="562"/>
    </w:pPr>
    <w:rPr>
      <w:rFonts w:ascii="宋体" w:hAnsi="Courier New"/>
      <w:sz w:val="28"/>
      <w:szCs w:val="20"/>
    </w:rPr>
  </w:style>
  <w:style w:type="paragraph" w:styleId="17">
    <w:name w:val="Balloon Text"/>
    <w:basedOn w:val="1"/>
    <w:link w:val="51"/>
    <w:autoRedefine/>
    <w:qFormat/>
    <w:uiPriority w:val="0"/>
    <w:pPr>
      <w:spacing w:line="240" w:lineRule="auto"/>
    </w:pPr>
    <w:rPr>
      <w:sz w:val="18"/>
      <w:szCs w:val="18"/>
    </w:rPr>
  </w:style>
  <w:style w:type="paragraph" w:styleId="18">
    <w:name w:val="footer"/>
    <w:basedOn w:val="1"/>
    <w:autoRedefine/>
    <w:qFormat/>
    <w:uiPriority w:val="99"/>
    <w:pPr>
      <w:tabs>
        <w:tab w:val="center" w:pos="4153"/>
        <w:tab w:val="right" w:pos="8306"/>
      </w:tabs>
      <w:snapToGrid w:val="0"/>
    </w:pPr>
    <w:rPr>
      <w:kern w:val="0"/>
      <w:sz w:val="18"/>
      <w:szCs w:val="20"/>
    </w:rPr>
  </w:style>
  <w:style w:type="paragraph" w:styleId="19">
    <w:name w:val="envelope return"/>
    <w:basedOn w:val="1"/>
    <w:autoRedefine/>
    <w:qFormat/>
    <w:uiPriority w:val="0"/>
    <w:pPr>
      <w:snapToGrid w:val="0"/>
    </w:pPr>
    <w:rPr>
      <w:rFonts w:ascii="Arial" w:hAnsi="Arial"/>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1">
    <w:name w:val="toc 1"/>
    <w:basedOn w:val="1"/>
    <w:next w:val="1"/>
    <w:autoRedefine/>
    <w:qFormat/>
    <w:uiPriority w:val="0"/>
  </w:style>
  <w:style w:type="paragraph" w:styleId="22">
    <w:name w:val="index heading"/>
    <w:basedOn w:val="1"/>
    <w:next w:val="23"/>
    <w:autoRedefine/>
    <w:qFormat/>
    <w:uiPriority w:val="99"/>
    <w:rPr>
      <w:szCs w:val="20"/>
    </w:rPr>
  </w:style>
  <w:style w:type="paragraph" w:styleId="23">
    <w:name w:val="index 1"/>
    <w:basedOn w:val="1"/>
    <w:next w:val="1"/>
    <w:autoRedefine/>
    <w:unhideWhenUsed/>
    <w:qFormat/>
    <w:uiPriority w:val="0"/>
  </w:style>
  <w:style w:type="paragraph" w:styleId="24">
    <w:name w:val="table of figures"/>
    <w:basedOn w:val="1"/>
    <w:next w:val="1"/>
    <w:autoRedefine/>
    <w:qFormat/>
    <w:uiPriority w:val="0"/>
    <w:pPr>
      <w:ind w:left="200" w:leftChars="200" w:hanging="200" w:hangingChars="200"/>
    </w:pPr>
  </w:style>
  <w:style w:type="paragraph" w:styleId="25">
    <w:name w:val="toc 2"/>
    <w:basedOn w:val="1"/>
    <w:next w:val="1"/>
    <w:autoRedefine/>
    <w:qFormat/>
    <w:uiPriority w:val="0"/>
    <w:pPr>
      <w:ind w:left="420" w:leftChars="200"/>
    </w:pPr>
  </w:style>
  <w:style w:type="paragraph" w:styleId="26">
    <w:name w:val="Body Text 2"/>
    <w:basedOn w:val="1"/>
    <w:autoRedefine/>
    <w:qFormat/>
    <w:uiPriority w:val="0"/>
    <w:pPr>
      <w:spacing w:line="480" w:lineRule="auto"/>
    </w:pPr>
  </w:style>
  <w:style w:type="paragraph" w:styleId="27">
    <w:name w:val="Normal (Web)"/>
    <w:basedOn w:val="1"/>
    <w:autoRedefine/>
    <w:qFormat/>
    <w:uiPriority w:val="0"/>
    <w:pPr>
      <w:widowControl/>
      <w:spacing w:before="100" w:beforeAutospacing="1" w:after="100" w:afterAutospacing="1"/>
    </w:pPr>
    <w:rPr>
      <w:rFonts w:ascii="宋体" w:hAnsi="宋体"/>
      <w:kern w:val="0"/>
      <w:szCs w:val="20"/>
    </w:rPr>
  </w:style>
  <w:style w:type="paragraph" w:styleId="28">
    <w:name w:val="Title"/>
    <w:basedOn w:val="1"/>
    <w:autoRedefine/>
    <w:qFormat/>
    <w:uiPriority w:val="10"/>
    <w:pPr>
      <w:spacing w:before="240" w:after="60"/>
      <w:jc w:val="center"/>
      <w:outlineLvl w:val="0"/>
    </w:pPr>
    <w:rPr>
      <w:rFonts w:ascii="Arial" w:hAnsi="Arial"/>
      <w:b/>
      <w:sz w:val="32"/>
    </w:rPr>
  </w:style>
  <w:style w:type="paragraph" w:styleId="29">
    <w:name w:val="annotation subject"/>
    <w:basedOn w:val="12"/>
    <w:next w:val="12"/>
    <w:link w:val="50"/>
    <w:autoRedefine/>
    <w:qFormat/>
    <w:uiPriority w:val="0"/>
    <w:rPr>
      <w:b/>
      <w:bCs/>
    </w:rPr>
  </w:style>
  <w:style w:type="paragraph" w:styleId="30">
    <w:name w:val="Body Text First Indent"/>
    <w:basedOn w:val="13"/>
    <w:next w:val="1"/>
    <w:autoRedefine/>
    <w:qFormat/>
    <w:uiPriority w:val="0"/>
    <w:pPr>
      <w:ind w:firstLine="420" w:firstLineChars="100"/>
    </w:p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autoRedefine/>
    <w:qFormat/>
    <w:uiPriority w:val="0"/>
  </w:style>
  <w:style w:type="character" w:styleId="35">
    <w:name w:val="Emphasis"/>
    <w:basedOn w:val="33"/>
    <w:autoRedefine/>
    <w:qFormat/>
    <w:uiPriority w:val="0"/>
    <w:rPr>
      <w:i/>
    </w:rPr>
  </w:style>
  <w:style w:type="character" w:styleId="36">
    <w:name w:val="Hyperlink"/>
    <w:autoRedefine/>
    <w:qFormat/>
    <w:uiPriority w:val="99"/>
    <w:rPr>
      <w:color w:val="3366CC"/>
      <w:u w:val="single"/>
    </w:rPr>
  </w:style>
  <w:style w:type="character" w:styleId="37">
    <w:name w:val="annotation reference"/>
    <w:basedOn w:val="33"/>
    <w:autoRedefine/>
    <w:qFormat/>
    <w:uiPriority w:val="0"/>
    <w:rPr>
      <w:sz w:val="21"/>
      <w:szCs w:val="21"/>
    </w:rPr>
  </w:style>
  <w:style w:type="paragraph" w:customStyle="1" w:styleId="3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本"/>
    <w:basedOn w:val="1"/>
    <w:autoRedefine/>
    <w:qFormat/>
    <w:uiPriority w:val="0"/>
    <w:pPr>
      <w:adjustRightInd w:val="0"/>
      <w:snapToGrid w:val="0"/>
      <w:ind w:firstLine="200" w:firstLineChars="200"/>
    </w:pPr>
    <w:rPr>
      <w:rFonts w:ascii="宋体"/>
    </w:rPr>
  </w:style>
  <w:style w:type="paragraph" w:customStyle="1" w:styleId="40">
    <w:name w:val="_Style 1"/>
    <w:basedOn w:val="1"/>
    <w:autoRedefine/>
    <w:qFormat/>
    <w:uiPriority w:val="99"/>
    <w:pPr>
      <w:ind w:firstLine="420" w:firstLineChars="200"/>
    </w:pPr>
    <w:rPr>
      <w:rFonts w:ascii="Calibri" w:hAnsi="Calibri" w:cs="宋体"/>
      <w:sz w:val="21"/>
      <w:szCs w:val="21"/>
    </w:rPr>
  </w:style>
  <w:style w:type="paragraph" w:customStyle="1" w:styleId="41">
    <w:name w:val="Default1"/>
    <w:next w:val="4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正文样式1"/>
    <w:basedOn w:val="1"/>
    <w:next w:val="1"/>
    <w:autoRedefine/>
    <w:qFormat/>
    <w:uiPriority w:val="0"/>
    <w:pPr>
      <w:ind w:firstLine="150" w:firstLineChars="150"/>
      <w:textAlignment w:val="baseline"/>
    </w:pPr>
    <w:rPr>
      <w:rFonts w:ascii="Calibri" w:hAnsi="Calibri"/>
      <w:szCs w:val="22"/>
    </w:rPr>
  </w:style>
  <w:style w:type="paragraph" w:customStyle="1" w:styleId="43">
    <w:name w:val="Default"/>
    <w:basedOn w:val="44"/>
    <w:next w:val="8"/>
    <w:autoRedefine/>
    <w:qFormat/>
    <w:uiPriority w:val="0"/>
    <w:pPr>
      <w:autoSpaceDE w:val="0"/>
      <w:autoSpaceDN w:val="0"/>
      <w:spacing w:line="360" w:lineRule="exact"/>
      <w:jc w:val="center"/>
    </w:pPr>
    <w:rPr>
      <w:rFonts w:ascii="隶书" w:hAnsi="Calibri" w:eastAsia="隶书" w:cs="隶书"/>
      <w:color w:val="000000"/>
      <w:szCs w:val="24"/>
    </w:rPr>
  </w:style>
  <w:style w:type="paragraph" w:customStyle="1" w:styleId="44">
    <w:name w:val="纯文本1"/>
    <w:basedOn w:val="1"/>
    <w:autoRedefine/>
    <w:qFormat/>
    <w:uiPriority w:val="0"/>
    <w:pPr>
      <w:adjustRightInd w:val="0"/>
      <w:textAlignment w:val="baseline"/>
    </w:pPr>
    <w:rPr>
      <w:rFonts w:ascii="宋体" w:hAnsi="Courier New"/>
      <w:szCs w:val="20"/>
    </w:rPr>
  </w:style>
  <w:style w:type="paragraph" w:customStyle="1" w:styleId="45">
    <w:name w:val="表文字"/>
    <w:basedOn w:val="13"/>
    <w:next w:val="1"/>
    <w:autoRedefine/>
    <w:qFormat/>
    <w:uiPriority w:val="0"/>
    <w:pPr>
      <w:spacing w:line="240" w:lineRule="auto"/>
      <w:jc w:val="center"/>
    </w:pPr>
    <w:rPr>
      <w:rFonts w:ascii="Times New Roman" w:hAnsi="Times New Roman" w:eastAsia="宋体"/>
      <w:sz w:val="21"/>
      <w:szCs w:val="21"/>
    </w:rPr>
  </w:style>
  <w:style w:type="paragraph" w:customStyle="1" w:styleId="46">
    <w:name w:val="表头"/>
    <w:basedOn w:val="45"/>
    <w:next w:val="1"/>
    <w:link w:val="59"/>
    <w:autoRedefine/>
    <w:qFormat/>
    <w:uiPriority w:val="0"/>
    <w:rPr>
      <w:rFonts w:ascii="Times New Roman" w:hAnsi="Times New Roman" w:eastAsia="宋体"/>
      <w:b/>
    </w:rPr>
  </w:style>
  <w:style w:type="character" w:customStyle="1" w:styleId="47">
    <w:name w:val="正文缩进 Char1"/>
    <w:link w:val="7"/>
    <w:autoRedefine/>
    <w:qFormat/>
    <w:locked/>
    <w:uiPriority w:val="99"/>
  </w:style>
  <w:style w:type="character" w:customStyle="1" w:styleId="48">
    <w:name w:val="正文缩进 Char"/>
    <w:link w:val="7"/>
    <w:autoRedefine/>
    <w:qFormat/>
    <w:uiPriority w:val="0"/>
    <w:rPr>
      <w:rFonts w:ascii="Times New Roman" w:hAnsi="Times New Roman" w:eastAsia="宋体"/>
    </w:rPr>
  </w:style>
  <w:style w:type="character" w:customStyle="1" w:styleId="49">
    <w:name w:val="批注文字 Char"/>
    <w:basedOn w:val="33"/>
    <w:link w:val="12"/>
    <w:autoRedefine/>
    <w:qFormat/>
    <w:uiPriority w:val="0"/>
    <w:rPr>
      <w:rFonts w:ascii="Times New Roman" w:hAnsi="Times New Roman"/>
      <w:kern w:val="2"/>
      <w:sz w:val="24"/>
      <w:szCs w:val="24"/>
    </w:rPr>
  </w:style>
  <w:style w:type="character" w:customStyle="1" w:styleId="50">
    <w:name w:val="批注主题 Char"/>
    <w:basedOn w:val="49"/>
    <w:link w:val="29"/>
    <w:autoRedefine/>
    <w:qFormat/>
    <w:uiPriority w:val="0"/>
  </w:style>
  <w:style w:type="character" w:customStyle="1" w:styleId="51">
    <w:name w:val="批注框文本 Char"/>
    <w:basedOn w:val="33"/>
    <w:link w:val="17"/>
    <w:autoRedefine/>
    <w:qFormat/>
    <w:uiPriority w:val="0"/>
    <w:rPr>
      <w:rFonts w:ascii="Times New Roman" w:hAnsi="Times New Roman"/>
      <w:kern w:val="2"/>
      <w:sz w:val="18"/>
      <w:szCs w:val="18"/>
    </w:rPr>
  </w:style>
  <w:style w:type="table" w:customStyle="1" w:styleId="52">
    <w:name w:val="Table Normal"/>
    <w:autoRedefine/>
    <w:semiHidden/>
    <w:unhideWhenUsed/>
    <w:qFormat/>
    <w:uiPriority w:val="0"/>
    <w:tblPr>
      <w:tblCellMar>
        <w:top w:w="0" w:type="dxa"/>
        <w:left w:w="0" w:type="dxa"/>
        <w:bottom w:w="0" w:type="dxa"/>
        <w:right w:w="0" w:type="dxa"/>
      </w:tblCellMar>
    </w:tblPr>
  </w:style>
  <w:style w:type="paragraph" w:styleId="53">
    <w:name w:val="List Paragraph"/>
    <w:basedOn w:val="1"/>
    <w:autoRedefine/>
    <w:qFormat/>
    <w:uiPriority w:val="1"/>
    <w:pPr>
      <w:ind w:left="220" w:firstLine="424"/>
    </w:pPr>
    <w:rPr>
      <w:rFonts w:ascii="宋体" w:hAnsi="宋体" w:cs="宋体"/>
      <w:lang w:val="zh-CN" w:bidi="zh-CN"/>
    </w:rPr>
  </w:style>
  <w:style w:type="paragraph" w:customStyle="1" w:styleId="54">
    <w:name w:val="Table Paragraph"/>
    <w:basedOn w:val="1"/>
    <w:autoRedefine/>
    <w:qFormat/>
    <w:uiPriority w:val="1"/>
    <w:rPr>
      <w:rFonts w:ascii="宋体" w:hAnsi="宋体" w:cs="宋体"/>
      <w:lang w:val="zh-CN" w:bidi="zh-CN"/>
    </w:rPr>
  </w:style>
  <w:style w:type="paragraph" w:customStyle="1" w:styleId="55">
    <w:name w:val="正文首行缩进 2 + Times New Roman"/>
    <w:basedOn w:val="1"/>
    <w:autoRedefine/>
    <w:qFormat/>
    <w:uiPriority w:val="0"/>
    <w:pPr>
      <w:widowControl/>
      <w:tabs>
        <w:tab w:val="left" w:pos="0"/>
        <w:tab w:val="left" w:pos="870"/>
        <w:tab w:val="left" w:pos="3150"/>
      </w:tabs>
      <w:autoSpaceDE w:val="0"/>
      <w:autoSpaceDN w:val="0"/>
      <w:ind w:firstLine="480" w:firstLineChars="200"/>
    </w:pPr>
    <w:rPr>
      <w:kern w:val="0"/>
    </w:rPr>
  </w:style>
  <w:style w:type="paragraph" w:customStyle="1" w:styleId="56">
    <w:name w:val="报告书正文"/>
    <w:basedOn w:val="1"/>
    <w:autoRedefine/>
    <w:qFormat/>
    <w:uiPriority w:val="0"/>
    <w:pPr>
      <w:spacing w:line="480" w:lineRule="exact"/>
      <w:ind w:firstLine="200" w:firstLineChars="200"/>
    </w:pPr>
  </w:style>
  <w:style w:type="paragraph" w:customStyle="1" w:styleId="57">
    <w:name w:val="表格文字1"/>
    <w:basedOn w:val="1"/>
    <w:autoRedefine/>
    <w:qFormat/>
    <w:uiPriority w:val="0"/>
    <w:pPr>
      <w:tabs>
        <w:tab w:val="left" w:pos="277"/>
        <w:tab w:val="left" w:pos="600"/>
        <w:tab w:val="left" w:pos="780"/>
        <w:tab w:val="left" w:pos="2517"/>
      </w:tabs>
      <w:adjustRightInd w:val="0"/>
      <w:spacing w:before="60"/>
    </w:pPr>
    <w:rPr>
      <w:rFonts w:cs="宋体"/>
      <w:kern w:val="0"/>
      <w:szCs w:val="21"/>
    </w:rPr>
  </w:style>
  <w:style w:type="paragraph" w:customStyle="1" w:styleId="58">
    <w:name w:val="正文 首行缩进:  2 字符"/>
    <w:basedOn w:val="1"/>
    <w:autoRedefine/>
    <w:qFormat/>
    <w:uiPriority w:val="0"/>
    <w:pPr>
      <w:ind w:firstLine="1040" w:firstLineChars="200"/>
    </w:pPr>
    <w:rPr>
      <w:rFonts w:cs="宋体"/>
      <w:szCs w:val="20"/>
    </w:rPr>
  </w:style>
  <w:style w:type="character" w:customStyle="1" w:styleId="59">
    <w:name w:val="表头 Char"/>
    <w:link w:val="46"/>
    <w:autoRedefine/>
    <w:qFormat/>
    <w:uiPriority w:val="0"/>
    <w:rPr>
      <w:rFonts w:ascii="Times New Roman" w:hAnsi="Times New Roman" w:eastAsia="宋体"/>
      <w:b/>
    </w:rPr>
  </w:style>
  <w:style w:type="paragraph" w:customStyle="1" w:styleId="60">
    <w:name w:val="表格文字"/>
    <w:basedOn w:val="1"/>
    <w:next w:val="1"/>
    <w:autoRedefine/>
    <w:qFormat/>
    <w:uiPriority w:val="0"/>
    <w:pPr>
      <w:jc w:val="center"/>
    </w:pPr>
  </w:style>
  <w:style w:type="paragraph" w:customStyle="1" w:styleId="61">
    <w:name w:val="正文1"/>
    <w:basedOn w:val="1"/>
    <w:autoRedefine/>
    <w:qFormat/>
    <w:uiPriority w:val="0"/>
    <w:pPr>
      <w:widowControl/>
      <w:jc w:val="both"/>
    </w:pPr>
    <w:rPr>
      <w:rFonts w:hint="eastAsia" w:ascii="宋体" w:hAnsi="宋体"/>
      <w:sz w:val="21"/>
      <w:szCs w:val="21"/>
    </w:rPr>
  </w:style>
  <w:style w:type="paragraph" w:customStyle="1" w:styleId="62">
    <w:name w:val="我的正文"/>
    <w:basedOn w:val="1"/>
    <w:autoRedefine/>
    <w:qFormat/>
    <w:uiPriority w:val="0"/>
    <w:pPr>
      <w:spacing w:line="520" w:lineRule="exact"/>
      <w:ind w:firstLine="200" w:firstLineChars="200"/>
    </w:pPr>
    <w:rPr>
      <w:rFonts w:ascii="Calibri" w:hAnsi="Calibri"/>
      <w:color w:val="000000"/>
      <w:szCs w:val="20"/>
    </w:rPr>
  </w:style>
  <w:style w:type="paragraph" w:customStyle="1" w:styleId="63">
    <w:name w:val="表格题注"/>
    <w:autoRedefine/>
    <w:qFormat/>
    <w:uiPriority w:val="0"/>
    <w:pPr>
      <w:jc w:val="center"/>
    </w:pPr>
    <w:rPr>
      <w:rFonts w:ascii="Times New Roman" w:hAnsi="Times New Roman" w:eastAsia="宋体" w:cs="Times New Roman"/>
      <w:b/>
      <w:sz w:val="21"/>
      <w:szCs w:val="24"/>
      <w:lang w:val="en-US" w:eastAsia="zh-CN" w:bidi="ar-SA"/>
    </w:rPr>
  </w:style>
  <w:style w:type="paragraph" w:customStyle="1" w:styleId="64">
    <w:name w:val="acee正文"/>
    <w:basedOn w:val="1"/>
    <w:autoRedefine/>
    <w:qFormat/>
    <w:uiPriority w:val="0"/>
    <w:pPr>
      <w:spacing w:line="480" w:lineRule="exact"/>
      <w:ind w:firstLine="640" w:firstLineChars="200"/>
    </w:pPr>
    <w:rPr>
      <w:rFonts w:ascii="仿宋_GB2312" w:hAnsi="宋体" w:eastAsia="仿宋_GB2312"/>
      <w:sz w:val="32"/>
    </w:rPr>
  </w:style>
  <w:style w:type="paragraph" w:customStyle="1" w:styleId="65">
    <w:name w:val="表标题"/>
    <w:next w:val="66"/>
    <w:autoRedefine/>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66">
    <w:name w:val="表格"/>
    <w:next w:val="1"/>
    <w:autoRedefine/>
    <w:qFormat/>
    <w:uiPriority w:val="99"/>
    <w:pPr>
      <w:adjustRightInd w:val="0"/>
      <w:snapToGrid w:val="0"/>
      <w:jc w:val="center"/>
    </w:pPr>
    <w:rPr>
      <w:rFonts w:ascii="Calibri" w:hAnsi="Calibri" w:eastAsia="宋体" w:cs="Times New Roman"/>
      <w:sz w:val="21"/>
      <w:szCs w:val="24"/>
      <w:lang w:val="en-US" w:eastAsia="zh-CN" w:bidi="ar-SA"/>
    </w:rPr>
  </w:style>
  <w:style w:type="paragraph" w:customStyle="1" w:styleId="67">
    <w:name w:val="表格 32"/>
    <w:basedOn w:val="1"/>
    <w:autoRedefine/>
    <w:qFormat/>
    <w:uiPriority w:val="0"/>
    <w:pPr>
      <w:autoSpaceDE w:val="0"/>
      <w:autoSpaceDN w:val="0"/>
      <w:adjustRightInd w:val="0"/>
      <w:jc w:val="center"/>
      <w:textAlignment w:val="baseline"/>
    </w:pPr>
    <w:rPr>
      <w:rFonts w:ascii="宋体" w:hAnsi="Impact" w:eastAsia="宋体" w:cs="Times New Roman"/>
      <w:kern w:val="24"/>
      <w:sz w:val="24"/>
      <w:szCs w:val="21"/>
    </w:rPr>
  </w:style>
  <w:style w:type="character" w:customStyle="1" w:styleId="68">
    <w:name w:val="font21"/>
    <w:basedOn w:val="33"/>
    <w:autoRedefine/>
    <w:qFormat/>
    <w:uiPriority w:val="0"/>
    <w:rPr>
      <w:rFonts w:hint="eastAsia" w:ascii="宋体" w:hAnsi="宋体" w:eastAsia="宋体" w:cs="宋体"/>
      <w:color w:val="000000"/>
      <w:sz w:val="21"/>
      <w:szCs w:val="21"/>
      <w:u w:val="none"/>
    </w:rPr>
  </w:style>
  <w:style w:type="character" w:customStyle="1" w:styleId="69">
    <w:name w:val="NormalCharacter"/>
    <w:autoRedefine/>
    <w:qFormat/>
    <w:uiPriority w:val="0"/>
  </w:style>
  <w:style w:type="paragraph" w:customStyle="1" w:styleId="70">
    <w:name w:val="样式35"/>
    <w:basedOn w:val="71"/>
    <w:next w:val="72"/>
    <w:autoRedefine/>
    <w:unhideWhenUsed/>
    <w:qFormat/>
    <w:uiPriority w:val="0"/>
    <w:pPr>
      <w:tabs>
        <w:tab w:val="left" w:pos="0"/>
        <w:tab w:val="left" w:pos="180"/>
        <w:tab w:val="left" w:pos="360"/>
        <w:tab w:val="left" w:pos="540"/>
        <w:tab w:val="left" w:pos="567"/>
      </w:tabs>
      <w:spacing w:beforeLines="0" w:afterLines="0" w:line="312" w:lineRule="auto"/>
      <w:ind w:firstLine="567"/>
    </w:pPr>
    <w:rPr>
      <w:rFonts w:hint="eastAsia"/>
      <w:sz w:val="28"/>
      <w:szCs w:val="24"/>
    </w:rPr>
  </w:style>
  <w:style w:type="paragraph" w:customStyle="1" w:styleId="71">
    <w:name w:val="表 内容"/>
    <w:basedOn w:val="1"/>
    <w:autoRedefine/>
    <w:qFormat/>
    <w:uiPriority w:val="0"/>
    <w:pPr>
      <w:spacing w:line="276" w:lineRule="auto"/>
      <w:ind w:firstLine="0"/>
      <w:jc w:val="center"/>
    </w:pPr>
    <w:rPr>
      <w:rFonts w:ascii="仿宋" w:hAnsi="仿宋" w:eastAsia="仿宋"/>
      <w:kern w:val="0"/>
    </w:rPr>
  </w:style>
  <w:style w:type="paragraph" w:customStyle="1" w:styleId="72">
    <w:name w:val="font6"/>
    <w:basedOn w:val="1"/>
    <w:next w:val="25"/>
    <w:autoRedefine/>
    <w:unhideWhenUsed/>
    <w:qFormat/>
    <w:uiPriority w:val="0"/>
    <w:pPr>
      <w:widowControl/>
      <w:spacing w:before="100" w:beforeLines="0" w:beforeAutospacing="1" w:after="100" w:afterLines="0" w:afterAutospacing="1"/>
      <w:jc w:val="left"/>
    </w:pPr>
    <w:rPr>
      <w:rFonts w:hint="eastAsia" w:ascii="宋体" w:hAnsi="宋体" w:eastAsia="宋体" w:cs="宋体"/>
      <w:kern w:val="0"/>
      <w:sz w:val="20"/>
      <w:szCs w:val="20"/>
    </w:rPr>
  </w:style>
  <w:style w:type="paragraph" w:customStyle="1" w:styleId="73">
    <w:name w:val="表格内容"/>
    <w:basedOn w:val="7"/>
    <w:next w:val="74"/>
    <w:autoRedefine/>
    <w:unhideWhenUsed/>
    <w:qFormat/>
    <w:uiPriority w:val="0"/>
    <w:pPr>
      <w:spacing w:beforeLines="0" w:afterLines="0" w:line="240" w:lineRule="auto"/>
      <w:ind w:firstLine="0" w:firstLineChars="0"/>
      <w:jc w:val="center"/>
    </w:pPr>
    <w:rPr>
      <w:rFonts w:hint="eastAsia"/>
      <w:sz w:val="21"/>
    </w:rPr>
  </w:style>
  <w:style w:type="paragraph" w:customStyle="1" w:styleId="74">
    <w:name w:val="表格表头"/>
    <w:basedOn w:val="1"/>
    <w:autoRedefine/>
    <w:unhideWhenUsed/>
    <w:qFormat/>
    <w:uiPriority w:val="0"/>
    <w:pPr>
      <w:adjustRightInd w:val="0"/>
      <w:snapToGrid w:val="0"/>
      <w:spacing w:beforeLines="0" w:afterLines="0" w:line="240" w:lineRule="auto"/>
      <w:ind w:firstLine="0" w:firstLineChars="0"/>
      <w:jc w:val="center"/>
    </w:pPr>
    <w:rPr>
      <w:rFonts w:hint="eastAsia"/>
      <w:b/>
      <w:sz w:val="21"/>
    </w:rPr>
  </w:style>
  <w:style w:type="paragraph" w:customStyle="1" w:styleId="75">
    <w:name w:val="表字体"/>
    <w:next w:val="1"/>
    <w:autoRedefine/>
    <w:unhideWhenUsed/>
    <w:qFormat/>
    <w:uiPriority w:val="0"/>
    <w:pPr>
      <w:spacing w:beforeLines="0" w:afterLines="0" w:line="240" w:lineRule="auto"/>
      <w:jc w:val="center"/>
    </w:pPr>
    <w:rPr>
      <w:rFonts w:hint="eastAsia"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25429</Words>
  <Characters>28912</Characters>
  <Lines>284</Lines>
  <Paragraphs>80</Paragraphs>
  <TotalTime>9</TotalTime>
  <ScaleCrop>false</ScaleCrop>
  <LinksUpToDate>false</LinksUpToDate>
  <CharactersWithSpaces>29192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2021-03-03T02:06:00Z</dcterms:created>
  <dc:creator>小袁</dc:creator>
  <cp:lastModifiedBy>点水</cp:lastModifiedBy>
  <cp:lastPrinted>2023-11-24T04:44:00Z</cp:lastPrinted>
  <dcterms:modified xsi:type="dcterms:W3CDTF">2024-03-04T02:27:55Z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531E3505A4A54EC49EA229A500D635FE</vt:lpwstr>
  </property>
</Properties>
</file>